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AF7E7">
      <w:pPr>
        <w:ind w:right="-57" w:firstLine="0"/>
        <w:rPr>
          <w:rFonts w:ascii="宋体" w:hAnsi="宋体"/>
          <w:color w:val="auto"/>
          <w:highlight w:val="none"/>
        </w:rPr>
      </w:pPr>
    </w:p>
    <w:p w14:paraId="7745291D">
      <w:pPr>
        <w:pStyle w:val="31"/>
        <w:spacing w:before="0"/>
        <w:ind w:right="0"/>
        <w:jc w:val="both"/>
        <w:rPr>
          <w:rFonts w:hint="eastAsia" w:ascii="宋体" w:hAnsi="宋体"/>
          <w:b/>
          <w:color w:val="auto"/>
          <w:spacing w:val="-4"/>
          <w:sz w:val="72"/>
          <w:szCs w:val="72"/>
          <w:highlight w:val="none"/>
          <w:lang w:eastAsia="zh-CN"/>
        </w:rPr>
      </w:pPr>
    </w:p>
    <w:p w14:paraId="7B1BD507">
      <w:pPr>
        <w:pStyle w:val="31"/>
        <w:spacing w:before="0"/>
        <w:ind w:right="0"/>
        <w:jc w:val="center"/>
        <w:rPr>
          <w:rFonts w:hint="eastAsia" w:ascii="宋体" w:hAnsi="宋体" w:eastAsia="宋体"/>
          <w:b/>
          <w:color w:val="auto"/>
          <w:spacing w:val="-4"/>
          <w:sz w:val="52"/>
          <w:szCs w:val="52"/>
          <w:highlight w:val="none"/>
          <w:lang w:eastAsia="zh-CN"/>
        </w:rPr>
      </w:pPr>
      <w:r>
        <w:rPr>
          <w:rFonts w:hint="eastAsia" w:ascii="宋体" w:hAnsi="宋体"/>
          <w:b/>
          <w:color w:val="auto"/>
          <w:spacing w:val="-4"/>
          <w:sz w:val="52"/>
          <w:szCs w:val="52"/>
          <w:highlight w:val="none"/>
          <w:lang w:eastAsia="zh-CN"/>
        </w:rPr>
        <w:t>轨道168项目配电设计（含施工用电、项目正式用电）</w:t>
      </w:r>
    </w:p>
    <w:p w14:paraId="502EFF63">
      <w:pPr>
        <w:pStyle w:val="31"/>
        <w:spacing w:before="0"/>
        <w:ind w:right="-57" w:firstLine="0"/>
        <w:jc w:val="center"/>
        <w:rPr>
          <w:rFonts w:ascii="宋体" w:hAnsi="宋体"/>
          <w:b/>
          <w:color w:val="auto"/>
          <w:spacing w:val="-4"/>
          <w:sz w:val="44"/>
          <w:szCs w:val="44"/>
          <w:highlight w:val="none"/>
        </w:rPr>
      </w:pPr>
    </w:p>
    <w:p w14:paraId="2454443E">
      <w:pPr>
        <w:spacing w:before="0"/>
        <w:ind w:right="-57" w:firstLine="0"/>
        <w:jc w:val="center"/>
        <w:rPr>
          <w:rFonts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0A196F17">
      <w:pPr>
        <w:spacing w:before="720"/>
        <w:ind w:left="1801" w:right="-57" w:hanging="180"/>
        <w:rPr>
          <w:rFonts w:ascii="宋体" w:hAnsi="宋体"/>
          <w:b/>
          <w:color w:val="auto"/>
          <w:sz w:val="32"/>
          <w:szCs w:val="32"/>
          <w:highlight w:val="none"/>
        </w:rPr>
      </w:pPr>
    </w:p>
    <w:p w14:paraId="5EF747C0">
      <w:pPr>
        <w:spacing w:before="0"/>
        <w:ind w:left="0" w:right="-57" w:firstLine="0"/>
        <w:rPr>
          <w:rFonts w:ascii="宋体" w:hAnsi="宋体"/>
          <w:color w:val="auto"/>
          <w:highlight w:val="none"/>
        </w:rPr>
      </w:pPr>
    </w:p>
    <w:p w14:paraId="290DEC10">
      <w:pPr>
        <w:spacing w:before="0"/>
        <w:ind w:left="1801" w:right="-57" w:hanging="180"/>
        <w:rPr>
          <w:rFonts w:hint="eastAsia" w:ascii="宋体" w:hAnsi="宋体" w:eastAsia="宋体"/>
          <w:color w:val="auto"/>
          <w:sz w:val="30"/>
          <w:szCs w:val="30"/>
          <w:highlight w:val="none"/>
          <w:lang w:eastAsia="zh-CN"/>
        </w:rPr>
      </w:pPr>
      <w:r>
        <w:rPr>
          <w:rFonts w:ascii="宋体" w:hAnsi="宋体"/>
          <w:b/>
          <w:color w:val="auto"/>
          <w:sz w:val="32"/>
          <w:szCs w:val="32"/>
          <w:highlight w:val="none"/>
        </w:rPr>
        <w:t>比选人：</w:t>
      </w:r>
      <w:r>
        <w:rPr>
          <w:rFonts w:hint="eastAsia" w:ascii="宋体" w:hAnsi="宋体"/>
          <w:b/>
          <w:color w:val="auto"/>
          <w:sz w:val="32"/>
          <w:szCs w:val="32"/>
          <w:highlight w:val="none"/>
          <w:u w:val="single"/>
          <w:lang w:eastAsia="zh-CN"/>
        </w:rPr>
        <w:t>南宁轨道地产集团有限责任公司</w:t>
      </w:r>
    </w:p>
    <w:p w14:paraId="47DFD446">
      <w:pPr>
        <w:spacing w:before="0"/>
        <w:ind w:right="-57" w:firstLine="0"/>
        <w:jc w:val="center"/>
        <w:rPr>
          <w:rFonts w:hint="default" w:ascii="宋体" w:hAnsi="宋体" w:eastAsia="宋体" w:cs="宋体"/>
          <w:b/>
          <w:color w:val="auto"/>
          <w:sz w:val="36"/>
          <w:szCs w:val="36"/>
          <w:highlight w:val="none"/>
          <w:lang w:val="en-US" w:eastAsia="zh-CN"/>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r>
        <w:rPr>
          <w:rFonts w:hint="eastAsia" w:ascii="宋体" w:hAnsi="宋体"/>
          <w:b/>
          <w:color w:val="auto"/>
          <w:sz w:val="36"/>
          <w:szCs w:val="36"/>
          <w:highlight w:val="none"/>
          <w:lang w:eastAsia="zh-CN"/>
        </w:rPr>
        <w:t>202</w:t>
      </w:r>
      <w:r>
        <w:rPr>
          <w:rFonts w:hint="eastAsia" w:ascii="宋体" w:hAnsi="宋体"/>
          <w:b/>
          <w:color w:val="auto"/>
          <w:sz w:val="36"/>
          <w:szCs w:val="36"/>
          <w:highlight w:val="none"/>
          <w:lang w:val="en-US" w:eastAsia="zh-CN"/>
        </w:rPr>
        <w:t>6</w:t>
      </w:r>
      <w:r>
        <w:rPr>
          <w:rFonts w:hint="eastAsia" w:ascii="宋体" w:hAnsi="宋体"/>
          <w:b/>
          <w:color w:val="auto"/>
          <w:sz w:val="36"/>
          <w:szCs w:val="36"/>
          <w:highlight w:val="none"/>
          <w:lang w:eastAsia="zh-CN"/>
        </w:rPr>
        <w:t>年</w:t>
      </w:r>
      <w:r>
        <w:rPr>
          <w:rFonts w:hint="eastAsia" w:ascii="宋体" w:hAnsi="宋体"/>
          <w:b/>
          <w:color w:val="auto"/>
          <w:sz w:val="36"/>
          <w:szCs w:val="36"/>
          <w:highlight w:val="none"/>
          <w:lang w:val="en-US" w:eastAsia="zh-CN"/>
        </w:rPr>
        <w:t>9月4日</w:t>
      </w:r>
    </w:p>
    <w:p w14:paraId="2E2C6646">
      <w:pPr>
        <w:spacing w:before="0" w:after="0" w:afterAutospacing="0"/>
        <w:ind w:left="0" w:right="0" w:firstLine="0"/>
        <w:rPr>
          <w:rFonts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7397CC95">
          <w:pPr>
            <w:pStyle w:val="61"/>
            <w:spacing w:before="0" w:line="240" w:lineRule="auto"/>
            <w:jc w:val="center"/>
            <w:rPr>
              <w:rFonts w:ascii="宋体" w:hAnsi="宋体" w:eastAsia="宋体"/>
              <w:color w:val="auto"/>
              <w:highlight w:val="none"/>
            </w:rPr>
          </w:pPr>
          <w:r>
            <w:rPr>
              <w:rFonts w:hint="eastAsia" w:ascii="宋体" w:hAnsi="宋体" w:eastAsia="宋体" w:cs="宋体"/>
              <w:color w:val="auto"/>
              <w:highlight w:val="none"/>
              <w:lang w:val="zh-CN"/>
            </w:rPr>
            <w:t>目录</w:t>
          </w:r>
        </w:p>
        <w:p w14:paraId="465FA068">
          <w:pPr>
            <w:pStyle w:val="24"/>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"_Toc31714"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_Toc31714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4CDFAF10">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"_Toc4114"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begin"/>
          </w:r>
          <w:r>
            <w:rPr>
              <w:color w:val="auto"/>
              <w:highlight w:val="none"/>
            </w:rPr>
            <w:instrText xml:space="preserve"> PAGEREF _Toc4114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438B703A">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"_Toc10158"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begin"/>
          </w:r>
          <w:r>
            <w:rPr>
              <w:color w:val="auto"/>
              <w:highlight w:val="none"/>
            </w:rPr>
            <w:instrText xml:space="preserve"> PAGEREF _Toc10158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6FCEB5A2">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"_Toc26465"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begin"/>
          </w:r>
          <w:r>
            <w:rPr>
              <w:color w:val="auto"/>
              <w:highlight w:val="none"/>
            </w:rPr>
            <w:instrText xml:space="preserve"> PAGEREF _Toc26465 \h </w:instrText>
          </w:r>
          <w:r>
            <w:rPr>
              <w:color w:val="auto"/>
              <w:highlight w:val="none"/>
            </w:rPr>
            <w:fldChar w:fldCharType="separate"/>
          </w:r>
          <w:r>
            <w:rPr>
              <w:color w:val="auto"/>
              <w:highlight w:val="none"/>
            </w:rPr>
            <w:t>101</w:t>
          </w:r>
          <w:r>
            <w:rPr>
              <w:color w:val="auto"/>
              <w:highlight w:val="none"/>
            </w:rPr>
            <w:fldChar w:fldCharType="end"/>
          </w:r>
          <w:r>
            <w:rPr>
              <w:color w:val="auto"/>
              <w:highlight w:val="none"/>
            </w:rPr>
            <w:fldChar w:fldCharType="end"/>
          </w:r>
        </w:p>
        <w:p w14:paraId="335766E4">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"_Toc3992" </w:instrText>
          </w:r>
          <w:r>
            <w:rPr>
              <w:color w:val="auto"/>
              <w:highlight w:val="none"/>
            </w:rPr>
            <w:fldChar w:fldCharType="separate"/>
          </w:r>
          <w:r>
            <w:rPr>
              <w:rFonts w:hint="eastAsia" w:ascii="宋体" w:hAnsi="宋体"/>
              <w:color w:val="auto"/>
              <w:highlight w:val="none"/>
            </w:rPr>
            <w:t>第五章采购需求书</w:t>
          </w:r>
          <w:r>
            <w:rPr>
              <w:color w:val="auto"/>
              <w:highlight w:val="none"/>
            </w:rPr>
            <w:tab/>
          </w:r>
          <w:r>
            <w:rPr>
              <w:color w:val="auto"/>
              <w:highlight w:val="none"/>
            </w:rPr>
            <w:fldChar w:fldCharType="begin"/>
          </w:r>
          <w:r>
            <w:rPr>
              <w:color w:val="auto"/>
              <w:highlight w:val="none"/>
            </w:rPr>
            <w:instrText xml:space="preserve"> PAGEREF _Toc3992 \h </w:instrText>
          </w:r>
          <w:r>
            <w:rPr>
              <w:color w:val="auto"/>
              <w:highlight w:val="none"/>
            </w:rPr>
            <w:fldChar w:fldCharType="separate"/>
          </w:r>
          <w:r>
            <w:rPr>
              <w:color w:val="auto"/>
              <w:highlight w:val="none"/>
            </w:rPr>
            <w:t>120</w:t>
          </w:r>
          <w:r>
            <w:rPr>
              <w:color w:val="auto"/>
              <w:highlight w:val="none"/>
            </w:rPr>
            <w:fldChar w:fldCharType="end"/>
          </w:r>
          <w:r>
            <w:rPr>
              <w:color w:val="auto"/>
              <w:highlight w:val="none"/>
            </w:rPr>
            <w:fldChar w:fldCharType="end"/>
          </w:r>
        </w:p>
        <w:p w14:paraId="225816F5">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"_Toc5856" </w:instrText>
          </w:r>
          <w:r>
            <w:rPr>
              <w:color w:val="auto"/>
              <w:highlight w:val="none"/>
            </w:rPr>
            <w:fldChar w:fldCharType="separate"/>
          </w:r>
          <w:r>
            <w:rPr>
              <w:rFonts w:hint="eastAsia" w:ascii="宋体" w:hAnsi="宋体"/>
              <w:color w:val="auto"/>
              <w:highlight w:val="none"/>
            </w:rPr>
            <w:t>第</w:t>
          </w:r>
          <w:r>
            <w:rPr>
              <w:rFonts w:hint="eastAsia" w:hAnsi="宋体"/>
              <w:color w:val="auto"/>
              <w:highlight w:val="none"/>
            </w:rPr>
            <w:t>六</w:t>
          </w:r>
          <w:r>
            <w:rPr>
              <w:rFonts w:hint="eastAsia" w:ascii="宋体" w:hAnsi="宋体"/>
              <w:color w:val="auto"/>
              <w:highlight w:val="none"/>
            </w:rPr>
            <w:t>章评分办法</w:t>
          </w:r>
          <w:r>
            <w:rPr>
              <w:color w:val="auto"/>
              <w:highlight w:val="none"/>
            </w:rPr>
            <w:tab/>
          </w:r>
          <w:r>
            <w:rPr>
              <w:color w:val="auto"/>
              <w:highlight w:val="none"/>
            </w:rPr>
            <w:fldChar w:fldCharType="begin"/>
          </w:r>
          <w:r>
            <w:rPr>
              <w:color w:val="auto"/>
              <w:highlight w:val="none"/>
            </w:rPr>
            <w:instrText xml:space="preserve"> PAGEREF _Toc5856 \h </w:instrText>
          </w:r>
          <w:r>
            <w:rPr>
              <w:color w:val="auto"/>
              <w:highlight w:val="none"/>
            </w:rPr>
            <w:fldChar w:fldCharType="separate"/>
          </w:r>
          <w:r>
            <w:rPr>
              <w:color w:val="auto"/>
              <w:highlight w:val="none"/>
            </w:rPr>
            <w:t>122</w:t>
          </w:r>
          <w:r>
            <w:rPr>
              <w:color w:val="auto"/>
              <w:highlight w:val="none"/>
            </w:rPr>
            <w:fldChar w:fldCharType="end"/>
          </w:r>
          <w:r>
            <w:rPr>
              <w:color w:val="auto"/>
              <w:highlight w:val="none"/>
            </w:rPr>
            <w:fldChar w:fldCharType="end"/>
          </w:r>
        </w:p>
        <w:p w14:paraId="6C5BAF6A">
          <w:pPr>
            <w:pStyle w:val="24"/>
            <w:tabs>
              <w:tab w:val="right" w:leader="dot" w:pos="9071"/>
            </w:tabs>
            <w:rPr>
              <w:color w:val="auto"/>
              <w:highlight w:val="none"/>
            </w:rPr>
          </w:pPr>
        </w:p>
        <w:p w14:paraId="5B1AA6B6">
          <w:pPr>
            <w:pStyle w:val="29"/>
            <w:tabs>
              <w:tab w:val="right" w:leader="dot" w:pos="9061"/>
            </w:tabs>
            <w:spacing w:line="240" w:lineRule="auto"/>
            <w:ind w:left="0"/>
            <w:rPr>
              <w:rFonts w:ascii="宋体" w:hAnsi="宋体"/>
              <w:color w:val="auto"/>
              <w:highlight w:val="none"/>
            </w:rPr>
          </w:pPr>
          <w:r>
            <w:rPr>
              <w:rFonts w:ascii="宋体" w:hAnsi="宋体"/>
              <w:bCs/>
              <w:color w:val="auto"/>
              <w:highlight w:val="none"/>
              <w:lang w:val="zh-CN"/>
            </w:rPr>
            <w:fldChar w:fldCharType="end"/>
          </w:r>
        </w:p>
      </w:sdtContent>
    </w:sdt>
    <w:p w14:paraId="338D3FC5">
      <w:pPr>
        <w:ind w:left="0" w:firstLine="0"/>
        <w:rPr>
          <w:rStyle w:val="54"/>
          <w:rFonts w:ascii="宋体" w:hAnsi="宋体" w:eastAsia="宋体"/>
          <w:color w:val="auto"/>
          <w:highlight w:val="none"/>
        </w:rPr>
      </w:pPr>
      <w:bookmarkStart w:id="0" w:name="_Toc26620"/>
      <w:bookmarkStart w:id="1" w:name="_Toc1227"/>
      <w:bookmarkStart w:id="2" w:name="_Toc3400"/>
      <w:bookmarkStart w:id="3" w:name="_Toc17906"/>
      <w:bookmarkStart w:id="4" w:name="_Toc25355"/>
      <w:bookmarkStart w:id="5" w:name="_Toc5910"/>
      <w:bookmarkStart w:id="6" w:name="_Toc26939"/>
      <w:bookmarkStart w:id="7" w:name="_Toc15211"/>
      <w:bookmarkStart w:id="8" w:name="_Toc30647"/>
      <w:bookmarkStart w:id="9" w:name="_Toc375039061"/>
      <w:bookmarkStart w:id="10" w:name="_Toc23476"/>
      <w:bookmarkStart w:id="11" w:name="_Toc14762"/>
      <w:bookmarkStart w:id="12" w:name="_Toc3658"/>
      <w:bookmarkStart w:id="13" w:name="_Toc492478714"/>
      <w:bookmarkStart w:id="14" w:name="_Toc23367"/>
      <w:bookmarkStart w:id="15" w:name="_Toc1363"/>
      <w:bookmarkStart w:id="16" w:name="_Toc237"/>
      <w:bookmarkStart w:id="17" w:name="_Toc481"/>
      <w:bookmarkStart w:id="18" w:name="_Toc26192"/>
    </w:p>
    <w:p w14:paraId="5332C591">
      <w:pPr>
        <w:ind w:left="0" w:firstLine="0"/>
        <w:jc w:val="left"/>
        <w:rPr>
          <w:rStyle w:val="54"/>
          <w:rFonts w:ascii="宋体" w:hAnsi="宋体" w:eastAsia="宋体"/>
          <w:color w:val="auto"/>
          <w:highlight w:val="none"/>
        </w:rPr>
        <w:sectPr>
          <w:footerReference r:id="rId7" w:type="default"/>
          <w:pgSz w:w="11905" w:h="16838"/>
          <w:pgMar w:top="1417" w:right="1417" w:bottom="1417" w:left="1417" w:header="454" w:footer="567" w:gutter="0"/>
          <w:cols w:space="720" w:num="1"/>
          <w:docGrid w:linePitch="312" w:charSpace="0"/>
        </w:sectPr>
      </w:pPr>
    </w:p>
    <w:p w14:paraId="7576DADD">
      <w:pPr>
        <w:pStyle w:val="17"/>
        <w:pageBreakBefore/>
        <w:ind w:right="-57"/>
        <w:jc w:val="center"/>
        <w:outlineLvl w:val="0"/>
        <w:rPr>
          <w:rStyle w:val="54"/>
          <w:rFonts w:ascii="宋体" w:hAnsi="宋体" w:eastAsia="宋体"/>
          <w:color w:val="auto"/>
          <w:highlight w:val="none"/>
        </w:rPr>
      </w:pPr>
      <w:bookmarkStart w:id="19" w:name="_Toc31714"/>
      <w:r>
        <w:rPr>
          <w:rStyle w:val="54"/>
          <w:rFonts w:hint="eastAsia" w:ascii="宋体" w:hAnsi="宋体" w:eastAsia="宋体"/>
          <w:color w:val="auto"/>
          <w:highlight w:val="none"/>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6599AD">
      <w:pPr>
        <w:spacing w:before="0" w:after="0" w:afterAutospacing="0"/>
        <w:ind w:left="0" w:right="-57" w:firstLine="0"/>
        <w:jc w:val="center"/>
        <w:rPr>
          <w:rFonts w:hint="eastAsia" w:ascii="宋体" w:hAnsi="宋体"/>
          <w:b/>
          <w:color w:val="auto"/>
          <w:sz w:val="28"/>
          <w:szCs w:val="28"/>
          <w:highlight w:val="none"/>
          <w:lang w:eastAsia="zh-CN"/>
        </w:rPr>
      </w:pPr>
      <w:r>
        <w:rPr>
          <w:rFonts w:hint="eastAsia" w:ascii="宋体" w:hAnsi="宋体"/>
          <w:b/>
          <w:color w:val="auto"/>
          <w:sz w:val="28"/>
          <w:szCs w:val="28"/>
          <w:highlight w:val="none"/>
          <w:lang w:eastAsia="zh-CN"/>
        </w:rPr>
        <w:t>轨道168项目配电设计（含施工用电、项目正式用电）</w:t>
      </w:r>
    </w:p>
    <w:p w14:paraId="59E3D226">
      <w:pPr>
        <w:spacing w:before="0" w:after="0" w:afterAutospacing="0"/>
        <w:ind w:left="0" w:right="-57" w:firstLine="0"/>
        <w:jc w:val="center"/>
        <w:rPr>
          <w:rFonts w:ascii="宋体" w:hAnsi="宋体"/>
          <w:b/>
          <w:color w:val="auto"/>
          <w:sz w:val="28"/>
          <w:szCs w:val="28"/>
          <w:highlight w:val="none"/>
        </w:rPr>
      </w:pPr>
      <w:r>
        <w:rPr>
          <w:rFonts w:hint="eastAsia" w:ascii="宋体" w:hAnsi="宋体"/>
          <w:b/>
          <w:color w:val="auto"/>
          <w:sz w:val="28"/>
          <w:szCs w:val="28"/>
          <w:highlight w:val="none"/>
        </w:rPr>
        <w:t>比选公告</w:t>
      </w:r>
    </w:p>
    <w:p w14:paraId="26AADAE5">
      <w:pPr>
        <w:spacing w:before="0" w:after="0" w:afterAutospacing="0"/>
        <w:ind w:left="0" w:right="0" w:firstLine="422" w:firstLineChars="200"/>
        <w:rPr>
          <w:rFonts w:ascii="宋体" w:hAnsi="宋体"/>
          <w:b/>
          <w:color w:val="auto"/>
          <w:highlight w:val="none"/>
        </w:rPr>
      </w:pPr>
      <w:bookmarkStart w:id="20" w:name="OLE_LINK4"/>
      <w:bookmarkEnd w:id="20"/>
      <w:r>
        <w:rPr>
          <w:rFonts w:hint="eastAsia" w:ascii="宋体" w:hAnsi="宋体"/>
          <w:b/>
          <w:color w:val="auto"/>
          <w:highlight w:val="none"/>
        </w:rPr>
        <w:t>1.比选条件</w:t>
      </w:r>
    </w:p>
    <w:p w14:paraId="5064084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eastAsia="zh-CN"/>
        </w:rPr>
        <w:t>轨道168项目配电设计（含施工用电、项目正式用电）</w:t>
      </w:r>
      <w:r>
        <w:rPr>
          <w:rFonts w:hint="eastAsia" w:ascii="宋体" w:hAnsi="宋体"/>
          <w:color w:val="auto"/>
          <w:highlight w:val="none"/>
        </w:rPr>
        <w:t>比选人为</w:t>
      </w:r>
      <w:r>
        <w:rPr>
          <w:rFonts w:hint="eastAsia" w:ascii="宋体" w:hAnsi="宋体"/>
          <w:color w:val="auto"/>
          <w:highlight w:val="none"/>
          <w:u w:val="single"/>
          <w:lang w:eastAsia="zh-CN"/>
        </w:rPr>
        <w:t>南宁轨道地产集团有限责任公司</w:t>
      </w:r>
      <w:r>
        <w:rPr>
          <w:rFonts w:hint="eastAsia" w:ascii="宋体" w:hAnsi="宋体"/>
          <w:color w:val="auto"/>
          <w:highlight w:val="none"/>
        </w:rPr>
        <w:t>，比选项目资金来源为</w:t>
      </w:r>
      <w:r>
        <w:rPr>
          <w:rFonts w:hint="eastAsia" w:ascii="宋体" w:hAnsi="宋体"/>
          <w:color w:val="auto"/>
          <w:highlight w:val="none"/>
          <w:lang w:eastAsia="zh-CN"/>
        </w:rPr>
        <w:t>企业自有资金</w:t>
      </w:r>
      <w:r>
        <w:rPr>
          <w:rFonts w:hint="eastAsia" w:ascii="宋体" w:hAnsi="宋体"/>
          <w:color w:val="auto"/>
          <w:highlight w:val="none"/>
        </w:rPr>
        <w:t>。</w:t>
      </w:r>
    </w:p>
    <w:p w14:paraId="3C165515">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2.项目概况与比选范围</w:t>
      </w:r>
    </w:p>
    <w:p w14:paraId="512394BD">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lang w:val="en-US" w:eastAsia="zh-CN"/>
        </w:rPr>
        <w:t>2.1</w:t>
      </w:r>
      <w:r>
        <w:rPr>
          <w:rFonts w:hint="eastAsia" w:ascii="宋体" w:hAnsi="宋体"/>
          <w:color w:val="auto"/>
          <w:highlight w:val="none"/>
        </w:rPr>
        <w:t>项目名称：</w:t>
      </w:r>
      <w:r>
        <w:rPr>
          <w:rFonts w:hint="eastAsia" w:ascii="宋体" w:hAnsi="宋体"/>
          <w:color w:val="auto"/>
          <w:highlight w:val="none"/>
          <w:u w:val="single"/>
          <w:lang w:eastAsia="zh-CN"/>
        </w:rPr>
        <w:t>轨道168项目配电设计（含施工用电、项目正式用电）</w:t>
      </w:r>
      <w:r>
        <w:rPr>
          <w:rFonts w:hint="eastAsia" w:ascii="宋体" w:hAnsi="宋体"/>
          <w:color w:val="auto"/>
          <w:highlight w:val="none"/>
          <w:u w:val="single"/>
        </w:rPr>
        <w:t>。</w:t>
      </w:r>
    </w:p>
    <w:p w14:paraId="7E5449DF">
      <w:pPr>
        <w:spacing w:before="0" w:after="0" w:afterAutospacing="0"/>
        <w:ind w:left="0" w:right="0" w:firstLine="420" w:firstLineChars="200"/>
        <w:rPr>
          <w:rFonts w:hint="eastAsia" w:ascii="宋体" w:hAnsi="宋体"/>
          <w:color w:val="auto"/>
          <w:highlight w:val="none"/>
          <w:lang w:val="zh-CN" w:eastAsia="zh-CN"/>
        </w:rPr>
      </w:pPr>
      <w:r>
        <w:rPr>
          <w:rFonts w:hint="eastAsia" w:ascii="宋体" w:hAnsi="宋体"/>
          <w:color w:val="auto"/>
          <w:highlight w:val="none"/>
          <w:lang w:val="en-US" w:eastAsia="zh-CN"/>
        </w:rPr>
        <w:t>2.2</w:t>
      </w:r>
      <w:r>
        <w:rPr>
          <w:rFonts w:hint="eastAsia" w:ascii="宋体" w:hAnsi="宋体"/>
          <w:color w:val="auto"/>
          <w:highlight w:val="none"/>
          <w:lang w:val="zh-CN"/>
        </w:rPr>
        <w:t>项目规模：项目用地面积为29112.23㎡，宗地用途为城镇住宅、批发零售、商务金融。项目总建筑面积约</w:t>
      </w:r>
      <w:r>
        <w:rPr>
          <w:rFonts w:hint="eastAsia" w:ascii="宋体" w:hAnsi="宋体"/>
          <w:color w:val="auto"/>
          <w:highlight w:val="none"/>
          <w:lang w:val="zh-CN" w:eastAsia="zh-CN"/>
        </w:rPr>
        <w:t>19.14</w:t>
      </w:r>
      <w:r>
        <w:rPr>
          <w:rFonts w:hint="eastAsia" w:ascii="宋体" w:hAnsi="宋体"/>
          <w:color w:val="auto"/>
          <w:highlight w:val="none"/>
          <w:lang w:val="zh-CN"/>
        </w:rPr>
        <w:t>万㎡，计容面积</w:t>
      </w:r>
      <w:r>
        <w:rPr>
          <w:rFonts w:hint="eastAsia" w:ascii="宋体" w:hAnsi="宋体"/>
          <w:color w:val="auto"/>
          <w:highlight w:val="none"/>
          <w:lang w:val="zh-CN" w:eastAsia="zh-CN"/>
        </w:rPr>
        <w:t>约</w:t>
      </w:r>
      <w:r>
        <w:rPr>
          <w:rFonts w:hint="eastAsia" w:ascii="宋体" w:hAnsi="宋体"/>
          <w:color w:val="auto"/>
          <w:highlight w:val="none"/>
          <w:lang w:val="zh-CN"/>
        </w:rPr>
        <w:t>13.</w:t>
      </w:r>
      <w:r>
        <w:rPr>
          <w:rFonts w:hint="eastAsia" w:ascii="宋体" w:hAnsi="宋体"/>
          <w:color w:val="auto"/>
          <w:highlight w:val="none"/>
          <w:lang w:val="zh-CN" w:eastAsia="zh-CN"/>
        </w:rPr>
        <w:t>8</w:t>
      </w:r>
      <w:r>
        <w:rPr>
          <w:rFonts w:hint="eastAsia" w:ascii="宋体" w:hAnsi="宋体"/>
          <w:color w:val="auto"/>
          <w:highlight w:val="none"/>
          <w:lang w:val="zh-CN"/>
        </w:rPr>
        <w:t>万</w:t>
      </w:r>
      <w:r>
        <w:rPr>
          <w:rFonts w:hint="eastAsia" w:ascii="宋体" w:hAnsi="宋体"/>
          <w:color w:val="auto"/>
          <w:highlight w:val="none"/>
          <w:lang w:val="zh-CN" w:eastAsia="zh-CN"/>
        </w:rPr>
        <w:t>㎡，其中住宅计容面积约6.72万㎡</w:t>
      </w:r>
      <w:r>
        <w:rPr>
          <w:rFonts w:hint="eastAsia" w:ascii="宋体" w:hAnsi="宋体"/>
          <w:color w:val="auto"/>
          <w:highlight w:val="none"/>
          <w:lang w:val="zh-CN"/>
        </w:rPr>
        <w:t>。</w:t>
      </w:r>
      <w:r>
        <w:rPr>
          <w:rFonts w:hint="eastAsia" w:ascii="宋体" w:hAnsi="宋体"/>
          <w:color w:val="auto"/>
          <w:highlight w:val="none"/>
          <w:lang w:val="zh-CN" w:eastAsia="zh-CN"/>
        </w:rPr>
        <w:t>项目一标段包含住宅、裙楼商业及地下室，拟报一户一表（含充电桩）暂定容量4000kVA，商业专变暂定容量4500kVA，公共专变暂定容量2000kVA，临时变压器暂定容量1500kVA，暂定报装容量共计12000kVA（实际容量</w:t>
      </w:r>
      <w:r>
        <w:rPr>
          <w:rFonts w:hint="eastAsia" w:ascii="宋体" w:hAnsi="宋体"/>
          <w:color w:val="auto"/>
          <w:highlight w:val="none"/>
          <w:lang w:val="en-US" w:eastAsia="zh-CN"/>
        </w:rPr>
        <w:t>以</w:t>
      </w:r>
      <w:r>
        <w:rPr>
          <w:rFonts w:hint="eastAsia" w:ascii="宋体" w:hAnsi="宋体"/>
          <w:color w:val="auto"/>
          <w:highlight w:val="none"/>
          <w:lang w:val="zh-CN" w:eastAsia="zh-CN"/>
        </w:rPr>
        <w:t>供电局批复为准）；项目二标段包含2栋办公楼拟报装暂定容量共计8000kVA（实际容量</w:t>
      </w:r>
      <w:r>
        <w:rPr>
          <w:rFonts w:hint="eastAsia" w:ascii="宋体" w:hAnsi="宋体"/>
          <w:color w:val="auto"/>
          <w:highlight w:val="none"/>
          <w:lang w:val="en-US" w:eastAsia="zh-CN"/>
        </w:rPr>
        <w:t>以</w:t>
      </w:r>
      <w:r>
        <w:rPr>
          <w:rFonts w:hint="eastAsia" w:ascii="宋体" w:hAnsi="宋体"/>
          <w:color w:val="auto"/>
          <w:highlight w:val="none"/>
          <w:lang w:val="zh-CN" w:eastAsia="zh-CN"/>
        </w:rPr>
        <w:t>供电局批复为准）。</w:t>
      </w:r>
    </w:p>
    <w:p w14:paraId="5DAECD41">
      <w:pPr>
        <w:spacing w:before="0" w:after="0" w:afterAutospacing="0"/>
        <w:ind w:left="0" w:right="0" w:firstLine="420" w:firstLineChars="200"/>
        <w:rPr>
          <w:rFonts w:hint="eastAsia" w:ascii="宋体" w:hAnsi="宋体"/>
          <w:color w:val="auto"/>
          <w:highlight w:val="none"/>
          <w:lang w:val="zh-CN"/>
        </w:rPr>
      </w:pPr>
      <w:r>
        <w:rPr>
          <w:rFonts w:hint="eastAsia" w:ascii="宋体" w:hAnsi="宋体"/>
          <w:color w:val="auto"/>
          <w:highlight w:val="none"/>
          <w:lang w:val="en-US" w:eastAsia="zh-CN"/>
        </w:rPr>
        <w:t>2.3</w:t>
      </w:r>
      <w:r>
        <w:rPr>
          <w:rFonts w:hint="eastAsia" w:ascii="宋体" w:hAnsi="宋体"/>
          <w:color w:val="auto"/>
          <w:highlight w:val="none"/>
        </w:rPr>
        <w:t>比选</w:t>
      </w:r>
      <w:r>
        <w:rPr>
          <w:rFonts w:hint="eastAsia" w:ascii="宋体" w:hAnsi="宋体"/>
          <w:color w:val="auto"/>
          <w:highlight w:val="none"/>
          <w:lang w:val="en-US" w:eastAsia="zh-CN"/>
        </w:rPr>
        <w:t>范围</w:t>
      </w:r>
      <w:r>
        <w:rPr>
          <w:rFonts w:hint="eastAsia" w:ascii="宋体" w:hAnsi="宋体"/>
          <w:color w:val="auto"/>
          <w:highlight w:val="none"/>
        </w:rPr>
        <w:t>：</w:t>
      </w:r>
      <w:r>
        <w:rPr>
          <w:rFonts w:hint="eastAsia" w:ascii="宋体" w:hAnsi="宋体"/>
          <w:color w:val="auto"/>
          <w:highlight w:val="none"/>
          <w:lang w:val="zh-CN"/>
        </w:rPr>
        <w:t>从供电部门变电站高压接驳点至</w:t>
      </w:r>
      <w:r>
        <w:rPr>
          <w:rFonts w:hint="eastAsia" w:ascii="宋体" w:hAnsi="宋体"/>
          <w:color w:val="auto"/>
          <w:highlight w:val="none"/>
          <w:lang w:val="en-US" w:eastAsia="zh-CN"/>
        </w:rPr>
        <w:t>本项目临时</w:t>
      </w:r>
      <w:r>
        <w:rPr>
          <w:rFonts w:hint="eastAsia" w:ascii="宋体" w:hAnsi="宋体"/>
          <w:color w:val="auto"/>
          <w:highlight w:val="none"/>
          <w:lang w:val="zh-CN"/>
        </w:rPr>
        <w:t>配电</w:t>
      </w:r>
      <w:r>
        <w:rPr>
          <w:rFonts w:hint="eastAsia" w:ascii="宋体" w:hAnsi="宋体"/>
          <w:color w:val="auto"/>
          <w:highlight w:val="none"/>
          <w:lang w:val="en-US" w:eastAsia="zh-CN"/>
        </w:rPr>
        <w:t>设备</w:t>
      </w:r>
      <w:r>
        <w:rPr>
          <w:rFonts w:hint="eastAsia" w:ascii="宋体" w:hAnsi="宋体"/>
          <w:color w:val="auto"/>
          <w:highlight w:val="none"/>
          <w:lang w:val="zh-CN"/>
        </w:rPr>
        <w:t xml:space="preserve">之间的所有供配电设计（含二次接线），配电设计条件申报配合，配电方案设计及批复手续办理、配电扩初设计、供配电施工图设计（建筑、结构、给排水、暖通、电气全专业），供配电施工图审查及审查备案手续办理，设计过程中一切设计配合工作。设计深度符合《建筑工程设计文件编制深度的规定》2008年版规定并达到供电部门审图通过且满足工程预算、招标、施工、验收等要求。 </w:t>
      </w:r>
    </w:p>
    <w:p w14:paraId="5FB2A26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上限控制价（含税）：</w:t>
      </w:r>
      <w:r>
        <w:rPr>
          <w:rFonts w:hint="eastAsia" w:ascii="宋体" w:hAnsi="宋体"/>
          <w:color w:val="auto"/>
          <w:highlight w:val="none"/>
          <w:lang w:val="en-US" w:eastAsia="zh-CN"/>
        </w:rPr>
        <w:t>200000</w:t>
      </w:r>
      <w:r>
        <w:rPr>
          <w:rFonts w:hint="eastAsia" w:ascii="宋体" w:hAnsi="宋体"/>
          <w:color w:val="auto"/>
          <w:highlight w:val="none"/>
        </w:rPr>
        <w:t>元。比选申请报价高于上限控制价（或分项上限控制价）的比选申请文件将按否决比选申请处理。</w:t>
      </w:r>
    </w:p>
    <w:p w14:paraId="434761D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服务期：自比选人与中选人签订的合同生效之日起至项目竣工验收。</w:t>
      </w:r>
    </w:p>
    <w:p w14:paraId="7778119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项目地点：</w:t>
      </w:r>
      <w:r>
        <w:rPr>
          <w:rFonts w:hint="eastAsia" w:ascii="宋体" w:hAnsi="宋体"/>
          <w:color w:val="000000" w:themeColor="text1"/>
          <w:highlight w:val="none"/>
          <w14:textFill>
            <w14:solidFill>
              <w14:schemeClr w14:val="tx1"/>
            </w14:solidFill>
          </w14:textFill>
        </w:rPr>
        <w:t>南宁市青秀区民族大道168号</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民族大道以南、西至铜鼓岭路，南至青林路夏林路。</w:t>
      </w:r>
    </w:p>
    <w:p w14:paraId="34AD148D">
      <w:pPr>
        <w:spacing w:before="0" w:after="0" w:afterAutospacing="0"/>
        <w:ind w:left="0" w:right="0" w:firstLine="420" w:firstLineChars="200"/>
        <w:rPr>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比选人要求：详见第五章采购需求书。</w:t>
      </w:r>
    </w:p>
    <w:p w14:paraId="6541179E">
      <w:pPr>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3.比选申请人资格要求</w:t>
      </w:r>
    </w:p>
    <w:p w14:paraId="7A38E72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3.1比选申请人为中华人民共和国境内依法设立的法人或其他组织。</w:t>
      </w:r>
    </w:p>
    <w:p w14:paraId="644F15C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3.2</w:t>
      </w:r>
      <w:r>
        <w:rPr>
          <w:rFonts w:hint="eastAsia" w:ascii="宋体" w:hAnsi="宋体"/>
          <w:color w:val="auto"/>
          <w:highlight w:val="none"/>
          <w:lang w:val="en-US" w:eastAsia="zh-CN"/>
        </w:rPr>
        <w:t>资质条件：具备电力行业工程设计乙级及以上资质</w:t>
      </w:r>
      <w:r>
        <w:rPr>
          <w:rFonts w:hint="eastAsia" w:ascii="宋体" w:hAnsi="宋体"/>
          <w:color w:val="auto"/>
          <w:highlight w:val="none"/>
        </w:rPr>
        <w:t>。</w:t>
      </w:r>
    </w:p>
    <w:p w14:paraId="2260A530">
      <w:pPr>
        <w:spacing w:before="0" w:after="0" w:afterAutospacing="0"/>
        <w:ind w:left="0" w:right="0" w:firstLine="420" w:firstLineChars="200"/>
        <w:jc w:val="left"/>
        <w:rPr>
          <w:rFonts w:hint="eastAsia" w:ascii="宋体" w:hAnsi="宋体" w:cs="宋体"/>
          <w:color w:val="auto"/>
          <w:highlight w:val="none"/>
          <w:lang w:eastAsia="zh-CN" w:bidi="ar"/>
        </w:rPr>
      </w:pPr>
      <w:r>
        <w:rPr>
          <w:rFonts w:hint="eastAsia" w:ascii="宋体" w:hAnsi="宋体"/>
          <w:color w:val="auto"/>
          <w:highlight w:val="none"/>
        </w:rPr>
        <w:t>3.3业绩条件：比选申请人自</w:t>
      </w:r>
      <w:r>
        <w:rPr>
          <w:rFonts w:hint="eastAsia" w:ascii="宋体" w:hAnsi="宋体"/>
          <w:color w:val="auto"/>
          <w:highlight w:val="none"/>
          <w:lang w:eastAsia="zh-CN"/>
        </w:rPr>
        <w:t>202</w:t>
      </w:r>
      <w:r>
        <w:rPr>
          <w:rFonts w:hint="eastAsia" w:ascii="宋体" w:hAnsi="宋体"/>
          <w:color w:val="auto"/>
          <w:highlight w:val="none"/>
          <w:lang w:val="en-US" w:eastAsia="zh-CN"/>
        </w:rPr>
        <w:t>3</w:t>
      </w:r>
      <w:r>
        <w:rPr>
          <w:rFonts w:hint="eastAsia" w:ascii="宋体" w:hAnsi="宋体"/>
          <w:color w:val="auto"/>
          <w:highlight w:val="none"/>
          <w:lang w:eastAsia="zh-CN"/>
        </w:rPr>
        <w:t>年1月1日</w:t>
      </w:r>
      <w:r>
        <w:rPr>
          <w:rFonts w:hint="eastAsia" w:ascii="宋体" w:hAnsi="宋体"/>
          <w:color w:val="auto"/>
          <w:highlight w:val="none"/>
        </w:rPr>
        <w:t>至比选申请截止时间前，承接过（完工/在建项目）</w:t>
      </w:r>
      <w:r>
        <w:rPr>
          <w:rFonts w:hint="eastAsia" w:ascii="宋体" w:hAnsi="宋体"/>
          <w:color w:val="auto"/>
          <w:highlight w:val="none"/>
          <w:lang w:val="en-US" w:eastAsia="zh-CN"/>
        </w:rPr>
        <w:t>3</w:t>
      </w:r>
      <w:r>
        <w:rPr>
          <w:rFonts w:hint="eastAsia" w:ascii="宋体" w:hAnsi="宋体"/>
          <w:color w:val="auto"/>
          <w:highlight w:val="none"/>
          <w:lang w:eastAsia="zh-CN"/>
        </w:rPr>
        <w:t>个及以上</w:t>
      </w:r>
      <w:r>
        <w:rPr>
          <w:rFonts w:hint="eastAsia" w:ascii="宋体" w:hAnsi="宋体"/>
          <w:color w:val="auto"/>
          <w:highlight w:val="none"/>
          <w:lang w:val="en-US" w:eastAsia="zh-CN"/>
        </w:rPr>
        <w:t>15000kVA以上房地产项目</w:t>
      </w:r>
      <w:r>
        <w:rPr>
          <w:rFonts w:hint="eastAsia" w:ascii="宋体" w:hAnsi="宋体"/>
          <w:color w:val="auto"/>
          <w:highlight w:val="none"/>
          <w:lang w:eastAsia="zh-CN"/>
        </w:rPr>
        <w:t>相关供配电设计业绩</w:t>
      </w:r>
      <w:r>
        <w:rPr>
          <w:rFonts w:hint="eastAsia" w:ascii="宋体" w:hAnsi="宋体"/>
          <w:color w:val="auto"/>
          <w:highlight w:val="none"/>
        </w:rPr>
        <w:t>。</w:t>
      </w:r>
      <w:r>
        <w:rPr>
          <w:rFonts w:hint="eastAsia" w:ascii="宋体" w:hAnsi="宋体" w:cs="宋体"/>
          <w:color w:val="auto"/>
          <w:highlight w:val="none"/>
          <w:lang w:eastAsia="zh-CN" w:bidi="ar"/>
        </w:rPr>
        <w:t>提供下述材料之一即可：①合同文件；②中标通知书；③业主证明材料。所提供材料需能证明符合业绩内容，否则视为无效证明文件，提供复印件加盖比选申请人公章，原件备查。</w:t>
      </w:r>
    </w:p>
    <w:p w14:paraId="10117884">
      <w:pPr>
        <w:spacing w:before="0" w:after="0" w:afterAutospacing="0"/>
        <w:ind w:left="0" w:right="0" w:firstLine="420" w:firstLineChars="200"/>
        <w:jc w:val="left"/>
        <w:textAlignment w:val="auto"/>
        <w:rPr>
          <w:rFonts w:ascii="Calibri" w:hAnsi="Calibri"/>
          <w:color w:val="auto"/>
          <w:highlight w:val="none"/>
        </w:rPr>
      </w:pPr>
      <w:r>
        <w:rPr>
          <w:rFonts w:hint="eastAsia" w:ascii="宋体" w:hAnsi="宋体"/>
          <w:color w:val="auto"/>
          <w:highlight w:val="none"/>
        </w:rPr>
        <w:t>3.4人员配置：</w:t>
      </w:r>
      <w:r>
        <w:rPr>
          <w:rFonts w:hint="eastAsia" w:ascii="宋体" w:hAnsi="宋体" w:eastAsia="宋体" w:cs="宋体"/>
          <w:color w:val="auto"/>
          <w:sz w:val="21"/>
          <w:szCs w:val="21"/>
          <w:highlight w:val="none"/>
          <w:lang w:val="en-US" w:eastAsia="zh-CN"/>
        </w:rPr>
        <w:t>团队中主要设计人员至少1人为电力工程设计相关专业中级</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以上</w:t>
      </w:r>
      <w:r>
        <w:rPr>
          <w:rFonts w:hint="eastAsia" w:ascii="宋体" w:hAnsi="宋体" w:cs="宋体"/>
          <w:color w:val="auto"/>
          <w:sz w:val="21"/>
          <w:szCs w:val="21"/>
          <w:highlight w:val="none"/>
          <w:lang w:val="en-US" w:eastAsia="zh-CN"/>
        </w:rPr>
        <w:t>职称的</w:t>
      </w:r>
      <w:r>
        <w:rPr>
          <w:rFonts w:hint="eastAsia" w:ascii="宋体" w:hAnsi="宋体" w:eastAsia="宋体" w:cs="宋体"/>
          <w:color w:val="auto"/>
          <w:sz w:val="21"/>
          <w:szCs w:val="21"/>
          <w:highlight w:val="none"/>
          <w:lang w:val="en-US" w:eastAsia="zh-CN"/>
        </w:rPr>
        <w:t>工程师，具备类似业绩经验</w:t>
      </w:r>
      <w:r>
        <w:rPr>
          <w:rFonts w:hint="eastAsia" w:ascii="宋体" w:hAnsi="宋体" w:cs="宋体"/>
          <w:color w:val="auto"/>
          <w:sz w:val="21"/>
          <w:szCs w:val="21"/>
          <w:highlight w:val="none"/>
          <w:lang w:val="en-US" w:eastAsia="zh-CN"/>
        </w:rPr>
        <w:t>。</w:t>
      </w:r>
      <w:r>
        <w:rPr>
          <w:rFonts w:hint="eastAsia" w:ascii="宋体" w:hAnsi="宋体"/>
          <w:color w:val="auto"/>
          <w:highlight w:val="none"/>
        </w:rPr>
        <w:t>业绩</w:t>
      </w:r>
      <w:r>
        <w:rPr>
          <w:rFonts w:hint="eastAsia"/>
          <w:color w:val="auto"/>
          <w:highlight w:val="none"/>
        </w:rPr>
        <w:t>证明材料：提供下述材料之一即可：①合同文件（含团队人员名单）；②设计图纸签字栏；③其他比选申请人认为可以证明的资料。所提供的材料须能明确反映类似项目特征，复印件加盖比选申请人公章。</w:t>
      </w:r>
      <w:r>
        <w:rPr>
          <w:rFonts w:hint="eastAsia" w:ascii="Times New Roman" w:hAnsi="Times New Roman"/>
          <w:color w:val="auto"/>
          <w:highlight w:val="none"/>
          <w:lang w:eastAsia="zh-CN"/>
        </w:rPr>
        <w:t>团队成员必须在该单位工作</w:t>
      </w:r>
      <w:r>
        <w:rPr>
          <w:rFonts w:hint="eastAsia" w:ascii="Times New Roman" w:hAnsi="Times New Roman"/>
          <w:color w:val="auto"/>
          <w:highlight w:val="none"/>
          <w:lang w:val="en-US" w:eastAsia="zh-CN"/>
        </w:rPr>
        <w:t>2年及以上</w:t>
      </w:r>
      <w:r>
        <w:rPr>
          <w:rFonts w:hint="eastAsia"/>
          <w:color w:val="auto"/>
          <w:highlight w:val="none"/>
          <w:lang w:val="en-US" w:eastAsia="zh-CN"/>
        </w:rPr>
        <w:t>。</w:t>
      </w:r>
    </w:p>
    <w:p w14:paraId="253C22C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比选申请人没有处于被行政主管部门或业主取消比选申请资格的处罚期内，且没有处于被责令停业，被列入失信被执行人名单，财产被接管、冻结、破产状态；比选申请截止时间前3年内没有骗取中选、严重违约或重大质量安全责任事故的情况。</w:t>
      </w:r>
    </w:p>
    <w:p w14:paraId="0C6EAF6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3.6单位负责人为同一人或者存在控股、管理关系的不同单位，不得参加同一标段比选申请或者未划分标段的同一比选项目比选申请。</w:t>
      </w:r>
    </w:p>
    <w:p w14:paraId="0E0D85A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3.7本项目不接受联合体比选申请。</w:t>
      </w:r>
    </w:p>
    <w:p w14:paraId="27DAE67A">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4.资格审查方式</w:t>
      </w:r>
    </w:p>
    <w:p w14:paraId="118561F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32A3AF6C">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5.比选文件的获取</w:t>
      </w:r>
    </w:p>
    <w:p w14:paraId="6300BAD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5.1比选文件获取：</w:t>
      </w:r>
    </w:p>
    <w:p w14:paraId="297CA71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本项目不发放纸质文件，请各比选申请人自行网上下载。下载网址：南宁轨道地产集团有限责任公司官网(http://www.nngddc.com）。</w:t>
      </w:r>
    </w:p>
    <w:p w14:paraId="4E61D4C4">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注：比选申请人如未完整下载相关文件，或由于未及时关注比选文件补充通知（补遗）、答疑等相关项目信息而影响比选申请的，其责任由比选申请人自行承担。</w:t>
      </w:r>
    </w:p>
    <w:p w14:paraId="157F45B6">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6C8EB1A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u w:val="single"/>
          <w:lang w:eastAsia="zh-CN"/>
        </w:rPr>
        <w:t>202</w:t>
      </w:r>
      <w:r>
        <w:rPr>
          <w:rFonts w:hint="eastAsia" w:ascii="宋体" w:hAnsi="宋体"/>
          <w:b/>
          <w:color w:val="auto"/>
          <w:highlight w:val="none"/>
          <w:u w:val="single"/>
          <w:lang w:val="en-US" w:eastAsia="zh-CN"/>
        </w:rPr>
        <w:t>6</w:t>
      </w:r>
      <w:r>
        <w:rPr>
          <w:rFonts w:hint="eastAsia" w:ascii="宋体" w:hAnsi="宋体"/>
          <w:b/>
          <w:color w:val="auto"/>
          <w:highlight w:val="none"/>
          <w:u w:val="single"/>
          <w:lang w:eastAsia="zh-CN"/>
        </w:rPr>
        <w:t>年</w:t>
      </w:r>
      <w:r>
        <w:rPr>
          <w:rFonts w:hint="eastAsia" w:ascii="宋体" w:hAnsi="宋体"/>
          <w:b/>
          <w:color w:val="auto"/>
          <w:highlight w:val="none"/>
          <w:u w:val="single"/>
          <w:lang w:val="en-US" w:eastAsia="zh-CN"/>
        </w:rPr>
        <w:t>9</w:t>
      </w:r>
      <w:r>
        <w:rPr>
          <w:rFonts w:hint="eastAsia" w:ascii="宋体" w:hAnsi="宋体"/>
          <w:b/>
          <w:color w:val="auto"/>
          <w:highlight w:val="none"/>
          <w:u w:val="single"/>
        </w:rPr>
        <w:t>月</w:t>
      </w:r>
      <w:r>
        <w:rPr>
          <w:rFonts w:hint="eastAsia" w:ascii="宋体" w:hAnsi="宋体"/>
          <w:b/>
          <w:color w:val="auto"/>
          <w:highlight w:val="none"/>
          <w:u w:val="single"/>
          <w:lang w:val="en-US" w:eastAsia="zh-CN"/>
        </w:rPr>
        <w:t>16</w:t>
      </w:r>
      <w:r>
        <w:rPr>
          <w:rFonts w:hint="eastAsia" w:ascii="宋体" w:hAnsi="宋体"/>
          <w:b/>
          <w:color w:val="auto"/>
          <w:highlight w:val="none"/>
          <w:u w:val="single"/>
        </w:rPr>
        <w:t>日</w:t>
      </w:r>
      <w:r>
        <w:rPr>
          <w:rFonts w:hint="eastAsia" w:ascii="宋体" w:hAnsi="宋体"/>
          <w:b/>
          <w:color w:val="auto"/>
          <w:highlight w:val="none"/>
          <w:u w:val="single"/>
          <w:lang w:val="en-US" w:eastAsia="zh-CN"/>
        </w:rPr>
        <w:t>当日</w:t>
      </w:r>
      <w:r>
        <w:rPr>
          <w:rFonts w:hint="eastAsia" w:ascii="宋体" w:hAnsi="宋体"/>
          <w:b/>
          <w:color w:val="auto"/>
          <w:highlight w:val="none"/>
          <w:u w:val="single"/>
        </w:rPr>
        <w:t>9时30分</w:t>
      </w:r>
      <w:r>
        <w:rPr>
          <w:rFonts w:hint="eastAsia" w:ascii="宋体" w:hAnsi="宋体"/>
          <w:color w:val="auto"/>
          <w:highlight w:val="none"/>
        </w:rPr>
        <w:t>（北京时间）前递交，递交地点在广西南宁市青秀区凤岭北路111号南宁国际旅游中心A座</w:t>
      </w:r>
      <w:r>
        <w:rPr>
          <w:rFonts w:hint="eastAsia" w:ascii="宋体" w:hAnsi="宋体"/>
          <w:color w:val="auto"/>
          <w:highlight w:val="none"/>
          <w:lang w:eastAsia="zh-CN"/>
        </w:rPr>
        <w:t>907</w:t>
      </w:r>
      <w:r>
        <w:rPr>
          <w:rFonts w:hint="eastAsia" w:ascii="宋体" w:hAnsi="宋体"/>
          <w:color w:val="auto"/>
          <w:highlight w:val="none"/>
        </w:rPr>
        <w:t>招采管理中心；</w:t>
      </w:r>
    </w:p>
    <w:p w14:paraId="2E7CA10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23997E1D">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7.发布公告的媒介</w:t>
      </w:r>
    </w:p>
    <w:p w14:paraId="36941655">
      <w:pPr>
        <w:spacing w:before="0" w:after="0" w:afterAutospacing="0"/>
        <w:ind w:left="0" w:right="0" w:firstLine="420" w:firstLineChars="200"/>
        <w:rPr>
          <w:rFonts w:ascii="宋体" w:hAnsi="宋体"/>
          <w:color w:val="auto"/>
          <w:highlight w:val="none"/>
        </w:rPr>
      </w:pPr>
      <w:r>
        <w:rPr>
          <w:rFonts w:ascii="宋体" w:hAnsi="宋体"/>
          <w:color w:val="auto"/>
          <w:highlight w:val="none"/>
        </w:rPr>
        <w:t>本次比选公告在中国采购与招标网</w:t>
      </w:r>
      <w:r>
        <w:rPr>
          <w:rFonts w:hint="eastAsia" w:ascii="宋体" w:hAnsi="宋体"/>
          <w:color w:val="auto"/>
          <w:highlight w:val="none"/>
          <w:lang w:eastAsia="zh-CN"/>
        </w:rPr>
        <w:t>（</w:t>
      </w:r>
      <w:r>
        <w:rPr>
          <w:rFonts w:ascii="宋体" w:hAnsi="宋体"/>
          <w:color w:val="auto"/>
          <w:highlight w:val="none"/>
        </w:rPr>
        <w:t>w</w:t>
      </w:r>
      <w:r>
        <w:rPr>
          <w:rFonts w:hint="eastAsia" w:ascii="宋体" w:hAnsi="宋体"/>
          <w:color w:val="auto"/>
          <w:highlight w:val="none"/>
        </w:rPr>
        <w:t>ww</w:t>
      </w:r>
      <w:r>
        <w:rPr>
          <w:rFonts w:ascii="宋体" w:hAnsi="宋体"/>
          <w:color w:val="auto"/>
          <w:highlight w:val="none"/>
        </w:rPr>
        <w:t>.chinabidding.com.cn</w:t>
      </w:r>
      <w:r>
        <w:rPr>
          <w:rFonts w:hint="eastAsia" w:ascii="宋体" w:hAnsi="宋体"/>
          <w:color w:val="auto"/>
          <w:highlight w:val="none"/>
          <w:lang w:eastAsia="zh-CN"/>
        </w:rPr>
        <w:t>）</w:t>
      </w:r>
      <w:r>
        <w:rPr>
          <w:rFonts w:ascii="宋体" w:hAnsi="宋体"/>
          <w:color w:val="auto"/>
          <w:highlight w:val="none"/>
        </w:rPr>
        <w:t>、</w:t>
      </w:r>
      <w:r>
        <w:rPr>
          <w:rFonts w:hint="eastAsia" w:ascii="Arial" w:hAnsi="Arial" w:cs="Arial"/>
          <w:color w:val="000000"/>
          <w:highlight w:val="none"/>
          <w:lang w:val="en-US" w:eastAsia="zh-CN"/>
        </w:rPr>
        <w:t>国有企业阳光采购平台</w:t>
      </w:r>
      <w:r>
        <w:rPr>
          <w:rFonts w:hint="eastAsia" w:ascii="宋体" w:hAnsi="宋体" w:cs="Times New Roman"/>
          <w:color w:val="auto"/>
          <w:highlight w:val="none"/>
          <w:lang w:val="en-US" w:eastAsia="zh-CN"/>
        </w:rPr>
        <w:t>（https://mh.gxcq.com.cn/#/）</w:t>
      </w:r>
      <w:r>
        <w:rPr>
          <w:rFonts w:hint="eastAsia" w:ascii="Arial" w:hAnsi="Arial" w:cs="Arial"/>
          <w:color w:val="000000"/>
          <w:highlight w:val="none"/>
          <w:lang w:val="en-US" w:eastAsia="zh-CN"/>
        </w:rPr>
        <w:t>、</w:t>
      </w:r>
      <w:r>
        <w:rPr>
          <w:rFonts w:ascii="宋体" w:hAnsi="宋体"/>
          <w:color w:val="auto"/>
          <w:highlight w:val="none"/>
        </w:rPr>
        <w:t>南宁轨道地产集团有限责任公司官网(http://www</w:t>
      </w:r>
      <w:r>
        <w:rPr>
          <w:rFonts w:hint="eastAsia" w:ascii="宋体" w:hAnsi="宋体"/>
          <w:color w:val="auto"/>
          <w:highlight w:val="none"/>
        </w:rPr>
        <w:t>.nngddc.com</w:t>
      </w:r>
      <w:r>
        <w:rPr>
          <w:rFonts w:ascii="宋体" w:hAnsi="宋体"/>
          <w:color w:val="auto"/>
          <w:highlight w:val="none"/>
        </w:rPr>
        <w:t>.)发布。</w:t>
      </w:r>
    </w:p>
    <w:p w14:paraId="36BABE2B">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8.联系方式</w:t>
      </w:r>
    </w:p>
    <w:p w14:paraId="34346CB9">
      <w:pPr>
        <w:spacing w:before="0" w:after="0" w:afterAutospacing="0"/>
        <w:ind w:left="0" w:right="0" w:firstLine="420" w:firstLineChars="200"/>
        <w:rPr>
          <w:rFonts w:hint="eastAsia" w:ascii="宋体" w:hAnsi="宋体" w:eastAsia="宋体"/>
          <w:color w:val="auto"/>
          <w:highlight w:val="none"/>
          <w:lang w:eastAsia="zh-CN"/>
        </w:rPr>
      </w:pPr>
      <w:r>
        <w:rPr>
          <w:rFonts w:hint="eastAsia" w:ascii="宋体" w:hAnsi="宋体"/>
          <w:color w:val="auto"/>
          <w:highlight w:val="none"/>
        </w:rPr>
        <w:t>比选人：</w:t>
      </w:r>
      <w:r>
        <w:rPr>
          <w:rFonts w:hint="eastAsia" w:ascii="宋体" w:hAnsi="宋体"/>
          <w:color w:val="auto"/>
          <w:highlight w:val="none"/>
          <w:u w:val="single"/>
          <w:lang w:eastAsia="zh-CN"/>
        </w:rPr>
        <w:t>南宁轨道地产集团有限责任公司</w:t>
      </w:r>
    </w:p>
    <w:p w14:paraId="32586E87">
      <w:pPr>
        <w:spacing w:before="0" w:after="0" w:afterAutospacing="0"/>
        <w:ind w:left="0" w:right="0" w:firstLine="420" w:firstLineChars="200"/>
        <w:rPr>
          <w:rFonts w:hint="eastAsia" w:ascii="宋体" w:hAnsi="宋体" w:eastAsia="宋体"/>
          <w:color w:val="auto"/>
          <w:highlight w:val="none"/>
          <w:u w:val="single"/>
          <w:lang w:eastAsia="zh-CN"/>
        </w:rPr>
      </w:pPr>
      <w:r>
        <w:rPr>
          <w:rFonts w:hint="eastAsia" w:ascii="宋体" w:hAnsi="宋体"/>
          <w:color w:val="auto"/>
          <w:highlight w:val="none"/>
        </w:rPr>
        <w:t>地址：</w:t>
      </w:r>
      <w:r>
        <w:rPr>
          <w:rFonts w:hint="eastAsia" w:ascii="宋体" w:hAnsi="宋体"/>
          <w:color w:val="auto"/>
          <w:highlight w:val="none"/>
          <w:u w:val="single"/>
          <w:lang w:eastAsia="zh-CN"/>
        </w:rPr>
        <w:t>南宁市青秀区凤岭北路111号南宁国际旅游中心A座</w:t>
      </w:r>
    </w:p>
    <w:p w14:paraId="569C49CB">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邮编：</w:t>
      </w:r>
      <w:r>
        <w:rPr>
          <w:rFonts w:hint="eastAsia" w:ascii="宋体" w:hAnsi="宋体"/>
          <w:color w:val="auto"/>
          <w:highlight w:val="none"/>
          <w:u w:val="single"/>
        </w:rPr>
        <w:t>530022</w:t>
      </w:r>
    </w:p>
    <w:p w14:paraId="7F69C5F1">
      <w:pPr>
        <w:spacing w:before="0" w:after="0" w:afterAutospacing="0"/>
        <w:ind w:left="0" w:right="0" w:firstLine="420" w:firstLineChars="200"/>
        <w:rPr>
          <w:rFonts w:hint="eastAsia" w:ascii="宋体" w:hAnsi="宋体" w:eastAsia="宋体"/>
          <w:color w:val="auto"/>
          <w:highlight w:val="none"/>
          <w:u w:val="single"/>
          <w:lang w:eastAsia="zh-CN"/>
        </w:rPr>
      </w:pPr>
      <w:r>
        <w:rPr>
          <w:rFonts w:hint="eastAsia" w:ascii="宋体" w:hAnsi="宋体"/>
          <w:color w:val="auto"/>
          <w:highlight w:val="none"/>
        </w:rPr>
        <w:t>联系人：</w:t>
      </w:r>
      <w:r>
        <w:rPr>
          <w:rFonts w:hint="eastAsia" w:ascii="宋体" w:hAnsi="宋体"/>
          <w:color w:val="auto"/>
          <w:highlight w:val="none"/>
          <w:u w:val="single"/>
          <w:lang w:eastAsia="zh-CN"/>
        </w:rPr>
        <w:t>杨工</w:t>
      </w:r>
    </w:p>
    <w:p w14:paraId="6A3ABB72">
      <w:pPr>
        <w:spacing w:before="0" w:after="0" w:afterAutospacing="0"/>
        <w:ind w:left="0" w:right="0" w:firstLine="420" w:firstLineChars="200"/>
        <w:rPr>
          <w:rFonts w:hint="eastAsia" w:eastAsia="宋体"/>
          <w:color w:val="auto"/>
          <w:highlight w:val="none"/>
          <w:u w:val="single"/>
          <w:lang w:eastAsia="zh-CN"/>
        </w:rPr>
      </w:pPr>
      <w:r>
        <w:rPr>
          <w:rFonts w:hint="eastAsia" w:ascii="宋体" w:hAnsi="宋体"/>
          <w:color w:val="auto"/>
          <w:highlight w:val="none"/>
        </w:rPr>
        <w:t>电话：：</w:t>
      </w:r>
      <w:r>
        <w:rPr>
          <w:rFonts w:hint="eastAsia" w:ascii="宋体" w:hAnsi="宋体"/>
          <w:color w:val="auto"/>
          <w:highlight w:val="none"/>
          <w:u w:val="single"/>
        </w:rPr>
        <w:t>0771-</w:t>
      </w:r>
      <w:r>
        <w:rPr>
          <w:rFonts w:hint="eastAsia"/>
          <w:color w:val="auto"/>
          <w:highlight w:val="none"/>
          <w:u w:val="single"/>
          <w:lang w:eastAsia="zh-CN"/>
        </w:rPr>
        <w:t>5522035</w:t>
      </w:r>
    </w:p>
    <w:p w14:paraId="19C33FB0">
      <w:pPr>
        <w:pStyle w:val="17"/>
        <w:pageBreakBefore/>
        <w:ind w:right="-57" w:firstLine="0"/>
        <w:jc w:val="center"/>
        <w:outlineLvl w:val="0"/>
        <w:rPr>
          <w:rStyle w:val="54"/>
          <w:rFonts w:ascii="宋体" w:hAnsi="宋体" w:eastAsia="宋体"/>
          <w:color w:val="auto"/>
          <w:highlight w:val="none"/>
        </w:rPr>
      </w:pPr>
      <w:bookmarkStart w:id="21" w:name="_Toc322528192"/>
      <w:bookmarkEnd w:id="21"/>
      <w:bookmarkStart w:id="22" w:name="_Toc512357502"/>
      <w:bookmarkStart w:id="23" w:name="_Toc21830"/>
      <w:bookmarkStart w:id="24" w:name="_Toc20201"/>
      <w:bookmarkStart w:id="25" w:name="_Toc17735"/>
      <w:bookmarkStart w:id="26" w:name="_Toc18454"/>
      <w:bookmarkStart w:id="27" w:name="_Toc22273"/>
      <w:bookmarkStart w:id="28" w:name="_Toc30883"/>
      <w:bookmarkStart w:id="29" w:name="_Toc17240"/>
      <w:bookmarkStart w:id="30" w:name="_Toc24972"/>
      <w:bookmarkStart w:id="31" w:name="_Toc3495"/>
      <w:bookmarkStart w:id="32" w:name="_Toc24390"/>
      <w:bookmarkStart w:id="33" w:name="_Toc17594"/>
      <w:bookmarkStart w:id="34" w:name="_Toc15976"/>
      <w:bookmarkStart w:id="35" w:name="_Toc29836"/>
      <w:bookmarkStart w:id="36" w:name="_Toc1230"/>
      <w:bookmarkStart w:id="37" w:name="_Toc12635"/>
      <w:bookmarkStart w:id="38" w:name="_Toc30950"/>
      <w:bookmarkStart w:id="39" w:name="_Toc4114"/>
      <w:bookmarkStart w:id="40" w:name="_Toc30725"/>
      <w:r>
        <w:rPr>
          <w:rStyle w:val="54"/>
          <w:rFonts w:hint="eastAsia" w:ascii="宋体" w:hAnsi="宋体" w:eastAsia="宋体"/>
          <w:color w:val="auto"/>
          <w:highlight w:val="none"/>
        </w:rPr>
        <w:t>第二章</w:t>
      </w:r>
      <w:bookmarkEnd w:id="22"/>
      <w:r>
        <w:rPr>
          <w:rStyle w:val="54"/>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46B127">
      <w:pPr>
        <w:pStyle w:val="17"/>
        <w:spacing w:before="0" w:after="0"/>
        <w:ind w:right="0" w:firstLine="0"/>
        <w:jc w:val="center"/>
        <w:rPr>
          <w:rFonts w:hAnsi="宋体"/>
          <w:b/>
          <w:color w:val="auto"/>
          <w:sz w:val="30"/>
          <w:szCs w:val="30"/>
          <w:highlight w:val="none"/>
        </w:rPr>
      </w:pPr>
      <w:r>
        <w:rPr>
          <w:rFonts w:hint="eastAsia" w:hAnsi="宋体"/>
          <w:b/>
          <w:color w:val="auto"/>
          <w:sz w:val="30"/>
          <w:szCs w:val="30"/>
          <w:highlight w:val="none"/>
        </w:rPr>
        <w:t>比选申请须知前附表</w:t>
      </w:r>
    </w:p>
    <w:tbl>
      <w:tblPr>
        <w:tblStyle w:val="35"/>
        <w:tblW w:w="9117" w:type="dxa"/>
        <w:tblInd w:w="112" w:type="dxa"/>
        <w:tblLayout w:type="fixed"/>
        <w:tblCellMar>
          <w:top w:w="0" w:type="dxa"/>
          <w:left w:w="108" w:type="dxa"/>
          <w:bottom w:w="0" w:type="dxa"/>
          <w:right w:w="108" w:type="dxa"/>
        </w:tblCellMar>
      </w:tblPr>
      <w:tblGrid>
        <w:gridCol w:w="847"/>
        <w:gridCol w:w="1559"/>
        <w:gridCol w:w="6711"/>
      </w:tblGrid>
      <w:tr w14:paraId="5CD7274A">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11A1868D">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181B7276">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7810840F">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详细内容</w:t>
            </w:r>
          </w:p>
        </w:tc>
      </w:tr>
      <w:tr w14:paraId="76EB5C28">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5F738046">
            <w:pPr>
              <w:spacing w:before="0" w:after="0" w:afterAutospacing="0"/>
              <w:ind w:left="0" w:right="0" w:firstLine="0"/>
              <w:rPr>
                <w:rFonts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49E09925">
            <w:pPr>
              <w:spacing w:before="0" w:after="0" w:afterAutospacing="0"/>
              <w:ind w:left="0" w:right="0" w:firstLine="0"/>
              <w:rPr>
                <w:rFonts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604C7B42">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名称：</w:t>
            </w:r>
            <w:r>
              <w:rPr>
                <w:rFonts w:hint="eastAsia" w:ascii="宋体" w:hAnsi="宋体"/>
                <w:color w:val="auto"/>
                <w:highlight w:val="none"/>
                <w:u w:val="single"/>
                <w:lang w:eastAsia="zh-CN"/>
              </w:rPr>
              <w:t>南宁轨道地产集团有限责任公司</w:t>
            </w:r>
          </w:p>
          <w:p w14:paraId="14D82096">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地址：</w:t>
            </w:r>
            <w:r>
              <w:rPr>
                <w:rFonts w:hint="eastAsia" w:ascii="宋体" w:hAnsi="宋体"/>
                <w:color w:val="auto"/>
                <w:highlight w:val="none"/>
                <w:lang w:eastAsia="zh-CN"/>
              </w:rPr>
              <w:t>南宁市青秀区凤岭北路111号南宁国际旅游中心A座</w:t>
            </w:r>
          </w:p>
          <w:p w14:paraId="35929CF7">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联系人：</w:t>
            </w:r>
            <w:r>
              <w:rPr>
                <w:rFonts w:hint="eastAsia" w:ascii="宋体" w:hAnsi="宋体"/>
                <w:color w:val="auto"/>
                <w:highlight w:val="none"/>
                <w:lang w:eastAsia="zh-CN"/>
              </w:rPr>
              <w:t>杨工</w:t>
            </w:r>
          </w:p>
          <w:p w14:paraId="6AF9A9D4">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联系电话：0771-</w:t>
            </w:r>
            <w:r>
              <w:rPr>
                <w:rFonts w:hint="eastAsia" w:ascii="宋体" w:hAnsi="宋体"/>
                <w:color w:val="auto"/>
                <w:highlight w:val="none"/>
                <w:lang w:eastAsia="zh-CN"/>
              </w:rPr>
              <w:t>5522035</w:t>
            </w:r>
          </w:p>
        </w:tc>
      </w:tr>
      <w:tr w14:paraId="2005C382">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05AB959">
            <w:pPr>
              <w:spacing w:before="0" w:after="0" w:afterAutospacing="0"/>
              <w:ind w:left="0" w:right="0" w:firstLine="0"/>
              <w:rPr>
                <w:rFonts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402C4070">
            <w:pPr>
              <w:spacing w:before="0" w:after="0" w:afterAutospacing="0"/>
              <w:ind w:left="0" w:right="0" w:firstLine="0"/>
              <w:rPr>
                <w:rFonts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408A05EB">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lang w:eastAsia="zh-CN"/>
              </w:rPr>
              <w:t>轨道168项目配电设计（含施工用电、项目正式用电）</w:t>
            </w:r>
          </w:p>
        </w:tc>
      </w:tr>
      <w:tr w14:paraId="2FEED29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5930F690">
            <w:pPr>
              <w:spacing w:before="0" w:after="0" w:afterAutospacing="0"/>
              <w:ind w:left="0" w:right="0" w:firstLine="0"/>
              <w:rPr>
                <w:rFonts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07BDC891">
            <w:pPr>
              <w:spacing w:before="0" w:after="0" w:afterAutospacing="0"/>
              <w:ind w:left="0" w:right="0" w:firstLine="0"/>
              <w:rPr>
                <w:rFonts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7E61A7A1">
            <w:pPr>
              <w:spacing w:before="0" w:after="0" w:afterAutospacing="0"/>
              <w:ind w:left="0" w:right="0" w:firstLine="0"/>
              <w:rPr>
                <w:rFonts w:ascii="宋体" w:hAnsi="宋体"/>
                <w:color w:val="auto"/>
                <w:highlight w:val="none"/>
              </w:rPr>
            </w:pPr>
            <w:r>
              <w:rPr>
                <w:rFonts w:hint="eastAsia" w:ascii="宋体" w:hAnsi="宋体"/>
                <w:color w:val="auto"/>
                <w:highlight w:val="none"/>
              </w:rPr>
              <w:t>无</w:t>
            </w:r>
          </w:p>
        </w:tc>
      </w:tr>
      <w:tr w14:paraId="43FCDA11">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11CF9B9">
            <w:pPr>
              <w:spacing w:before="0" w:after="0" w:afterAutospacing="0"/>
              <w:ind w:left="0" w:right="0" w:firstLine="0"/>
              <w:rPr>
                <w:rFonts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10E862E0">
            <w:pPr>
              <w:spacing w:before="0" w:after="0" w:afterAutospacing="0"/>
              <w:ind w:left="0" w:right="0" w:firstLine="0"/>
              <w:rPr>
                <w:rFonts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7B467FE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lang w:val="zh-CN"/>
              </w:rPr>
              <w:t>从供电部门变电站高压接驳点至</w:t>
            </w:r>
            <w:r>
              <w:rPr>
                <w:rFonts w:hint="eastAsia" w:ascii="宋体" w:hAnsi="宋体"/>
                <w:color w:val="auto"/>
                <w:highlight w:val="none"/>
                <w:lang w:val="en-US" w:eastAsia="zh-CN"/>
              </w:rPr>
              <w:t>本项目临时</w:t>
            </w:r>
            <w:r>
              <w:rPr>
                <w:rFonts w:hint="eastAsia" w:ascii="宋体" w:hAnsi="宋体"/>
                <w:color w:val="auto"/>
                <w:highlight w:val="none"/>
                <w:lang w:val="zh-CN"/>
              </w:rPr>
              <w:t>配电</w:t>
            </w:r>
            <w:r>
              <w:rPr>
                <w:rFonts w:hint="eastAsia" w:ascii="宋体" w:hAnsi="宋体"/>
                <w:color w:val="auto"/>
                <w:highlight w:val="none"/>
                <w:lang w:val="en-US" w:eastAsia="zh-CN"/>
              </w:rPr>
              <w:t>设备</w:t>
            </w:r>
            <w:r>
              <w:rPr>
                <w:rFonts w:hint="eastAsia" w:ascii="宋体" w:hAnsi="宋体"/>
                <w:color w:val="auto"/>
                <w:highlight w:val="none"/>
                <w:lang w:val="zh-CN"/>
              </w:rPr>
              <w:t xml:space="preserve">之间的所有供配电设计（含二次接线），配电设计条件申报配合，配电方案设计及批复手续办理、配电扩初设计、供配电施工图设计（建筑、结构、给排水、暖通、电气全专业），供配电施工图审查及审查备案手续办理，设计过程中一切设计配合工作。设计深度符合《建筑工程设计文件编制深度的规定》2008年版规定并达到供电部门审图通过且满足工程预算、招标、施工、验收等要求。 </w:t>
            </w:r>
          </w:p>
        </w:tc>
      </w:tr>
      <w:tr w14:paraId="5590FFA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6A4FD94">
            <w:pPr>
              <w:spacing w:before="0" w:after="0" w:afterAutospacing="0"/>
              <w:ind w:left="0" w:right="0" w:firstLine="0"/>
              <w:rPr>
                <w:rFonts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1E70DF5D">
            <w:pPr>
              <w:spacing w:before="0" w:after="0" w:afterAutospacing="0"/>
              <w:ind w:left="0" w:right="0" w:firstLine="0"/>
              <w:rPr>
                <w:rFonts w:ascii="宋体" w:hAnsi="宋体"/>
                <w:color w:val="auto"/>
                <w:highlight w:val="none"/>
              </w:rPr>
            </w:pPr>
            <w:r>
              <w:rPr>
                <w:rFonts w:hint="eastAsia" w:ascii="宋体" w:hAnsi="宋体"/>
                <w:color w:val="auto"/>
                <w:highlight w:val="none"/>
              </w:rPr>
              <w:t>服务期</w:t>
            </w:r>
          </w:p>
        </w:tc>
        <w:tc>
          <w:tcPr>
            <w:tcW w:w="6711" w:type="dxa"/>
            <w:tcBorders>
              <w:top w:val="single" w:color="auto" w:sz="4" w:space="0"/>
              <w:left w:val="nil"/>
              <w:bottom w:val="single" w:color="auto" w:sz="4" w:space="0"/>
              <w:right w:val="single" w:color="auto" w:sz="4" w:space="0"/>
            </w:tcBorders>
            <w:vAlign w:val="center"/>
          </w:tcPr>
          <w:p w14:paraId="1F668D63">
            <w:pPr>
              <w:spacing w:before="0" w:after="0" w:afterAutospacing="0"/>
              <w:ind w:left="0" w:right="0" w:firstLine="0"/>
              <w:rPr>
                <w:color w:val="auto"/>
                <w:highlight w:val="none"/>
              </w:rPr>
            </w:pPr>
            <w:r>
              <w:rPr>
                <w:rFonts w:hint="eastAsia" w:ascii="宋体" w:hAnsi="宋体"/>
                <w:color w:val="auto"/>
                <w:highlight w:val="none"/>
              </w:rPr>
              <w:t>自比选人与中选人签订的合同生效之日起至项目竣工验收。</w:t>
            </w:r>
          </w:p>
        </w:tc>
      </w:tr>
      <w:tr w14:paraId="4C291D8A">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F397B20">
            <w:pPr>
              <w:spacing w:before="0" w:after="0" w:afterAutospacing="0"/>
              <w:ind w:left="0" w:right="0" w:firstLine="0"/>
              <w:rPr>
                <w:rFonts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507456C3">
            <w:pPr>
              <w:spacing w:before="0" w:after="0" w:afterAutospacing="0"/>
              <w:ind w:left="0" w:right="0" w:firstLine="0"/>
              <w:rPr>
                <w:rFonts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55906264">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lang w:eastAsia="zh-CN"/>
              </w:rPr>
              <w:t>企业自有资金</w:t>
            </w:r>
          </w:p>
        </w:tc>
      </w:tr>
      <w:tr w14:paraId="2E11EC35">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14:paraId="4D89DA82">
            <w:pPr>
              <w:spacing w:before="0" w:after="0" w:afterAutospacing="0"/>
              <w:ind w:left="0" w:right="0" w:firstLine="0"/>
              <w:rPr>
                <w:rFonts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4F8C4787">
            <w:pPr>
              <w:spacing w:before="0" w:after="0" w:afterAutospacing="0"/>
              <w:ind w:left="0" w:right="0" w:firstLine="0"/>
              <w:rPr>
                <w:rFonts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23A65BB5">
            <w:pPr>
              <w:spacing w:before="0" w:after="0" w:afterAutospacing="0"/>
              <w:ind w:right="0"/>
              <w:rPr>
                <w:rFonts w:ascii="宋体" w:hAnsi="宋体"/>
                <w:color w:val="auto"/>
                <w:highlight w:val="none"/>
              </w:rPr>
            </w:pPr>
            <w:r>
              <w:rPr>
                <w:rFonts w:hint="eastAsia" w:ascii="宋体" w:hAnsi="宋体"/>
                <w:color w:val="auto"/>
                <w:highlight w:val="none"/>
              </w:rPr>
              <w:t>上限控制价（含税）：</w:t>
            </w:r>
            <w:r>
              <w:rPr>
                <w:rFonts w:hint="eastAsia" w:ascii="宋体" w:hAnsi="宋体"/>
                <w:color w:val="auto"/>
                <w:highlight w:val="none"/>
                <w:lang w:val="en-US" w:eastAsia="zh-CN"/>
              </w:rPr>
              <w:t>200000</w:t>
            </w:r>
            <w:r>
              <w:rPr>
                <w:rFonts w:hint="eastAsia" w:ascii="宋体" w:hAnsi="宋体"/>
                <w:color w:val="auto"/>
                <w:highlight w:val="none"/>
              </w:rPr>
              <w:t>元。比选申请报价高于上限控制价（或</w:t>
            </w:r>
          </w:p>
          <w:p w14:paraId="38D82C03">
            <w:pPr>
              <w:spacing w:before="0" w:after="0" w:afterAutospacing="0"/>
              <w:ind w:left="0" w:right="0" w:firstLine="0"/>
              <w:rPr>
                <w:rFonts w:ascii="宋体" w:hAnsi="宋体"/>
                <w:color w:val="auto"/>
                <w:highlight w:val="none"/>
              </w:rPr>
            </w:pPr>
            <w:r>
              <w:rPr>
                <w:rFonts w:hint="eastAsia" w:ascii="宋体" w:hAnsi="宋体"/>
                <w:color w:val="auto"/>
                <w:highlight w:val="none"/>
              </w:rPr>
              <w:t>分项上限控制价）的比选申请文件将按否决比选申请处理。</w:t>
            </w:r>
          </w:p>
        </w:tc>
      </w:tr>
      <w:tr w14:paraId="485E7730">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7AAFAEDB">
            <w:pPr>
              <w:spacing w:before="0" w:after="0" w:afterAutospacing="0"/>
              <w:ind w:left="0" w:right="0" w:firstLine="0"/>
              <w:rPr>
                <w:rFonts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0E6DDDCD">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05815A3B">
            <w:pPr>
              <w:spacing w:before="0" w:after="0" w:afterAutospacing="0"/>
              <w:ind w:left="0" w:right="0" w:firstLine="0"/>
              <w:jc w:val="left"/>
              <w:rPr>
                <w:rFonts w:ascii="宋体" w:hAnsi="宋体"/>
                <w:color w:val="auto"/>
                <w:highlight w:val="none"/>
              </w:rPr>
            </w:pPr>
            <w:r>
              <w:rPr>
                <w:rFonts w:hint="eastAsia" w:ascii="宋体" w:hAnsi="宋体"/>
                <w:color w:val="auto"/>
                <w:highlight w:val="none"/>
              </w:rPr>
              <w:t>3.1比选申请人为中华人民共和国境内依法设立的法人或其他组织。</w:t>
            </w:r>
          </w:p>
          <w:p w14:paraId="714032FA">
            <w:pPr>
              <w:spacing w:before="0" w:after="0" w:afterAutospacing="0"/>
              <w:ind w:left="0" w:right="0" w:firstLine="0"/>
              <w:jc w:val="left"/>
              <w:rPr>
                <w:rFonts w:ascii="宋体" w:hAnsi="宋体"/>
                <w:color w:val="auto"/>
                <w:highlight w:val="none"/>
              </w:rPr>
            </w:pPr>
            <w:r>
              <w:rPr>
                <w:rFonts w:hint="eastAsia" w:ascii="宋体" w:hAnsi="宋体"/>
                <w:color w:val="auto"/>
                <w:highlight w:val="none"/>
              </w:rPr>
              <w:t>3.2资质条件：具备电力行业工程设计乙级及以上资质。</w:t>
            </w:r>
          </w:p>
          <w:p w14:paraId="7275E7EC">
            <w:pPr>
              <w:spacing w:before="0" w:after="0" w:afterAutospacing="0"/>
              <w:ind w:left="0" w:right="0" w:firstLine="0"/>
              <w:jc w:val="left"/>
              <w:rPr>
                <w:rFonts w:hint="eastAsia"/>
                <w:color w:val="auto"/>
                <w:highlight w:val="none"/>
                <w:lang w:eastAsia="zh-CN"/>
              </w:rPr>
            </w:pPr>
            <w:r>
              <w:rPr>
                <w:rFonts w:hint="eastAsia" w:ascii="宋体" w:hAnsi="宋体"/>
                <w:color w:val="auto"/>
                <w:highlight w:val="none"/>
              </w:rPr>
              <w:t>3.3业绩条件：</w:t>
            </w:r>
            <w:r>
              <w:rPr>
                <w:rFonts w:hint="eastAsia" w:ascii="宋体" w:hAnsi="宋体"/>
                <w:color w:val="auto"/>
                <w:highlight w:val="none"/>
                <w:lang w:eastAsia="zh-CN"/>
              </w:rPr>
              <w:t>比选申请人自2023年1月1日</w:t>
            </w:r>
            <w:r>
              <w:rPr>
                <w:rFonts w:hint="eastAsia" w:ascii="宋体" w:hAnsi="宋体"/>
                <w:color w:val="auto"/>
                <w:highlight w:val="none"/>
              </w:rPr>
              <w:t>至比选申请截止时间前，承接过（完工/在建项目）</w:t>
            </w:r>
            <w:r>
              <w:rPr>
                <w:rFonts w:hint="eastAsia" w:ascii="宋体" w:hAnsi="宋体"/>
                <w:color w:val="auto"/>
                <w:highlight w:val="none"/>
                <w:lang w:val="en-US" w:eastAsia="zh-CN"/>
              </w:rPr>
              <w:t>3</w:t>
            </w:r>
            <w:r>
              <w:rPr>
                <w:rFonts w:hint="eastAsia" w:ascii="宋体" w:hAnsi="宋体"/>
                <w:color w:val="auto"/>
                <w:highlight w:val="none"/>
                <w:lang w:eastAsia="zh-CN"/>
              </w:rPr>
              <w:t>个及以上</w:t>
            </w:r>
            <w:r>
              <w:rPr>
                <w:rFonts w:hint="eastAsia" w:ascii="宋体" w:hAnsi="宋体"/>
                <w:color w:val="auto"/>
                <w:highlight w:val="none"/>
                <w:lang w:val="en-US" w:eastAsia="zh-CN"/>
              </w:rPr>
              <w:t>15000kVA以上房地产项目</w:t>
            </w:r>
            <w:r>
              <w:rPr>
                <w:rFonts w:hint="eastAsia" w:ascii="宋体" w:hAnsi="宋体"/>
                <w:color w:val="auto"/>
                <w:highlight w:val="none"/>
                <w:lang w:eastAsia="zh-CN"/>
              </w:rPr>
              <w:t>相关供配电设计业绩</w:t>
            </w:r>
            <w:r>
              <w:rPr>
                <w:rFonts w:hint="eastAsia" w:ascii="宋体" w:hAnsi="宋体"/>
                <w:color w:val="auto"/>
                <w:highlight w:val="none"/>
              </w:rPr>
              <w:t>。</w:t>
            </w:r>
            <w:r>
              <w:rPr>
                <w:rFonts w:hint="eastAsia"/>
                <w:color w:val="auto"/>
                <w:highlight w:val="none"/>
              </w:rPr>
              <w:t>证明材料：</w:t>
            </w:r>
            <w:r>
              <w:rPr>
                <w:rFonts w:hint="eastAsia"/>
                <w:color w:val="auto"/>
                <w:highlight w:val="none"/>
                <w:lang w:eastAsia="zh-CN"/>
              </w:rPr>
              <w:t>提供下述材料之一即可：①合同文件；②中标通知书；③业主证明材料。所提供材料需能证明符合业绩内容，否则视为无效证明文件，提供复印件加盖比选申请人公章，原件备查。</w:t>
            </w:r>
          </w:p>
          <w:p w14:paraId="0649DB0E">
            <w:pPr>
              <w:spacing w:before="0" w:after="0" w:afterAutospacing="0"/>
              <w:ind w:left="0" w:right="0" w:firstLine="0"/>
              <w:jc w:val="left"/>
              <w:rPr>
                <w:rFonts w:hint="eastAsia" w:ascii="宋体" w:hAnsi="宋体"/>
                <w:color w:val="auto"/>
                <w:highlight w:val="none"/>
              </w:rPr>
            </w:pPr>
            <w:r>
              <w:rPr>
                <w:rFonts w:hint="eastAsia" w:ascii="宋体" w:hAnsi="宋体"/>
                <w:color w:val="auto"/>
                <w:highlight w:val="none"/>
              </w:rPr>
              <w:t>3.4人员配置：</w:t>
            </w:r>
            <w:r>
              <w:rPr>
                <w:rFonts w:hint="eastAsia" w:ascii="宋体" w:hAnsi="宋体" w:eastAsia="宋体" w:cs="宋体"/>
                <w:color w:val="auto"/>
                <w:sz w:val="21"/>
                <w:szCs w:val="21"/>
                <w:highlight w:val="none"/>
                <w:lang w:val="en-US" w:eastAsia="zh-CN"/>
              </w:rPr>
              <w:t>团队中主要设计人员至少1人为电力工程设计相关专业中级</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以上</w:t>
            </w:r>
            <w:r>
              <w:rPr>
                <w:rFonts w:hint="eastAsia" w:ascii="宋体" w:hAnsi="宋体" w:cs="宋体"/>
                <w:color w:val="auto"/>
                <w:sz w:val="21"/>
                <w:szCs w:val="21"/>
                <w:highlight w:val="none"/>
                <w:lang w:val="en-US" w:eastAsia="zh-CN"/>
              </w:rPr>
              <w:t>职称的</w:t>
            </w:r>
            <w:r>
              <w:rPr>
                <w:rFonts w:hint="eastAsia" w:ascii="宋体" w:hAnsi="宋体" w:eastAsia="宋体" w:cs="宋体"/>
                <w:color w:val="auto"/>
                <w:sz w:val="21"/>
                <w:szCs w:val="21"/>
                <w:highlight w:val="none"/>
                <w:lang w:val="en-US" w:eastAsia="zh-CN"/>
              </w:rPr>
              <w:t>工程师，具备类似业绩经验</w:t>
            </w:r>
            <w:r>
              <w:rPr>
                <w:rFonts w:hint="eastAsia" w:ascii="宋体" w:hAnsi="宋体" w:cs="宋体"/>
                <w:color w:val="auto"/>
                <w:sz w:val="21"/>
                <w:szCs w:val="21"/>
                <w:highlight w:val="none"/>
                <w:lang w:val="en-US" w:eastAsia="zh-CN"/>
              </w:rPr>
              <w:t>。</w:t>
            </w:r>
            <w:r>
              <w:rPr>
                <w:rFonts w:hint="eastAsia" w:ascii="宋体" w:hAnsi="宋体"/>
                <w:color w:val="auto"/>
                <w:highlight w:val="none"/>
              </w:rPr>
              <w:t>业绩证明材料：提供下述材料之一即可：①合同文件（含团队人员名单）；②设计图纸签字栏；③其他比选申请人认为可以证明的资料。所提供的材料须能明确反映类似项目特征，复印件加盖比选申请人公章。</w:t>
            </w:r>
            <w:r>
              <w:rPr>
                <w:rFonts w:hint="eastAsia" w:ascii="Times New Roman" w:hAnsi="Times New Roman"/>
                <w:color w:val="auto"/>
                <w:highlight w:val="none"/>
                <w:lang w:eastAsia="zh-CN"/>
              </w:rPr>
              <w:t>团队成员必须在该单位工作</w:t>
            </w:r>
            <w:r>
              <w:rPr>
                <w:rFonts w:hint="eastAsia" w:ascii="Times New Roman" w:hAnsi="Times New Roman"/>
                <w:color w:val="auto"/>
                <w:highlight w:val="none"/>
                <w:lang w:val="en-US" w:eastAsia="zh-CN"/>
              </w:rPr>
              <w:t>2年及以上</w:t>
            </w:r>
            <w:r>
              <w:rPr>
                <w:rFonts w:hint="eastAsia"/>
                <w:color w:val="auto"/>
                <w:highlight w:val="none"/>
                <w:lang w:val="en-US" w:eastAsia="zh-CN"/>
              </w:rPr>
              <w:t>。</w:t>
            </w:r>
          </w:p>
          <w:p w14:paraId="171B2929">
            <w:pPr>
              <w:spacing w:before="0" w:after="0" w:afterAutospacing="0"/>
              <w:ind w:left="0" w:right="0" w:firstLine="0"/>
              <w:jc w:val="left"/>
              <w:rPr>
                <w:rFonts w:ascii="宋体" w:hAnsi="宋体"/>
                <w:color w:val="auto"/>
                <w:highlight w:val="none"/>
              </w:rPr>
            </w:pPr>
            <w:r>
              <w:rPr>
                <w:rFonts w:hint="eastAsia" w:ascii="宋体" w:hAnsi="宋体"/>
                <w:color w:val="auto"/>
                <w:highlight w:val="none"/>
              </w:rPr>
              <w:t>3.5比选申请人没有处于被行政主管部门或业主取消比选申请资格的处罚期内，且没有处于被责令停业，被列入失信被执行人名单，财产被接管、冻结、破产状态；比选申请截止时间前3年内没有骗取中选、严重违约或重大质量安全责任事故的情况。</w:t>
            </w:r>
          </w:p>
          <w:p w14:paraId="36A6A415">
            <w:pPr>
              <w:spacing w:before="0" w:after="0" w:afterAutospacing="0"/>
              <w:ind w:left="0" w:right="0" w:firstLine="0"/>
              <w:jc w:val="left"/>
              <w:rPr>
                <w:rFonts w:ascii="宋体" w:hAnsi="宋体"/>
                <w:color w:val="auto"/>
                <w:highlight w:val="none"/>
              </w:rPr>
            </w:pPr>
            <w:r>
              <w:rPr>
                <w:rFonts w:hint="eastAsia" w:ascii="宋体" w:hAnsi="宋体"/>
                <w:color w:val="auto"/>
                <w:highlight w:val="none"/>
              </w:rPr>
              <w:t>3.6单位负责人为同一人或者存在控股、管理关系的不同单位，不得参加同一标段比选申请或者未划分标段的同一比选项目比选申请。</w:t>
            </w:r>
          </w:p>
          <w:p w14:paraId="5FC54FA7">
            <w:pPr>
              <w:spacing w:before="0" w:after="0" w:afterAutospacing="0"/>
              <w:ind w:left="0" w:right="0" w:firstLine="0"/>
              <w:jc w:val="left"/>
              <w:rPr>
                <w:rFonts w:ascii="宋体" w:hAnsi="宋体"/>
                <w:color w:val="auto"/>
                <w:highlight w:val="none"/>
              </w:rPr>
            </w:pPr>
            <w:r>
              <w:rPr>
                <w:rFonts w:hint="eastAsia" w:ascii="宋体" w:hAnsi="宋体"/>
                <w:color w:val="auto"/>
                <w:highlight w:val="none"/>
              </w:rPr>
              <w:t>3.7本项目不接受联合体比选申请。</w:t>
            </w:r>
          </w:p>
        </w:tc>
      </w:tr>
      <w:tr w14:paraId="6D68B1E6">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1E888B0E">
            <w:pPr>
              <w:spacing w:before="0" w:after="0" w:afterAutospacing="0"/>
              <w:ind w:left="0" w:right="0" w:firstLine="0"/>
              <w:rPr>
                <w:rFonts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0121A01F">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比选申请人要求澄清比选文件</w:t>
            </w:r>
          </w:p>
          <w:p w14:paraId="037E106A">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55E6B60D">
            <w:pPr>
              <w:spacing w:before="0" w:after="0" w:afterAutospacing="0"/>
              <w:ind w:left="0" w:right="0" w:firstLine="0"/>
              <w:rPr>
                <w:rFonts w:ascii="宋体" w:hAnsi="宋体"/>
                <w:color w:val="auto"/>
                <w:highlight w:val="none"/>
              </w:rPr>
            </w:pPr>
            <w:r>
              <w:rPr>
                <w:rFonts w:hint="eastAsia" w:ascii="宋体" w:hAnsi="宋体"/>
                <w:color w:val="auto"/>
                <w:highlight w:val="none"/>
              </w:rPr>
              <w:t>对比选文件提出疑问的截止时间：采购公告发布后的前3日</w:t>
            </w:r>
            <w:r>
              <w:rPr>
                <w:rFonts w:hint="eastAsia" w:ascii="宋体" w:hAnsi="宋体"/>
                <w:b/>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55B07F79">
            <w:pPr>
              <w:spacing w:before="0" w:after="0" w:afterAutospacing="0"/>
              <w:ind w:left="0" w:right="0" w:firstLine="0"/>
              <w:rPr>
                <w:rFonts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7D703062">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2D5CE65">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58E7779D">
            <w:pPr>
              <w:spacing w:before="0" w:after="0" w:afterAutospacing="0"/>
              <w:ind w:left="0" w:right="0" w:firstLine="0"/>
              <w:rPr>
                <w:rFonts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4C4BDE1E">
            <w:pPr>
              <w:spacing w:before="0" w:after="0" w:afterAutospacing="0"/>
              <w:ind w:left="0" w:right="0" w:firstLine="0"/>
              <w:rPr>
                <w:rFonts w:ascii="宋体" w:hAnsi="宋体"/>
                <w:color w:val="auto"/>
                <w:highlight w:val="none"/>
              </w:rPr>
            </w:pPr>
            <w:r>
              <w:rPr>
                <w:rFonts w:hint="eastAsia" w:ascii="宋体" w:hAnsi="宋体"/>
                <w:color w:val="auto"/>
                <w:kern w:val="2"/>
                <w:highlight w:val="none"/>
              </w:rPr>
              <w:t>南宁轨道地产集团有限责任公司官网(http://www.nngddc.com)发布。</w:t>
            </w:r>
          </w:p>
        </w:tc>
      </w:tr>
      <w:tr w14:paraId="06B2390F">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1A5F968">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D908401">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5E659CEE">
            <w:pPr>
              <w:spacing w:before="0" w:after="0" w:afterAutospacing="0"/>
              <w:ind w:left="0" w:right="0" w:firstLine="0"/>
              <w:rPr>
                <w:rFonts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2DA9EEF7">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7F0E90E2">
            <w:pPr>
              <w:spacing w:before="0" w:after="0" w:afterAutospacing="0"/>
              <w:ind w:left="0" w:right="0" w:firstLine="0"/>
              <w:rPr>
                <w:rFonts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1B116E31">
            <w:pPr>
              <w:spacing w:before="0" w:after="0" w:afterAutospacing="0"/>
              <w:ind w:left="0" w:right="0" w:firstLine="0"/>
              <w:rPr>
                <w:rFonts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546038CD">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比选申请文件组成部分：</w:t>
            </w:r>
            <w:r>
              <w:rPr>
                <w:rFonts w:hint="eastAsia"/>
                <w:color w:val="auto"/>
                <w:highlight w:val="none"/>
              </w:rPr>
              <w:t>资格审查文件、价格文件、技术文件。</w:t>
            </w:r>
          </w:p>
          <w:p w14:paraId="5CAC6AF5">
            <w:pPr>
              <w:spacing w:before="0" w:after="0" w:afterAutospacing="0" w:line="276" w:lineRule="auto"/>
              <w:ind w:left="0" w:right="0" w:firstLine="0"/>
              <w:rPr>
                <w:b/>
                <w:color w:val="auto"/>
                <w:highlight w:val="none"/>
              </w:rPr>
            </w:pPr>
            <w:r>
              <w:rPr>
                <w:rFonts w:hint="eastAsia"/>
                <w:b/>
                <w:color w:val="auto"/>
                <w:highlight w:val="none"/>
              </w:rPr>
              <w:t>资格审查文件</w:t>
            </w:r>
          </w:p>
          <w:p w14:paraId="709AB0BB">
            <w:pPr>
              <w:spacing w:before="0" w:after="0" w:afterAutospacing="0" w:line="276" w:lineRule="auto"/>
              <w:ind w:left="0" w:right="0" w:firstLine="0"/>
              <w:rPr>
                <w:rFonts w:hint="eastAsia"/>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val="en-US" w:eastAsia="zh-CN"/>
              </w:rPr>
              <w:t>加盖公章</w:t>
            </w:r>
            <w:r>
              <w:rPr>
                <w:rFonts w:hint="eastAsia"/>
                <w:color w:val="auto"/>
                <w:highlight w:val="none"/>
              </w:rPr>
              <w:t>；</w:t>
            </w:r>
          </w:p>
          <w:p w14:paraId="6264BE23">
            <w:pPr>
              <w:spacing w:before="0" w:after="0" w:afterAutospacing="0" w:line="276" w:lineRule="auto"/>
              <w:ind w:left="0" w:right="0" w:firstLine="0"/>
              <w:rPr>
                <w:rFonts w:hint="eastAsia"/>
                <w:color w:val="auto"/>
                <w:highlight w:val="none"/>
              </w:rPr>
            </w:pPr>
            <w:r>
              <w:rPr>
                <w:rFonts w:hint="eastAsia"/>
                <w:color w:val="auto"/>
                <w:highlight w:val="none"/>
              </w:rPr>
              <w:t>（2）比选申请人有效的营业执照复印件</w:t>
            </w:r>
            <w:r>
              <w:rPr>
                <w:rFonts w:hint="eastAsia"/>
                <w:color w:val="auto"/>
                <w:highlight w:val="none"/>
                <w:lang w:val="en-US" w:eastAsia="zh-CN"/>
              </w:rPr>
              <w:t>加盖公章</w:t>
            </w:r>
            <w:r>
              <w:rPr>
                <w:rFonts w:hint="eastAsia"/>
                <w:color w:val="auto"/>
                <w:highlight w:val="none"/>
              </w:rPr>
              <w:t>（格式见A3）；</w:t>
            </w:r>
          </w:p>
          <w:p w14:paraId="692CF7B9">
            <w:pPr>
              <w:spacing w:before="0" w:after="0" w:afterAutospacing="0" w:line="276" w:lineRule="auto"/>
              <w:ind w:left="0" w:right="0" w:firstLine="0"/>
              <w:rPr>
                <w:rFonts w:hint="eastAsia"/>
                <w:color w:val="auto"/>
                <w:highlight w:val="none"/>
              </w:rPr>
            </w:pPr>
            <w:r>
              <w:rPr>
                <w:rFonts w:hint="eastAsia"/>
                <w:color w:val="auto"/>
                <w:highlight w:val="none"/>
              </w:rPr>
              <w:t>（3）比选申请人拟派的</w:t>
            </w:r>
            <w:r>
              <w:rPr>
                <w:rFonts w:hint="eastAsia"/>
                <w:color w:val="auto"/>
                <w:highlight w:val="none"/>
                <w:lang w:val="en-US" w:eastAsia="zh-CN"/>
              </w:rPr>
              <w:t>团队中主要设计人员</w:t>
            </w:r>
            <w:r>
              <w:rPr>
                <w:rFonts w:hint="eastAsia"/>
                <w:color w:val="auto"/>
                <w:highlight w:val="none"/>
              </w:rPr>
              <w:t>的职称证书、</w:t>
            </w:r>
            <w:r>
              <w:rPr>
                <w:rFonts w:hint="eastAsia"/>
                <w:color w:val="auto"/>
                <w:highlight w:val="none"/>
                <w:lang w:val="en-US" w:eastAsia="zh-CN"/>
              </w:rPr>
              <w:t>业绩</w:t>
            </w:r>
            <w:r>
              <w:rPr>
                <w:rFonts w:hint="eastAsia"/>
                <w:color w:val="auto"/>
                <w:highlight w:val="none"/>
              </w:rPr>
              <w:t>文件复印件</w:t>
            </w:r>
            <w:r>
              <w:rPr>
                <w:rFonts w:hint="eastAsia"/>
                <w:color w:val="auto"/>
                <w:highlight w:val="none"/>
                <w:lang w:val="en-US" w:eastAsia="zh-CN"/>
              </w:rPr>
              <w:t>加盖公章</w:t>
            </w:r>
            <w:r>
              <w:rPr>
                <w:rFonts w:hint="eastAsia"/>
                <w:color w:val="auto"/>
                <w:highlight w:val="none"/>
              </w:rPr>
              <w:t>（格式见A4）；</w:t>
            </w:r>
          </w:p>
          <w:p w14:paraId="10B4E358">
            <w:pPr>
              <w:spacing w:before="0" w:after="0" w:afterAutospacing="0" w:line="276" w:lineRule="auto"/>
              <w:ind w:left="0" w:right="0" w:firstLine="0"/>
              <w:rPr>
                <w:rFonts w:hint="eastAsia"/>
                <w:color w:val="auto"/>
                <w:highlight w:val="none"/>
              </w:rPr>
            </w:pPr>
            <w:r>
              <w:rPr>
                <w:rFonts w:hint="eastAsia"/>
                <w:color w:val="auto"/>
                <w:highlight w:val="none"/>
              </w:rPr>
              <w:t>（4）承诺书（格式见A5）；</w:t>
            </w:r>
          </w:p>
          <w:p w14:paraId="1C06DAD0">
            <w:pPr>
              <w:spacing w:before="0" w:after="0" w:afterAutospacing="0" w:line="276" w:lineRule="auto"/>
              <w:ind w:left="0" w:right="0" w:firstLine="0"/>
              <w:rPr>
                <w:rFonts w:hint="eastAsia"/>
                <w:color w:val="auto"/>
                <w:highlight w:val="none"/>
              </w:rPr>
            </w:pPr>
            <w:r>
              <w:rPr>
                <w:rFonts w:hint="eastAsia"/>
                <w:color w:val="auto"/>
                <w:highlight w:val="none"/>
              </w:rPr>
              <w:t>（5）类似项目业绩表（A6）；</w:t>
            </w:r>
          </w:p>
          <w:p w14:paraId="1FAFA518">
            <w:pPr>
              <w:spacing w:before="0" w:after="0" w:afterAutospacing="0" w:line="276" w:lineRule="auto"/>
              <w:ind w:left="0" w:right="0" w:firstLine="0"/>
              <w:rPr>
                <w:color w:val="auto"/>
                <w:highlight w:val="none"/>
              </w:rPr>
            </w:pPr>
            <w:r>
              <w:rPr>
                <w:rFonts w:hint="eastAsia"/>
                <w:color w:val="auto"/>
                <w:highlight w:val="none"/>
              </w:rPr>
              <w:t>（6）比选申请人认为应提交的其他比选申请资料（如有）。</w:t>
            </w:r>
          </w:p>
          <w:p w14:paraId="2D15F2CF">
            <w:pPr>
              <w:spacing w:before="0" w:after="0" w:afterAutospacing="0" w:line="276" w:lineRule="auto"/>
              <w:ind w:left="0" w:right="0" w:firstLine="0"/>
              <w:rPr>
                <w:b/>
                <w:color w:val="auto"/>
                <w:highlight w:val="none"/>
              </w:rPr>
            </w:pPr>
            <w:r>
              <w:rPr>
                <w:rFonts w:hint="eastAsia"/>
                <w:b/>
                <w:color w:val="auto"/>
                <w:highlight w:val="none"/>
              </w:rPr>
              <w:t>价格文件</w:t>
            </w:r>
          </w:p>
          <w:p w14:paraId="4BDF523C">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1992FF34">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69B758B0">
            <w:pPr>
              <w:spacing w:before="0" w:after="0" w:afterAutospacing="0" w:line="276" w:lineRule="auto"/>
              <w:ind w:left="0" w:right="0" w:firstLine="0"/>
              <w:rPr>
                <w:color w:val="auto"/>
                <w:highlight w:val="none"/>
              </w:rPr>
            </w:pPr>
            <w:r>
              <w:rPr>
                <w:rFonts w:hint="eastAsia"/>
                <w:color w:val="auto"/>
                <w:highlight w:val="none"/>
              </w:rPr>
              <w:t>（3）比选申请人认为应提交的其他比选申请资料（如有）。</w:t>
            </w:r>
          </w:p>
          <w:p w14:paraId="1216AEF0">
            <w:pPr>
              <w:spacing w:before="0" w:after="0" w:afterAutospacing="0" w:line="276" w:lineRule="auto"/>
              <w:ind w:left="0" w:right="0" w:firstLine="0"/>
              <w:rPr>
                <w:b/>
                <w:color w:val="auto"/>
                <w:highlight w:val="none"/>
              </w:rPr>
            </w:pPr>
            <w:r>
              <w:rPr>
                <w:rFonts w:hint="eastAsia"/>
                <w:b/>
                <w:color w:val="auto"/>
                <w:highlight w:val="none"/>
              </w:rPr>
              <w:t>技术文件</w:t>
            </w:r>
          </w:p>
          <w:p w14:paraId="6506DE72">
            <w:pPr>
              <w:spacing w:before="0" w:after="0" w:afterAutospacing="0" w:line="276" w:lineRule="auto"/>
              <w:ind w:left="0" w:right="0" w:firstLine="0"/>
              <w:rPr>
                <w:color w:val="auto"/>
                <w:highlight w:val="none"/>
              </w:rPr>
            </w:pPr>
            <w:r>
              <w:rPr>
                <w:rFonts w:hint="eastAsia"/>
                <w:color w:val="auto"/>
                <w:highlight w:val="none"/>
              </w:rPr>
              <w:t>（1）技术响应表（格式见C1）；</w:t>
            </w:r>
          </w:p>
          <w:p w14:paraId="0E10997C">
            <w:pPr>
              <w:spacing w:before="0" w:after="0" w:afterAutospacing="0" w:line="276" w:lineRule="auto"/>
              <w:ind w:left="0" w:right="0" w:firstLine="0"/>
              <w:rPr>
                <w:color w:val="auto"/>
                <w:highlight w:val="none"/>
              </w:rPr>
            </w:pPr>
            <w:r>
              <w:rPr>
                <w:rFonts w:hint="eastAsia"/>
                <w:color w:val="auto"/>
                <w:highlight w:val="none"/>
              </w:rPr>
              <w:t>（2）商务响应表（格式见C2）；</w:t>
            </w:r>
          </w:p>
          <w:p w14:paraId="640A7729">
            <w:pPr>
              <w:spacing w:before="0" w:after="0" w:afterAutospacing="0" w:line="276" w:lineRule="auto"/>
              <w:ind w:left="0" w:right="0" w:firstLine="0"/>
              <w:rPr>
                <w:color w:val="auto"/>
                <w:highlight w:val="none"/>
              </w:rPr>
            </w:pPr>
            <w:r>
              <w:rPr>
                <w:rFonts w:hint="eastAsia"/>
                <w:color w:val="auto"/>
                <w:highlight w:val="none"/>
              </w:rPr>
              <w:t>（3）比选申请人的工程设计资质证书（</w:t>
            </w:r>
            <w:r>
              <w:rPr>
                <w:rFonts w:hint="eastAsia" w:ascii="宋体" w:hAnsi="宋体"/>
                <w:color w:val="auto"/>
                <w:highlight w:val="none"/>
              </w:rPr>
              <w:t>电力行业工程</w:t>
            </w:r>
            <w:r>
              <w:rPr>
                <w:rFonts w:hint="eastAsia"/>
                <w:color w:val="auto"/>
                <w:highlight w:val="none"/>
              </w:rPr>
              <w:t>）（格式见C3）；</w:t>
            </w:r>
          </w:p>
          <w:p w14:paraId="554B132E">
            <w:pPr>
              <w:spacing w:before="0" w:after="0" w:afterAutospacing="0" w:line="276" w:lineRule="auto"/>
              <w:ind w:left="0" w:right="0" w:firstLine="0"/>
              <w:rPr>
                <w:color w:val="auto"/>
                <w:highlight w:val="none"/>
              </w:rPr>
            </w:pPr>
            <w:r>
              <w:rPr>
                <w:rFonts w:hint="eastAsia"/>
                <w:color w:val="auto"/>
                <w:highlight w:val="none"/>
              </w:rPr>
              <w:t>（4）项目人员配置（格式见C4）；</w:t>
            </w:r>
          </w:p>
          <w:p w14:paraId="5D040476">
            <w:pPr>
              <w:spacing w:before="0" w:after="0" w:afterAutospacing="0" w:line="276" w:lineRule="auto"/>
              <w:ind w:left="0" w:right="0" w:firstLine="0"/>
              <w:rPr>
                <w:color w:val="auto"/>
                <w:highlight w:val="none"/>
              </w:rPr>
            </w:pPr>
            <w:r>
              <w:rPr>
                <w:rFonts w:hint="eastAsia"/>
                <w:color w:val="auto"/>
                <w:highlight w:val="none"/>
              </w:rPr>
              <w:t>（5）服务承诺书（格式见C5）；</w:t>
            </w:r>
          </w:p>
          <w:p w14:paraId="00BE80FE">
            <w:pPr>
              <w:spacing w:before="0" w:after="0" w:afterAutospacing="0" w:line="276" w:lineRule="auto"/>
              <w:ind w:left="0" w:right="0" w:firstLine="0"/>
              <w:rPr>
                <w:color w:val="auto"/>
                <w:highlight w:val="none"/>
              </w:rPr>
            </w:pPr>
            <w:r>
              <w:rPr>
                <w:rFonts w:hint="eastAsia"/>
                <w:color w:val="auto"/>
                <w:highlight w:val="none"/>
              </w:rPr>
              <w:t>（6）业绩：</w:t>
            </w:r>
            <w:r>
              <w:rPr>
                <w:rFonts w:hint="eastAsia" w:ascii="宋体" w:hAnsi="宋体"/>
                <w:color w:val="auto"/>
                <w:highlight w:val="none"/>
                <w:lang w:eastAsia="zh-CN"/>
              </w:rPr>
              <w:t>比选申请人自2023年1月1日至比选申请截止时间前，承接过（完工/在建项目）3个及以上15000kVA以上房地产项目相关供配电设计业绩。</w:t>
            </w:r>
            <w:r>
              <w:rPr>
                <w:rFonts w:hint="eastAsia" w:ascii="宋体" w:hAnsi="宋体" w:cs="宋体"/>
                <w:color w:val="auto"/>
                <w:highlight w:val="none"/>
                <w:lang w:eastAsia="zh-CN" w:bidi="ar"/>
              </w:rPr>
              <w:t>提供下述材料之一即可：①合同文件；②中标通知书；③业主证明材料。所提供材料需能证明符合业绩内容，否则视为无效证明文件，提供复印件加盖比选申请人公章，原件备查。</w:t>
            </w:r>
            <w:r>
              <w:rPr>
                <w:rFonts w:hint="eastAsia"/>
                <w:color w:val="auto"/>
                <w:highlight w:val="none"/>
              </w:rPr>
              <w:t>（格式见C6）。</w:t>
            </w:r>
          </w:p>
          <w:p w14:paraId="0C8D7739">
            <w:pPr>
              <w:spacing w:before="0" w:after="0" w:afterAutospacing="0" w:line="276" w:lineRule="auto"/>
              <w:ind w:left="0" w:right="0" w:firstLine="0"/>
              <w:rPr>
                <w:color w:val="auto"/>
                <w:highlight w:val="none"/>
              </w:rPr>
            </w:pPr>
            <w:r>
              <w:rPr>
                <w:rFonts w:hint="eastAsia"/>
                <w:color w:val="auto"/>
                <w:highlight w:val="none"/>
              </w:rPr>
              <w:t>（7）比选申请人认为应提交的其他比选申请资料（如有）。</w:t>
            </w:r>
          </w:p>
        </w:tc>
      </w:tr>
      <w:tr w14:paraId="79917DE4">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14:paraId="3CB99C0C">
            <w:pPr>
              <w:spacing w:before="0" w:after="0" w:afterAutospacing="0"/>
              <w:ind w:left="0" w:right="0" w:firstLine="0"/>
              <w:rPr>
                <w:rFonts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5E6DFA6F">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5B5ABAB4">
            <w:pPr>
              <w:spacing w:before="0" w:after="0" w:afterAutospacing="0"/>
              <w:ind w:left="0" w:right="0" w:firstLine="0"/>
              <w:rPr>
                <w:rFonts w:ascii="宋体" w:hAnsi="宋体"/>
                <w:color w:val="auto"/>
                <w:highlight w:val="none"/>
              </w:rPr>
            </w:pPr>
            <w:r>
              <w:rPr>
                <w:rFonts w:hint="eastAsia" w:ascii="宋体" w:hAnsi="宋体"/>
                <w:b/>
                <w:color w:val="auto"/>
                <w:highlight w:val="none"/>
              </w:rPr>
              <w:t>本项目采用不含税报价进行商务评审</w:t>
            </w:r>
            <w:r>
              <w:rPr>
                <w:rFonts w:ascii="宋体" w:hAnsi="宋体"/>
                <w:b/>
                <w:color w:val="auto"/>
                <w:highlight w:val="none"/>
              </w:rPr>
              <w:t>，</w:t>
            </w:r>
            <w:r>
              <w:rPr>
                <w:rFonts w:hint="eastAsia" w:ascii="宋体" w:hAnsi="宋体"/>
                <w:b/>
                <w:color w:val="auto"/>
                <w:highlight w:val="none"/>
              </w:rPr>
              <w:t>含税报价为合同暂定价，本合同最终税金在结算阶段，按实际产生的税金进行核算，但合同不含税价格不因国家税率调整而调整。</w:t>
            </w:r>
          </w:p>
        </w:tc>
      </w:tr>
      <w:tr w14:paraId="25449788">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3EA33686">
            <w:pPr>
              <w:spacing w:before="0" w:after="0" w:afterAutospacing="0"/>
              <w:ind w:left="0" w:right="0" w:firstLine="0"/>
              <w:rPr>
                <w:rFonts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32DF3EE6">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08D9F091">
            <w:pPr>
              <w:spacing w:before="0" w:after="0" w:afterAutospacing="0"/>
              <w:ind w:left="0" w:right="0" w:firstLine="0"/>
              <w:rPr>
                <w:rFonts w:ascii="宋体" w:hAnsi="宋体"/>
                <w:color w:val="auto"/>
                <w:highlight w:val="none"/>
              </w:rPr>
            </w:pPr>
            <w:r>
              <w:rPr>
                <w:rFonts w:hint="eastAsia" w:ascii="宋体" w:hAnsi="宋体"/>
                <w:color w:val="auto"/>
                <w:highlight w:val="none"/>
              </w:rPr>
              <w:t>不要求递交比选申请保证金</w:t>
            </w:r>
          </w:p>
        </w:tc>
      </w:tr>
      <w:tr w14:paraId="7EACEF03">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15334CE6">
            <w:pPr>
              <w:spacing w:before="0" w:after="0" w:afterAutospacing="0"/>
              <w:ind w:left="0" w:right="0" w:firstLine="0"/>
              <w:rPr>
                <w:rFonts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5CF1880D">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4149A5D7">
            <w:pPr>
              <w:spacing w:before="0" w:after="0" w:afterAutospacing="0"/>
              <w:ind w:left="0" w:right="0" w:firstLine="0"/>
              <w:rPr>
                <w:rFonts w:ascii="宋体" w:hAnsi="宋体"/>
                <w:color w:val="auto"/>
                <w:highlight w:val="none"/>
              </w:rPr>
            </w:pPr>
            <w:r>
              <w:rPr>
                <w:rFonts w:hint="eastAsia" w:ascii="宋体" w:hAnsi="宋体"/>
                <w:color w:val="auto"/>
                <w:highlight w:val="none"/>
              </w:rPr>
              <w:t>自比选申请截止时间起90天</w:t>
            </w:r>
          </w:p>
        </w:tc>
      </w:tr>
      <w:tr w14:paraId="5C56CF5B">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1479D462">
            <w:pPr>
              <w:spacing w:before="0" w:after="0" w:afterAutospacing="0"/>
              <w:ind w:left="0" w:right="0" w:firstLine="0"/>
              <w:rPr>
                <w:rFonts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03149B2B">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0D5B9553">
            <w:pPr>
              <w:spacing w:before="0" w:after="0" w:afterAutospacing="0"/>
              <w:ind w:left="0" w:right="0" w:firstLine="0"/>
              <w:rPr>
                <w:rFonts w:ascii="宋体" w:hAnsi="宋体"/>
                <w:color w:val="auto"/>
                <w:highlight w:val="none"/>
              </w:rPr>
            </w:pPr>
            <w:r>
              <w:rPr>
                <w:rFonts w:hint="eastAsia" w:ascii="宋体" w:hAnsi="宋体"/>
                <w:color w:val="auto"/>
                <w:highlight w:val="none"/>
              </w:rPr>
              <w:t>纸质版正本1份，副本</w:t>
            </w:r>
            <w:r>
              <w:rPr>
                <w:rFonts w:hint="eastAsia" w:ascii="宋体" w:hAnsi="宋体"/>
                <w:color w:val="auto"/>
                <w:highlight w:val="none"/>
                <w:lang w:val="en-US" w:eastAsia="zh-CN"/>
              </w:rPr>
              <w:t>2</w:t>
            </w:r>
            <w:r>
              <w:rPr>
                <w:rFonts w:hint="eastAsia" w:ascii="宋体" w:hAnsi="宋体"/>
                <w:color w:val="auto"/>
                <w:highlight w:val="none"/>
              </w:rPr>
              <w:t>份。比选申请人在递交纸质比选申请文件时，应同时递交比选申请文件电子版（具体要求见本表第3</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项）。</w:t>
            </w:r>
          </w:p>
        </w:tc>
      </w:tr>
      <w:tr w14:paraId="1CD70B01">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1B88B967">
            <w:pPr>
              <w:spacing w:before="0" w:after="0" w:afterAutospacing="0"/>
              <w:ind w:left="0" w:right="0" w:firstLine="0"/>
              <w:rPr>
                <w:rFonts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7C278961">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54F7554B">
            <w:pPr>
              <w:spacing w:before="0" w:after="0" w:afterAutospacing="0"/>
              <w:ind w:left="0" w:right="0" w:firstLine="0"/>
              <w:rPr>
                <w:rFonts w:ascii="宋体" w:hAnsi="宋体"/>
                <w:b/>
                <w:color w:val="auto"/>
                <w:highlight w:val="none"/>
              </w:rPr>
            </w:pPr>
            <w:r>
              <w:rPr>
                <w:rFonts w:hint="eastAsia" w:ascii="宋体" w:hAnsi="宋体"/>
                <w:b/>
                <w:color w:val="auto"/>
                <w:highlight w:val="none"/>
                <w:lang w:eastAsia="zh-CN"/>
              </w:rPr>
              <w:t>202</w:t>
            </w:r>
            <w:r>
              <w:rPr>
                <w:rFonts w:hint="eastAsia" w:ascii="宋体" w:hAnsi="宋体"/>
                <w:b/>
                <w:color w:val="auto"/>
                <w:highlight w:val="none"/>
                <w:lang w:val="en-US" w:eastAsia="zh-CN"/>
              </w:rPr>
              <w:t>6</w:t>
            </w:r>
            <w:r>
              <w:rPr>
                <w:rFonts w:hint="eastAsia" w:ascii="宋体" w:hAnsi="宋体"/>
                <w:b/>
                <w:color w:val="auto"/>
                <w:highlight w:val="none"/>
                <w:lang w:eastAsia="zh-CN"/>
              </w:rPr>
              <w:t>年</w:t>
            </w:r>
            <w:r>
              <w:rPr>
                <w:rFonts w:hint="eastAsia" w:ascii="宋体" w:hAnsi="宋体"/>
                <w:b/>
                <w:color w:val="auto"/>
                <w:highlight w:val="none"/>
                <w:lang w:val="en-US" w:eastAsia="zh-CN"/>
              </w:rPr>
              <w:t>9</w:t>
            </w:r>
            <w:r>
              <w:rPr>
                <w:rFonts w:hint="eastAsia" w:ascii="宋体" w:hAnsi="宋体"/>
                <w:b/>
                <w:color w:val="auto"/>
                <w:highlight w:val="none"/>
              </w:rPr>
              <w:t>月</w:t>
            </w:r>
            <w:r>
              <w:rPr>
                <w:rFonts w:hint="eastAsia" w:ascii="宋体" w:hAnsi="宋体"/>
                <w:b/>
                <w:color w:val="auto"/>
                <w:highlight w:val="none"/>
                <w:lang w:val="en-US" w:eastAsia="zh-CN"/>
              </w:rPr>
              <w:t>16</w:t>
            </w:r>
            <w:r>
              <w:rPr>
                <w:rFonts w:hint="eastAsia" w:ascii="宋体" w:hAnsi="宋体"/>
                <w:b/>
                <w:color w:val="auto"/>
                <w:highlight w:val="none"/>
              </w:rPr>
              <w:t>日</w:t>
            </w:r>
            <w:r>
              <w:rPr>
                <w:rFonts w:hint="eastAsia" w:ascii="宋体" w:hAnsi="宋体"/>
                <w:b/>
                <w:color w:val="auto"/>
                <w:highlight w:val="none"/>
                <w:lang w:val="en-US" w:eastAsia="zh-CN"/>
              </w:rPr>
              <w:t>当日</w:t>
            </w:r>
            <w:r>
              <w:rPr>
                <w:rFonts w:hint="eastAsia" w:ascii="宋体" w:hAnsi="宋体"/>
                <w:b/>
                <w:color w:val="auto"/>
                <w:highlight w:val="none"/>
              </w:rPr>
              <w:t>9时30分</w:t>
            </w:r>
          </w:p>
        </w:tc>
      </w:tr>
      <w:tr w14:paraId="7E14E37C">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3CCD4C03">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7FC0F0B4">
            <w:pPr>
              <w:spacing w:before="0" w:after="0" w:afterAutospacing="0"/>
              <w:ind w:left="0" w:right="0" w:firstLine="0"/>
              <w:rPr>
                <w:rFonts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6514713A">
            <w:pPr>
              <w:spacing w:before="0" w:after="0" w:afterAutospacing="0"/>
              <w:ind w:left="0" w:right="0" w:firstLine="0"/>
              <w:rPr>
                <w:rFonts w:ascii="宋体" w:hAnsi="宋体"/>
                <w:color w:val="auto"/>
                <w:highlight w:val="none"/>
              </w:rPr>
            </w:pPr>
            <w:r>
              <w:rPr>
                <w:rFonts w:hint="eastAsia" w:ascii="宋体" w:hAnsi="宋体"/>
                <w:color w:val="auto"/>
                <w:highlight w:val="none"/>
              </w:rPr>
              <w:t>单位：</w:t>
            </w:r>
            <w:r>
              <w:rPr>
                <w:rFonts w:ascii="宋体" w:hAnsi="宋体"/>
                <w:color w:val="auto"/>
                <w:highlight w:val="none"/>
              </w:rPr>
              <w:t>南宁轨道</w:t>
            </w:r>
            <w:r>
              <w:rPr>
                <w:rFonts w:hint="eastAsia" w:ascii="宋体" w:hAnsi="宋体"/>
                <w:color w:val="auto"/>
                <w:highlight w:val="none"/>
              </w:rPr>
              <w:t>地产</w:t>
            </w:r>
            <w:r>
              <w:rPr>
                <w:rFonts w:ascii="宋体" w:hAnsi="宋体"/>
                <w:color w:val="auto"/>
                <w:highlight w:val="none"/>
              </w:rPr>
              <w:t>集团有限责任公司</w:t>
            </w:r>
          </w:p>
          <w:p w14:paraId="5FED9DE0">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w:t>
            </w:r>
            <w:r>
              <w:rPr>
                <w:rFonts w:hint="eastAsia" w:ascii="宋体" w:hAnsi="宋体"/>
                <w:color w:val="auto"/>
                <w:highlight w:val="none"/>
                <w:lang w:val="en-US" w:eastAsia="zh-CN"/>
              </w:rPr>
              <w:t>907</w:t>
            </w:r>
            <w:r>
              <w:rPr>
                <w:rFonts w:hint="eastAsia" w:ascii="宋体" w:hAnsi="宋体"/>
                <w:color w:val="auto"/>
                <w:highlight w:val="none"/>
                <w:lang w:eastAsia="zh-CN"/>
              </w:rPr>
              <w:t>招采管理中心</w:t>
            </w:r>
          </w:p>
        </w:tc>
      </w:tr>
      <w:tr w14:paraId="10A69DAD">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22F8D6E0">
            <w:pPr>
              <w:spacing w:before="0" w:after="0" w:afterAutospacing="0"/>
              <w:ind w:left="0" w:right="0" w:firstLine="0"/>
              <w:rPr>
                <w:rFonts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510775CA">
            <w:pPr>
              <w:spacing w:before="0" w:after="0" w:afterAutospacing="0"/>
              <w:ind w:left="0" w:right="0" w:firstLine="0"/>
              <w:rPr>
                <w:rFonts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19EF0BE">
            <w:pPr>
              <w:spacing w:before="0" w:after="0" w:afterAutospacing="0"/>
              <w:ind w:left="0" w:right="0" w:firstLine="0"/>
              <w:rPr>
                <w:rFonts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w:t>
            </w:r>
            <w:r>
              <w:rPr>
                <w:rFonts w:hint="eastAsia" w:ascii="宋体" w:hAnsi="宋体"/>
                <w:color w:val="auto"/>
                <w:highlight w:val="none"/>
              </w:rPr>
              <w:t>不</w:t>
            </w:r>
            <w:r>
              <w:rPr>
                <w:rFonts w:ascii="宋体" w:hAnsi="宋体"/>
                <w:color w:val="auto"/>
                <w:highlight w:val="none"/>
              </w:rPr>
              <w:t>含税总报价为基准）</w:t>
            </w:r>
          </w:p>
        </w:tc>
      </w:tr>
      <w:tr w14:paraId="33BA6B87">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D5D8DC9">
            <w:pPr>
              <w:spacing w:before="0" w:after="0" w:afterAutospacing="0"/>
              <w:ind w:left="0" w:right="0" w:firstLine="0"/>
              <w:rPr>
                <w:rFonts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2211DC8D">
            <w:pPr>
              <w:spacing w:before="0" w:after="0" w:afterAutospacing="0"/>
              <w:ind w:left="0" w:right="0" w:firstLine="0"/>
              <w:rPr>
                <w:rFonts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7952C6DB">
            <w:pPr>
              <w:spacing w:before="0" w:after="0" w:afterAutospacing="0"/>
              <w:ind w:left="0" w:right="0" w:firstLine="0"/>
              <w:rPr>
                <w:rFonts w:ascii="宋体" w:hAnsi="宋体"/>
                <w:color w:val="auto"/>
                <w:highlight w:val="none"/>
              </w:rPr>
            </w:pPr>
            <w:r>
              <w:rPr>
                <w:rFonts w:hint="eastAsia" w:ascii="宋体" w:hAnsi="宋体"/>
                <w:color w:val="auto"/>
                <w:highlight w:val="none"/>
              </w:rPr>
              <w:t>中选人如放弃中选资格，比选人有权禁止其1年内不得参与属于比选人的项目。</w:t>
            </w:r>
          </w:p>
        </w:tc>
      </w:tr>
      <w:tr w14:paraId="625EEAC7">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14:paraId="61CE6E13">
            <w:pPr>
              <w:spacing w:before="0" w:after="0" w:afterAutospacing="0"/>
              <w:ind w:left="0" w:right="0" w:firstLine="0"/>
              <w:rPr>
                <w:rFonts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55E407C0">
            <w:pPr>
              <w:spacing w:before="0" w:after="0" w:afterAutospacing="0"/>
              <w:ind w:left="0" w:right="0" w:firstLine="0"/>
              <w:rPr>
                <w:rFonts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526BD638">
            <w:pPr>
              <w:spacing w:before="0" w:after="0" w:afterAutospacing="0"/>
              <w:ind w:left="0" w:right="0" w:firstLine="0"/>
              <w:rPr>
                <w:rFonts w:ascii="宋体" w:hAnsi="宋体"/>
                <w:color w:val="auto"/>
                <w:highlight w:val="none"/>
              </w:rPr>
            </w:pPr>
            <w:r>
              <w:rPr>
                <w:rFonts w:hint="eastAsia" w:ascii="宋体" w:hAnsi="宋体" w:cs="Arial"/>
                <w:color w:val="auto"/>
                <w:highlight w:val="none"/>
              </w:rPr>
              <w:t>本项目不要求递交履约担保。</w:t>
            </w:r>
          </w:p>
        </w:tc>
      </w:tr>
      <w:tr w14:paraId="79DB3049">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2D2D49CB">
            <w:pPr>
              <w:spacing w:before="0" w:after="0" w:afterAutospacing="0"/>
              <w:ind w:left="0" w:right="0" w:firstLine="0"/>
              <w:rPr>
                <w:rFonts w:ascii="宋体" w:hAnsi="宋体"/>
                <w:color w:val="auto"/>
                <w:highlight w:val="none"/>
              </w:rPr>
            </w:pPr>
            <w:r>
              <w:rPr>
                <w:rFonts w:hint="eastAsia" w:ascii="宋体" w:hAnsi="宋体"/>
                <w:color w:val="auto"/>
                <w:highlight w:val="none"/>
              </w:rPr>
              <w:t>37.5</w:t>
            </w:r>
          </w:p>
        </w:tc>
        <w:tc>
          <w:tcPr>
            <w:tcW w:w="1559" w:type="dxa"/>
            <w:vMerge w:val="restart"/>
            <w:tcBorders>
              <w:top w:val="single" w:color="auto" w:sz="4" w:space="0"/>
              <w:left w:val="nil"/>
              <w:right w:val="single" w:color="auto" w:sz="4" w:space="0"/>
            </w:tcBorders>
            <w:vAlign w:val="center"/>
          </w:tcPr>
          <w:p w14:paraId="45B59947">
            <w:pPr>
              <w:spacing w:before="0" w:after="0" w:afterAutospacing="0"/>
              <w:ind w:left="0" w:right="0" w:firstLine="0"/>
              <w:rPr>
                <w:rFonts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0B7BD721">
            <w:pPr>
              <w:spacing w:before="0" w:after="0" w:afterAutospacing="0"/>
              <w:ind w:left="0" w:right="0" w:firstLine="0"/>
              <w:rPr>
                <w:rFonts w:ascii="宋体" w:hAnsi="宋体"/>
                <w:color w:val="auto"/>
                <w:highlight w:val="none"/>
              </w:rPr>
            </w:pPr>
            <w:r>
              <w:rPr>
                <w:rFonts w:hint="eastAsia" w:ascii="宋体" w:hAnsi="宋体"/>
                <w:color w:val="auto"/>
                <w:highlight w:val="none"/>
              </w:rPr>
              <w:t>1.比选申请人在递交纸质版比选申请文件时，应同时递交比选申请文件电子版。</w:t>
            </w:r>
          </w:p>
          <w:p w14:paraId="046CC7B3">
            <w:pPr>
              <w:spacing w:before="0" w:after="0" w:afterAutospacing="0"/>
              <w:ind w:left="0" w:right="0" w:firstLine="0"/>
              <w:rPr>
                <w:rFonts w:ascii="宋体" w:hAnsi="宋体"/>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2C7DDE09">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41F9D77A">
            <w:pPr>
              <w:spacing w:before="0" w:after="0" w:afterAutospacing="0"/>
              <w:ind w:left="0" w:right="0" w:firstLine="0"/>
              <w:rPr>
                <w:rFonts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172450A4">
            <w:pPr>
              <w:spacing w:before="0" w:after="0" w:afterAutospacing="0"/>
              <w:ind w:left="0" w:right="0" w:firstLine="0"/>
              <w:rPr>
                <w:rFonts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263A7DF8">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74DB90ED">
            <w:pPr>
              <w:spacing w:before="0" w:after="0" w:afterAutospacing="0"/>
              <w:ind w:left="0" w:right="0" w:firstLine="0"/>
              <w:rPr>
                <w:rFonts w:ascii="宋体" w:hAnsi="宋体"/>
                <w:color w:val="auto"/>
                <w:highlight w:val="none"/>
              </w:rPr>
            </w:pPr>
          </w:p>
        </w:tc>
        <w:tc>
          <w:tcPr>
            <w:tcW w:w="1559" w:type="dxa"/>
            <w:vMerge w:val="continue"/>
            <w:tcBorders>
              <w:left w:val="nil"/>
              <w:right w:val="single" w:color="auto" w:sz="4" w:space="0"/>
            </w:tcBorders>
            <w:vAlign w:val="center"/>
          </w:tcPr>
          <w:p w14:paraId="1DC188FC">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7A1F84FD">
            <w:pPr>
              <w:spacing w:before="0" w:after="0" w:afterAutospacing="0"/>
              <w:ind w:left="0" w:right="0" w:firstLine="0"/>
              <w:rPr>
                <w:rFonts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D3696CF">
            <w:pPr>
              <w:spacing w:before="0" w:after="0" w:afterAutospacing="0"/>
              <w:ind w:left="0" w:right="0" w:firstLine="0"/>
              <w:rPr>
                <w:rFonts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468DABD8">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361D6657">
            <w:pPr>
              <w:spacing w:before="0" w:after="0" w:afterAutospacing="0"/>
              <w:ind w:left="0" w:right="0" w:firstLine="0"/>
              <w:rPr>
                <w:rFonts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58A8F8D8">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2442006A">
            <w:pPr>
              <w:spacing w:before="0" w:after="0" w:afterAutospacing="0"/>
              <w:ind w:left="0" w:right="0" w:firstLine="0"/>
              <w:rPr>
                <w:rFonts w:ascii="宋体" w:hAnsi="宋体"/>
                <w:color w:val="auto"/>
                <w:highlight w:val="none"/>
              </w:rPr>
            </w:pPr>
            <w:r>
              <w:rPr>
                <w:rFonts w:hint="eastAsia" w:ascii="宋体" w:hAnsi="宋体"/>
                <w:color w:val="auto"/>
                <w:highlight w:val="none"/>
              </w:rPr>
              <w:t>1.本项目比选文件的最终解释权归比选人。</w:t>
            </w:r>
          </w:p>
        </w:tc>
      </w:tr>
    </w:tbl>
    <w:p w14:paraId="6E938AD2">
      <w:pPr>
        <w:pStyle w:val="7"/>
        <w:spacing w:after="0" w:afterAutospacing="0" w:line="360" w:lineRule="auto"/>
        <w:ind w:left="484" w:leftChars="200" w:right="0" w:hanging="64" w:hangingChars="20"/>
        <w:rPr>
          <w:rFonts w:ascii="宋体" w:hAnsi="宋体" w:eastAsia="宋体"/>
          <w:color w:val="auto"/>
          <w:sz w:val="24"/>
          <w:szCs w:val="24"/>
          <w:highlight w:val="none"/>
        </w:rPr>
      </w:pPr>
      <w:r>
        <w:rPr>
          <w:rFonts w:ascii="宋体" w:hAnsi="宋体" w:eastAsia="宋体"/>
          <w:color w:val="auto"/>
          <w:highlight w:val="none"/>
        </w:rPr>
        <w:br w:type="page"/>
      </w:r>
      <w:bookmarkStart w:id="41" w:name="_Toc322528193"/>
      <w:bookmarkEnd w:id="41"/>
      <w:bookmarkStart w:id="42" w:name="_Toc114134607"/>
      <w:bookmarkStart w:id="43" w:name="_Toc15365"/>
      <w:bookmarkStart w:id="44" w:name="_Toc7891"/>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2"/>
      <w:bookmarkEnd w:id="43"/>
      <w:bookmarkEnd w:id="44"/>
    </w:p>
    <w:p w14:paraId="7D7BD677">
      <w:pPr>
        <w:pStyle w:val="8"/>
        <w:spacing w:before="0" w:after="0" w:afterAutospacing="0"/>
        <w:ind w:left="0" w:right="0" w:firstLine="422" w:firstLineChars="200"/>
        <w:rPr>
          <w:rFonts w:ascii="宋体" w:hAnsi="宋体"/>
          <w:color w:val="auto"/>
          <w:sz w:val="21"/>
          <w:szCs w:val="21"/>
          <w:highlight w:val="none"/>
        </w:rPr>
      </w:pPr>
      <w:bookmarkStart w:id="45" w:name="_Toc463"/>
      <w:bookmarkStart w:id="46" w:name="_Toc31563"/>
      <w:bookmarkStart w:id="47" w:name="_Toc13523"/>
      <w:bookmarkStart w:id="48" w:name="_Toc390098419"/>
      <w:bookmarkStart w:id="49" w:name="_Toc6861"/>
      <w:bookmarkStart w:id="50" w:name="_Toc17845"/>
      <w:bookmarkStart w:id="51" w:name="_Toc8166"/>
      <w:bookmarkStart w:id="52" w:name="_Toc5495"/>
      <w:bookmarkStart w:id="53" w:name="_Toc383891168"/>
      <w:bookmarkStart w:id="54" w:name="_Toc21139"/>
      <w:bookmarkStart w:id="55" w:name="_Toc27079"/>
      <w:bookmarkStart w:id="56" w:name="_Toc14066"/>
      <w:bookmarkStart w:id="57" w:name="_Toc12983505"/>
      <w:bookmarkStart w:id="58" w:name="_Toc375039064"/>
      <w:bookmarkStart w:id="59" w:name="_Toc25750591"/>
      <w:bookmarkStart w:id="60" w:name="_Toc7778"/>
      <w:bookmarkStart w:id="61" w:name="_Toc114134608"/>
      <w:bookmarkStart w:id="62" w:name="_Toc492478718"/>
      <w:bookmarkStart w:id="63" w:name="_Toc3804"/>
      <w:bookmarkStart w:id="64" w:name="_Toc12526"/>
      <w:bookmarkStart w:id="65" w:name="_Toc11224"/>
      <w:bookmarkStart w:id="66" w:name="_Toc30570"/>
      <w:bookmarkStart w:id="67" w:name="_Toc19983"/>
      <w:bookmarkStart w:id="68" w:name="_Toc385427793"/>
      <w:bookmarkStart w:id="69" w:name="_Toc9366"/>
      <w:bookmarkStart w:id="70" w:name="_Toc28326"/>
      <w:bookmarkStart w:id="71" w:name="_Toc3364"/>
      <w:r>
        <w:rPr>
          <w:rFonts w:hint="eastAsia" w:ascii="宋体" w:hAnsi="宋体"/>
          <w:color w:val="auto"/>
          <w:sz w:val="21"/>
          <w:szCs w:val="21"/>
          <w:highlight w:val="none"/>
        </w:rPr>
        <w:t>1.</w:t>
      </w:r>
      <w:r>
        <w:rPr>
          <w:rFonts w:ascii="宋体" w:hAnsi="宋体"/>
          <w:color w:val="auto"/>
          <w:sz w:val="21"/>
          <w:szCs w:val="21"/>
          <w:highlight w:val="none"/>
        </w:rPr>
        <w:t>项目说明</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AAC56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1.1比选人</w:t>
      </w:r>
      <w:r>
        <w:rPr>
          <w:rFonts w:ascii="宋体" w:hAnsi="宋体"/>
          <w:color w:val="auto"/>
          <w:highlight w:val="none"/>
        </w:rPr>
        <w:t>：详见比选申请须知前附表。</w:t>
      </w:r>
    </w:p>
    <w:p w14:paraId="2A140F3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1.2项目名称</w:t>
      </w:r>
      <w:r>
        <w:rPr>
          <w:rFonts w:ascii="宋体" w:hAnsi="宋体"/>
          <w:color w:val="auto"/>
          <w:highlight w:val="none"/>
        </w:rPr>
        <w:t>：详见比选申请须知前附表。</w:t>
      </w:r>
    </w:p>
    <w:p w14:paraId="1FE00EF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1.3项目编号</w:t>
      </w:r>
      <w:r>
        <w:rPr>
          <w:rFonts w:ascii="宋体" w:hAnsi="宋体"/>
          <w:color w:val="auto"/>
          <w:highlight w:val="none"/>
        </w:rPr>
        <w:t>：详见比选申请须知前附表。</w:t>
      </w:r>
    </w:p>
    <w:p w14:paraId="5E3FA8B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0AF184E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1A5BBDF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1.6资金来源情况：</w:t>
      </w:r>
      <w:r>
        <w:rPr>
          <w:rFonts w:ascii="宋体" w:hAnsi="宋体"/>
          <w:color w:val="auto"/>
          <w:highlight w:val="none"/>
        </w:rPr>
        <w:t>详见比选申请须知前附表。</w:t>
      </w:r>
    </w:p>
    <w:p w14:paraId="42622E9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5D7076B6">
      <w:pPr>
        <w:pStyle w:val="8"/>
        <w:spacing w:before="0" w:after="0" w:afterAutospacing="0"/>
        <w:ind w:left="0" w:right="0" w:firstLine="422" w:firstLineChars="200"/>
        <w:rPr>
          <w:rFonts w:ascii="宋体" w:hAnsi="宋体"/>
          <w:color w:val="auto"/>
          <w:sz w:val="21"/>
          <w:szCs w:val="21"/>
          <w:highlight w:val="none"/>
        </w:rPr>
      </w:pPr>
      <w:bookmarkStart w:id="72" w:name="_Toc4780"/>
      <w:bookmarkStart w:id="73" w:name="_Toc25750592"/>
      <w:bookmarkStart w:id="74" w:name="_Toc12983506"/>
      <w:bookmarkStart w:id="75" w:name="_Toc21874"/>
      <w:bookmarkStart w:id="76" w:name="_Toc31314"/>
      <w:bookmarkStart w:id="77" w:name="_Toc383891169"/>
      <w:bookmarkStart w:id="78" w:name="_Toc390098420"/>
      <w:bookmarkStart w:id="79" w:name="_Toc385427794"/>
      <w:bookmarkStart w:id="80" w:name="_Toc8052"/>
      <w:bookmarkStart w:id="81" w:name="_Toc6985"/>
      <w:bookmarkStart w:id="82" w:name="_Toc13712"/>
      <w:bookmarkStart w:id="83" w:name="_Toc22987"/>
      <w:bookmarkStart w:id="84" w:name="_Toc10907"/>
      <w:bookmarkStart w:id="85" w:name="_Toc27845"/>
      <w:bookmarkStart w:id="86" w:name="_Toc6038"/>
      <w:bookmarkStart w:id="87" w:name="_Toc16860"/>
      <w:bookmarkStart w:id="88" w:name="_Toc492478719"/>
      <w:bookmarkStart w:id="89" w:name="_Toc27847"/>
      <w:bookmarkStart w:id="90" w:name="_Toc114134609"/>
      <w:bookmarkStart w:id="91" w:name="_Toc375039065"/>
      <w:bookmarkStart w:id="92" w:name="_Toc1552"/>
      <w:bookmarkStart w:id="93" w:name="_Toc24429"/>
      <w:bookmarkStart w:id="94" w:name="_Toc15820"/>
      <w:r>
        <w:rPr>
          <w:rFonts w:hint="eastAsia" w:ascii="宋体" w:hAnsi="宋体"/>
          <w:color w:val="auto"/>
          <w:sz w:val="21"/>
          <w:szCs w:val="21"/>
          <w:highlight w:val="none"/>
        </w:rPr>
        <w:t>2.定义</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47178AD">
      <w:pPr>
        <w:spacing w:before="0" w:after="0" w:afterAutospacing="0"/>
        <w:ind w:left="0" w:right="0" w:firstLine="420" w:firstLineChars="200"/>
        <w:rPr>
          <w:rFonts w:ascii="宋体" w:hAnsi="宋体"/>
          <w:color w:val="auto"/>
          <w:highlight w:val="none"/>
        </w:rPr>
      </w:pPr>
      <w:r>
        <w:rPr>
          <w:rFonts w:ascii="宋体" w:hAnsi="宋体"/>
          <w:color w:val="auto"/>
          <w:highlight w:val="none"/>
        </w:rPr>
        <w:t>本比选文件使用的下列词汇具有如下规定的意义。</w:t>
      </w:r>
    </w:p>
    <w:p w14:paraId="647DD75E">
      <w:pPr>
        <w:tabs>
          <w:tab w:val="left" w:pos="8364"/>
        </w:tabs>
        <w:spacing w:before="0" w:after="0" w:afterAutospacing="0"/>
        <w:ind w:left="0" w:right="0" w:firstLine="420" w:firstLineChars="200"/>
        <w:rPr>
          <w:rFonts w:ascii="宋体" w:hAnsi="宋体"/>
          <w:b/>
          <w:color w:val="auto"/>
          <w:highlight w:val="none"/>
        </w:rPr>
      </w:pPr>
      <w:r>
        <w:rPr>
          <w:rFonts w:hint="eastAsia" w:ascii="宋体" w:hAnsi="宋体"/>
          <w:color w:val="auto"/>
          <w:highlight w:val="none"/>
        </w:rPr>
        <w:t>2.1</w:t>
      </w:r>
      <w:r>
        <w:rPr>
          <w:rFonts w:ascii="宋体" w:hAnsi="宋体"/>
          <w:color w:val="auto"/>
          <w:highlight w:val="none"/>
        </w:rPr>
        <w:t>“比选人”系指提出</w:t>
      </w:r>
      <w:r>
        <w:rPr>
          <w:rFonts w:hint="eastAsia" w:ascii="宋体" w:hAnsi="宋体"/>
          <w:color w:val="auto"/>
          <w:highlight w:val="none"/>
        </w:rPr>
        <w:t>比选</w:t>
      </w:r>
      <w:r>
        <w:rPr>
          <w:rFonts w:ascii="宋体" w:hAnsi="宋体"/>
          <w:color w:val="auto"/>
          <w:highlight w:val="none"/>
        </w:rPr>
        <w:t>采购</w:t>
      </w:r>
      <w:r>
        <w:rPr>
          <w:rFonts w:hint="eastAsia" w:ascii="宋体" w:hAnsi="宋体"/>
          <w:color w:val="auto"/>
          <w:highlight w:val="none"/>
        </w:rPr>
        <w:t>项目</w:t>
      </w:r>
      <w:r>
        <w:rPr>
          <w:rFonts w:ascii="宋体" w:hAnsi="宋体"/>
          <w:color w:val="auto"/>
          <w:highlight w:val="none"/>
        </w:rPr>
        <w:t>的国家机关、企业、事业单位或其它组织。本比选文件中比选人是指</w:t>
      </w:r>
      <w:r>
        <w:rPr>
          <w:rFonts w:hint="eastAsia" w:ascii="宋体" w:hAnsi="宋体"/>
          <w:b/>
          <w:bCs/>
          <w:color w:val="auto"/>
          <w:highlight w:val="none"/>
          <w:lang w:eastAsia="zh-CN"/>
        </w:rPr>
        <w:t>南宁轨道地产集团有限责任公司</w:t>
      </w:r>
      <w:r>
        <w:rPr>
          <w:rFonts w:hint="eastAsia" w:ascii="宋体" w:hAnsi="宋体"/>
          <w:b/>
          <w:color w:val="auto"/>
          <w:highlight w:val="none"/>
        </w:rPr>
        <w:t>，</w:t>
      </w:r>
      <w:r>
        <w:rPr>
          <w:rFonts w:ascii="宋体" w:hAnsi="宋体"/>
          <w:color w:val="auto"/>
          <w:highlight w:val="none"/>
        </w:rPr>
        <w:t>如无特别说明本比选文件中的“发包人、业主、甲方和比选人”均指：</w:t>
      </w:r>
      <w:r>
        <w:rPr>
          <w:rFonts w:hint="eastAsia" w:ascii="宋体" w:hAnsi="宋体"/>
          <w:b/>
          <w:color w:val="auto"/>
          <w:highlight w:val="none"/>
          <w:lang w:eastAsia="zh-CN"/>
        </w:rPr>
        <w:t>南宁轨道地产集团有限责任公司</w:t>
      </w:r>
      <w:r>
        <w:rPr>
          <w:rFonts w:hint="eastAsia" w:ascii="宋体" w:hAnsi="宋体"/>
          <w:b/>
          <w:color w:val="auto"/>
          <w:highlight w:val="none"/>
        </w:rPr>
        <w:t>。</w:t>
      </w:r>
    </w:p>
    <w:p w14:paraId="60BA30EA">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3BE6F879">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7B0FABE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7780C3B0">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4E18C0E5">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6A18AAD0">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2.7“保质期”系指质量三包的期限。</w:t>
      </w:r>
    </w:p>
    <w:p w14:paraId="7D8922F2">
      <w:pPr>
        <w:pStyle w:val="8"/>
        <w:spacing w:before="0" w:after="0" w:afterAutospacing="0"/>
        <w:ind w:left="0" w:right="0" w:firstLine="422" w:firstLineChars="200"/>
        <w:rPr>
          <w:rFonts w:ascii="宋体" w:hAnsi="宋体"/>
          <w:color w:val="auto"/>
          <w:sz w:val="21"/>
          <w:szCs w:val="21"/>
          <w:highlight w:val="none"/>
        </w:rPr>
      </w:pPr>
      <w:bookmarkStart w:id="95" w:name="_Toc390098421"/>
      <w:bookmarkStart w:id="96" w:name="_Toc383891170"/>
      <w:bookmarkStart w:id="97" w:name="_Toc492478720"/>
      <w:bookmarkStart w:id="98" w:name="_Toc375039066"/>
      <w:bookmarkStart w:id="99" w:name="_Toc385427795"/>
      <w:bookmarkStart w:id="100" w:name="_Toc29859"/>
      <w:bookmarkStart w:id="101" w:name="_Toc29401"/>
      <w:bookmarkStart w:id="102" w:name="_Toc25786"/>
      <w:bookmarkStart w:id="103" w:name="_Toc7306"/>
      <w:bookmarkStart w:id="104" w:name="_Toc30498"/>
      <w:bookmarkStart w:id="105" w:name="_Toc114134610"/>
      <w:bookmarkStart w:id="106" w:name="_Toc10653"/>
      <w:bookmarkStart w:id="107" w:name="_Toc22115"/>
      <w:bookmarkStart w:id="108" w:name="_Toc18527"/>
      <w:bookmarkStart w:id="109" w:name="_Toc22845"/>
      <w:bookmarkStart w:id="110" w:name="_Toc8288"/>
      <w:bookmarkStart w:id="111" w:name="_Toc25750593"/>
      <w:bookmarkStart w:id="112" w:name="_Toc9929"/>
      <w:bookmarkStart w:id="113" w:name="_Toc12983507"/>
      <w:bookmarkStart w:id="114" w:name="_Toc31477"/>
      <w:bookmarkStart w:id="115" w:name="_Toc17075"/>
      <w:bookmarkStart w:id="116" w:name="_Toc24844"/>
      <w:bookmarkStart w:id="117" w:name="_Toc7797"/>
      <w:bookmarkStart w:id="118" w:name="_Toc17568"/>
      <w:bookmarkStart w:id="119" w:name="_Toc307"/>
      <w:bookmarkStart w:id="120" w:name="_Toc12940"/>
      <w:bookmarkStart w:id="121" w:name="_Toc21351"/>
      <w:r>
        <w:rPr>
          <w:rFonts w:ascii="宋体" w:hAnsi="宋体"/>
          <w:color w:val="auto"/>
          <w:sz w:val="21"/>
          <w:szCs w:val="21"/>
          <w:highlight w:val="none"/>
        </w:rPr>
        <w:t>3.比选申请人</w:t>
      </w:r>
      <w:bookmarkEnd w:id="95"/>
      <w:bookmarkEnd w:id="96"/>
      <w:bookmarkEnd w:id="97"/>
      <w:bookmarkEnd w:id="98"/>
      <w:bookmarkEnd w:id="99"/>
      <w:r>
        <w:rPr>
          <w:rFonts w:hint="eastAsia" w:ascii="宋体" w:hAnsi="宋体"/>
          <w:color w:val="auto"/>
          <w:sz w:val="21"/>
          <w:szCs w:val="21"/>
          <w:highlight w:val="none"/>
        </w:rPr>
        <w:t>应具备的资格条件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EAC5E97">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3.1</w:t>
      </w:r>
      <w:r>
        <w:rPr>
          <w:rFonts w:ascii="宋体" w:hAnsi="宋体"/>
          <w:color w:val="auto"/>
          <w:highlight w:val="none"/>
        </w:rPr>
        <w:t>详见比选申请须知前附表。</w:t>
      </w:r>
    </w:p>
    <w:p w14:paraId="70513998">
      <w:pPr>
        <w:spacing w:before="0" w:after="0" w:afterAutospacing="0"/>
        <w:ind w:left="0" w:right="0" w:firstLine="420" w:firstLineChars="200"/>
        <w:rPr>
          <w:rFonts w:ascii="宋体" w:hAnsi="宋体"/>
          <w:color w:val="auto"/>
          <w:highlight w:val="none"/>
        </w:rPr>
      </w:pPr>
      <w:r>
        <w:rPr>
          <w:rFonts w:ascii="宋体" w:hAnsi="宋体"/>
          <w:color w:val="auto"/>
          <w:highlight w:val="none"/>
        </w:rPr>
        <w:t>3.2</w:t>
      </w:r>
      <w:r>
        <w:rPr>
          <w:rFonts w:hint="eastAsia" w:ascii="宋体" w:hAnsi="宋体"/>
          <w:color w:val="auto"/>
          <w:highlight w:val="none"/>
        </w:rPr>
        <w:t>比选申请人不得存在以下情况之一，否则其比选申请将被否决：</w:t>
      </w:r>
    </w:p>
    <w:p w14:paraId="635D832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4092A10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（2）处于被责令停业，被列入失信被执行人名单，或比选申请资格被住建部、国家安监总局、广西区或南宁市建设行政主管部门取消，或财产被接管、冻结、破产状态；</w:t>
      </w:r>
    </w:p>
    <w:p w14:paraId="714CFC6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（3）有骗取中选、严重违约或重大质量安全责任事故；</w:t>
      </w:r>
    </w:p>
    <w:p w14:paraId="4DD3EB7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0183DA1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（5）比选申请人向比选人或评审委员会成员以行贿的手段谋取中选的；</w:t>
      </w:r>
    </w:p>
    <w:p w14:paraId="74D4D9B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（6）串通比选申请或弄虚作假或有其他违法行为的；</w:t>
      </w:r>
    </w:p>
    <w:p w14:paraId="6622462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（7）在比选申请文件中提供虚假文件或资料的。</w:t>
      </w:r>
    </w:p>
    <w:p w14:paraId="603ABF2F">
      <w:pPr>
        <w:pStyle w:val="8"/>
        <w:spacing w:before="0" w:after="0" w:afterAutospacing="0"/>
        <w:ind w:left="0" w:right="0" w:firstLine="422" w:firstLineChars="200"/>
        <w:rPr>
          <w:rFonts w:ascii="宋体" w:hAnsi="宋体"/>
          <w:color w:val="auto"/>
          <w:sz w:val="21"/>
          <w:szCs w:val="21"/>
          <w:highlight w:val="none"/>
        </w:rPr>
      </w:pPr>
      <w:bookmarkStart w:id="122" w:name="_Toc7832"/>
      <w:bookmarkStart w:id="123" w:name="_Toc24103"/>
      <w:bookmarkStart w:id="124" w:name="_Toc616"/>
      <w:bookmarkStart w:id="125" w:name="_Toc23146"/>
      <w:bookmarkStart w:id="126" w:name="_Toc8434"/>
      <w:bookmarkStart w:id="127" w:name="_Toc25750594"/>
      <w:bookmarkStart w:id="128" w:name="_Toc18668"/>
      <w:bookmarkStart w:id="129" w:name="_Toc31789"/>
      <w:bookmarkStart w:id="130" w:name="_Toc30752"/>
      <w:bookmarkStart w:id="131" w:name="_Toc375039067"/>
      <w:bookmarkStart w:id="132" w:name="_Toc19709"/>
      <w:bookmarkStart w:id="133" w:name="_Toc31026"/>
      <w:bookmarkStart w:id="134" w:name="_Toc3292"/>
      <w:bookmarkStart w:id="135" w:name="_Toc25914"/>
      <w:bookmarkStart w:id="136" w:name="_Toc21602"/>
      <w:bookmarkStart w:id="137" w:name="_Toc1737"/>
      <w:bookmarkStart w:id="138" w:name="_Toc492478721"/>
      <w:bookmarkStart w:id="139" w:name="_Toc1125"/>
      <w:bookmarkStart w:id="140" w:name="_Toc383891171"/>
      <w:bookmarkStart w:id="141" w:name="_Toc4438"/>
      <w:bookmarkStart w:id="142" w:name="_Toc114134611"/>
      <w:bookmarkStart w:id="143" w:name="_Toc12983508"/>
      <w:bookmarkStart w:id="144" w:name="_Toc21215"/>
      <w:bookmarkStart w:id="145" w:name="_Toc385427796"/>
      <w:bookmarkStart w:id="146" w:name="_Toc7103"/>
      <w:bookmarkStart w:id="147" w:name="_Toc390098422"/>
      <w:bookmarkStart w:id="148" w:name="_Toc19081"/>
      <w:r>
        <w:rPr>
          <w:rFonts w:hint="eastAsia" w:ascii="宋体" w:hAnsi="宋体"/>
          <w:color w:val="auto"/>
          <w:sz w:val="21"/>
          <w:szCs w:val="21"/>
          <w:highlight w:val="none"/>
        </w:rPr>
        <w:t>4.</w:t>
      </w:r>
      <w:r>
        <w:rPr>
          <w:rFonts w:ascii="宋体" w:hAnsi="宋体"/>
          <w:color w:val="auto"/>
          <w:sz w:val="21"/>
          <w:szCs w:val="21"/>
          <w:highlight w:val="none"/>
        </w:rPr>
        <w:t>比选申请费用</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E08E65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6D5C7662">
      <w:pPr>
        <w:pStyle w:val="7"/>
        <w:spacing w:after="0" w:afterAutospacing="0" w:line="360" w:lineRule="auto"/>
        <w:ind w:left="0" w:right="0" w:firstLine="482" w:firstLineChars="200"/>
        <w:rPr>
          <w:rFonts w:ascii="宋体" w:hAnsi="宋体" w:eastAsia="宋体"/>
          <w:color w:val="auto"/>
          <w:sz w:val="24"/>
          <w:szCs w:val="24"/>
          <w:highlight w:val="none"/>
        </w:rPr>
      </w:pPr>
      <w:bookmarkStart w:id="149" w:name="_Toc6528"/>
      <w:bookmarkStart w:id="150" w:name="_Toc12983509"/>
      <w:bookmarkStart w:id="151" w:name="_Toc28017"/>
      <w:bookmarkStart w:id="152" w:name="_Toc16608"/>
      <w:bookmarkStart w:id="153" w:name="_Toc385427797"/>
      <w:bookmarkStart w:id="154" w:name="_Toc114134612"/>
      <w:bookmarkStart w:id="155" w:name="_Toc383891172"/>
      <w:bookmarkStart w:id="156" w:name="_Toc19617"/>
      <w:bookmarkStart w:id="157" w:name="_Toc28220"/>
      <w:bookmarkStart w:id="158" w:name="_Toc7012"/>
      <w:bookmarkStart w:id="159" w:name="_Toc3854"/>
      <w:bookmarkStart w:id="160" w:name="_Toc2609"/>
      <w:bookmarkStart w:id="161" w:name="_Toc375039068"/>
      <w:bookmarkStart w:id="162" w:name="_Toc9677"/>
      <w:bookmarkStart w:id="163" w:name="_Toc390098423"/>
      <w:bookmarkStart w:id="164" w:name="_Toc15763"/>
      <w:bookmarkStart w:id="165" w:name="_Toc5487"/>
      <w:bookmarkStart w:id="166" w:name="_Toc8562"/>
      <w:bookmarkStart w:id="167" w:name="_Toc29160"/>
      <w:bookmarkStart w:id="168" w:name="_Toc2986"/>
      <w:bookmarkStart w:id="169" w:name="_Toc492478722"/>
      <w:bookmarkStart w:id="170" w:name="_Toc16131"/>
      <w:bookmarkStart w:id="171" w:name="_Toc5160"/>
      <w:bookmarkStart w:id="172" w:name="_Toc16530"/>
      <w:bookmarkStart w:id="173" w:name="_Toc7339"/>
      <w:bookmarkStart w:id="174" w:name="_Toc18528"/>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88910CE">
      <w:pPr>
        <w:pStyle w:val="8"/>
        <w:spacing w:before="0" w:after="0" w:afterAutospacing="0"/>
        <w:ind w:left="0" w:right="0" w:firstLine="422" w:firstLineChars="200"/>
        <w:rPr>
          <w:rFonts w:ascii="宋体" w:hAnsi="宋体"/>
          <w:color w:val="auto"/>
          <w:sz w:val="21"/>
          <w:szCs w:val="21"/>
          <w:highlight w:val="none"/>
        </w:rPr>
      </w:pPr>
      <w:bookmarkStart w:id="175" w:name="_Toc12983510"/>
      <w:bookmarkStart w:id="176" w:name="_Toc27870"/>
      <w:bookmarkStart w:id="177" w:name="_Toc4157"/>
      <w:bookmarkStart w:id="178" w:name="_Toc492478723"/>
      <w:bookmarkStart w:id="179" w:name="_Toc18436"/>
      <w:bookmarkStart w:id="180" w:name="_Toc19561"/>
      <w:bookmarkStart w:id="181" w:name="_Toc2048"/>
      <w:bookmarkStart w:id="182" w:name="_Toc29225"/>
      <w:bookmarkStart w:id="183" w:name="_Toc25378"/>
      <w:bookmarkStart w:id="184" w:name="_Toc839"/>
      <w:bookmarkStart w:id="185" w:name="_Toc114134613"/>
      <w:bookmarkStart w:id="186" w:name="_Toc26333"/>
      <w:bookmarkStart w:id="187" w:name="_Toc29472"/>
      <w:bookmarkStart w:id="188" w:name="_Toc1404"/>
      <w:bookmarkStart w:id="189" w:name="_Toc9756"/>
      <w:bookmarkStart w:id="190" w:name="_Toc30401"/>
      <w:bookmarkStart w:id="191" w:name="_Toc25750596"/>
      <w:bookmarkStart w:id="192" w:name="_Toc21811"/>
      <w:bookmarkStart w:id="193" w:name="_Toc5877"/>
      <w:bookmarkStart w:id="194" w:name="_Toc385427798"/>
      <w:bookmarkStart w:id="195" w:name="_Toc6637"/>
      <w:bookmarkStart w:id="196" w:name="_Toc32710"/>
      <w:bookmarkStart w:id="197" w:name="_Toc13114"/>
      <w:bookmarkStart w:id="198" w:name="_Toc6764"/>
      <w:bookmarkStart w:id="199" w:name="_Toc383891173"/>
      <w:bookmarkStart w:id="200" w:name="_Toc390098424"/>
      <w:bookmarkStart w:id="201" w:name="_Toc375039069"/>
      <w:r>
        <w:rPr>
          <w:rFonts w:hint="eastAsia" w:ascii="宋体" w:hAnsi="宋体"/>
          <w:color w:val="auto"/>
          <w:sz w:val="21"/>
          <w:szCs w:val="21"/>
          <w:highlight w:val="none"/>
        </w:rPr>
        <w:t>5.</w:t>
      </w:r>
      <w:r>
        <w:rPr>
          <w:rFonts w:ascii="宋体" w:hAnsi="宋体"/>
          <w:color w:val="auto"/>
          <w:sz w:val="21"/>
          <w:szCs w:val="21"/>
          <w:highlight w:val="none"/>
        </w:rPr>
        <w:t>比选文件构成</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578205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5.1</w:t>
      </w:r>
      <w:r>
        <w:rPr>
          <w:rFonts w:ascii="宋体" w:hAnsi="宋体"/>
          <w:color w:val="auto"/>
          <w:highlight w:val="none"/>
        </w:rPr>
        <w:t>比选文件包括下列内容：</w:t>
      </w:r>
    </w:p>
    <w:p w14:paraId="5BC20918">
      <w:pPr>
        <w:numPr>
          <w:ilvl w:val="0"/>
          <w:numId w:val="1"/>
        </w:numPr>
        <w:spacing w:before="0" w:after="0" w:afterAutospacing="0"/>
        <w:ind w:left="0" w:right="0" w:firstLine="420" w:firstLineChars="200"/>
        <w:rPr>
          <w:rFonts w:ascii="宋体" w:hAnsi="宋体"/>
          <w:color w:val="auto"/>
          <w:highlight w:val="none"/>
        </w:rPr>
      </w:pPr>
      <w:r>
        <w:rPr>
          <w:rFonts w:ascii="宋体" w:hAnsi="宋体"/>
          <w:color w:val="auto"/>
          <w:highlight w:val="none"/>
        </w:rPr>
        <w:t>比选公告</w:t>
      </w:r>
    </w:p>
    <w:p w14:paraId="41E6E5BE">
      <w:pPr>
        <w:numPr>
          <w:ilvl w:val="0"/>
          <w:numId w:val="1"/>
        </w:numPr>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比选申请人须知</w:t>
      </w:r>
    </w:p>
    <w:p w14:paraId="2AC931DD">
      <w:pPr>
        <w:numPr>
          <w:ilvl w:val="0"/>
          <w:numId w:val="1"/>
        </w:numPr>
        <w:spacing w:before="0" w:after="0" w:afterAutospacing="0"/>
        <w:ind w:left="0" w:right="0" w:firstLine="420" w:firstLineChars="200"/>
        <w:rPr>
          <w:rFonts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7D034004">
      <w:pPr>
        <w:numPr>
          <w:ilvl w:val="0"/>
          <w:numId w:val="1"/>
        </w:numPr>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比选申请文件格式</w:t>
      </w:r>
    </w:p>
    <w:p w14:paraId="421FC8B7">
      <w:pPr>
        <w:numPr>
          <w:ilvl w:val="0"/>
          <w:numId w:val="1"/>
        </w:num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采购需求书</w:t>
      </w:r>
    </w:p>
    <w:p w14:paraId="53D28E7D">
      <w:pPr>
        <w:numPr>
          <w:ilvl w:val="0"/>
          <w:numId w:val="1"/>
        </w:numPr>
        <w:spacing w:before="0" w:after="0" w:afterAutospacing="0"/>
        <w:ind w:left="0" w:right="0" w:firstLine="420" w:firstLineChars="200"/>
        <w:rPr>
          <w:rFonts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3B422DD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5.2</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0837A74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5.3</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B73F9CD">
      <w:pPr>
        <w:pStyle w:val="8"/>
        <w:spacing w:before="0" w:after="0" w:afterAutospacing="0"/>
        <w:ind w:left="0" w:right="0" w:firstLine="422" w:firstLineChars="200"/>
        <w:rPr>
          <w:rFonts w:ascii="宋体" w:hAnsi="宋体"/>
          <w:color w:val="auto"/>
          <w:sz w:val="21"/>
          <w:szCs w:val="21"/>
          <w:highlight w:val="none"/>
        </w:rPr>
      </w:pPr>
      <w:bookmarkStart w:id="202" w:name="_Toc31848"/>
      <w:bookmarkStart w:id="203" w:name="_Toc383891174"/>
      <w:bookmarkStart w:id="204" w:name="_Toc2489"/>
      <w:bookmarkStart w:id="205" w:name="_Toc2789"/>
      <w:bookmarkStart w:id="206" w:name="_Toc31386"/>
      <w:bookmarkStart w:id="207" w:name="_Toc18631"/>
      <w:bookmarkStart w:id="208" w:name="_Toc375039070"/>
      <w:bookmarkStart w:id="209" w:name="_Toc17279"/>
      <w:bookmarkStart w:id="210" w:name="_Toc18719"/>
      <w:bookmarkStart w:id="211" w:name="_Toc25750597"/>
      <w:bookmarkStart w:id="212" w:name="_Toc14426"/>
      <w:bookmarkStart w:id="213" w:name="_Toc390098425"/>
      <w:bookmarkStart w:id="214" w:name="_Toc21365"/>
      <w:bookmarkStart w:id="215" w:name="_Toc12983511"/>
      <w:bookmarkStart w:id="216" w:name="_Toc29001"/>
      <w:bookmarkStart w:id="217" w:name="_Toc20903"/>
      <w:bookmarkStart w:id="218" w:name="_Toc114134614"/>
      <w:bookmarkStart w:id="219" w:name="_Toc11896"/>
      <w:bookmarkStart w:id="220" w:name="_Toc6622"/>
      <w:bookmarkStart w:id="221" w:name="_Toc10162"/>
      <w:bookmarkStart w:id="222" w:name="_Toc26909"/>
      <w:bookmarkStart w:id="223" w:name="_Toc385427799"/>
      <w:bookmarkStart w:id="224" w:name="_Toc26811"/>
      <w:bookmarkStart w:id="225" w:name="_Toc28270"/>
      <w:bookmarkStart w:id="226" w:name="_Toc15154"/>
      <w:bookmarkStart w:id="227" w:name="_Toc492478724"/>
      <w:bookmarkStart w:id="228" w:name="_Toc2664"/>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CF7157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6.1</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5C21C0B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6.2比选人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7D4358D4">
      <w:pPr>
        <w:pStyle w:val="8"/>
        <w:spacing w:before="0" w:after="0" w:afterAutospacing="0"/>
        <w:ind w:left="0" w:right="0" w:firstLine="422" w:firstLineChars="200"/>
        <w:rPr>
          <w:rFonts w:ascii="宋体" w:hAnsi="宋体"/>
          <w:color w:val="auto"/>
          <w:sz w:val="21"/>
          <w:szCs w:val="21"/>
          <w:highlight w:val="none"/>
        </w:rPr>
      </w:pPr>
      <w:bookmarkStart w:id="229" w:name="_Toc15137"/>
      <w:bookmarkStart w:id="230" w:name="_Toc492478725"/>
      <w:bookmarkStart w:id="231" w:name="_Toc7063"/>
      <w:bookmarkStart w:id="232" w:name="_Toc24128"/>
      <w:bookmarkStart w:id="233" w:name="_Toc30378"/>
      <w:bookmarkStart w:id="234" w:name="_Toc29795"/>
      <w:bookmarkStart w:id="235" w:name="_Toc375039071"/>
      <w:bookmarkStart w:id="236" w:name="_Toc19345"/>
      <w:bookmarkStart w:id="237" w:name="_Toc26952"/>
      <w:bookmarkStart w:id="238" w:name="_Toc24191"/>
      <w:bookmarkStart w:id="239" w:name="_Toc27124"/>
      <w:bookmarkStart w:id="240" w:name="_Toc2976"/>
      <w:bookmarkStart w:id="241" w:name="_Toc114134615"/>
      <w:bookmarkStart w:id="242" w:name="_Toc383891175"/>
      <w:bookmarkStart w:id="243" w:name="_Toc22529"/>
      <w:bookmarkStart w:id="244" w:name="_Toc2072"/>
      <w:bookmarkStart w:id="245" w:name="_Toc15674"/>
      <w:bookmarkStart w:id="246" w:name="_Toc12983512"/>
      <w:bookmarkStart w:id="247" w:name="_Toc390098426"/>
      <w:bookmarkStart w:id="248" w:name="_Toc5364"/>
      <w:bookmarkStart w:id="249" w:name="_Toc385427800"/>
      <w:bookmarkStart w:id="250" w:name="_Toc25750598"/>
      <w:bookmarkStart w:id="251" w:name="_Toc23189"/>
      <w:bookmarkStart w:id="252" w:name="_Toc15498"/>
      <w:bookmarkStart w:id="253" w:name="_Toc23716"/>
      <w:bookmarkStart w:id="254" w:name="_Toc24583"/>
      <w:bookmarkStart w:id="255" w:name="_Toc14181"/>
      <w:r>
        <w:rPr>
          <w:rFonts w:hint="eastAsia" w:ascii="宋体" w:hAnsi="宋体"/>
          <w:color w:val="auto"/>
          <w:sz w:val="21"/>
          <w:szCs w:val="21"/>
          <w:highlight w:val="none"/>
        </w:rPr>
        <w:t>7.</w:t>
      </w:r>
      <w:r>
        <w:rPr>
          <w:rFonts w:ascii="宋体" w:hAnsi="宋体"/>
          <w:color w:val="auto"/>
          <w:sz w:val="21"/>
          <w:szCs w:val="21"/>
          <w:highlight w:val="none"/>
        </w:rPr>
        <w:t>比选文件的补遗或修改</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FA6BC3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7.1</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258DAA1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7.2</w:t>
      </w:r>
      <w:r>
        <w:rPr>
          <w:rFonts w:ascii="宋体" w:hAnsi="宋体"/>
          <w:color w:val="auto"/>
          <w:highlight w:val="none"/>
        </w:rPr>
        <w:t>比选文件的补遗或修改通知是比选文件的组成部分，补充比选文件在</w:t>
      </w:r>
      <w:r>
        <w:rPr>
          <w:rFonts w:hint="eastAsia" w:ascii="宋体" w:hAnsi="宋体"/>
          <w:b/>
          <w:bCs/>
          <w:color w:val="auto"/>
          <w:highlight w:val="none"/>
        </w:rPr>
        <w:t>南宁轨道地产集团有限责任公司</w:t>
      </w:r>
      <w:r>
        <w:rPr>
          <w:rFonts w:hint="eastAsia" w:ascii="宋体" w:hAnsi="宋体"/>
          <w:color w:val="auto"/>
          <w:highlight w:val="none"/>
        </w:rPr>
        <w:t>官网</w:t>
      </w:r>
      <w:r>
        <w:rPr>
          <w:rFonts w:ascii="宋体" w:hAnsi="宋体"/>
          <w:color w:val="auto"/>
          <w:highlight w:val="none"/>
        </w:rPr>
        <w:t>上发布之日起，视为比选申请人已收到该补充比选文件。比选申请人未及时关注</w:t>
      </w:r>
      <w:r>
        <w:rPr>
          <w:rFonts w:hint="eastAsia" w:ascii="宋体" w:hAnsi="宋体"/>
          <w:b/>
          <w:bCs/>
          <w:color w:val="auto"/>
          <w:highlight w:val="none"/>
        </w:rPr>
        <w:t>南宁轨道地产集团有限责任公司</w:t>
      </w:r>
      <w:r>
        <w:rPr>
          <w:rFonts w:hint="eastAsia" w:ascii="宋体" w:hAnsi="宋体"/>
          <w:color w:val="auto"/>
          <w:highlight w:val="none"/>
        </w:rPr>
        <w:t>官网</w:t>
      </w:r>
      <w:r>
        <w:rPr>
          <w:rFonts w:ascii="宋体" w:hAnsi="宋体"/>
          <w:color w:val="auto"/>
          <w:highlight w:val="none"/>
        </w:rPr>
        <w:t>上发布的补充比选文件造成的损失，由比选申请人自行负责。</w:t>
      </w:r>
    </w:p>
    <w:p w14:paraId="2EEEE0A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7.3</w:t>
      </w:r>
      <w:r>
        <w:rPr>
          <w:rFonts w:ascii="宋体" w:hAnsi="宋体"/>
          <w:color w:val="auto"/>
          <w:highlight w:val="none"/>
        </w:rPr>
        <w:t>当后发的补遗或修改通知与原比选文件或此前发出的补遗或修改通知之间存有不一致时，应以后发的补遗或修改通知为准。</w:t>
      </w:r>
    </w:p>
    <w:p w14:paraId="1986786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7.4</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0DDF26C7">
      <w:pPr>
        <w:pStyle w:val="7"/>
        <w:spacing w:after="0" w:afterAutospacing="0" w:line="360" w:lineRule="auto"/>
        <w:ind w:left="0" w:right="0" w:firstLine="482" w:firstLineChars="200"/>
        <w:rPr>
          <w:rFonts w:ascii="宋体" w:hAnsi="宋体" w:eastAsia="宋体"/>
          <w:color w:val="auto"/>
          <w:sz w:val="24"/>
          <w:szCs w:val="24"/>
          <w:highlight w:val="none"/>
        </w:rPr>
      </w:pPr>
      <w:bookmarkStart w:id="256" w:name="_Toc95"/>
      <w:bookmarkStart w:id="257" w:name="_Toc5805"/>
      <w:bookmarkStart w:id="258" w:name="_Toc492478726"/>
      <w:bookmarkStart w:id="259" w:name="_Toc6715"/>
      <w:bookmarkStart w:id="260" w:name="_Toc375039072"/>
      <w:bookmarkStart w:id="261" w:name="_Toc114134616"/>
      <w:bookmarkStart w:id="262" w:name="_Toc4718"/>
      <w:bookmarkStart w:id="263" w:name="_Toc30363"/>
      <w:bookmarkStart w:id="264" w:name="_Toc12983513"/>
      <w:bookmarkStart w:id="265" w:name="_Toc14185"/>
      <w:bookmarkStart w:id="266" w:name="_Toc17692"/>
      <w:bookmarkStart w:id="267" w:name="_Toc24759"/>
      <w:bookmarkStart w:id="268" w:name="_Toc28044"/>
      <w:bookmarkStart w:id="269" w:name="_Toc7604"/>
      <w:bookmarkStart w:id="270" w:name="_Toc10869"/>
      <w:bookmarkStart w:id="271" w:name="_Toc383891176"/>
      <w:bookmarkStart w:id="272" w:name="_Toc385427801"/>
      <w:bookmarkStart w:id="273" w:name="_Toc16406"/>
      <w:bookmarkStart w:id="274" w:name="_Toc24557"/>
      <w:bookmarkStart w:id="275" w:name="_Toc18679"/>
      <w:bookmarkStart w:id="276" w:name="_Toc390098427"/>
      <w:bookmarkStart w:id="277" w:name="_Toc25361"/>
      <w:bookmarkStart w:id="278" w:name="_Toc17335"/>
      <w:bookmarkStart w:id="279" w:name="_Toc9387"/>
      <w:bookmarkStart w:id="280" w:name="_Toc27913"/>
      <w:bookmarkStart w:id="281" w:name="_Toc2902"/>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8D97E2E">
      <w:pPr>
        <w:pStyle w:val="8"/>
        <w:spacing w:before="0" w:after="0" w:afterAutospacing="0"/>
        <w:ind w:left="0" w:right="0" w:firstLine="422" w:firstLineChars="200"/>
        <w:rPr>
          <w:rFonts w:ascii="宋体" w:hAnsi="宋体"/>
          <w:color w:val="auto"/>
          <w:sz w:val="21"/>
          <w:szCs w:val="21"/>
          <w:highlight w:val="none"/>
        </w:rPr>
      </w:pPr>
      <w:bookmarkStart w:id="282" w:name="_Toc114134617"/>
      <w:bookmarkStart w:id="283" w:name="_Toc26680"/>
      <w:bookmarkStart w:id="284" w:name="_Toc16435"/>
      <w:bookmarkStart w:id="285" w:name="_Toc26150"/>
      <w:bookmarkStart w:id="286" w:name="_Toc4384"/>
      <w:bookmarkStart w:id="287" w:name="_Toc13418"/>
      <w:bookmarkStart w:id="288" w:name="_Toc12983514"/>
      <w:bookmarkStart w:id="289" w:name="_Toc23794"/>
      <w:bookmarkStart w:id="290" w:name="_Toc29862"/>
      <w:bookmarkStart w:id="291" w:name="_Toc25750600"/>
      <w:bookmarkStart w:id="292" w:name="_Toc492478727"/>
      <w:bookmarkStart w:id="293" w:name="_Toc20025"/>
      <w:bookmarkStart w:id="294" w:name="_Toc5164"/>
      <w:bookmarkStart w:id="295" w:name="_Toc2819"/>
      <w:bookmarkStart w:id="296" w:name="_Toc12074"/>
      <w:bookmarkStart w:id="297" w:name="_Toc390098428"/>
      <w:bookmarkStart w:id="298" w:name="_Toc9592"/>
      <w:bookmarkStart w:id="299" w:name="_Toc385427802"/>
      <w:bookmarkStart w:id="300" w:name="_Toc11259"/>
      <w:bookmarkStart w:id="301" w:name="_Toc21673"/>
      <w:bookmarkStart w:id="302" w:name="_Toc18350"/>
      <w:bookmarkStart w:id="303" w:name="_Toc375039073"/>
      <w:bookmarkStart w:id="304" w:name="_Toc16186"/>
      <w:bookmarkStart w:id="305" w:name="_Toc1733"/>
      <w:bookmarkStart w:id="306" w:name="_Toc383891177"/>
      <w:bookmarkStart w:id="307" w:name="_Toc32435"/>
      <w:bookmarkStart w:id="308" w:name="_Toc12456"/>
      <w:r>
        <w:rPr>
          <w:rFonts w:hint="eastAsia" w:ascii="宋体" w:hAnsi="宋体"/>
          <w:color w:val="auto"/>
          <w:sz w:val="21"/>
          <w:szCs w:val="21"/>
          <w:highlight w:val="none"/>
        </w:rPr>
        <w:t>8.</w:t>
      </w:r>
      <w:r>
        <w:rPr>
          <w:rFonts w:ascii="宋体" w:hAnsi="宋体"/>
          <w:color w:val="auto"/>
          <w:sz w:val="21"/>
          <w:szCs w:val="21"/>
          <w:highlight w:val="none"/>
        </w:rPr>
        <w:t>编制要求</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5D66788">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4B766CBE">
      <w:pPr>
        <w:pStyle w:val="8"/>
        <w:numPr>
          <w:ilvl w:val="0"/>
          <w:numId w:val="2"/>
        </w:numPr>
        <w:spacing w:before="0" w:after="0" w:afterAutospacing="0"/>
        <w:ind w:left="0" w:right="0" w:firstLine="422" w:firstLineChars="200"/>
        <w:rPr>
          <w:rFonts w:ascii="宋体" w:hAnsi="宋体"/>
          <w:color w:val="auto"/>
          <w:sz w:val="21"/>
          <w:szCs w:val="21"/>
          <w:highlight w:val="none"/>
        </w:rPr>
      </w:pPr>
      <w:bookmarkStart w:id="309" w:name="_Toc24935"/>
      <w:bookmarkStart w:id="310" w:name="_Toc26753"/>
      <w:bookmarkStart w:id="311" w:name="_Toc25750601"/>
      <w:bookmarkStart w:id="312" w:name="_Toc16237"/>
      <w:bookmarkStart w:id="313" w:name="_Toc28065"/>
      <w:bookmarkStart w:id="314" w:name="_Toc12983515"/>
      <w:bookmarkStart w:id="315" w:name="_Toc492478728"/>
      <w:bookmarkStart w:id="316" w:name="_Toc9887"/>
      <w:bookmarkStart w:id="317" w:name="_Toc114134618"/>
      <w:bookmarkStart w:id="318" w:name="_Toc385427803"/>
      <w:bookmarkStart w:id="319" w:name="_Toc25770"/>
      <w:bookmarkStart w:id="320" w:name="_Toc19885"/>
      <w:bookmarkStart w:id="321" w:name="_Toc3492"/>
      <w:bookmarkStart w:id="322" w:name="_Toc375039074"/>
      <w:bookmarkStart w:id="323" w:name="_Toc11161"/>
      <w:bookmarkStart w:id="324" w:name="_Toc24857"/>
      <w:bookmarkStart w:id="325" w:name="_Toc383891178"/>
      <w:bookmarkStart w:id="326" w:name="_Toc15570"/>
      <w:bookmarkStart w:id="327" w:name="_Toc28296"/>
      <w:bookmarkStart w:id="328" w:name="_Toc390098429"/>
      <w:bookmarkStart w:id="329" w:name="_Toc12207"/>
      <w:bookmarkStart w:id="330" w:name="_Toc11040"/>
      <w:bookmarkStart w:id="331" w:name="_Toc1047"/>
      <w:bookmarkStart w:id="332" w:name="_Toc10368"/>
      <w:bookmarkStart w:id="333" w:name="_Toc17682"/>
      <w:bookmarkStart w:id="334" w:name="_Toc6261"/>
      <w:bookmarkStart w:id="335" w:name="_Toc22026"/>
      <w:r>
        <w:rPr>
          <w:rFonts w:ascii="宋体" w:hAnsi="宋体"/>
          <w:color w:val="auto"/>
          <w:sz w:val="21"/>
          <w:szCs w:val="21"/>
          <w:highlight w:val="none"/>
        </w:rPr>
        <w:t>比选申请语言及计量单位</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1F87F3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9.1</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D7B4F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9.2</w:t>
      </w:r>
      <w:r>
        <w:rPr>
          <w:rFonts w:ascii="宋体" w:hAnsi="宋体"/>
          <w:color w:val="auto"/>
          <w:highlight w:val="none"/>
        </w:rPr>
        <w:t>除在比选文件另有规定外，计量单位应使用中华人民共和国法定计量单位。</w:t>
      </w:r>
    </w:p>
    <w:p w14:paraId="095D7FA4">
      <w:pPr>
        <w:pStyle w:val="8"/>
        <w:numPr>
          <w:ilvl w:val="0"/>
          <w:numId w:val="2"/>
        </w:numPr>
        <w:spacing w:before="0" w:after="0" w:afterAutospacing="0"/>
        <w:ind w:left="0" w:right="0" w:firstLine="422" w:firstLineChars="200"/>
        <w:rPr>
          <w:rFonts w:ascii="宋体" w:hAnsi="宋体"/>
          <w:color w:val="auto"/>
          <w:sz w:val="21"/>
          <w:szCs w:val="21"/>
          <w:highlight w:val="none"/>
        </w:rPr>
      </w:pPr>
      <w:bookmarkStart w:id="336" w:name="_Toc16307"/>
      <w:bookmarkStart w:id="337" w:name="_Toc375039075"/>
      <w:bookmarkStart w:id="338" w:name="_Toc23364"/>
      <w:bookmarkStart w:id="339" w:name="_Toc18149"/>
      <w:bookmarkStart w:id="340" w:name="_Toc12983516"/>
      <w:bookmarkStart w:id="341" w:name="_Toc28164"/>
      <w:bookmarkStart w:id="342" w:name="_Toc30356"/>
      <w:bookmarkStart w:id="343" w:name="_Toc15809"/>
      <w:bookmarkStart w:id="344" w:name="_Toc3411"/>
      <w:bookmarkStart w:id="345" w:name="_Toc23229"/>
      <w:bookmarkStart w:id="346" w:name="_Toc25750602"/>
      <w:bookmarkStart w:id="347" w:name="_Toc19681"/>
      <w:bookmarkStart w:id="348" w:name="_Toc24760"/>
      <w:bookmarkStart w:id="349" w:name="_Toc22703"/>
      <w:bookmarkStart w:id="350" w:name="_Toc14869"/>
      <w:bookmarkStart w:id="351" w:name="_Toc53"/>
      <w:bookmarkStart w:id="352" w:name="_Toc390098430"/>
      <w:bookmarkStart w:id="353" w:name="_Toc14323"/>
      <w:bookmarkStart w:id="354" w:name="_Toc385427804"/>
      <w:bookmarkStart w:id="355" w:name="_Toc3464"/>
      <w:bookmarkStart w:id="356" w:name="_Toc383891179"/>
      <w:bookmarkStart w:id="357" w:name="_Toc29881"/>
      <w:bookmarkStart w:id="358" w:name="_Toc30991"/>
      <w:bookmarkStart w:id="359" w:name="_Toc492478729"/>
      <w:bookmarkStart w:id="360" w:name="_Toc22476"/>
      <w:bookmarkStart w:id="361" w:name="_Toc3877"/>
      <w:bookmarkStart w:id="362" w:name="_Toc114134619"/>
      <w:r>
        <w:rPr>
          <w:rFonts w:ascii="宋体" w:hAnsi="宋体"/>
          <w:color w:val="auto"/>
          <w:sz w:val="21"/>
          <w:szCs w:val="21"/>
          <w:highlight w:val="none"/>
        </w:rPr>
        <w:t>比选申请文件组成</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D45DF5A">
      <w:pPr>
        <w:tabs>
          <w:tab w:val="left" w:pos="1134"/>
          <w:tab w:val="left" w:pos="1701"/>
          <w:tab w:val="left" w:pos="1843"/>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10.1</w:t>
      </w:r>
      <w:r>
        <w:rPr>
          <w:rFonts w:ascii="宋体" w:hAnsi="宋体"/>
          <w:color w:val="auto"/>
          <w:highlight w:val="none"/>
        </w:rPr>
        <w:t>比选申请文件应提供足够、准确和真实的信息，以供评审委员会判断比选申请人是否具备承担本项目的能力。比选申请人递交的比选申请文件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3E9227A3">
      <w:pPr>
        <w:tabs>
          <w:tab w:val="left" w:pos="1134"/>
          <w:tab w:val="left" w:pos="1701"/>
          <w:tab w:val="left" w:pos="1843"/>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44771CC4">
      <w:pPr>
        <w:pStyle w:val="8"/>
        <w:spacing w:before="0" w:after="0" w:afterAutospacing="0"/>
        <w:ind w:left="0" w:right="0" w:firstLine="422" w:firstLineChars="200"/>
        <w:rPr>
          <w:rFonts w:ascii="宋体" w:hAnsi="宋体"/>
          <w:color w:val="auto"/>
          <w:sz w:val="21"/>
          <w:szCs w:val="21"/>
          <w:highlight w:val="none"/>
        </w:rPr>
      </w:pPr>
      <w:bookmarkStart w:id="363" w:name="_Toc25750603"/>
      <w:bookmarkStart w:id="364" w:name="_Toc385427805"/>
      <w:bookmarkStart w:id="365" w:name="_Toc114134620"/>
      <w:bookmarkStart w:id="366" w:name="_Toc15919"/>
      <w:bookmarkStart w:id="367" w:name="_Toc27019"/>
      <w:bookmarkStart w:id="368" w:name="_Toc390098431"/>
      <w:bookmarkStart w:id="369" w:name="_Toc14308"/>
      <w:bookmarkStart w:id="370" w:name="_Toc16783"/>
      <w:bookmarkStart w:id="371" w:name="_Toc12983517"/>
      <w:bookmarkStart w:id="372" w:name="_Toc8151"/>
      <w:bookmarkStart w:id="373" w:name="_Toc375039076"/>
      <w:bookmarkStart w:id="374" w:name="_Toc7608"/>
      <w:bookmarkStart w:id="375" w:name="_Toc27194"/>
      <w:bookmarkStart w:id="376" w:name="_Toc23002"/>
      <w:bookmarkStart w:id="377" w:name="_Toc675"/>
      <w:bookmarkStart w:id="378" w:name="_Toc20248"/>
      <w:bookmarkStart w:id="379" w:name="_Toc492478730"/>
      <w:bookmarkStart w:id="380" w:name="_Toc3670"/>
      <w:bookmarkStart w:id="381" w:name="_Toc14932"/>
      <w:bookmarkStart w:id="382" w:name="_Toc20490"/>
      <w:bookmarkStart w:id="383" w:name="_Toc14630"/>
      <w:bookmarkStart w:id="384" w:name="_Toc21144"/>
      <w:bookmarkStart w:id="385" w:name="_Toc2395"/>
      <w:bookmarkStart w:id="386" w:name="_Toc383891180"/>
      <w:bookmarkStart w:id="387" w:name="_Toc26062"/>
      <w:bookmarkStart w:id="388" w:name="_Toc15448"/>
      <w:bookmarkStart w:id="389" w:name="_Toc11211"/>
      <w:r>
        <w:rPr>
          <w:rFonts w:hint="eastAsia" w:ascii="宋体" w:hAnsi="宋体"/>
          <w:color w:val="auto"/>
          <w:sz w:val="21"/>
          <w:szCs w:val="21"/>
          <w:highlight w:val="none"/>
        </w:rPr>
        <w:t>11.</w:t>
      </w:r>
      <w:r>
        <w:rPr>
          <w:rFonts w:ascii="宋体" w:hAnsi="宋体"/>
          <w:color w:val="auto"/>
          <w:sz w:val="21"/>
          <w:szCs w:val="21"/>
          <w:highlight w:val="none"/>
        </w:rPr>
        <w:t>比选申请文件格式</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D3E5851">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11.1</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65135AB4">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11.2</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6CCA0D78">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11.3</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7B8964B0">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3F3EF455">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6F1FD865">
      <w:pPr>
        <w:pStyle w:val="8"/>
        <w:spacing w:before="0" w:after="0" w:afterAutospacing="0"/>
        <w:ind w:left="0" w:right="0" w:firstLine="422" w:firstLineChars="200"/>
        <w:rPr>
          <w:rFonts w:ascii="宋体" w:hAnsi="宋体"/>
          <w:color w:val="auto"/>
          <w:sz w:val="21"/>
          <w:szCs w:val="21"/>
          <w:highlight w:val="none"/>
        </w:rPr>
      </w:pPr>
      <w:bookmarkStart w:id="390" w:name="_Toc12830"/>
      <w:bookmarkStart w:id="391" w:name="_Toc20685"/>
      <w:bookmarkStart w:id="392" w:name="_Toc25750604"/>
      <w:bookmarkStart w:id="393" w:name="_Toc3799"/>
      <w:bookmarkStart w:id="394" w:name="_Toc12983518"/>
      <w:bookmarkStart w:id="395" w:name="_Toc385427806"/>
      <w:bookmarkStart w:id="396" w:name="_Toc17379"/>
      <w:bookmarkStart w:id="397" w:name="_Toc26482"/>
      <w:bookmarkStart w:id="398" w:name="_Toc14123"/>
      <w:bookmarkStart w:id="399" w:name="_Toc17526"/>
      <w:bookmarkStart w:id="400" w:name="_Toc7857"/>
      <w:bookmarkStart w:id="401" w:name="_Toc492478731"/>
      <w:bookmarkStart w:id="402" w:name="_Toc375039077"/>
      <w:bookmarkStart w:id="403" w:name="_Toc17338"/>
      <w:bookmarkStart w:id="404" w:name="_Toc21084"/>
      <w:bookmarkStart w:id="405" w:name="_Toc6671"/>
      <w:bookmarkStart w:id="406" w:name="_Toc22295"/>
      <w:bookmarkStart w:id="407" w:name="_Toc16653"/>
      <w:bookmarkStart w:id="408" w:name="_Toc9416"/>
      <w:bookmarkStart w:id="409" w:name="_Toc12422"/>
      <w:bookmarkStart w:id="410" w:name="_Toc31743"/>
      <w:bookmarkStart w:id="411" w:name="_Toc114134621"/>
      <w:bookmarkStart w:id="412" w:name="_Toc383891181"/>
      <w:bookmarkStart w:id="413" w:name="_Toc26974"/>
      <w:bookmarkStart w:id="414" w:name="_Toc3813"/>
      <w:bookmarkStart w:id="415" w:name="_Toc390098432"/>
      <w:bookmarkStart w:id="416" w:name="_Toc24264"/>
      <w:r>
        <w:rPr>
          <w:rFonts w:hint="eastAsia" w:ascii="宋体" w:hAnsi="宋体"/>
          <w:color w:val="auto"/>
          <w:sz w:val="21"/>
          <w:szCs w:val="21"/>
          <w:highlight w:val="none"/>
        </w:rPr>
        <w:t>12.</w:t>
      </w:r>
      <w:r>
        <w:rPr>
          <w:rFonts w:ascii="宋体" w:hAnsi="宋体"/>
          <w:color w:val="auto"/>
          <w:sz w:val="21"/>
          <w:szCs w:val="21"/>
          <w:highlight w:val="none"/>
        </w:rPr>
        <w:t>比选申请报价</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DD57DBE">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12.1</w:t>
      </w:r>
      <w:r>
        <w:rPr>
          <w:rFonts w:hint="eastAsia" w:ascii="宋体" w:hAnsi="宋体"/>
          <w:color w:val="auto"/>
          <w:highlight w:val="none"/>
        </w:rPr>
        <w:t>本项目采用</w:t>
      </w:r>
      <w:r>
        <w:rPr>
          <w:rFonts w:hint="eastAsia" w:ascii="宋体" w:hAnsi="宋体"/>
          <w:b/>
          <w:bCs/>
          <w:color w:val="auto"/>
          <w:highlight w:val="none"/>
        </w:rPr>
        <w:t>不含税报价</w:t>
      </w:r>
      <w:r>
        <w:rPr>
          <w:rFonts w:hint="eastAsia" w:ascii="宋体" w:hAnsi="宋体"/>
          <w:color w:val="auto"/>
          <w:highlight w:val="none"/>
        </w:rPr>
        <w:t>进行商务评审。</w:t>
      </w:r>
      <w:r>
        <w:rPr>
          <w:rFonts w:ascii="宋体" w:hAnsi="宋体"/>
          <w:b/>
          <w:bCs/>
          <w:color w:val="auto"/>
          <w:highlight w:val="none"/>
        </w:rPr>
        <w:t>含税报价为合同暂定价</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地填写比选文件中提供的“比选申请报价一览表”。比选申请人在“比选申请报价一览表”内所填报的总价应相一致。如大写金额与小写金额不一致，以大写金额为准。</w:t>
      </w:r>
    </w:p>
    <w:p w14:paraId="7BFCD473">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12.2</w:t>
      </w:r>
      <w:r>
        <w:rPr>
          <w:rFonts w:hint="eastAsia" w:ascii="宋体" w:hAnsi="宋体"/>
          <w:color w:val="auto"/>
          <w:highlight w:val="none"/>
        </w:rPr>
        <w:t>比选申请报价应包括比选申请人完成所有项目内容及质量保证期服务等履行合同标的全过程产生的所有成本、利润及其他费用等全部费用以及比选申请人应承担的费用。</w:t>
      </w:r>
    </w:p>
    <w:p w14:paraId="22D8CE36">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12.3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5CCD58EB">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同一规格、型号、标准、内容的项目在各分项报价中应为同一单价。比选申请人对同类项目只允许有一个报价，如有不同报价，则以最低报价为准。</w:t>
      </w:r>
    </w:p>
    <w:p w14:paraId="03F4329D">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5154C851">
      <w:pPr>
        <w:tabs>
          <w:tab w:val="left" w:pos="8364"/>
        </w:tabs>
        <w:spacing w:before="0" w:after="0" w:afterAutospacing="0"/>
        <w:ind w:left="0" w:right="0" w:firstLine="420" w:firstLineChars="200"/>
        <w:rPr>
          <w:rFonts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格或以选择性报价递交的比选申请文件将作为非实质性响应比选申请而被否决。</w:t>
      </w:r>
    </w:p>
    <w:p w14:paraId="56B07A26">
      <w:pPr>
        <w:tabs>
          <w:tab w:val="left" w:pos="8364"/>
        </w:tabs>
        <w:spacing w:before="0" w:after="0" w:afterAutospacing="0"/>
        <w:ind w:left="0" w:right="0" w:firstLine="420" w:firstLineChars="200"/>
        <w:rPr>
          <w:rFonts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7613A7CE">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12.8比选人不接受比选申请人对任何未办理正常进口手续的非中华人民共和国境内生产的货物的比选申请报价。</w:t>
      </w:r>
    </w:p>
    <w:p w14:paraId="024E7DFE">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12.9比选申请人不得在价格文件之外的比选申请文件中出现任何有关本项目的报价信息。</w:t>
      </w:r>
    </w:p>
    <w:p w14:paraId="33514C4F">
      <w:pPr>
        <w:pStyle w:val="8"/>
        <w:numPr>
          <w:ilvl w:val="0"/>
          <w:numId w:val="3"/>
        </w:numPr>
        <w:spacing w:before="0" w:after="0" w:afterAutospacing="0"/>
        <w:ind w:left="0" w:right="0" w:firstLine="422" w:firstLineChars="200"/>
        <w:rPr>
          <w:rFonts w:ascii="宋体" w:hAnsi="宋体"/>
          <w:color w:val="auto"/>
          <w:sz w:val="21"/>
          <w:szCs w:val="21"/>
          <w:highlight w:val="none"/>
        </w:rPr>
      </w:pPr>
      <w:bookmarkStart w:id="417" w:name="_Toc13229"/>
      <w:bookmarkStart w:id="418" w:name="_Toc10220"/>
      <w:bookmarkStart w:id="419" w:name="_Toc385427807"/>
      <w:bookmarkStart w:id="420" w:name="_Toc21430"/>
      <w:bookmarkStart w:id="421" w:name="_Toc20156"/>
      <w:bookmarkStart w:id="422" w:name="_Toc26064"/>
      <w:bookmarkStart w:id="423" w:name="_Toc375039078"/>
      <w:bookmarkStart w:id="424" w:name="_Toc25750605"/>
      <w:bookmarkStart w:id="425" w:name="_Toc16948"/>
      <w:bookmarkStart w:id="426" w:name="_Toc383891182"/>
      <w:bookmarkStart w:id="427" w:name="_Toc2710"/>
      <w:bookmarkStart w:id="428" w:name="_Toc1664"/>
      <w:bookmarkStart w:id="429" w:name="_Toc25459"/>
      <w:bookmarkStart w:id="430" w:name="_Toc15940"/>
      <w:bookmarkStart w:id="431" w:name="_Toc492478732"/>
      <w:bookmarkStart w:id="432" w:name="_Toc12762"/>
      <w:bookmarkStart w:id="433" w:name="_Toc28476"/>
      <w:bookmarkStart w:id="434" w:name="_Toc12947"/>
      <w:bookmarkStart w:id="435" w:name="_Toc21448"/>
      <w:bookmarkStart w:id="436" w:name="_Toc390098433"/>
      <w:bookmarkStart w:id="437" w:name="_Toc5836"/>
      <w:bookmarkStart w:id="438" w:name="_Toc114134622"/>
      <w:bookmarkStart w:id="439" w:name="_Toc28880"/>
      <w:bookmarkStart w:id="440" w:name="_Toc21706"/>
      <w:bookmarkStart w:id="441" w:name="_Toc7428"/>
      <w:bookmarkStart w:id="442" w:name="_Toc18875"/>
      <w:bookmarkStart w:id="443" w:name="_Toc12983519"/>
      <w:r>
        <w:rPr>
          <w:rFonts w:ascii="宋体" w:hAnsi="宋体"/>
          <w:color w:val="auto"/>
          <w:sz w:val="21"/>
          <w:szCs w:val="21"/>
          <w:highlight w:val="none"/>
        </w:rPr>
        <w:t>比选申请货币</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29D4F1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6449DE5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2997F7AC">
      <w:pPr>
        <w:pStyle w:val="8"/>
        <w:numPr>
          <w:ilvl w:val="0"/>
          <w:numId w:val="3"/>
        </w:numPr>
        <w:spacing w:before="0" w:after="0" w:afterAutospacing="0"/>
        <w:ind w:left="0" w:right="0" w:firstLine="422" w:firstLineChars="200"/>
        <w:rPr>
          <w:rFonts w:ascii="宋体" w:hAnsi="宋体"/>
          <w:color w:val="auto"/>
          <w:sz w:val="21"/>
          <w:szCs w:val="21"/>
          <w:highlight w:val="none"/>
        </w:rPr>
      </w:pPr>
      <w:bookmarkStart w:id="444" w:name="_Toc375039081"/>
      <w:bookmarkStart w:id="445" w:name="_Toc1530"/>
      <w:bookmarkStart w:id="446" w:name="_Toc383891185"/>
      <w:bookmarkStart w:id="447" w:name="_Toc11690"/>
      <w:bookmarkStart w:id="448" w:name="_Toc30040"/>
      <w:bookmarkStart w:id="449" w:name="_Toc385427810"/>
      <w:bookmarkStart w:id="450" w:name="_Toc22051"/>
      <w:bookmarkStart w:id="451" w:name="_Toc390098436"/>
      <w:bookmarkStart w:id="452" w:name="_Toc492478735"/>
      <w:bookmarkStart w:id="453" w:name="_Toc30606"/>
      <w:bookmarkStart w:id="454" w:name="_Toc25750606"/>
      <w:bookmarkStart w:id="455" w:name="_Toc1506"/>
      <w:bookmarkStart w:id="456" w:name="_Toc5974"/>
      <w:bookmarkStart w:id="457" w:name="_Toc28665"/>
      <w:bookmarkStart w:id="458" w:name="_Toc14309"/>
      <w:bookmarkStart w:id="459" w:name="_Toc30848"/>
      <w:bookmarkStart w:id="460" w:name="_Toc1624"/>
      <w:bookmarkStart w:id="461" w:name="_Toc12049"/>
      <w:bookmarkStart w:id="462" w:name="_Toc24199"/>
      <w:bookmarkStart w:id="463" w:name="_Toc114134623"/>
      <w:bookmarkStart w:id="464" w:name="_Toc12983520"/>
      <w:bookmarkStart w:id="465" w:name="_Toc9237"/>
      <w:bookmarkStart w:id="466" w:name="_Toc7417"/>
      <w:bookmarkStart w:id="467" w:name="_Toc19848"/>
      <w:bookmarkStart w:id="468" w:name="_Toc16314"/>
      <w:bookmarkStart w:id="469" w:name="_Toc27508"/>
      <w:bookmarkStart w:id="470" w:name="_Toc14922"/>
      <w:r>
        <w:rPr>
          <w:rFonts w:ascii="宋体" w:hAnsi="宋体"/>
          <w:color w:val="auto"/>
          <w:sz w:val="21"/>
          <w:szCs w:val="21"/>
          <w:highlight w:val="none"/>
        </w:rPr>
        <w:t>比选保证金</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A175802">
      <w:pPr>
        <w:pStyle w:val="17"/>
        <w:spacing w:before="0" w:after="0" w:afterAutospacing="0"/>
        <w:ind w:left="0" w:right="0" w:firstLine="420" w:firstLineChars="200"/>
        <w:rPr>
          <w:rFonts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5BC1FBCE">
      <w:pPr>
        <w:pStyle w:val="8"/>
        <w:spacing w:before="0" w:after="0" w:afterAutospacing="0"/>
        <w:ind w:left="0" w:right="0" w:firstLine="422" w:firstLineChars="200"/>
        <w:rPr>
          <w:rFonts w:ascii="宋体" w:hAnsi="宋体"/>
          <w:color w:val="auto"/>
          <w:sz w:val="21"/>
          <w:szCs w:val="21"/>
          <w:highlight w:val="none"/>
        </w:rPr>
      </w:pPr>
      <w:bookmarkStart w:id="471" w:name="_Toc30499"/>
      <w:bookmarkStart w:id="472" w:name="_Toc20493"/>
      <w:bookmarkStart w:id="473" w:name="_Toc385427811"/>
      <w:bookmarkStart w:id="474" w:name="_Toc691"/>
      <w:bookmarkStart w:id="475" w:name="_Toc28997"/>
      <w:bookmarkStart w:id="476" w:name="_Toc492478736"/>
      <w:bookmarkStart w:id="477" w:name="_Toc4433"/>
      <w:bookmarkStart w:id="478" w:name="_Toc114134624"/>
      <w:bookmarkStart w:id="479" w:name="_Toc14330"/>
      <w:bookmarkStart w:id="480" w:name="_Toc390098437"/>
      <w:bookmarkStart w:id="481" w:name="_Toc10918"/>
      <w:bookmarkStart w:id="482" w:name="_Toc23114"/>
      <w:bookmarkStart w:id="483" w:name="_Toc25750607"/>
      <w:bookmarkStart w:id="484" w:name="_Toc383891186"/>
      <w:bookmarkStart w:id="485" w:name="_Toc20643"/>
      <w:bookmarkStart w:id="486" w:name="_Toc21214"/>
      <w:bookmarkStart w:id="487" w:name="_Toc2268"/>
      <w:bookmarkStart w:id="488" w:name="_Toc24656"/>
      <w:bookmarkStart w:id="489" w:name="_Toc845"/>
      <w:bookmarkStart w:id="490" w:name="_Toc12983521"/>
      <w:bookmarkStart w:id="491" w:name="_Toc375039082"/>
      <w:bookmarkStart w:id="492" w:name="_Toc28555"/>
      <w:bookmarkStart w:id="493" w:name="_Toc5690"/>
      <w:bookmarkStart w:id="494" w:name="_Toc20070"/>
      <w:bookmarkStart w:id="495" w:name="_Toc9117"/>
      <w:bookmarkStart w:id="496" w:name="_Toc1604"/>
      <w:bookmarkStart w:id="497" w:name="_Toc7808"/>
      <w:r>
        <w:rPr>
          <w:rFonts w:hint="eastAsia" w:ascii="宋体" w:hAnsi="宋体"/>
          <w:color w:val="auto"/>
          <w:sz w:val="21"/>
          <w:szCs w:val="21"/>
          <w:highlight w:val="none"/>
        </w:rPr>
        <w:t>15.</w:t>
      </w:r>
      <w:r>
        <w:rPr>
          <w:rFonts w:ascii="宋体" w:hAnsi="宋体"/>
          <w:color w:val="auto"/>
          <w:sz w:val="21"/>
          <w:szCs w:val="21"/>
          <w:highlight w:val="none"/>
        </w:rPr>
        <w:t>比选申请有效期</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FEBC11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15.1</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433DC94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15.2</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19C733C0">
      <w:pPr>
        <w:tabs>
          <w:tab w:val="left" w:pos="1134"/>
          <w:tab w:val="left" w:pos="8364"/>
        </w:tabs>
        <w:spacing w:before="0" w:after="0" w:afterAutospacing="0"/>
        <w:ind w:left="0" w:right="0" w:firstLine="422" w:firstLineChars="200"/>
        <w:rPr>
          <w:rFonts w:ascii="宋体" w:hAnsi="宋体"/>
          <w:b/>
          <w:bCs/>
          <w:color w:val="auto"/>
          <w:highlight w:val="none"/>
        </w:rPr>
      </w:pPr>
      <w:bookmarkStart w:id="498" w:name="_Toc25468"/>
      <w:bookmarkStart w:id="499" w:name="_Toc383891187"/>
      <w:bookmarkStart w:id="500" w:name="_Toc375039083"/>
      <w:bookmarkStart w:id="501" w:name="_Toc24922"/>
      <w:bookmarkStart w:id="502" w:name="_Toc8100"/>
      <w:bookmarkStart w:id="503" w:name="_Toc12983522"/>
      <w:bookmarkStart w:id="504" w:name="_Toc32020"/>
      <w:bookmarkStart w:id="505" w:name="_Toc19603"/>
      <w:bookmarkStart w:id="506" w:name="_Toc492478737"/>
      <w:bookmarkStart w:id="507" w:name="_Toc6065"/>
      <w:bookmarkStart w:id="508" w:name="_Toc19044"/>
      <w:bookmarkStart w:id="509" w:name="_Toc12435"/>
      <w:bookmarkStart w:id="510" w:name="_Toc25684"/>
      <w:bookmarkStart w:id="511" w:name="_Toc14672"/>
      <w:bookmarkStart w:id="512" w:name="_Toc29108"/>
      <w:bookmarkStart w:id="513" w:name="_Toc3414"/>
      <w:bookmarkStart w:id="514" w:name="_Toc301"/>
      <w:bookmarkStart w:id="515" w:name="_Toc385427812"/>
      <w:bookmarkStart w:id="516" w:name="_Toc390098438"/>
      <w:bookmarkStart w:id="517" w:name="_Toc4216"/>
      <w:bookmarkStart w:id="518" w:name="_Toc32525"/>
      <w:bookmarkStart w:id="519" w:name="_Toc12506"/>
      <w:bookmarkStart w:id="520" w:name="_Toc27730"/>
      <w:r>
        <w:rPr>
          <w:rFonts w:hint="eastAsia" w:ascii="宋体" w:hAnsi="宋体"/>
          <w:b/>
          <w:bCs/>
          <w:color w:val="auto"/>
          <w:highlight w:val="none"/>
        </w:rPr>
        <w:t>16.</w:t>
      </w:r>
      <w:r>
        <w:rPr>
          <w:rFonts w:ascii="宋体" w:hAnsi="宋体"/>
          <w:b/>
          <w:bCs/>
          <w:color w:val="auto"/>
          <w:highlight w:val="none"/>
        </w:rPr>
        <w:t>比选申请文件的制作和签署</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C7C936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16.1</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auto"/>
          <w:highlight w:val="none"/>
        </w:rPr>
        <w:t>质</w:t>
      </w:r>
      <w:r>
        <w:rPr>
          <w:rFonts w:ascii="宋体" w:hAnsi="宋体"/>
          <w:color w:val="auto"/>
          <w:highlight w:val="none"/>
        </w:rPr>
        <w:t>文件不符以纸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1897DC2C">
      <w:pPr>
        <w:tabs>
          <w:tab w:val="left" w:pos="1134"/>
          <w:tab w:val="left" w:pos="8364"/>
        </w:tabs>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16.2</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5702143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16.3</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65BF262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16.4</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394A3524">
      <w:pPr>
        <w:pStyle w:val="7"/>
        <w:spacing w:after="0" w:afterAutospacing="0" w:line="360" w:lineRule="auto"/>
        <w:ind w:left="0" w:right="0" w:firstLine="482" w:firstLineChars="200"/>
        <w:rPr>
          <w:rFonts w:ascii="宋体" w:hAnsi="宋体" w:eastAsia="宋体"/>
          <w:color w:val="auto"/>
          <w:sz w:val="24"/>
          <w:szCs w:val="24"/>
          <w:highlight w:val="none"/>
        </w:rPr>
      </w:pPr>
      <w:bookmarkStart w:id="521" w:name="_Toc375039084"/>
      <w:bookmarkStart w:id="522" w:name="_Toc385427813"/>
      <w:bookmarkStart w:id="523" w:name="_Toc383891188"/>
      <w:bookmarkStart w:id="524" w:name="_Toc390098439"/>
      <w:bookmarkStart w:id="525" w:name="_Toc7289"/>
      <w:bookmarkStart w:id="526" w:name="_Toc6101"/>
      <w:bookmarkStart w:id="527" w:name="_Toc32054"/>
      <w:bookmarkStart w:id="528" w:name="_Toc2113"/>
      <w:bookmarkStart w:id="529" w:name="_Toc18322"/>
      <w:bookmarkStart w:id="530" w:name="_Toc26776"/>
      <w:bookmarkStart w:id="531" w:name="_Toc30187"/>
      <w:bookmarkStart w:id="532" w:name="_Toc26551"/>
      <w:bookmarkStart w:id="533" w:name="_Toc492478738"/>
      <w:bookmarkStart w:id="534" w:name="_Toc12983523"/>
      <w:bookmarkStart w:id="535" w:name="_Toc1952"/>
      <w:bookmarkStart w:id="536" w:name="_Toc1315"/>
      <w:bookmarkStart w:id="537" w:name="_Toc15116"/>
      <w:bookmarkStart w:id="538" w:name="_Toc2975"/>
      <w:bookmarkStart w:id="539" w:name="_Toc759"/>
      <w:bookmarkStart w:id="540" w:name="_Toc16409"/>
      <w:bookmarkStart w:id="541" w:name="_Toc21398"/>
      <w:bookmarkStart w:id="542" w:name="_Toc10234"/>
      <w:bookmarkStart w:id="543" w:name="_Toc30962"/>
      <w:bookmarkStart w:id="544" w:name="_Toc30452"/>
      <w:bookmarkStart w:id="545" w:name="_Toc114134625"/>
      <w:bookmarkStart w:id="546" w:name="_Toc23177"/>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21"/>
      <w:bookmarkEnd w:id="522"/>
      <w:bookmarkEnd w:id="523"/>
      <w:bookmarkEnd w:id="524"/>
      <w:r>
        <w:rPr>
          <w:rFonts w:hint="eastAsia" w:ascii="宋体" w:hAnsi="宋体" w:eastAsia="宋体"/>
          <w:color w:val="auto"/>
          <w:sz w:val="24"/>
          <w:szCs w:val="24"/>
          <w:highlight w:val="none"/>
        </w:rPr>
        <w:t>的密封和递交</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C16F08A">
      <w:pPr>
        <w:pStyle w:val="8"/>
        <w:spacing w:before="0" w:after="0" w:afterAutospacing="0"/>
        <w:ind w:left="0" w:right="0" w:firstLine="422" w:firstLineChars="200"/>
        <w:rPr>
          <w:rFonts w:ascii="宋体" w:hAnsi="宋体"/>
          <w:color w:val="auto"/>
          <w:sz w:val="21"/>
          <w:szCs w:val="21"/>
          <w:highlight w:val="none"/>
        </w:rPr>
      </w:pPr>
      <w:bookmarkStart w:id="547" w:name="_Toc15735"/>
      <w:bookmarkStart w:id="548" w:name="_Toc13875"/>
      <w:bookmarkStart w:id="549" w:name="_Toc5922"/>
      <w:bookmarkStart w:id="550" w:name="_Toc15663"/>
      <w:bookmarkStart w:id="551" w:name="_Toc15650"/>
      <w:bookmarkStart w:id="552" w:name="_Toc12329"/>
      <w:bookmarkStart w:id="553" w:name="_Toc24648"/>
      <w:bookmarkStart w:id="554" w:name="_Toc385427814"/>
      <w:bookmarkStart w:id="555" w:name="_Toc9307"/>
      <w:bookmarkStart w:id="556" w:name="_Toc18616"/>
      <w:bookmarkStart w:id="557" w:name="_Toc19248"/>
      <w:bookmarkStart w:id="558" w:name="_Toc492478739"/>
      <w:bookmarkStart w:id="559" w:name="_Toc17200"/>
      <w:bookmarkStart w:id="560" w:name="_Toc390098440"/>
      <w:bookmarkStart w:id="561" w:name="_Toc15071"/>
      <w:bookmarkStart w:id="562" w:name="_Toc30196"/>
      <w:bookmarkStart w:id="563" w:name="_Toc383891189"/>
      <w:bookmarkStart w:id="564" w:name="_Toc114134626"/>
      <w:bookmarkStart w:id="565" w:name="_Toc26249"/>
      <w:bookmarkStart w:id="566" w:name="_Toc24538"/>
      <w:bookmarkStart w:id="567" w:name="_Toc13829"/>
      <w:bookmarkStart w:id="568" w:name="_Toc13621"/>
      <w:bookmarkStart w:id="569" w:name="_Toc25750609"/>
      <w:bookmarkStart w:id="570" w:name="_Toc12117"/>
      <w:bookmarkStart w:id="571" w:name="_Toc12983524"/>
      <w:bookmarkStart w:id="572" w:name="_Toc375039085"/>
      <w:bookmarkStart w:id="573" w:name="_Toc19495"/>
      <w:r>
        <w:rPr>
          <w:rFonts w:hint="eastAsia" w:ascii="宋体" w:hAnsi="宋体"/>
          <w:color w:val="auto"/>
          <w:sz w:val="21"/>
          <w:szCs w:val="21"/>
          <w:highlight w:val="none"/>
        </w:rPr>
        <w:t>17.</w:t>
      </w:r>
      <w:r>
        <w:rPr>
          <w:rFonts w:ascii="宋体" w:hAnsi="宋体"/>
          <w:color w:val="auto"/>
          <w:sz w:val="21"/>
          <w:szCs w:val="21"/>
          <w:highlight w:val="none"/>
        </w:rPr>
        <w:t>比选申请文件</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956990B">
      <w:pPr>
        <w:tabs>
          <w:tab w:val="left" w:pos="1134"/>
          <w:tab w:val="left" w:pos="8364"/>
        </w:tabs>
        <w:spacing w:before="0" w:after="0" w:afterAutospacing="0"/>
        <w:ind w:left="0" w:right="0" w:firstLine="420" w:firstLineChars="200"/>
        <w:rPr>
          <w:rFonts w:ascii="宋体" w:hAnsi="宋体"/>
          <w:color w:val="auto"/>
          <w:highlight w:val="none"/>
        </w:rPr>
      </w:pPr>
      <w:bookmarkStart w:id="574" w:name="_Toc390098441"/>
      <w:bookmarkStart w:id="575" w:name="_Toc383891190"/>
      <w:bookmarkStart w:id="576" w:name="_Toc375039086"/>
      <w:bookmarkStart w:id="577" w:name="_Toc385427815"/>
      <w:r>
        <w:rPr>
          <w:rFonts w:hint="eastAsia" w:ascii="宋体" w:hAnsi="宋体"/>
          <w:color w:val="auto"/>
          <w:highlight w:val="none"/>
        </w:rPr>
        <w:t>17.1</w:t>
      </w:r>
      <w:r>
        <w:rPr>
          <w:rFonts w:ascii="宋体" w:hAnsi="宋体"/>
          <w:color w:val="auto"/>
          <w:highlight w:val="none"/>
        </w:rPr>
        <w:t>封装方式</w:t>
      </w:r>
    </w:p>
    <w:p w14:paraId="652598C1">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42C4C829">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439D3F6F">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（3）所有密封箱/袋应保证其密封性，并骑缝加盖比选申请人单位公章。</w:t>
      </w:r>
    </w:p>
    <w:p w14:paraId="54125F3A">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17.2</w:t>
      </w:r>
      <w:r>
        <w:rPr>
          <w:rFonts w:ascii="宋体" w:hAnsi="宋体"/>
          <w:color w:val="auto"/>
          <w:highlight w:val="none"/>
        </w:rPr>
        <w:t>所有密封箱/袋都应具有下列识别标志：</w:t>
      </w:r>
    </w:p>
    <w:p w14:paraId="1E394B03">
      <w:pPr>
        <w:tabs>
          <w:tab w:val="left" w:pos="1155"/>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u w:val="single"/>
          <w:lang w:val="zh-CN"/>
        </w:rPr>
        <w:t>轨道168项目配电设计（含施工用电、项目正式用电）</w:t>
      </w:r>
      <w:r>
        <w:rPr>
          <w:rFonts w:ascii="宋体" w:hAnsi="宋体"/>
          <w:color w:val="auto"/>
          <w:highlight w:val="none"/>
        </w:rPr>
        <w:t>；</w:t>
      </w:r>
    </w:p>
    <w:p w14:paraId="7C66228B">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4CA7D1D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17.3</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56900D1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17.4</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13A3D814">
      <w:pPr>
        <w:pStyle w:val="8"/>
        <w:numPr>
          <w:ilvl w:val="0"/>
          <w:numId w:val="4"/>
        </w:numPr>
        <w:spacing w:before="0" w:after="0" w:afterAutospacing="0"/>
        <w:ind w:left="0" w:right="0" w:firstLine="422" w:firstLineChars="200"/>
        <w:rPr>
          <w:rFonts w:ascii="宋体" w:hAnsi="宋体"/>
          <w:color w:val="auto"/>
          <w:sz w:val="21"/>
          <w:szCs w:val="21"/>
          <w:highlight w:val="none"/>
        </w:rPr>
      </w:pPr>
      <w:bookmarkStart w:id="578" w:name="_Toc13883"/>
      <w:bookmarkStart w:id="579" w:name="_Toc6339"/>
      <w:bookmarkStart w:id="580" w:name="_Toc2337"/>
      <w:bookmarkStart w:id="581" w:name="_Toc492478740"/>
      <w:bookmarkStart w:id="582" w:name="_Toc11096"/>
      <w:bookmarkStart w:id="583" w:name="_Toc32760"/>
      <w:bookmarkStart w:id="584" w:name="_Toc4735"/>
      <w:bookmarkStart w:id="585" w:name="_Toc28071"/>
      <w:bookmarkStart w:id="586" w:name="_Toc642"/>
      <w:bookmarkStart w:id="587" w:name="_Toc11039"/>
      <w:bookmarkStart w:id="588" w:name="_Toc6482"/>
      <w:bookmarkStart w:id="589" w:name="_Toc114134627"/>
      <w:bookmarkStart w:id="590" w:name="_Toc12983525"/>
      <w:bookmarkStart w:id="591" w:name="_Toc16266"/>
      <w:bookmarkStart w:id="592" w:name="_Toc24465"/>
      <w:bookmarkStart w:id="593" w:name="_Toc13136"/>
      <w:bookmarkStart w:id="594" w:name="_Toc16818"/>
      <w:bookmarkStart w:id="595" w:name="_Toc23859"/>
      <w:bookmarkStart w:id="596" w:name="_Toc25750610"/>
      <w:bookmarkStart w:id="597" w:name="_Toc22445"/>
      <w:bookmarkStart w:id="598" w:name="_Toc16755"/>
      <w:bookmarkStart w:id="599" w:name="_Toc22180"/>
      <w:bookmarkStart w:id="600" w:name="_Toc11255"/>
      <w:r>
        <w:rPr>
          <w:rFonts w:ascii="宋体" w:hAnsi="宋体"/>
          <w:color w:val="auto"/>
          <w:sz w:val="21"/>
          <w:szCs w:val="21"/>
          <w:highlight w:val="none"/>
        </w:rPr>
        <w:t>比选申请截止期</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05063D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18.1</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7AA591D5">
      <w:pPr>
        <w:tabs>
          <w:tab w:val="left" w:pos="1134"/>
          <w:tab w:val="left" w:pos="8364"/>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18.2</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747FAFA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18.3</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749FC133">
      <w:pPr>
        <w:pStyle w:val="8"/>
        <w:numPr>
          <w:ilvl w:val="0"/>
          <w:numId w:val="4"/>
        </w:numPr>
        <w:spacing w:before="0" w:after="0" w:afterAutospacing="0"/>
        <w:ind w:left="0" w:right="0" w:firstLine="422" w:firstLineChars="200"/>
        <w:rPr>
          <w:rFonts w:ascii="宋体" w:hAnsi="宋体"/>
          <w:color w:val="auto"/>
          <w:sz w:val="21"/>
          <w:szCs w:val="21"/>
          <w:highlight w:val="none"/>
        </w:rPr>
      </w:pPr>
      <w:bookmarkStart w:id="601" w:name="_Toc28041"/>
      <w:bookmarkStart w:id="602" w:name="_Toc12983526"/>
      <w:bookmarkStart w:id="603" w:name="_Toc15252"/>
      <w:bookmarkStart w:id="604" w:name="_Toc2226"/>
      <w:bookmarkStart w:id="605" w:name="_Toc114134628"/>
      <w:bookmarkStart w:id="606" w:name="_Toc375039087"/>
      <w:bookmarkStart w:id="607" w:name="_Toc29473"/>
      <w:bookmarkStart w:id="608" w:name="_Toc10818"/>
      <w:bookmarkStart w:id="609" w:name="_Toc32621"/>
      <w:bookmarkStart w:id="610" w:name="_Toc383891191"/>
      <w:bookmarkStart w:id="611" w:name="_Toc492478741"/>
      <w:bookmarkStart w:id="612" w:name="_Toc13581"/>
      <w:bookmarkStart w:id="613" w:name="_Toc29066"/>
      <w:bookmarkStart w:id="614" w:name="_Toc3597"/>
      <w:bookmarkStart w:id="615" w:name="_Toc324"/>
      <w:bookmarkStart w:id="616" w:name="_Toc32252"/>
      <w:bookmarkStart w:id="617" w:name="_Toc22945"/>
      <w:bookmarkStart w:id="618" w:name="_Toc385427816"/>
      <w:bookmarkStart w:id="619" w:name="_Toc6554"/>
      <w:bookmarkStart w:id="620" w:name="_Toc25750611"/>
      <w:bookmarkStart w:id="621" w:name="_Toc9522"/>
      <w:bookmarkStart w:id="622" w:name="_Toc390098442"/>
      <w:bookmarkStart w:id="623" w:name="_Toc23404"/>
      <w:bookmarkStart w:id="624" w:name="_Toc11373"/>
      <w:bookmarkStart w:id="625" w:name="_Toc26431"/>
      <w:bookmarkStart w:id="626" w:name="_Toc14239"/>
      <w:bookmarkStart w:id="627" w:name="_Toc21960"/>
      <w:r>
        <w:rPr>
          <w:rFonts w:ascii="宋体" w:hAnsi="宋体"/>
          <w:color w:val="auto"/>
          <w:sz w:val="21"/>
          <w:szCs w:val="21"/>
          <w:highlight w:val="none"/>
        </w:rPr>
        <w:t>迟交的比选申请文件</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D16D5A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19.1比选人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lang w:val="en-US" w:eastAsia="zh-CN"/>
        </w:rPr>
        <w:t>项</w:t>
      </w:r>
      <w:r>
        <w:rPr>
          <w:rFonts w:ascii="宋体" w:hAnsi="宋体"/>
          <w:color w:val="auto"/>
          <w:highlight w:val="none"/>
        </w:rPr>
        <w:t>规定的比选申请截止时间后收到的任何比选申请文件。</w:t>
      </w:r>
    </w:p>
    <w:p w14:paraId="446AF726">
      <w:pPr>
        <w:pStyle w:val="8"/>
        <w:numPr>
          <w:ilvl w:val="0"/>
          <w:numId w:val="4"/>
        </w:numPr>
        <w:spacing w:before="0" w:after="0" w:afterAutospacing="0"/>
        <w:ind w:left="0" w:right="0" w:firstLine="422" w:firstLineChars="200"/>
        <w:rPr>
          <w:rFonts w:ascii="宋体" w:hAnsi="宋体"/>
          <w:color w:val="auto"/>
          <w:sz w:val="21"/>
          <w:szCs w:val="21"/>
          <w:highlight w:val="none"/>
        </w:rPr>
      </w:pPr>
      <w:bookmarkStart w:id="628" w:name="_Toc25750612"/>
      <w:bookmarkStart w:id="629" w:name="_Toc24030"/>
      <w:bookmarkStart w:id="630" w:name="_Toc31033"/>
      <w:bookmarkStart w:id="631" w:name="_Toc492478742"/>
      <w:bookmarkStart w:id="632" w:name="_Toc390098443"/>
      <w:bookmarkStart w:id="633" w:name="_Toc17797"/>
      <w:bookmarkStart w:id="634" w:name="_Toc375039088"/>
      <w:bookmarkStart w:id="635" w:name="_Toc4605"/>
      <w:bookmarkStart w:id="636" w:name="_Toc7221"/>
      <w:bookmarkStart w:id="637" w:name="_Toc9706"/>
      <w:bookmarkStart w:id="638" w:name="_Toc23449"/>
      <w:bookmarkStart w:id="639" w:name="_Toc14411"/>
      <w:bookmarkStart w:id="640" w:name="_Toc29208"/>
      <w:bookmarkStart w:id="641" w:name="_Toc10345"/>
      <w:bookmarkStart w:id="642" w:name="_Toc8636"/>
      <w:bookmarkStart w:id="643" w:name="_Toc385427817"/>
      <w:bookmarkStart w:id="644" w:name="_Toc27195"/>
      <w:bookmarkStart w:id="645" w:name="_Toc21796"/>
      <w:bookmarkStart w:id="646" w:name="_Toc26282"/>
      <w:bookmarkStart w:id="647" w:name="_Toc114134629"/>
      <w:bookmarkStart w:id="648" w:name="_Toc25427"/>
      <w:bookmarkStart w:id="649" w:name="_Toc383891192"/>
      <w:bookmarkStart w:id="650" w:name="_Toc243"/>
      <w:bookmarkStart w:id="651" w:name="_Toc28452"/>
      <w:bookmarkStart w:id="652" w:name="_Toc12682"/>
      <w:bookmarkStart w:id="653" w:name="_Toc14522"/>
      <w:bookmarkStart w:id="654" w:name="_Toc12983527"/>
      <w:r>
        <w:rPr>
          <w:rFonts w:ascii="宋体" w:hAnsi="宋体"/>
          <w:color w:val="auto"/>
          <w:sz w:val="21"/>
          <w:szCs w:val="21"/>
          <w:highlight w:val="none"/>
        </w:rPr>
        <w:t>比选申请文件的修改和撤回</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C113AE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20.1</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2D19826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20.2</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第16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789A266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20.3</w:t>
      </w:r>
      <w:r>
        <w:rPr>
          <w:rFonts w:ascii="宋体" w:hAnsi="宋体"/>
          <w:color w:val="auto"/>
          <w:highlight w:val="none"/>
        </w:rPr>
        <w:t>比选申请截止时间以后比选申请人不得修改比选申请文件。</w:t>
      </w:r>
    </w:p>
    <w:p w14:paraId="48E3CA9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20.4</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6A97889C">
      <w:pPr>
        <w:pStyle w:val="7"/>
        <w:spacing w:after="0" w:afterAutospacing="0" w:line="360" w:lineRule="auto"/>
        <w:ind w:left="0" w:right="0" w:firstLine="482" w:firstLineChars="200"/>
        <w:rPr>
          <w:rFonts w:ascii="宋体" w:hAnsi="宋体" w:eastAsia="宋体"/>
          <w:color w:val="auto"/>
          <w:sz w:val="24"/>
          <w:szCs w:val="24"/>
          <w:highlight w:val="none"/>
        </w:rPr>
      </w:pPr>
      <w:bookmarkStart w:id="655" w:name="_Toc24485"/>
      <w:bookmarkStart w:id="656" w:name="_Toc18076"/>
      <w:bookmarkStart w:id="657" w:name="_Toc11529"/>
      <w:bookmarkStart w:id="658" w:name="_Toc28694"/>
      <w:bookmarkStart w:id="659" w:name="_Toc9549"/>
      <w:bookmarkStart w:id="660" w:name="_Toc385427818"/>
      <w:bookmarkStart w:id="661" w:name="_Toc29264"/>
      <w:bookmarkStart w:id="662" w:name="_Toc383891193"/>
      <w:bookmarkStart w:id="663" w:name="_Toc2306"/>
      <w:bookmarkStart w:id="664" w:name="_Toc10325"/>
      <w:bookmarkStart w:id="665" w:name="_Toc390098444"/>
      <w:bookmarkStart w:id="666" w:name="_Toc22587"/>
      <w:bookmarkStart w:id="667" w:name="_Toc9728"/>
      <w:bookmarkStart w:id="668" w:name="_Toc12983528"/>
      <w:bookmarkStart w:id="669" w:name="_Toc16856"/>
      <w:bookmarkStart w:id="670" w:name="_Toc12182"/>
      <w:bookmarkStart w:id="671" w:name="_Toc3006"/>
      <w:bookmarkStart w:id="672" w:name="_Toc31978"/>
      <w:bookmarkStart w:id="673" w:name="_Toc492478743"/>
      <w:bookmarkStart w:id="674" w:name="_Toc5592"/>
      <w:bookmarkStart w:id="675" w:name="_Toc25433"/>
      <w:bookmarkStart w:id="676" w:name="_Toc375039089"/>
      <w:bookmarkStart w:id="677" w:name="_Toc4291"/>
      <w:bookmarkStart w:id="678" w:name="_Toc114134630"/>
      <w:bookmarkStart w:id="679" w:name="_Toc7654"/>
      <w:bookmarkStart w:id="680" w:name="_Toc18091"/>
      <w:r>
        <w:rPr>
          <w:rFonts w:hint="eastAsia" w:ascii="宋体" w:hAnsi="宋体" w:eastAsia="宋体"/>
          <w:color w:val="auto"/>
          <w:sz w:val="24"/>
          <w:szCs w:val="24"/>
          <w:highlight w:val="none"/>
        </w:rPr>
        <w:t>五、</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Pr>
          <w:rFonts w:hint="eastAsia" w:ascii="宋体" w:hAnsi="宋体" w:eastAsia="宋体"/>
          <w:color w:val="auto"/>
          <w:sz w:val="24"/>
          <w:szCs w:val="24"/>
          <w:highlight w:val="none"/>
        </w:rPr>
        <w:t>比选申请文件递交与评审</w:t>
      </w:r>
      <w:bookmarkEnd w:id="678"/>
      <w:bookmarkEnd w:id="679"/>
      <w:bookmarkEnd w:id="680"/>
    </w:p>
    <w:p w14:paraId="23BA9FC1">
      <w:pPr>
        <w:pStyle w:val="8"/>
        <w:spacing w:before="0" w:after="0" w:afterAutospacing="0"/>
        <w:ind w:left="0" w:right="0" w:firstLine="422" w:firstLineChars="200"/>
        <w:rPr>
          <w:rFonts w:ascii="宋体" w:hAnsi="宋体"/>
          <w:color w:val="auto"/>
          <w:sz w:val="21"/>
          <w:szCs w:val="21"/>
          <w:highlight w:val="none"/>
        </w:rPr>
      </w:pPr>
      <w:bookmarkStart w:id="681" w:name="_Toc492478744"/>
      <w:bookmarkStart w:id="682" w:name="_Toc390098445"/>
      <w:bookmarkStart w:id="683" w:name="_Toc895"/>
      <w:bookmarkStart w:id="684" w:name="_Toc6839"/>
      <w:bookmarkStart w:id="685" w:name="_Toc375039090"/>
      <w:bookmarkStart w:id="686" w:name="_Toc4365"/>
      <w:bookmarkStart w:id="687" w:name="_Toc6974"/>
      <w:bookmarkStart w:id="688" w:name="_Toc385427819"/>
      <w:bookmarkStart w:id="689" w:name="_Toc383891194"/>
      <w:bookmarkStart w:id="690" w:name="_Toc12983529"/>
      <w:bookmarkStart w:id="691" w:name="_Toc10883"/>
      <w:bookmarkStart w:id="692" w:name="_Toc4674"/>
      <w:bookmarkStart w:id="693" w:name="_Toc25116"/>
      <w:bookmarkStart w:id="694" w:name="_Toc24196"/>
      <w:bookmarkStart w:id="695" w:name="_Toc9309"/>
      <w:bookmarkStart w:id="696" w:name="_Toc4825"/>
      <w:bookmarkStart w:id="697" w:name="_Toc5182"/>
      <w:bookmarkStart w:id="698" w:name="_Toc10292"/>
      <w:bookmarkStart w:id="699" w:name="_Toc9264"/>
      <w:bookmarkStart w:id="700" w:name="_Toc6377"/>
      <w:bookmarkStart w:id="701" w:name="_Toc4638"/>
      <w:bookmarkStart w:id="702" w:name="_Toc23705"/>
      <w:bookmarkStart w:id="703" w:name="_Toc18919"/>
      <w:bookmarkStart w:id="704" w:name="_Toc9037"/>
      <w:bookmarkStart w:id="705" w:name="_Toc25314"/>
      <w:bookmarkStart w:id="706" w:name="_Toc25750614"/>
      <w:bookmarkStart w:id="707" w:name="_Toc114134631"/>
      <w:r>
        <w:rPr>
          <w:rFonts w:hint="eastAsia" w:ascii="宋体" w:hAnsi="宋体"/>
          <w:color w:val="auto"/>
          <w:sz w:val="21"/>
          <w:szCs w:val="21"/>
          <w:highlight w:val="none"/>
        </w:rPr>
        <w:t>21.</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Pr>
          <w:rFonts w:hint="eastAsia" w:ascii="宋体" w:hAnsi="宋体"/>
          <w:color w:val="auto"/>
          <w:sz w:val="21"/>
          <w:szCs w:val="21"/>
          <w:highlight w:val="none"/>
        </w:rPr>
        <w:t>比选申请文件递交</w:t>
      </w:r>
      <w:bookmarkEnd w:id="704"/>
      <w:bookmarkEnd w:id="705"/>
      <w:bookmarkEnd w:id="706"/>
      <w:bookmarkEnd w:id="707"/>
    </w:p>
    <w:p w14:paraId="76C7EAA1">
      <w:pPr>
        <w:tabs>
          <w:tab w:val="left" w:pos="945"/>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21.1比选人将按本须知第</w:t>
      </w:r>
      <w:r>
        <w:rPr>
          <w:rFonts w:ascii="宋体" w:hAnsi="宋体"/>
          <w:color w:val="auto"/>
          <w:highlight w:val="none"/>
        </w:rPr>
        <w:t>18.1</w:t>
      </w:r>
      <w:r>
        <w:rPr>
          <w:rFonts w:hint="eastAsia" w:ascii="宋体" w:hAnsi="宋体"/>
          <w:color w:val="auto"/>
          <w:highlight w:val="none"/>
        </w:rPr>
        <w:t>项规定的时间和地址，对所有按时递交并已签收达三个或以上比选申请人的比选申请文件进行核查。</w:t>
      </w:r>
    </w:p>
    <w:p w14:paraId="4A1A314E">
      <w:pPr>
        <w:tabs>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比选申请文件有下列情形之一的，比选人应当拒收：</w:t>
      </w:r>
    </w:p>
    <w:p w14:paraId="08D5A751">
      <w:pPr>
        <w:snapToGrid w:val="0"/>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2A918C39">
      <w:pPr>
        <w:snapToGrid w:val="0"/>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38378AE9">
      <w:pPr>
        <w:pStyle w:val="8"/>
        <w:spacing w:before="0" w:after="0" w:afterAutospacing="0"/>
        <w:ind w:left="0" w:right="0" w:firstLine="422" w:firstLineChars="200"/>
        <w:rPr>
          <w:rFonts w:ascii="宋体" w:hAnsi="宋体"/>
          <w:color w:val="auto"/>
          <w:sz w:val="21"/>
          <w:szCs w:val="21"/>
          <w:highlight w:val="none"/>
        </w:rPr>
      </w:pPr>
      <w:bookmarkStart w:id="708" w:name="_Toc390098446"/>
      <w:bookmarkStart w:id="709" w:name="_Toc383891195"/>
      <w:bookmarkStart w:id="710" w:name="_Toc385427820"/>
      <w:bookmarkStart w:id="711" w:name="_Toc375039091"/>
      <w:bookmarkStart w:id="712" w:name="_Toc25270"/>
      <w:bookmarkStart w:id="713" w:name="_Toc27636"/>
      <w:bookmarkStart w:id="714" w:name="_Toc11013"/>
      <w:bookmarkStart w:id="715" w:name="_Toc12983530"/>
      <w:bookmarkStart w:id="716" w:name="_Toc16068"/>
      <w:bookmarkStart w:id="717" w:name="_Toc114134632"/>
      <w:bookmarkStart w:id="718" w:name="_Toc24687"/>
      <w:bookmarkStart w:id="719" w:name="_Toc30671"/>
      <w:bookmarkStart w:id="720" w:name="_Toc11263"/>
      <w:bookmarkStart w:id="721" w:name="_Toc24630"/>
      <w:bookmarkStart w:id="722" w:name="_Toc17785"/>
      <w:bookmarkStart w:id="723" w:name="_Toc9391"/>
      <w:bookmarkStart w:id="724" w:name="_Toc492478745"/>
      <w:bookmarkStart w:id="725" w:name="_Toc23699"/>
      <w:bookmarkStart w:id="726" w:name="_Toc21819"/>
      <w:bookmarkStart w:id="727" w:name="_Toc16601"/>
      <w:bookmarkStart w:id="728" w:name="_Toc5267"/>
      <w:bookmarkStart w:id="729" w:name="_Toc15111"/>
      <w:bookmarkStart w:id="730" w:name="_Toc16897"/>
      <w:bookmarkStart w:id="731" w:name="_Toc15466"/>
      <w:bookmarkStart w:id="732" w:name="_Toc1920"/>
      <w:bookmarkStart w:id="733" w:name="_Toc13202"/>
      <w:bookmarkStart w:id="734" w:name="_Toc25750615"/>
      <w:r>
        <w:rPr>
          <w:rFonts w:hint="eastAsia" w:ascii="宋体" w:hAnsi="宋体"/>
          <w:color w:val="auto"/>
          <w:sz w:val="21"/>
          <w:szCs w:val="21"/>
          <w:highlight w:val="none"/>
        </w:rPr>
        <w:t>22.</w:t>
      </w:r>
      <w:r>
        <w:rPr>
          <w:rFonts w:ascii="宋体" w:hAnsi="宋体"/>
          <w:color w:val="auto"/>
          <w:sz w:val="21"/>
          <w:szCs w:val="21"/>
          <w:highlight w:val="none"/>
        </w:rPr>
        <w:t>评审</w:t>
      </w:r>
      <w:bookmarkEnd w:id="708"/>
      <w:bookmarkEnd w:id="709"/>
      <w:bookmarkEnd w:id="710"/>
      <w:bookmarkEnd w:id="711"/>
      <w:r>
        <w:rPr>
          <w:rFonts w:ascii="宋体" w:hAnsi="宋体"/>
          <w:color w:val="auto"/>
          <w:sz w:val="21"/>
          <w:szCs w:val="21"/>
          <w:highlight w:val="none"/>
        </w:rPr>
        <w:t>程序</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FB56E2A">
      <w:pPr>
        <w:tabs>
          <w:tab w:val="left" w:pos="8364"/>
        </w:tabs>
        <w:spacing w:before="0" w:after="0" w:afterAutospacing="0"/>
        <w:ind w:left="0" w:right="0" w:firstLine="420" w:firstLineChars="200"/>
        <w:rPr>
          <w:rFonts w:ascii="宋体" w:hAnsi="宋体"/>
          <w:b/>
          <w:color w:val="auto"/>
          <w:highlight w:val="none"/>
        </w:rPr>
      </w:pPr>
      <w:bookmarkStart w:id="735" w:name="_Toc375039092"/>
      <w:r>
        <w:rPr>
          <w:rFonts w:hint="eastAsia" w:ascii="宋体" w:hAnsi="宋体"/>
          <w:color w:val="auto"/>
          <w:highlight w:val="none"/>
        </w:rPr>
        <w:t>详见第六章《评分办法》。</w:t>
      </w:r>
      <w:bookmarkEnd w:id="735"/>
    </w:p>
    <w:p w14:paraId="4D5B069E">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736" w:name="_Toc492478746"/>
      <w:bookmarkStart w:id="737" w:name="_Toc18803"/>
      <w:bookmarkStart w:id="738" w:name="_Toc14719"/>
      <w:bookmarkStart w:id="739" w:name="_Toc26083"/>
      <w:bookmarkStart w:id="740" w:name="_Toc17980"/>
      <w:bookmarkStart w:id="741" w:name="_Toc390098447"/>
      <w:bookmarkStart w:id="742" w:name="_Toc375039093"/>
      <w:bookmarkStart w:id="743" w:name="_Toc27570"/>
      <w:bookmarkStart w:id="744" w:name="_Toc18063"/>
      <w:bookmarkStart w:id="745" w:name="_Toc385427821"/>
      <w:bookmarkStart w:id="746" w:name="_Toc25047"/>
      <w:bookmarkStart w:id="747" w:name="_Toc5386"/>
      <w:bookmarkStart w:id="748" w:name="_Toc24755"/>
      <w:bookmarkStart w:id="749" w:name="_Toc11716"/>
      <w:bookmarkStart w:id="750" w:name="_Toc833"/>
      <w:bookmarkStart w:id="751" w:name="_Toc32545"/>
      <w:bookmarkStart w:id="752" w:name="_Toc12983531"/>
      <w:bookmarkStart w:id="753" w:name="_Toc13421"/>
      <w:bookmarkStart w:id="754" w:name="_Toc16072"/>
      <w:bookmarkStart w:id="755" w:name="_Toc29929"/>
      <w:bookmarkStart w:id="756" w:name="_Toc26137"/>
      <w:bookmarkStart w:id="757" w:name="_Toc114134633"/>
      <w:bookmarkStart w:id="758" w:name="_Toc8295"/>
      <w:bookmarkStart w:id="759" w:name="_Toc383891196"/>
      <w:bookmarkStart w:id="760" w:name="_Toc1456"/>
      <w:bookmarkStart w:id="761" w:name="_Toc15"/>
      <w:bookmarkStart w:id="762" w:name="_Toc25750616"/>
      <w:r>
        <w:rPr>
          <w:rFonts w:ascii="宋体" w:hAnsi="宋体"/>
          <w:color w:val="auto"/>
          <w:sz w:val="21"/>
          <w:szCs w:val="21"/>
          <w:highlight w:val="none"/>
        </w:rPr>
        <w:t>与比选人和评审委员会的接触</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35DC1ED">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23.1</w:t>
      </w:r>
      <w:r>
        <w:rPr>
          <w:rFonts w:ascii="宋体" w:hAnsi="宋体" w:cs="Arial"/>
          <w:color w:val="auto"/>
          <w:highlight w:val="none"/>
        </w:rPr>
        <w:t>从比选申请截止日起至授予合同期间，未经书面要求，比选申请人不得就与其比选申请文件有关的事项与评审委员会、比选人接触（包括直接接触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595DCAFC">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23.2</w:t>
      </w:r>
      <w:r>
        <w:rPr>
          <w:rFonts w:ascii="宋体" w:hAnsi="宋体" w:cs="Arial"/>
          <w:color w:val="auto"/>
          <w:highlight w:val="none"/>
        </w:rPr>
        <w:t>比选申请人试图对评审委员会的评审、比较或授予合同的决定进行影响，都可能导致其比选申请文件被否决。</w:t>
      </w:r>
    </w:p>
    <w:p w14:paraId="1E8E8AD0">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23.3</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544E0DA7">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23.4</w:t>
      </w:r>
      <w:r>
        <w:rPr>
          <w:rFonts w:ascii="宋体" w:hAnsi="宋体" w:cs="Arial"/>
          <w:color w:val="auto"/>
          <w:highlight w:val="none"/>
        </w:rPr>
        <w:t>有关比选申请文件的审查、澄清、评估和比较以及有关授予合同的意向的一切情况都不得透露给任一比选申请人。</w:t>
      </w:r>
    </w:p>
    <w:p w14:paraId="2F1C450F">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763" w:name="_Toc12960"/>
      <w:bookmarkStart w:id="764" w:name="_Toc385427822"/>
      <w:bookmarkStart w:id="765" w:name="_Toc654"/>
      <w:bookmarkStart w:id="766" w:name="_Toc12909"/>
      <w:bookmarkStart w:id="767" w:name="_Toc25750617"/>
      <w:bookmarkStart w:id="768" w:name="_Toc9941"/>
      <w:bookmarkStart w:id="769" w:name="_Toc16963"/>
      <w:bookmarkStart w:id="770" w:name="_Toc20523"/>
      <w:bookmarkStart w:id="771" w:name="_Toc383891197"/>
      <w:bookmarkStart w:id="772" w:name="_Toc19005"/>
      <w:bookmarkStart w:id="773" w:name="_Toc29504"/>
      <w:bookmarkStart w:id="774" w:name="_Toc12671"/>
      <w:bookmarkStart w:id="775" w:name="_Toc12983532"/>
      <w:bookmarkStart w:id="776" w:name="_Toc15988"/>
      <w:bookmarkStart w:id="777" w:name="_Toc390098448"/>
      <w:bookmarkStart w:id="778" w:name="_Toc114134634"/>
      <w:bookmarkStart w:id="779" w:name="_Toc19810"/>
      <w:bookmarkStart w:id="780" w:name="_Toc18515"/>
      <w:bookmarkStart w:id="781" w:name="_Toc30207"/>
      <w:bookmarkStart w:id="782" w:name="_Toc12555"/>
      <w:bookmarkStart w:id="783" w:name="_Toc7858"/>
      <w:bookmarkStart w:id="784" w:name="_Toc25734"/>
      <w:bookmarkStart w:id="785" w:name="_Toc21167"/>
      <w:bookmarkStart w:id="786" w:name="_Toc492478747"/>
      <w:bookmarkStart w:id="787" w:name="_Toc9602"/>
      <w:bookmarkStart w:id="788" w:name="_Toc24161"/>
      <w:bookmarkStart w:id="789" w:name="_Toc378514937"/>
      <w:bookmarkStart w:id="790" w:name="_Toc294723156"/>
      <w:bookmarkStart w:id="791" w:name="_Toc375039094"/>
      <w:r>
        <w:rPr>
          <w:rFonts w:hint="eastAsia" w:ascii="宋体" w:hAnsi="宋体"/>
          <w:color w:val="auto"/>
          <w:sz w:val="21"/>
          <w:szCs w:val="21"/>
          <w:highlight w:val="none"/>
        </w:rPr>
        <w:t>评审过程保密</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1B179E6">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24.1递交比选文件后，直到宣布授予中选人且签订合同为止，凡属于审查、澄清、评价和比较比选申请的有关资料且与授予合同有关的信息，都不应向比选申请人或与该过程无关的其他人泄露。</w:t>
      </w:r>
    </w:p>
    <w:p w14:paraId="3CEDDE0A">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24.2比选申请人在比选申请文件的审查、澄清、评价和比较以及授予合同的过程中，对比选人和评审专家施加影响的任何行为，都将导致取消比选申请资格。</w:t>
      </w:r>
    </w:p>
    <w:p w14:paraId="393FA6E1">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792" w:name="_Toc8827"/>
      <w:bookmarkStart w:id="793" w:name="_Toc13743"/>
      <w:bookmarkStart w:id="794" w:name="_Toc30429"/>
      <w:bookmarkStart w:id="795" w:name="_Toc23586"/>
      <w:bookmarkStart w:id="796" w:name="_Toc23267"/>
      <w:bookmarkStart w:id="797" w:name="_Toc114134635"/>
      <w:bookmarkStart w:id="798" w:name="_Toc385427823"/>
      <w:bookmarkStart w:id="799" w:name="_Toc22510"/>
      <w:bookmarkStart w:id="800" w:name="_Toc390098449"/>
      <w:bookmarkStart w:id="801" w:name="_Toc14860"/>
      <w:bookmarkStart w:id="802" w:name="_Toc12983533"/>
      <w:bookmarkStart w:id="803" w:name="_Toc27670"/>
      <w:bookmarkStart w:id="804" w:name="_Toc11077"/>
      <w:bookmarkStart w:id="805" w:name="_Toc5983"/>
      <w:bookmarkStart w:id="806" w:name="_Toc28843"/>
      <w:bookmarkStart w:id="807" w:name="_Toc6624"/>
      <w:bookmarkStart w:id="808" w:name="_Toc27553"/>
      <w:bookmarkStart w:id="809" w:name="_Toc28898"/>
      <w:bookmarkStart w:id="810" w:name="_Toc24327"/>
      <w:bookmarkStart w:id="811" w:name="_Toc383891198"/>
      <w:bookmarkStart w:id="812" w:name="_Toc14799"/>
      <w:bookmarkStart w:id="813" w:name="_Toc28701"/>
      <w:bookmarkStart w:id="814" w:name="_Toc25750618"/>
      <w:bookmarkStart w:id="815" w:name="_Toc13768"/>
      <w:bookmarkStart w:id="816" w:name="_Toc492478748"/>
      <w:bookmarkStart w:id="817" w:name="_Toc1983"/>
      <w:r>
        <w:rPr>
          <w:rFonts w:hint="eastAsia" w:ascii="宋体" w:hAnsi="宋体"/>
          <w:color w:val="auto"/>
          <w:sz w:val="21"/>
          <w:szCs w:val="21"/>
          <w:highlight w:val="none"/>
        </w:rPr>
        <w:t>比选申请文件的澄清</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33C1667">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25.1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6B24EFC4">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818" w:name="_Toc114134636"/>
      <w:bookmarkStart w:id="819" w:name="_Toc30017"/>
      <w:bookmarkStart w:id="820" w:name="_Toc492478749"/>
      <w:bookmarkStart w:id="821" w:name="_Toc385427824"/>
      <w:bookmarkStart w:id="822" w:name="_Toc9040"/>
      <w:bookmarkStart w:id="823" w:name="_Toc26318"/>
      <w:bookmarkStart w:id="824" w:name="_Toc390098450"/>
      <w:bookmarkStart w:id="825" w:name="_Toc4397"/>
      <w:bookmarkStart w:id="826" w:name="_Toc30176"/>
      <w:bookmarkStart w:id="827" w:name="_Toc12983534"/>
      <w:bookmarkStart w:id="828" w:name="_Toc8378"/>
      <w:bookmarkStart w:id="829" w:name="_Toc5926"/>
      <w:bookmarkStart w:id="830" w:name="_Toc12795"/>
      <w:bookmarkStart w:id="831" w:name="_Toc18093"/>
      <w:bookmarkStart w:id="832" w:name="_Toc25750619"/>
      <w:bookmarkStart w:id="833" w:name="_Toc26070"/>
      <w:bookmarkStart w:id="834" w:name="_Toc22681"/>
      <w:bookmarkStart w:id="835" w:name="_Toc6908"/>
      <w:bookmarkStart w:id="836" w:name="_Toc16884"/>
      <w:bookmarkStart w:id="837" w:name="_Toc28992"/>
      <w:bookmarkStart w:id="838" w:name="_Toc1915"/>
      <w:bookmarkStart w:id="839" w:name="_Toc383891199"/>
      <w:bookmarkStart w:id="840" w:name="_Toc20519"/>
      <w:bookmarkStart w:id="841" w:name="_Toc5437"/>
      <w:bookmarkStart w:id="842" w:name="_Toc5607"/>
      <w:bookmarkStart w:id="843" w:name="_Toc29146"/>
      <w:r>
        <w:rPr>
          <w:rFonts w:hint="eastAsia" w:ascii="宋体" w:hAnsi="宋体"/>
          <w:color w:val="auto"/>
          <w:sz w:val="21"/>
          <w:szCs w:val="21"/>
          <w:highlight w:val="none"/>
        </w:rPr>
        <w:t>比选申请文件响应性的确定</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665AA858">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26.1在详细评审之前，评审委员会将首先审定每份比选申请文件是否在实质上响应了比选文件的要求和规定。</w:t>
      </w:r>
    </w:p>
    <w:p w14:paraId="4B44D894">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26.2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0EE63A2B">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26.3如果比选申请文件实质上不响应比选文件的要求，比选人将予以拒绝，并且不允许比选申请人通过修正或撤销其不符要求的差异或保留使之成为具有响应性的比选申请。</w:t>
      </w:r>
    </w:p>
    <w:p w14:paraId="222D7601">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844" w:name="_Toc20912"/>
      <w:bookmarkStart w:id="845" w:name="_Toc15051"/>
      <w:bookmarkStart w:id="846" w:name="_Toc22063"/>
      <w:bookmarkStart w:id="847" w:name="_Toc22146"/>
      <w:bookmarkStart w:id="848" w:name="_Toc17236"/>
      <w:bookmarkStart w:id="849" w:name="_Toc20810"/>
      <w:bookmarkStart w:id="850" w:name="_Toc23808"/>
      <w:bookmarkStart w:id="851" w:name="_Toc21908"/>
      <w:bookmarkStart w:id="852" w:name="_Toc12167"/>
      <w:bookmarkStart w:id="853" w:name="_Toc23956"/>
      <w:bookmarkStart w:id="854" w:name="_Toc20874"/>
      <w:bookmarkStart w:id="855" w:name="_Toc23999"/>
      <w:bookmarkStart w:id="856" w:name="_Toc19477"/>
      <w:bookmarkStart w:id="857" w:name="_Toc492478750"/>
      <w:bookmarkStart w:id="858" w:name="_Toc390098451"/>
      <w:bookmarkStart w:id="859" w:name="_Toc114134637"/>
      <w:bookmarkStart w:id="860" w:name="_Toc383891200"/>
      <w:bookmarkStart w:id="861" w:name="_Toc1027"/>
      <w:bookmarkStart w:id="862" w:name="_Toc385427825"/>
      <w:bookmarkStart w:id="863" w:name="_Toc31646"/>
      <w:bookmarkStart w:id="864" w:name="_Toc4436"/>
      <w:bookmarkStart w:id="865" w:name="_Toc12983535"/>
      <w:bookmarkStart w:id="866" w:name="_Toc25750620"/>
      <w:bookmarkStart w:id="867" w:name="_Toc21468"/>
      <w:bookmarkStart w:id="868" w:name="_Toc26239"/>
      <w:bookmarkStart w:id="869" w:name="_Toc29398"/>
      <w:r>
        <w:rPr>
          <w:rFonts w:hint="eastAsia" w:ascii="宋体" w:hAnsi="宋体"/>
          <w:color w:val="auto"/>
          <w:sz w:val="21"/>
          <w:szCs w:val="21"/>
          <w:highlight w:val="none"/>
        </w:rPr>
        <w:t>比选申请文件计算错误的修正</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32D2DF49">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27.1比选申请报价大写金额与小写金额不一致的，以大写金额为准；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2151DE65">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27.2</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04F76D0F">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870" w:name="_Toc24176"/>
      <w:bookmarkStart w:id="871" w:name="_Toc23907"/>
      <w:bookmarkStart w:id="872" w:name="_Toc114134638"/>
      <w:bookmarkStart w:id="873" w:name="_Toc20881"/>
      <w:bookmarkStart w:id="874" w:name="_Toc22994"/>
      <w:bookmarkStart w:id="875" w:name="_Toc20444"/>
      <w:bookmarkStart w:id="876" w:name="_Toc27112"/>
      <w:bookmarkStart w:id="877" w:name="_Toc385427826"/>
      <w:bookmarkStart w:id="878" w:name="_Toc20854"/>
      <w:bookmarkStart w:id="879" w:name="_Toc15554"/>
      <w:bookmarkStart w:id="880" w:name="_Toc383891201"/>
      <w:bookmarkStart w:id="881" w:name="_Toc492478751"/>
      <w:bookmarkStart w:id="882" w:name="_Toc4958"/>
      <w:bookmarkStart w:id="883" w:name="_Toc3258"/>
      <w:bookmarkStart w:id="884" w:name="_Toc8959"/>
      <w:bookmarkStart w:id="885" w:name="_Toc390098452"/>
      <w:bookmarkStart w:id="886" w:name="_Toc19936"/>
      <w:bookmarkStart w:id="887" w:name="_Toc15839"/>
      <w:bookmarkStart w:id="888" w:name="_Toc9737"/>
      <w:bookmarkStart w:id="889" w:name="_Toc12983536"/>
      <w:bookmarkStart w:id="890" w:name="_Toc29276"/>
      <w:bookmarkStart w:id="891" w:name="_Toc9812"/>
      <w:bookmarkStart w:id="892" w:name="_Toc16418"/>
      <w:bookmarkStart w:id="893" w:name="_Toc1004"/>
      <w:bookmarkStart w:id="894" w:name="_Toc5319"/>
      <w:bookmarkStart w:id="895" w:name="_Toc25750621"/>
      <w:r>
        <w:rPr>
          <w:rFonts w:hint="eastAsia" w:ascii="宋体" w:hAnsi="宋体"/>
          <w:color w:val="auto"/>
          <w:sz w:val="21"/>
          <w:szCs w:val="21"/>
          <w:highlight w:val="none"/>
        </w:rPr>
        <w:t>比选申请文件的评价与比较</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43FD4684">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28.1《评审办法》详见比选文件第六章，比选人将按照《评审办法》对本须知第26条确定为实质上响应比选文件要求的比选申请文件进行评价与比较。</w:t>
      </w:r>
    </w:p>
    <w:p w14:paraId="25C9D5F8">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28.2评审将按《评审办法》规定执行。</w:t>
      </w:r>
      <w:bookmarkEnd w:id="789"/>
    </w:p>
    <w:p w14:paraId="074F0995">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896" w:name="_Toc492478752"/>
      <w:bookmarkStart w:id="897" w:name="_Toc3358"/>
      <w:bookmarkStart w:id="898" w:name="_Toc22500"/>
      <w:bookmarkStart w:id="899" w:name="_Toc11657"/>
      <w:bookmarkStart w:id="900" w:name="_Toc32344"/>
      <w:bookmarkStart w:id="901" w:name="_Toc27289"/>
      <w:bookmarkStart w:id="902" w:name="_Toc27803"/>
      <w:bookmarkStart w:id="903" w:name="_Toc11010"/>
      <w:bookmarkStart w:id="904" w:name="_Toc15146"/>
      <w:bookmarkStart w:id="905" w:name="_Toc390098453"/>
      <w:bookmarkStart w:id="906" w:name="_Toc114134639"/>
      <w:bookmarkStart w:id="907" w:name="_Toc1083"/>
      <w:bookmarkStart w:id="908" w:name="_Toc507"/>
      <w:bookmarkStart w:id="909" w:name="_Toc31731"/>
      <w:bookmarkStart w:id="910" w:name="_Toc17460"/>
      <w:bookmarkStart w:id="911" w:name="_Toc31774"/>
      <w:bookmarkStart w:id="912" w:name="_Toc19322"/>
      <w:bookmarkStart w:id="913" w:name="_Toc385427827"/>
      <w:bookmarkStart w:id="914" w:name="_Toc8074"/>
      <w:bookmarkStart w:id="915" w:name="_Toc25750622"/>
      <w:bookmarkStart w:id="916" w:name="_Toc8845"/>
      <w:bookmarkStart w:id="917" w:name="_Toc28489"/>
      <w:bookmarkStart w:id="918" w:name="_Toc12983537"/>
      <w:bookmarkStart w:id="919" w:name="_Toc1450"/>
      <w:bookmarkStart w:id="920" w:name="_Toc383891202"/>
      <w:bookmarkStart w:id="921" w:name="_Toc14300"/>
      <w:r>
        <w:rPr>
          <w:rFonts w:hint="eastAsia" w:ascii="宋体" w:hAnsi="宋体"/>
          <w:color w:val="auto"/>
          <w:sz w:val="21"/>
          <w:szCs w:val="21"/>
          <w:highlight w:val="none"/>
        </w:rPr>
        <w:t>定标</w:t>
      </w:r>
      <w:bookmarkEnd w:id="790"/>
      <w:bookmarkEnd w:id="791"/>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66C40FB4">
      <w:pPr>
        <w:tabs>
          <w:tab w:val="left" w:pos="1134"/>
          <w:tab w:val="left" w:pos="8364"/>
        </w:tabs>
        <w:spacing w:before="0" w:after="0" w:afterAutospacing="0"/>
        <w:ind w:left="0" w:right="0" w:firstLine="420" w:firstLineChars="200"/>
        <w:rPr>
          <w:color w:val="auto"/>
          <w:highlight w:val="none"/>
        </w:rPr>
      </w:pPr>
      <w:r>
        <w:rPr>
          <w:rFonts w:ascii="宋体" w:hAnsi="宋体" w:cs="Arial"/>
          <w:color w:val="auto"/>
          <w:highlight w:val="none"/>
        </w:rPr>
        <w:t>29.1</w:t>
      </w:r>
      <w:r>
        <w:rPr>
          <w:rFonts w:hint="eastAsia"/>
          <w:color w:val="auto"/>
          <w:highlight w:val="none"/>
        </w:rPr>
        <w:t>评标委员会根据综合评分排名情况，推荐3名中标候选人（当中标候选人不足3名时按实际数量推荐），并标明排序。</w:t>
      </w:r>
    </w:p>
    <w:p w14:paraId="5805AC76">
      <w:pPr>
        <w:tabs>
          <w:tab w:val="left" w:pos="1134"/>
          <w:tab w:val="left" w:pos="8364"/>
        </w:tabs>
        <w:spacing w:before="0" w:after="0" w:afterAutospacing="0"/>
        <w:ind w:left="0" w:right="0" w:firstLine="420" w:firstLineChars="200"/>
        <w:rPr>
          <w:rFonts w:ascii="宋体" w:hAnsi="宋体" w:cs="Arial"/>
          <w:color w:val="auto"/>
          <w:highlight w:val="none"/>
        </w:rPr>
      </w:pPr>
      <w:r>
        <w:rPr>
          <w:rFonts w:hint="eastAsia"/>
          <w:color w:val="auto"/>
          <w:highlight w:val="none"/>
        </w:rPr>
        <w:t>29.2比选人应当确定排名第一的中选候选人为中选人。排</w:t>
      </w:r>
      <w:r>
        <w:rPr>
          <w:rFonts w:hint="eastAsia" w:ascii="宋体" w:hAnsi="宋体" w:cs="Arial"/>
          <w:color w:val="auto"/>
          <w:highlight w:val="none"/>
        </w:rPr>
        <w:t>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7681A9ED">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17E7C66F">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6E373A2B">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评审委员会评审结束后，比选人经审查发现评审过程中有明显错误，可以组织原评审委员会进行复评。</w:t>
      </w:r>
    </w:p>
    <w:p w14:paraId="6BECB710">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922" w:name="_Toc26470"/>
      <w:bookmarkStart w:id="923" w:name="_Toc390098454"/>
      <w:bookmarkStart w:id="924" w:name="_Toc12983538"/>
      <w:bookmarkStart w:id="925" w:name="_Toc18192"/>
      <w:bookmarkStart w:id="926" w:name="_Toc1215"/>
      <w:bookmarkStart w:id="927" w:name="_Toc383891203"/>
      <w:bookmarkStart w:id="928" w:name="_Toc21947"/>
      <w:bookmarkStart w:id="929" w:name="_Toc17823"/>
      <w:bookmarkStart w:id="930" w:name="_Toc37"/>
      <w:bookmarkStart w:id="931" w:name="_Toc15932"/>
      <w:bookmarkStart w:id="932" w:name="_Toc492478753"/>
      <w:bookmarkStart w:id="933" w:name="_Toc13986"/>
      <w:bookmarkStart w:id="934" w:name="_Toc16732"/>
      <w:bookmarkStart w:id="935" w:name="_Toc14042"/>
      <w:bookmarkStart w:id="936" w:name="_Toc19634"/>
      <w:bookmarkStart w:id="937" w:name="_Toc5257"/>
      <w:bookmarkStart w:id="938" w:name="_Toc21142"/>
      <w:bookmarkStart w:id="939" w:name="_Toc3761"/>
      <w:bookmarkStart w:id="940" w:name="_Toc22182"/>
      <w:bookmarkStart w:id="941" w:name="_Toc27664"/>
      <w:bookmarkStart w:id="942" w:name="_Toc5172"/>
      <w:bookmarkStart w:id="943" w:name="_Toc375039095"/>
      <w:bookmarkStart w:id="944" w:name="_Toc385427828"/>
      <w:bookmarkStart w:id="945" w:name="_Toc3683"/>
      <w:bookmarkStart w:id="946" w:name="_Toc25750623"/>
      <w:bookmarkStart w:id="947" w:name="_Toc114134640"/>
      <w:bookmarkStart w:id="948" w:name="_Toc13088"/>
      <w:r>
        <w:rPr>
          <w:rFonts w:hint="eastAsia" w:ascii="宋体" w:hAnsi="宋体"/>
          <w:color w:val="auto"/>
          <w:sz w:val="21"/>
          <w:szCs w:val="21"/>
          <w:highlight w:val="none"/>
        </w:rPr>
        <w:t>重新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r>
        <w:rPr>
          <w:rFonts w:hint="eastAsia" w:ascii="宋体" w:hAnsi="宋体"/>
          <w:color w:val="auto"/>
          <w:sz w:val="21"/>
          <w:szCs w:val="21"/>
          <w:highlight w:val="none"/>
        </w:rPr>
        <w:t>比选</w:t>
      </w:r>
      <w:bookmarkEnd w:id="945"/>
      <w:bookmarkEnd w:id="946"/>
      <w:bookmarkEnd w:id="947"/>
      <w:bookmarkEnd w:id="948"/>
    </w:p>
    <w:p w14:paraId="058431E5">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21F7972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7E1ADFD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30.2</w:t>
      </w:r>
      <w:r>
        <w:rPr>
          <w:rFonts w:ascii="宋体" w:hAnsi="宋体"/>
          <w:color w:val="auto"/>
          <w:highlight w:val="none"/>
        </w:rPr>
        <w:t>评审委员会否决不合格比选申请或者界定为否决比选申请后，因有效比选申请不足三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时，评审委员会认为剩余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1809F626">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30.</w:t>
      </w:r>
      <w:r>
        <w:rPr>
          <w:rFonts w:hint="eastAsia" w:ascii="宋体" w:hAnsi="宋体"/>
          <w:color w:val="auto"/>
          <w:highlight w:val="none"/>
        </w:rPr>
        <w:t>3</w:t>
      </w:r>
      <w:r>
        <w:rPr>
          <w:rFonts w:ascii="宋体" w:hAnsi="宋体"/>
          <w:color w:val="auto"/>
          <w:highlight w:val="none"/>
        </w:rPr>
        <w:t>评审委员会决定否决全部比选申请的；</w:t>
      </w:r>
    </w:p>
    <w:p w14:paraId="0CC0E40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193DFF4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w:t>
      </w:r>
      <w:r>
        <w:rPr>
          <w:rFonts w:hint="eastAsia" w:ascii="宋体" w:hAnsi="宋体"/>
          <w:color w:val="auto"/>
          <w:highlight w:val="none"/>
        </w:rPr>
        <w:t>第</w:t>
      </w:r>
      <w:r>
        <w:rPr>
          <w:rFonts w:ascii="宋体" w:hAnsi="宋体"/>
          <w:color w:val="auto"/>
          <w:highlight w:val="none"/>
        </w:rPr>
        <w:t>15</w:t>
      </w:r>
      <w:r>
        <w:rPr>
          <w:rFonts w:hint="eastAsia" w:ascii="宋体" w:hAnsi="宋体"/>
          <w:color w:val="auto"/>
          <w:highlight w:val="none"/>
        </w:rPr>
        <w:t>.2</w:t>
      </w:r>
      <w:r>
        <w:rPr>
          <w:rFonts w:hint="eastAsia" w:ascii="宋体" w:hAnsi="宋体"/>
          <w:color w:val="auto"/>
          <w:highlight w:val="none"/>
          <w:lang w:val="en-US" w:eastAsia="zh-CN"/>
        </w:rPr>
        <w:t>项</w:t>
      </w:r>
      <w:r>
        <w:rPr>
          <w:rFonts w:ascii="宋体" w:hAnsi="宋体"/>
          <w:color w:val="auto"/>
          <w:highlight w:val="none"/>
        </w:rPr>
        <w:t>规定，</w:t>
      </w:r>
      <w:r>
        <w:rPr>
          <w:rFonts w:hint="eastAsia" w:ascii="宋体" w:hAnsi="宋体"/>
          <w:color w:val="auto"/>
          <w:highlight w:val="none"/>
        </w:rPr>
        <w:t>所有中选候选人均不同意在比选申请有效期内延长比选申请有效期的。</w:t>
      </w:r>
    </w:p>
    <w:p w14:paraId="4178F38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30.6比选文件中规定的其他情况。</w:t>
      </w:r>
    </w:p>
    <w:p w14:paraId="7587CE01">
      <w:pPr>
        <w:pStyle w:val="8"/>
        <w:numPr>
          <w:ilvl w:val="0"/>
          <w:numId w:val="5"/>
        </w:numPr>
        <w:spacing w:before="0" w:after="0" w:afterAutospacing="0"/>
        <w:ind w:left="0" w:right="0" w:firstLine="422" w:firstLineChars="200"/>
        <w:rPr>
          <w:rFonts w:ascii="宋体" w:hAnsi="宋体"/>
          <w:color w:val="auto"/>
          <w:sz w:val="21"/>
          <w:szCs w:val="21"/>
          <w:highlight w:val="none"/>
        </w:rPr>
      </w:pPr>
      <w:bookmarkStart w:id="949" w:name="_Toc5959"/>
      <w:bookmarkStart w:id="950" w:name="_Toc11126"/>
      <w:bookmarkStart w:id="951" w:name="_Toc12031"/>
      <w:bookmarkStart w:id="952" w:name="_Toc385427829"/>
      <w:bookmarkStart w:id="953" w:name="_Toc26919"/>
      <w:bookmarkStart w:id="954" w:name="_Toc6886"/>
      <w:bookmarkStart w:id="955" w:name="_Toc390098455"/>
      <w:bookmarkStart w:id="956" w:name="_Toc3769"/>
      <w:bookmarkStart w:id="957" w:name="_Toc1116"/>
      <w:bookmarkStart w:id="958" w:name="_Toc25257"/>
      <w:bookmarkStart w:id="959" w:name="_Toc12983539"/>
      <w:bookmarkStart w:id="960" w:name="_Toc20979"/>
      <w:bookmarkStart w:id="961" w:name="_Toc14454"/>
      <w:bookmarkStart w:id="962" w:name="_Toc26954"/>
      <w:bookmarkStart w:id="963" w:name="_Toc17042"/>
      <w:bookmarkStart w:id="964" w:name="_Toc492478754"/>
      <w:bookmarkStart w:id="965" w:name="_Toc31757"/>
      <w:bookmarkStart w:id="966" w:name="_Toc383891204"/>
      <w:bookmarkStart w:id="967" w:name="_Toc10962"/>
      <w:bookmarkStart w:id="968" w:name="_Toc14235"/>
      <w:bookmarkStart w:id="969" w:name="_Toc2422"/>
      <w:bookmarkStart w:id="970" w:name="_Toc1945"/>
      <w:bookmarkStart w:id="971" w:name="_Toc375039096"/>
      <w:bookmarkStart w:id="972" w:name="_Toc27072"/>
      <w:bookmarkStart w:id="973" w:name="_Toc25750624"/>
      <w:bookmarkStart w:id="974" w:name="_Toc24944"/>
      <w:bookmarkStart w:id="975" w:name="_Toc114134641"/>
      <w:r>
        <w:rPr>
          <w:rFonts w:hint="eastAsia" w:ascii="宋体" w:hAnsi="宋体"/>
          <w:color w:val="auto"/>
          <w:sz w:val="21"/>
          <w:szCs w:val="21"/>
          <w:highlight w:val="none"/>
        </w:rPr>
        <w:t>不再</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Pr>
          <w:rFonts w:hint="eastAsia" w:ascii="宋体" w:hAnsi="宋体"/>
          <w:color w:val="auto"/>
          <w:sz w:val="21"/>
          <w:szCs w:val="21"/>
          <w:highlight w:val="none"/>
        </w:rPr>
        <w:t>比选</w:t>
      </w:r>
      <w:bookmarkEnd w:id="972"/>
      <w:bookmarkEnd w:id="973"/>
      <w:bookmarkEnd w:id="974"/>
      <w:bookmarkEnd w:id="975"/>
    </w:p>
    <w:p w14:paraId="43354ECD">
      <w:pPr>
        <w:tabs>
          <w:tab w:val="left" w:pos="1155"/>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5BE15D14">
      <w:pPr>
        <w:pStyle w:val="7"/>
        <w:spacing w:after="0" w:afterAutospacing="0" w:line="360" w:lineRule="auto"/>
        <w:ind w:left="0" w:right="0" w:firstLine="482" w:firstLineChars="200"/>
        <w:rPr>
          <w:rFonts w:ascii="宋体" w:hAnsi="宋体" w:eastAsia="宋体"/>
          <w:color w:val="auto"/>
          <w:sz w:val="24"/>
          <w:szCs w:val="24"/>
          <w:highlight w:val="none"/>
        </w:rPr>
      </w:pPr>
      <w:bookmarkStart w:id="976" w:name="_Toc4743"/>
      <w:bookmarkStart w:id="977" w:name="_Toc27839"/>
      <w:bookmarkStart w:id="978" w:name="_Toc31958"/>
      <w:bookmarkStart w:id="979" w:name="_Toc12983540"/>
      <w:bookmarkStart w:id="980" w:name="_Toc22416"/>
      <w:bookmarkStart w:id="981" w:name="_Toc6000"/>
      <w:bookmarkStart w:id="982" w:name="_Toc12421"/>
      <w:bookmarkStart w:id="983" w:name="_Toc18800"/>
      <w:bookmarkStart w:id="984" w:name="_Toc114134642"/>
      <w:bookmarkStart w:id="985" w:name="_Toc383891205"/>
      <w:bookmarkStart w:id="986" w:name="_Toc19952"/>
      <w:bookmarkStart w:id="987" w:name="_Toc24681"/>
      <w:bookmarkStart w:id="988" w:name="_Toc375039097"/>
      <w:bookmarkStart w:id="989" w:name="_Toc25431"/>
      <w:bookmarkStart w:id="990" w:name="_Toc30278"/>
      <w:bookmarkStart w:id="991" w:name="_Toc24580"/>
      <w:bookmarkStart w:id="992" w:name="_Toc8834"/>
      <w:bookmarkStart w:id="993" w:name="_Toc26653"/>
      <w:bookmarkStart w:id="994" w:name="_Toc390098456"/>
      <w:bookmarkStart w:id="995" w:name="_Toc21516"/>
      <w:bookmarkStart w:id="996" w:name="_Toc8888"/>
      <w:bookmarkStart w:id="997" w:name="_Toc2326"/>
      <w:bookmarkStart w:id="998" w:name="_Toc492478755"/>
      <w:bookmarkStart w:id="999" w:name="_Toc22975"/>
      <w:bookmarkStart w:id="1000" w:name="_Toc385427830"/>
      <w:bookmarkStart w:id="1001" w:name="_Toc9113"/>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5CB93644">
      <w:pPr>
        <w:pStyle w:val="8"/>
        <w:spacing w:before="0" w:after="0" w:afterAutospacing="0"/>
        <w:ind w:left="0" w:right="0" w:firstLine="422" w:firstLineChars="200"/>
        <w:rPr>
          <w:rFonts w:ascii="宋体" w:hAnsi="宋体"/>
          <w:color w:val="auto"/>
          <w:sz w:val="21"/>
          <w:szCs w:val="21"/>
          <w:highlight w:val="none"/>
        </w:rPr>
      </w:pPr>
      <w:bookmarkStart w:id="1002" w:name="_Toc20642"/>
      <w:bookmarkStart w:id="1003" w:name="_Toc22688"/>
      <w:bookmarkStart w:id="1004" w:name="_Toc26143"/>
      <w:bookmarkStart w:id="1005" w:name="_Toc22323"/>
      <w:bookmarkStart w:id="1006" w:name="_Toc10522"/>
      <w:bookmarkStart w:id="1007" w:name="_Toc492478756"/>
      <w:bookmarkStart w:id="1008" w:name="_Toc375039098"/>
      <w:bookmarkStart w:id="1009" w:name="_Toc12983541"/>
      <w:bookmarkStart w:id="1010" w:name="_Toc28661"/>
      <w:bookmarkStart w:id="1011" w:name="_Toc13914"/>
      <w:bookmarkStart w:id="1012" w:name="_Toc31011"/>
      <w:bookmarkStart w:id="1013" w:name="_Toc11795"/>
      <w:bookmarkStart w:id="1014" w:name="_Toc30026"/>
      <w:bookmarkStart w:id="1015" w:name="_Toc383891206"/>
      <w:bookmarkStart w:id="1016" w:name="_Toc1269"/>
      <w:bookmarkStart w:id="1017" w:name="_Toc21975"/>
      <w:bookmarkStart w:id="1018" w:name="_Toc114134643"/>
      <w:bookmarkStart w:id="1019" w:name="_Toc26525"/>
      <w:bookmarkStart w:id="1020" w:name="_Toc30743"/>
      <w:bookmarkStart w:id="1021" w:name="_Toc385427831"/>
      <w:bookmarkStart w:id="1022" w:name="_Toc25750626"/>
      <w:bookmarkStart w:id="1023" w:name="_Toc17064"/>
      <w:bookmarkStart w:id="1024" w:name="_Toc21728"/>
      <w:bookmarkStart w:id="1025" w:name="_Toc9879"/>
      <w:bookmarkStart w:id="1026" w:name="_Toc8938"/>
      <w:bookmarkStart w:id="1027" w:name="_Toc18878"/>
      <w:bookmarkStart w:id="1028" w:name="_Toc390098457"/>
      <w:r>
        <w:rPr>
          <w:rFonts w:hint="eastAsia" w:ascii="宋体" w:hAnsi="宋体"/>
          <w:color w:val="auto"/>
          <w:sz w:val="21"/>
          <w:szCs w:val="21"/>
          <w:highlight w:val="none"/>
        </w:rPr>
        <w:t>32.合同授予标准</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491908E1">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32.1</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12CDF46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32.2</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已中选的比选申请人不能按比选申请文件中承诺的条件履行签约行为，比选人有权按有关法律法规规定，在评审委员会推荐的、合格的比选申请人名单中按照排名先后顺序选择新的合同授予人。</w:t>
      </w:r>
    </w:p>
    <w:p w14:paraId="0264E999">
      <w:pPr>
        <w:pStyle w:val="8"/>
        <w:spacing w:before="0" w:after="0" w:afterAutospacing="0"/>
        <w:ind w:left="0" w:right="0" w:firstLine="422" w:firstLineChars="200"/>
        <w:rPr>
          <w:rFonts w:ascii="宋体" w:hAnsi="宋体"/>
          <w:color w:val="auto"/>
          <w:sz w:val="21"/>
          <w:szCs w:val="21"/>
          <w:highlight w:val="none"/>
        </w:rPr>
      </w:pPr>
      <w:bookmarkStart w:id="1029" w:name="_Toc377"/>
      <w:bookmarkStart w:id="1030" w:name="_Toc1873"/>
      <w:bookmarkStart w:id="1031" w:name="_Toc7723"/>
      <w:bookmarkStart w:id="1032" w:name="_Toc383891207"/>
      <w:bookmarkStart w:id="1033" w:name="_Toc18977"/>
      <w:bookmarkStart w:id="1034" w:name="_Toc23649"/>
      <w:bookmarkStart w:id="1035" w:name="_Toc14301"/>
      <w:bookmarkStart w:id="1036" w:name="_Toc25750627"/>
      <w:bookmarkStart w:id="1037" w:name="_Toc492478757"/>
      <w:bookmarkStart w:id="1038" w:name="_Toc16111"/>
      <w:bookmarkStart w:id="1039" w:name="_Toc19774"/>
      <w:bookmarkStart w:id="1040" w:name="_Toc375039099"/>
      <w:bookmarkStart w:id="1041" w:name="_Toc385427832"/>
      <w:bookmarkStart w:id="1042" w:name="_Toc24183"/>
      <w:bookmarkStart w:id="1043" w:name="_Toc17153"/>
      <w:bookmarkStart w:id="1044" w:name="_Toc31336"/>
      <w:bookmarkStart w:id="1045" w:name="_Toc11913"/>
      <w:bookmarkStart w:id="1046" w:name="_Toc13417"/>
      <w:bookmarkStart w:id="1047" w:name="_Toc14325"/>
      <w:bookmarkStart w:id="1048" w:name="_Toc26509"/>
      <w:bookmarkStart w:id="1049" w:name="_Toc14832"/>
      <w:bookmarkStart w:id="1050" w:name="_Toc390098458"/>
      <w:bookmarkStart w:id="1051" w:name="_Toc25797"/>
      <w:bookmarkStart w:id="1052" w:name="_Toc114134644"/>
      <w:bookmarkStart w:id="1053" w:name="_Toc17818"/>
      <w:bookmarkStart w:id="1054" w:name="_Toc19128"/>
      <w:bookmarkStart w:id="1055" w:name="_Toc12983542"/>
      <w:r>
        <w:rPr>
          <w:rFonts w:hint="eastAsia" w:ascii="宋体" w:hAnsi="宋体"/>
          <w:color w:val="auto"/>
          <w:sz w:val="21"/>
          <w:szCs w:val="21"/>
          <w:highlight w:val="none"/>
        </w:rPr>
        <w:t>33.接受和否决任何或所有比选申请的权力</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71D1FBAE">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9010C42">
      <w:pPr>
        <w:pStyle w:val="8"/>
        <w:spacing w:before="0" w:after="0" w:afterAutospacing="0"/>
        <w:ind w:left="420" w:leftChars="200" w:right="0" w:firstLine="0"/>
        <w:rPr>
          <w:rFonts w:ascii="宋体" w:hAnsi="宋体"/>
          <w:color w:val="auto"/>
          <w:sz w:val="21"/>
          <w:szCs w:val="21"/>
          <w:highlight w:val="none"/>
        </w:rPr>
      </w:pPr>
      <w:bookmarkStart w:id="1056" w:name="_Toc26012"/>
      <w:bookmarkStart w:id="1057" w:name="_Toc2061"/>
      <w:bookmarkStart w:id="1058" w:name="_Toc13605"/>
      <w:bookmarkStart w:id="1059" w:name="_Toc22657"/>
      <w:bookmarkStart w:id="1060" w:name="_Toc19556"/>
      <w:bookmarkStart w:id="1061" w:name="_Toc27683"/>
      <w:bookmarkStart w:id="1062" w:name="_Toc12983543"/>
      <w:bookmarkStart w:id="1063" w:name="_Toc20680"/>
      <w:bookmarkStart w:id="1064" w:name="_Toc32424"/>
      <w:bookmarkStart w:id="1065" w:name="_Toc390098459"/>
      <w:bookmarkStart w:id="1066" w:name="_Toc9636"/>
      <w:bookmarkStart w:id="1067" w:name="_Toc921"/>
      <w:bookmarkStart w:id="1068" w:name="_Toc29754"/>
      <w:bookmarkStart w:id="1069" w:name="_Toc19943"/>
      <w:bookmarkStart w:id="1070" w:name="_Toc25750628"/>
      <w:bookmarkStart w:id="1071" w:name="_Toc12065"/>
      <w:bookmarkStart w:id="1072" w:name="_Toc385427833"/>
      <w:bookmarkStart w:id="1073" w:name="_Toc21798"/>
      <w:bookmarkStart w:id="1074" w:name="_Toc383891208"/>
      <w:bookmarkStart w:id="1075" w:name="_Toc10348"/>
      <w:bookmarkStart w:id="1076" w:name="_Toc114134645"/>
      <w:bookmarkStart w:id="1077" w:name="_Toc13596"/>
      <w:bookmarkStart w:id="1078" w:name="_Toc375039100"/>
      <w:bookmarkStart w:id="1079" w:name="_Toc5061"/>
      <w:bookmarkStart w:id="1080" w:name="_Toc17953"/>
      <w:bookmarkStart w:id="1081" w:name="_Toc492478758"/>
      <w:bookmarkStart w:id="1082" w:name="_Toc673"/>
      <w:r>
        <w:rPr>
          <w:rFonts w:hint="eastAsia" w:ascii="宋体" w:hAnsi="宋体"/>
          <w:color w:val="auto"/>
          <w:sz w:val="21"/>
          <w:szCs w:val="21"/>
          <w:highlight w:val="none"/>
        </w:rPr>
        <w:t>34.中选通知书</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85D1C5B">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34.1</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75B960D2">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34.2</w:t>
      </w:r>
      <w:r>
        <w:rPr>
          <w:rFonts w:ascii="宋体" w:hAnsi="宋体"/>
          <w:color w:val="auto"/>
          <w:highlight w:val="none"/>
        </w:rPr>
        <w:t>中选通知书将作为签订合同的依据，并是合同的一个组成部分。</w:t>
      </w:r>
    </w:p>
    <w:p w14:paraId="167DAD9F">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34.3</w:t>
      </w:r>
      <w:r>
        <w:rPr>
          <w:rFonts w:ascii="宋体" w:hAnsi="宋体"/>
          <w:color w:val="auto"/>
          <w:highlight w:val="none"/>
        </w:rPr>
        <w:t>对未中选者，比选人不对未中选原因做出解释，同时亦不退还比选申请文件。</w:t>
      </w:r>
    </w:p>
    <w:p w14:paraId="4E7F752C">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34.4放弃中选人资格的处罚详见前附表。</w:t>
      </w:r>
    </w:p>
    <w:p w14:paraId="74B7378F">
      <w:pPr>
        <w:pStyle w:val="8"/>
        <w:spacing w:before="0" w:after="0" w:afterAutospacing="0"/>
        <w:ind w:left="420" w:leftChars="200" w:right="0" w:firstLine="0"/>
        <w:rPr>
          <w:rFonts w:ascii="宋体" w:hAnsi="宋体"/>
          <w:color w:val="auto"/>
          <w:sz w:val="21"/>
          <w:szCs w:val="21"/>
          <w:highlight w:val="none"/>
        </w:rPr>
      </w:pPr>
      <w:bookmarkStart w:id="1083" w:name="_Toc5767"/>
      <w:bookmarkStart w:id="1084" w:name="_Toc24240"/>
      <w:bookmarkStart w:id="1085" w:name="_Toc114134646"/>
      <w:bookmarkStart w:id="1086" w:name="_Toc21217"/>
      <w:bookmarkStart w:id="1087" w:name="_Toc1780"/>
      <w:bookmarkStart w:id="1088" w:name="_Toc385427834"/>
      <w:bookmarkStart w:id="1089" w:name="_Toc383891209"/>
      <w:bookmarkStart w:id="1090" w:name="_Toc24885"/>
      <w:bookmarkStart w:id="1091" w:name="_Toc15048"/>
      <w:bookmarkStart w:id="1092" w:name="_Toc25750629"/>
      <w:bookmarkStart w:id="1093" w:name="_Toc7565"/>
      <w:bookmarkStart w:id="1094" w:name="_Toc390098460"/>
      <w:bookmarkStart w:id="1095" w:name="_Toc492478759"/>
      <w:bookmarkStart w:id="1096" w:name="_Toc1862"/>
      <w:bookmarkStart w:id="1097" w:name="_Toc22442"/>
      <w:bookmarkStart w:id="1098" w:name="_Toc30862"/>
      <w:bookmarkStart w:id="1099" w:name="_Toc8628"/>
      <w:bookmarkStart w:id="1100" w:name="_Toc21570"/>
      <w:bookmarkStart w:id="1101" w:name="_Toc28815"/>
      <w:bookmarkStart w:id="1102" w:name="_Toc5617"/>
      <w:bookmarkStart w:id="1103" w:name="_Toc29993"/>
      <w:bookmarkStart w:id="1104" w:name="_Toc4190"/>
      <w:bookmarkStart w:id="1105" w:name="_Toc4723"/>
      <w:bookmarkStart w:id="1106" w:name="_Toc375039101"/>
      <w:bookmarkStart w:id="1107" w:name="_Toc12983544"/>
      <w:bookmarkStart w:id="1108" w:name="_Toc18694"/>
      <w:bookmarkStart w:id="1109" w:name="_Toc25208"/>
      <w:r>
        <w:rPr>
          <w:rFonts w:hint="eastAsia" w:ascii="宋体" w:hAnsi="宋体"/>
          <w:color w:val="auto"/>
          <w:sz w:val="21"/>
          <w:szCs w:val="21"/>
          <w:highlight w:val="none"/>
        </w:rPr>
        <w:t>35.签订合同</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70984F23">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35.1中选人在收到中选通知书后3</w:t>
      </w:r>
      <w:r>
        <w:rPr>
          <w:rFonts w:ascii="宋体" w:hAnsi="宋体"/>
          <w:color w:val="auto"/>
          <w:highlight w:val="none"/>
        </w:rPr>
        <w:t>0</w:t>
      </w:r>
      <w:r>
        <w:rPr>
          <w:rFonts w:hint="eastAsia" w:ascii="宋体" w:hAnsi="宋体"/>
          <w:color w:val="auto"/>
          <w:highlight w:val="none"/>
        </w:rPr>
        <w:t>日内，按比选文件的要求与比选人签订合同</w:t>
      </w:r>
      <w:r>
        <w:rPr>
          <w:rFonts w:ascii="宋体" w:hAnsi="宋体"/>
          <w:color w:val="auto"/>
          <w:highlight w:val="none"/>
        </w:rPr>
        <w:t>。</w:t>
      </w:r>
      <w:r>
        <w:rPr>
          <w:rFonts w:hint="eastAsia" w:ascii="宋体" w:hAnsi="宋体"/>
          <w:color w:val="auto"/>
          <w:highlight w:val="none"/>
        </w:rPr>
        <w:t>如中选人未在上述期限内与比选人签订合同的，比选人将取消其中选。</w:t>
      </w:r>
    </w:p>
    <w:p w14:paraId="3C69016F">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35.2</w:t>
      </w:r>
      <w:r>
        <w:rPr>
          <w:rFonts w:ascii="宋体" w:hAnsi="宋体"/>
          <w:color w:val="auto"/>
          <w:highlight w:val="none"/>
        </w:rPr>
        <w:t>比选文件、中选通知书、中选人的比选申请文件及双方确认的澄清文件等，均为有法律约束力的合同的组成部分。</w:t>
      </w:r>
    </w:p>
    <w:p w14:paraId="6F13AE2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35.3</w:t>
      </w:r>
      <w:r>
        <w:rPr>
          <w:rFonts w:ascii="宋体" w:hAnsi="宋体"/>
          <w:color w:val="auto"/>
          <w:highlight w:val="none"/>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05491C9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35.4</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54D0D166">
      <w:pPr>
        <w:pStyle w:val="8"/>
        <w:spacing w:before="0" w:after="0" w:afterAutospacing="0"/>
        <w:ind w:left="420" w:leftChars="200" w:right="0" w:firstLine="0"/>
        <w:rPr>
          <w:rFonts w:ascii="宋体" w:hAnsi="宋体"/>
          <w:color w:val="auto"/>
          <w:sz w:val="21"/>
          <w:szCs w:val="21"/>
          <w:highlight w:val="none"/>
        </w:rPr>
      </w:pPr>
      <w:bookmarkStart w:id="1110" w:name="_Toc9981"/>
      <w:bookmarkStart w:id="1111" w:name="_Toc11412"/>
      <w:bookmarkStart w:id="1112" w:name="_Toc25750630"/>
      <w:bookmarkStart w:id="1113" w:name="_Toc383891210"/>
      <w:bookmarkStart w:id="1114" w:name="_Toc17281"/>
      <w:bookmarkStart w:id="1115" w:name="_Toc31814"/>
      <w:bookmarkStart w:id="1116" w:name="_Toc29857"/>
      <w:bookmarkStart w:id="1117" w:name="_Toc390098461"/>
      <w:bookmarkStart w:id="1118" w:name="_Toc5576"/>
      <w:bookmarkStart w:id="1119" w:name="_Toc12983545"/>
      <w:bookmarkStart w:id="1120" w:name="_Toc11079"/>
      <w:bookmarkStart w:id="1121" w:name="_Toc385427835"/>
      <w:bookmarkStart w:id="1122" w:name="_Toc6599"/>
      <w:bookmarkStart w:id="1123" w:name="_Toc16371"/>
      <w:bookmarkStart w:id="1124" w:name="_Toc8104"/>
      <w:bookmarkStart w:id="1125" w:name="_Toc25483"/>
      <w:bookmarkStart w:id="1126" w:name="_Toc9433"/>
      <w:bookmarkStart w:id="1127" w:name="_Toc114134647"/>
      <w:bookmarkStart w:id="1128" w:name="_Toc4665"/>
      <w:bookmarkStart w:id="1129" w:name="_Toc375039102"/>
      <w:bookmarkStart w:id="1130" w:name="_Toc24750"/>
      <w:bookmarkStart w:id="1131" w:name="_Toc23817"/>
      <w:bookmarkStart w:id="1132" w:name="_Toc16589"/>
      <w:bookmarkStart w:id="1133" w:name="_Toc25632"/>
      <w:bookmarkStart w:id="1134" w:name="_Toc20178"/>
      <w:bookmarkStart w:id="1135" w:name="_Toc492478760"/>
      <w:bookmarkStart w:id="1136" w:name="_Toc13919"/>
      <w:r>
        <w:rPr>
          <w:rFonts w:hint="eastAsia" w:ascii="宋体" w:hAnsi="宋体"/>
          <w:color w:val="auto"/>
          <w:sz w:val="21"/>
          <w:szCs w:val="21"/>
          <w:highlight w:val="none"/>
        </w:rPr>
        <w:t>36.履约担保</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4F330D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36.1</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3610C2E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36.2</w:t>
      </w:r>
      <w:r>
        <w:rPr>
          <w:rFonts w:ascii="宋体" w:hAnsi="宋体"/>
          <w:color w:val="auto"/>
          <w:highlight w:val="none"/>
        </w:rPr>
        <w:t>如果中选人没有按照上述第35</w:t>
      </w:r>
      <w:r>
        <w:rPr>
          <w:rFonts w:hint="eastAsia" w:ascii="宋体" w:hAnsi="宋体"/>
          <w:color w:val="auto"/>
          <w:highlight w:val="none"/>
        </w:rPr>
        <w:t>条</w:t>
      </w:r>
      <w:r>
        <w:rPr>
          <w:rFonts w:ascii="宋体" w:hAnsi="宋体"/>
          <w:color w:val="auto"/>
          <w:highlight w:val="none"/>
        </w:rPr>
        <w:t>或</w:t>
      </w:r>
      <w:r>
        <w:rPr>
          <w:rFonts w:hint="eastAsia" w:ascii="宋体" w:hAnsi="宋体"/>
          <w:color w:val="auto"/>
          <w:highlight w:val="none"/>
        </w:rPr>
        <w:t>第</w:t>
      </w:r>
      <w:r>
        <w:rPr>
          <w:rFonts w:ascii="宋体" w:hAnsi="宋体"/>
          <w:color w:val="auto"/>
          <w:highlight w:val="none"/>
        </w:rPr>
        <w:t>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65FF9EDF">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36.3履约担保应从生效之日起至</w:t>
      </w:r>
      <w:r>
        <w:rPr>
          <w:rFonts w:hint="eastAsia" w:ascii="宋体" w:hAnsi="宋体"/>
          <w:color w:val="auto"/>
          <w:highlight w:val="none"/>
        </w:rPr>
        <w:t>全部项目内容验收合格</w:t>
      </w:r>
      <w:r>
        <w:rPr>
          <w:rFonts w:ascii="宋体" w:hAnsi="宋体"/>
          <w:color w:val="auto"/>
          <w:highlight w:val="none"/>
        </w:rPr>
        <w:t>之日有效</w:t>
      </w:r>
      <w:r>
        <w:rPr>
          <w:rFonts w:hint="eastAsia" w:ascii="宋体" w:hAnsi="宋体"/>
          <w:color w:val="auto"/>
          <w:highlight w:val="none"/>
        </w:rPr>
        <w:t>（最终验收证书签署之日后四十五（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47DDF83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36.4</w:t>
      </w:r>
      <w:r>
        <w:rPr>
          <w:rFonts w:ascii="宋体" w:hAnsi="宋体"/>
          <w:color w:val="auto"/>
          <w:highlight w:val="none"/>
        </w:rPr>
        <w:t>履约担保在本合同结束后，根据履约期间比选人的索赔情况，将剩余履约担保款项无息退还中选人。</w:t>
      </w:r>
    </w:p>
    <w:p w14:paraId="64BC195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36.5</w:t>
      </w:r>
      <w:r>
        <w:rPr>
          <w:rFonts w:ascii="宋体" w:hAnsi="宋体"/>
          <w:color w:val="auto"/>
          <w:highlight w:val="none"/>
        </w:rPr>
        <w:t>在合同执行过程中，履约担保金额应保持足额有效，不足时应当按照比选人的要求及时补足担保金额。</w:t>
      </w:r>
    </w:p>
    <w:p w14:paraId="69CBE5D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36.6</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5C1FCFA8">
      <w:pPr>
        <w:tabs>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37.</w:t>
      </w:r>
      <w:r>
        <w:rPr>
          <w:rFonts w:ascii="宋体" w:hAnsi="宋体"/>
          <w:b/>
          <w:bCs/>
          <w:color w:val="auto"/>
          <w:highlight w:val="none"/>
        </w:rPr>
        <w:t>知识产权和专利权</w:t>
      </w:r>
    </w:p>
    <w:p w14:paraId="30D4C6F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37.1</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5330D7A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37.2</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62525149">
      <w:pPr>
        <w:tabs>
          <w:tab w:val="left" w:pos="425"/>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7D42C93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38.1</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由比选人向比选申请人提供的比选文件、图纸、详细资料、模型、模件和所有其他资料，被视为保密资料，仅被用于它所规定的用途，除非得到比选人的书面同意，不能向任何第三方透露。</w:t>
      </w:r>
    </w:p>
    <w:p w14:paraId="3BB3D6B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38.2</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7AE356D6">
      <w:pPr>
        <w:tabs>
          <w:tab w:val="left" w:pos="425"/>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4A65FC96">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39.1</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690CCFA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39.2</w:t>
      </w:r>
      <w:r>
        <w:rPr>
          <w:rFonts w:ascii="宋体" w:hAnsi="宋体"/>
          <w:color w:val="auto"/>
          <w:highlight w:val="none"/>
        </w:rPr>
        <w:t>如果比选申请人在比选申请过程中有欺诈行为，则比选人有权否决比选申请人的比选申请。</w:t>
      </w:r>
    </w:p>
    <w:p w14:paraId="1E61BBBD">
      <w:pPr>
        <w:tabs>
          <w:tab w:val="left" w:pos="425"/>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39.3分包：本项目不允许分包、禁止转包。</w:t>
      </w:r>
    </w:p>
    <w:p w14:paraId="0CB5DDC7">
      <w:pPr>
        <w:tabs>
          <w:tab w:val="left" w:pos="425"/>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39.4需要补充的其他内容：详见比选申请须知前附表</w:t>
      </w:r>
    </w:p>
    <w:p w14:paraId="700E1EC1">
      <w:pPr>
        <w:tabs>
          <w:tab w:val="left" w:pos="425"/>
          <w:tab w:val="left" w:pos="1134"/>
          <w:tab w:val="left" w:pos="8364"/>
        </w:tabs>
        <w:spacing w:before="0" w:after="0" w:afterAutospacing="0" w:line="240" w:lineRule="auto"/>
        <w:ind w:left="0" w:right="0" w:firstLine="422" w:firstLineChars="200"/>
        <w:rPr>
          <w:rFonts w:ascii="宋体" w:hAnsi="宋体"/>
          <w:b/>
          <w:bCs/>
          <w:color w:val="auto"/>
          <w:highlight w:val="none"/>
        </w:rPr>
      </w:pPr>
      <w:r>
        <w:rPr>
          <w:rFonts w:hint="eastAsia" w:ascii="宋体" w:hAnsi="宋体"/>
          <w:b/>
          <w:bCs/>
          <w:color w:val="auto"/>
          <w:highlight w:val="none"/>
        </w:rPr>
        <w:t>40.其他</w:t>
      </w:r>
    </w:p>
    <w:p w14:paraId="6A8EF9EE">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3D091602">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40.1比选申请人在投标截止期后撤回其比选申请的。</w:t>
      </w:r>
    </w:p>
    <w:p w14:paraId="7E0580A9">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40.2提供虚假材料谋取中选的。</w:t>
      </w:r>
    </w:p>
    <w:p w14:paraId="40B84CD4">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40.3采取不正当手段诋毁、排挤其他供应商的。</w:t>
      </w:r>
    </w:p>
    <w:p w14:paraId="3A0D4AB4">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40.4恶意串通等不正当竞争行为的。</w:t>
      </w:r>
    </w:p>
    <w:p w14:paraId="4E16C5ED">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40.5中标后无正当理由拒不与</w:t>
      </w:r>
      <w:r>
        <w:rPr>
          <w:rFonts w:hint="eastAsia" w:ascii="宋体" w:hAnsi="宋体"/>
          <w:color w:val="auto"/>
          <w:highlight w:val="none"/>
        </w:rPr>
        <w:t>比选</w:t>
      </w:r>
      <w:r>
        <w:rPr>
          <w:rFonts w:ascii="宋体" w:hAnsi="宋体"/>
          <w:color w:val="auto"/>
          <w:highlight w:val="none"/>
        </w:rPr>
        <w:t>人签订采购合同的。</w:t>
      </w:r>
    </w:p>
    <w:p w14:paraId="5F742644">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40.6未照比选、比选申请文件确定的事项签订采购合同的。</w:t>
      </w:r>
    </w:p>
    <w:p w14:paraId="65E82D11">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40.7将</w:t>
      </w:r>
      <w:r>
        <w:rPr>
          <w:rFonts w:hint="eastAsia" w:ascii="宋体" w:hAnsi="宋体"/>
          <w:color w:val="auto"/>
          <w:highlight w:val="none"/>
        </w:rPr>
        <w:t>与比选人签订的</w:t>
      </w:r>
      <w:r>
        <w:rPr>
          <w:rFonts w:ascii="宋体" w:hAnsi="宋体"/>
          <w:color w:val="auto"/>
          <w:highlight w:val="none"/>
        </w:rPr>
        <w:t>合同转包的。</w:t>
      </w:r>
    </w:p>
    <w:p w14:paraId="7CAF059A">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40.8提供假冒伪劣产品的。</w:t>
      </w:r>
    </w:p>
    <w:p w14:paraId="203A6435">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40.9擅自变更、中止或者终止合同的。</w:t>
      </w:r>
    </w:p>
    <w:p w14:paraId="3D52F750">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40.10中选人签订合同后，不能履约或无故拖延履约期的。</w:t>
      </w:r>
    </w:p>
    <w:p w14:paraId="6DA4F6D7">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40.11 中选人未按比选申请须知要求在比选申请阶段提出异议或疑问，在成交后无法满足采购需求被认定为无效报价或主动放弃成交资格的。</w:t>
      </w:r>
    </w:p>
    <w:p w14:paraId="5308368F">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40.12 中选人在成交后无正当理由放弃成交资格的。</w:t>
      </w:r>
    </w:p>
    <w:p w14:paraId="60D5D407">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40.13比选文件、法律、法规规定的</w:t>
      </w:r>
      <w:r>
        <w:rPr>
          <w:rFonts w:hint="eastAsia" w:ascii="宋体" w:hAnsi="宋体"/>
          <w:color w:val="auto"/>
          <w:highlight w:val="none"/>
        </w:rPr>
        <w:t>比选人有权取消其比选申请/中选资格的</w:t>
      </w:r>
      <w:r>
        <w:rPr>
          <w:rFonts w:ascii="宋体" w:hAnsi="宋体"/>
          <w:color w:val="auto"/>
          <w:highlight w:val="none"/>
        </w:rPr>
        <w:t>其他情形。</w:t>
      </w:r>
    </w:p>
    <w:p w14:paraId="3732CB03">
      <w:pPr>
        <w:pStyle w:val="17"/>
        <w:pageBreakBefore/>
        <w:ind w:right="-57" w:firstLine="0"/>
        <w:jc w:val="center"/>
        <w:outlineLvl w:val="0"/>
        <w:rPr>
          <w:b/>
          <w:bCs/>
          <w:color w:val="auto"/>
          <w:spacing w:val="20"/>
          <w:sz w:val="48"/>
          <w:highlight w:val="none"/>
        </w:rPr>
      </w:pPr>
      <w:bookmarkStart w:id="1137" w:name="_Toc9458"/>
      <w:bookmarkStart w:id="1138" w:name="_Toc1179"/>
      <w:bookmarkStart w:id="1139" w:name="_Toc12281"/>
      <w:bookmarkStart w:id="1140" w:name="_Toc10158"/>
      <w:bookmarkStart w:id="1141" w:name="_Toc16340"/>
      <w:bookmarkStart w:id="1142" w:name="_Toc13323"/>
      <w:bookmarkStart w:id="1143" w:name="_Toc17022"/>
      <w:bookmarkStart w:id="1144" w:name="_Toc23292"/>
      <w:bookmarkStart w:id="1145" w:name="_Toc25920"/>
      <w:bookmarkStart w:id="1146" w:name="_Toc9991"/>
      <w:bookmarkStart w:id="1147" w:name="_Toc9725"/>
      <w:bookmarkStart w:id="1148" w:name="_Toc4003"/>
      <w:bookmarkStart w:id="1149" w:name="_Toc7547"/>
      <w:bookmarkStart w:id="1150" w:name="_Toc11424"/>
      <w:bookmarkStart w:id="1151" w:name="_Toc28464"/>
      <w:bookmarkStart w:id="1152" w:name="_Toc21919"/>
      <w:bookmarkStart w:id="1153" w:name="_Toc15740"/>
      <w:bookmarkStart w:id="1154" w:name="_Toc14991"/>
      <w:r>
        <w:rPr>
          <w:rStyle w:val="54"/>
          <w:rFonts w:hint="eastAsia" w:ascii="宋体" w:hAnsi="宋体" w:eastAsia="宋体"/>
          <w:color w:val="auto"/>
          <w:highlight w:val="none"/>
        </w:rPr>
        <w:t>第三章合同条款及格式</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0474172">
      <w:pPr>
        <w:wordWrap w:val="0"/>
        <w:rPr>
          <w:rFonts w:ascii="华文中宋" w:hAnsi="华文中宋" w:eastAsia="华文中宋" w:cs="华文中宋"/>
          <w:color w:val="auto"/>
          <w:sz w:val="28"/>
          <w:szCs w:val="28"/>
          <w:highlight w:val="none"/>
        </w:rPr>
      </w:pPr>
      <w:r>
        <w:rPr>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5163185</wp:posOffset>
                </wp:positionH>
                <wp:positionV relativeFrom="paragraph">
                  <wp:posOffset>570230</wp:posOffset>
                </wp:positionV>
                <wp:extent cx="865505" cy="374015"/>
                <wp:effectExtent l="12700" t="12700" r="23495" b="19685"/>
                <wp:wrapNone/>
                <wp:docPr id="6" name="矩形 6"/>
                <wp:cNvGraphicFramePr/>
                <a:graphic xmlns:a="http://schemas.openxmlformats.org/drawingml/2006/main">
                  <a:graphicData uri="http://schemas.microsoft.com/office/word/2010/wordprocessingShape">
                    <wps:wsp>
                      <wps:cNvSpPr/>
                      <wps:spPr>
                        <a:xfrm>
                          <a:off x="0" y="0"/>
                          <a:ext cx="865505" cy="374015"/>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txbx>
                        <w:txbxContent>
                          <w:p w14:paraId="16EF8D1E">
                            <w:pPr>
                              <w:spacing w:before="0" w:after="0" w:afterAutospacing="0"/>
                              <w:ind w:right="-28"/>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6.55pt;margin-top:44.9pt;height:29.45pt;width:68.15pt;z-index:251659264;v-text-anchor:middle;mso-width-relative:page;mso-height-relative:page;" filled="f" stroked="t" coordsize="21600,21600" o:gfxdata="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&#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HeGXbfZAAAACgEAAA8AAAAAAAAAAQAgAAAAIgAAAGRy&#10;cy9kb3ducmV2LnhtbFBLAQIUABQAAAAIAIdO4kABh35EdgIAAOAEAAAOAAAAAAAAAAEAIAAAACgB&#10;AABkcnMvZTJvRG9jLnhtbFBLBQYAAAAABgAGAFkBAAAQBgAAAAA=&#10;">
                <v:fill on="f" focussize="0,0"/>
                <v:stroke weight="2pt" color="#376092 [2404]" joinstyle="round"/>
                <v:imagedata o:title=""/>
                <o:lock v:ext="edit" aspectratio="f"/>
                <v:textbox>
                  <w:txbxContent>
                    <w:p w14:paraId="16EF8D1E">
                      <w:pPr>
                        <w:spacing w:before="0" w:after="0" w:afterAutospacing="0"/>
                        <w:ind w:right="-28"/>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v:textbox>
              </v:rect>
            </w:pict>
          </mc:Fallback>
        </mc:AlternateContent>
      </w:r>
      <w:bookmarkStart w:id="1155" w:name="_Toc11839"/>
      <w:bookmarkStart w:id="1156" w:name="_Toc256000292"/>
      <w:bookmarkStart w:id="1157" w:name="_Toc1372424735"/>
      <w:r>
        <w:rPr>
          <w:rFonts w:hint="eastAsia" w:ascii="华文中宋" w:hAnsi="华文中宋" w:eastAsia="华文中宋" w:cs="华文中宋"/>
          <w:color w:val="auto"/>
          <w:sz w:val="28"/>
          <w:szCs w:val="28"/>
          <w:highlight w:val="none"/>
        </w:rPr>
        <w:t>范本编号：</w:t>
      </w:r>
      <w:r>
        <w:rPr>
          <w:rFonts w:hint="eastAsia" w:ascii="华文中宋" w:hAnsi="华文中宋" w:eastAsia="华文中宋" w:cs="华文中宋"/>
          <w:color w:val="auto"/>
          <w:sz w:val="28"/>
          <w:szCs w:val="28"/>
          <w:highlight w:val="none"/>
          <w:lang w:bidi="ar"/>
        </w:rPr>
        <w:t>NNGD-FWCG-</w:t>
      </w:r>
      <w:r>
        <w:rPr>
          <w:rFonts w:hint="eastAsia" w:ascii="华文中宋" w:hAnsi="华文中宋" w:eastAsia="华文中宋" w:cs="华文中宋"/>
          <w:color w:val="auto"/>
          <w:kern w:val="2"/>
          <w:sz w:val="28"/>
          <w:szCs w:val="28"/>
          <w:highlight w:val="none"/>
          <w:lang w:bidi="ar"/>
        </w:rPr>
        <w:t>FKSJ</w:t>
      </w:r>
      <w:r>
        <w:rPr>
          <w:rFonts w:hint="eastAsia" w:ascii="华文中宋" w:hAnsi="华文中宋" w:eastAsia="华文中宋" w:cs="华文中宋"/>
          <w:color w:val="auto"/>
          <w:sz w:val="28"/>
          <w:szCs w:val="28"/>
          <w:highlight w:val="none"/>
          <w:lang w:bidi="ar"/>
        </w:rPr>
        <w:t>-202605</w:t>
      </w:r>
      <w:r>
        <w:rPr>
          <w:rFonts w:hint="eastAsia" w:ascii="华文中宋" w:hAnsi="华文中宋" w:eastAsia="华文中宋" w:cs="华文中宋"/>
          <w:bCs w:val="0"/>
          <w:color w:val="auto"/>
          <w:sz w:val="28"/>
          <w:szCs w:val="28"/>
          <w:highlight w:val="none"/>
        </w:rPr>
        <w:t xml:space="preserve"> </w:t>
      </w:r>
      <w:r>
        <w:rPr>
          <w:rFonts w:hint="eastAsia" w:ascii="华文中宋" w:hAnsi="华文中宋" w:eastAsia="华文中宋" w:cs="华文中宋"/>
          <w:bCs/>
          <w:color w:val="auto"/>
          <w:sz w:val="28"/>
          <w:szCs w:val="28"/>
          <w:highlight w:val="none"/>
        </w:rPr>
        <w:t xml:space="preserve">  合同编号：</w:t>
      </w:r>
    </w:p>
    <w:p w14:paraId="1FC9C2B9">
      <w:pPr>
        <w:wordWrap w:val="0"/>
        <w:rPr>
          <w:rFonts w:ascii="华文中宋" w:hAnsi="华文中宋" w:eastAsia="华文中宋" w:cs="华文中宋"/>
          <w:color w:val="auto"/>
          <w:sz w:val="30"/>
          <w:szCs w:val="30"/>
          <w:highlight w:val="none"/>
        </w:rPr>
      </w:pPr>
      <w:r>
        <w:rPr>
          <w:rFonts w:hint="eastAsia" w:ascii="华文中宋" w:hAnsi="华文中宋" w:eastAsia="华文中宋" w:cs="华文中宋"/>
          <w:color w:val="auto"/>
          <w:sz w:val="30"/>
          <w:szCs w:val="30"/>
          <w:highlight w:val="none"/>
        </w:rPr>
        <w:t xml:space="preserve">                               </w:t>
      </w:r>
    </w:p>
    <w:p w14:paraId="081419E4">
      <w:pPr>
        <w:wordWrap w:val="0"/>
        <w:ind w:right="840"/>
        <w:jc w:val="right"/>
        <w:rPr>
          <w:rFonts w:ascii="华文中宋" w:hAnsi="华文中宋" w:eastAsia="华文中宋" w:cs="华文中宋"/>
          <w:b/>
          <w:bCs/>
          <w:color w:val="auto"/>
          <w:sz w:val="30"/>
          <w:szCs w:val="30"/>
          <w:highlight w:val="none"/>
        </w:rPr>
      </w:pPr>
    </w:p>
    <w:p w14:paraId="4E39F0DD">
      <w:pPr>
        <w:jc w:val="center"/>
        <w:rPr>
          <w:rFonts w:hint="eastAsia" w:ascii="仿宋_GB2312" w:hAnsi="宋体" w:eastAsia="仿宋_GB2312"/>
          <w:b/>
          <w:bCs/>
          <w:color w:val="auto"/>
          <w:sz w:val="44"/>
          <w:szCs w:val="44"/>
          <w:highlight w:val="none"/>
        </w:rPr>
      </w:pPr>
      <w:r>
        <w:rPr>
          <w:rFonts w:hint="eastAsia" w:ascii="仿宋_GB2312" w:hAnsi="宋体" w:eastAsia="仿宋_GB2312"/>
          <w:b/>
          <w:bCs/>
          <w:color w:val="auto"/>
          <w:sz w:val="44"/>
          <w:szCs w:val="44"/>
          <w:highlight w:val="none"/>
          <w:u w:val="single"/>
          <w:lang w:val="en-US" w:eastAsia="zh-CN"/>
        </w:rPr>
        <w:t>南宁轨道地产集团有限责任</w:t>
      </w:r>
      <w:r>
        <w:rPr>
          <w:rFonts w:hint="eastAsia" w:ascii="仿宋_GB2312" w:hAnsi="宋体" w:eastAsia="仿宋_GB2312"/>
          <w:b/>
          <w:bCs/>
          <w:color w:val="auto"/>
          <w:sz w:val="44"/>
          <w:szCs w:val="44"/>
          <w:highlight w:val="none"/>
        </w:rPr>
        <w:t>公司</w:t>
      </w:r>
    </w:p>
    <w:p w14:paraId="488F16B3">
      <w:pPr>
        <w:jc w:val="center"/>
        <w:rPr>
          <w:rFonts w:ascii="华文中宋" w:hAnsi="华文中宋" w:eastAsia="华文中宋" w:cs="华文中宋"/>
          <w:b/>
          <w:color w:val="auto"/>
          <w:sz w:val="30"/>
          <w:szCs w:val="30"/>
          <w:highlight w:val="none"/>
        </w:rPr>
      </w:pPr>
      <w:r>
        <w:rPr>
          <w:rFonts w:hint="eastAsia" w:ascii="仿宋_GB2312" w:hAnsi="宋体" w:eastAsia="仿宋_GB2312" w:cs="Times New Roman"/>
          <w:b/>
          <w:bCs/>
          <w:color w:val="auto"/>
          <w:sz w:val="44"/>
          <w:szCs w:val="44"/>
          <w:highlight w:val="none"/>
          <w:u w:val="single"/>
          <w:lang w:val="zh-CN" w:eastAsia="zh-CN"/>
        </w:rPr>
        <w:t>轨道168项目配电设计（含施工用电、项目正式用电）</w:t>
      </w:r>
      <w:r>
        <w:rPr>
          <w:rFonts w:hint="eastAsia" w:ascii="仿宋_GB2312" w:hAnsi="宋体" w:eastAsia="仿宋_GB2312"/>
          <w:b/>
          <w:bCs/>
          <w:color w:val="auto"/>
          <w:sz w:val="44"/>
          <w:szCs w:val="44"/>
          <w:highlight w:val="none"/>
        </w:rPr>
        <w:t>项目</w:t>
      </w:r>
    </w:p>
    <w:p w14:paraId="17979014">
      <w:pPr>
        <w:jc w:val="center"/>
        <w:rPr>
          <w:rFonts w:ascii="华文中宋" w:hAnsi="华文中宋" w:eastAsia="华文中宋" w:cs="华文中宋"/>
          <w:b/>
          <w:color w:val="auto"/>
          <w:sz w:val="72"/>
          <w:szCs w:val="72"/>
          <w:highlight w:val="none"/>
        </w:rPr>
      </w:pPr>
      <w:r>
        <w:rPr>
          <w:rFonts w:hint="eastAsia" w:ascii="华文中宋" w:hAnsi="华文中宋" w:eastAsia="华文中宋" w:cs="华文中宋"/>
          <w:b/>
          <w:color w:val="auto"/>
          <w:sz w:val="72"/>
          <w:szCs w:val="72"/>
          <w:highlight w:val="none"/>
        </w:rPr>
        <w:t>房地产开发</w:t>
      </w:r>
      <w:r>
        <w:rPr>
          <w:rFonts w:hint="eastAsia" w:ascii="华文中宋" w:hAnsi="华文中宋" w:eastAsia="华文中宋" w:cs="华文中宋"/>
          <w:b/>
          <w:color w:val="auto"/>
          <w:sz w:val="72"/>
          <w:szCs w:val="72"/>
          <w:highlight w:val="none"/>
          <w:lang w:val="en-US" w:eastAsia="zh-CN"/>
        </w:rPr>
        <w:t>项目</w:t>
      </w:r>
      <w:r>
        <w:rPr>
          <w:rFonts w:hint="eastAsia" w:ascii="华文中宋" w:hAnsi="华文中宋" w:eastAsia="华文中宋" w:cs="华文中宋"/>
          <w:b/>
          <w:color w:val="auto"/>
          <w:sz w:val="72"/>
          <w:szCs w:val="72"/>
          <w:highlight w:val="none"/>
        </w:rPr>
        <w:t>设计合同</w:t>
      </w:r>
    </w:p>
    <w:tbl>
      <w:tblPr>
        <w:tblStyle w:val="35"/>
        <w:tblW w:w="8820" w:type="dxa"/>
        <w:tblInd w:w="-72" w:type="dxa"/>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0"/>
      </w:tblGrid>
      <w:tr w14:paraId="61758F86">
        <w:tblPrEx>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820" w:type="dxa"/>
          </w:tcPr>
          <w:p w14:paraId="6AB91746">
            <w:pPr>
              <w:spacing w:line="360" w:lineRule="auto"/>
              <w:ind w:right="-6033" w:rightChars="-2873"/>
              <w:rPr>
                <w:rFonts w:ascii="华文中宋" w:hAnsi="华文中宋" w:eastAsia="华文中宋" w:cs="华文中宋"/>
                <w:color w:val="auto"/>
                <w:sz w:val="30"/>
                <w:szCs w:val="30"/>
                <w:highlight w:val="none"/>
              </w:rPr>
            </w:pPr>
          </w:p>
        </w:tc>
      </w:tr>
    </w:tbl>
    <w:p w14:paraId="4E95D738">
      <w:pPr>
        <w:ind w:left="0" w:firstLine="0"/>
        <w:rPr>
          <w:rFonts w:ascii="华文中宋" w:hAnsi="华文中宋" w:eastAsia="华文中宋" w:cs="华文中宋"/>
          <w:color w:val="auto"/>
          <w:sz w:val="30"/>
          <w:szCs w:val="30"/>
          <w:highlight w:val="none"/>
        </w:rPr>
      </w:pPr>
    </w:p>
    <w:p w14:paraId="715355FE">
      <w:pPr>
        <w:spacing w:line="36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发包人（甲方）：</w:t>
      </w:r>
    </w:p>
    <w:p w14:paraId="1780CCDD">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设计人（乙方）： </w:t>
      </w:r>
    </w:p>
    <w:p w14:paraId="78F779CA">
      <w:pPr>
        <w:spacing w:line="480" w:lineRule="auto"/>
        <w:jc w:val="center"/>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lang w:val="en-US" w:eastAsia="zh-CN"/>
        </w:rPr>
        <w:t>2026</w:t>
      </w:r>
      <w:r>
        <w:rPr>
          <w:rFonts w:hint="eastAsia" w:ascii="华文中宋" w:hAnsi="华文中宋" w:eastAsia="华文中宋" w:cs="华文中宋"/>
          <w:b/>
          <w:color w:val="auto"/>
          <w:sz w:val="30"/>
          <w:szCs w:val="30"/>
          <w:highlight w:val="none"/>
        </w:rPr>
        <w:t>年</w:t>
      </w:r>
      <w:r>
        <w:rPr>
          <w:rFonts w:hint="eastAsia" w:ascii="华文中宋" w:hAnsi="华文中宋" w:eastAsia="华文中宋" w:cs="华文中宋"/>
          <w:b/>
          <w:color w:val="auto"/>
          <w:sz w:val="30"/>
          <w:szCs w:val="30"/>
          <w:highlight w:val="none"/>
          <w:lang w:val="en-US" w:eastAsia="zh-CN"/>
        </w:rPr>
        <w:t>9</w:t>
      </w:r>
      <w:r>
        <w:rPr>
          <w:rFonts w:hint="eastAsia" w:ascii="华文中宋" w:hAnsi="华文中宋" w:eastAsia="华文中宋" w:cs="华文中宋"/>
          <w:b/>
          <w:color w:val="auto"/>
          <w:sz w:val="30"/>
          <w:szCs w:val="30"/>
          <w:highlight w:val="none"/>
        </w:rPr>
        <w:t>月</w:t>
      </w:r>
    </w:p>
    <w:p w14:paraId="530C38AB">
      <w:pPr>
        <w:jc w:val="center"/>
        <w:rPr>
          <w:rFonts w:hint="eastAsia" w:ascii="华文中宋" w:hAnsi="华文中宋" w:eastAsia="华文中宋" w:cs="华文中宋"/>
          <w:b w:val="0"/>
          <w:bCs w:val="0"/>
          <w:color w:val="auto"/>
          <w:sz w:val="44"/>
          <w:szCs w:val="44"/>
          <w:highlight w:val="none"/>
        </w:rPr>
        <w:sectPr>
          <w:headerReference r:id="rId8" w:type="default"/>
          <w:footerReference r:id="rId9" w:type="default"/>
          <w:pgSz w:w="11906" w:h="16838"/>
          <w:pgMar w:top="1440" w:right="1531" w:bottom="1440" w:left="1531" w:header="851" w:footer="992" w:gutter="0"/>
          <w:pgNumType w:start="1"/>
          <w:cols w:space="425" w:num="1"/>
          <w:docGrid w:type="lines" w:linePitch="312" w:charSpace="0"/>
        </w:sectPr>
      </w:pPr>
    </w:p>
    <w:p w14:paraId="0633858C">
      <w:pPr>
        <w:jc w:val="center"/>
        <w:rPr>
          <w:rFonts w:ascii="华文中宋" w:hAnsi="华文中宋" w:eastAsia="华文中宋" w:cs="华文中宋"/>
          <w:b w:val="0"/>
          <w:bCs w:val="0"/>
          <w:color w:val="auto"/>
          <w:sz w:val="44"/>
          <w:szCs w:val="44"/>
          <w:highlight w:val="none"/>
        </w:rPr>
      </w:pPr>
      <w:r>
        <w:rPr>
          <w:rFonts w:hint="eastAsia" w:ascii="华文中宋" w:hAnsi="华文中宋" w:eastAsia="华文中宋" w:cs="华文中宋"/>
          <w:b w:val="0"/>
          <w:bCs w:val="0"/>
          <w:color w:val="auto"/>
          <w:sz w:val="44"/>
          <w:szCs w:val="44"/>
          <w:highlight w:val="none"/>
        </w:rPr>
        <w:t>目 录</w:t>
      </w:r>
    </w:p>
    <w:p w14:paraId="2C0FC1D7">
      <w:pPr>
        <w:pStyle w:val="24"/>
        <w:tabs>
          <w:tab w:val="right" w:leader="dot" w:pos="8844"/>
        </w:tabs>
        <w:rPr>
          <w:rFonts w:ascii="仿宋_GB2312" w:hAnsi="仿宋_GB2312" w:eastAsia="仿宋_GB2312" w:cs="仿宋_GB2312"/>
          <w:color w:val="auto"/>
          <w:spacing w:val="-1"/>
          <w:sz w:val="28"/>
          <w:szCs w:val="28"/>
          <w:highlight w:val="none"/>
        </w:rPr>
      </w:pPr>
      <w:r>
        <w:rPr>
          <w:rFonts w:hint="eastAsia" w:ascii="仿宋_GB2312" w:hAnsi="仿宋_GB2312" w:eastAsia="仿宋_GB2312" w:cs="仿宋_GB2312"/>
          <w:bCs/>
          <w:color w:val="auto"/>
          <w:kern w:val="0"/>
          <w:sz w:val="30"/>
          <w:szCs w:val="30"/>
          <w:highlight w:val="none"/>
        </w:rPr>
        <w:fldChar w:fldCharType="begin"/>
      </w:r>
      <w:r>
        <w:rPr>
          <w:rFonts w:hint="eastAsia" w:ascii="仿宋_GB2312" w:hAnsi="仿宋_GB2312" w:eastAsia="仿宋_GB2312" w:cs="仿宋_GB2312"/>
          <w:bCs/>
          <w:color w:val="auto"/>
          <w:kern w:val="0"/>
          <w:sz w:val="30"/>
          <w:szCs w:val="30"/>
          <w:highlight w:val="none"/>
        </w:rPr>
        <w:instrText xml:space="preserve">TOC \o "1-2" \h \u </w:instrText>
      </w:r>
      <w:r>
        <w:rPr>
          <w:rFonts w:hint="eastAsia" w:ascii="仿宋_GB2312" w:hAnsi="仿宋_GB2312" w:eastAsia="仿宋_GB2312" w:cs="仿宋_GB2312"/>
          <w:bCs/>
          <w:color w:val="auto"/>
          <w:kern w:val="0"/>
          <w:sz w:val="30"/>
          <w:szCs w:val="30"/>
          <w:highlight w:val="none"/>
        </w:rPr>
        <w:fldChar w:fldCharType="separate"/>
      </w:r>
      <w:r>
        <w:rPr>
          <w:color w:val="auto"/>
          <w:highlight w:val="none"/>
        </w:rPr>
        <w:fldChar w:fldCharType="begin"/>
      </w:r>
      <w:r>
        <w:rPr>
          <w:color w:val="auto"/>
          <w:highlight w:val="none"/>
        </w:rPr>
        <w:instrText xml:space="preserve"> HYPERLINK \l "_Toc30050"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第一部分  合同协议书</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_Toc30050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E0F841E">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"_Toc20677"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第二部分　合同澄清文件（如有）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_Toc20677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BB01A7A">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"_Toc14780"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第三部分</w:t>
      </w:r>
      <w:r>
        <w:rPr>
          <w:rFonts w:hint="eastAsia" w:ascii="仿宋_GB2312" w:hAnsi="仿宋_GB2312" w:eastAsia="仿宋_GB2312" w:cs="仿宋_GB2312"/>
          <w:color w:val="auto"/>
          <w:spacing w:val="-1"/>
          <w:sz w:val="28"/>
          <w:szCs w:val="28"/>
          <w:highlight w:val="none"/>
          <w:lang w:val="en-US" w:eastAsia="zh-CN"/>
        </w:rPr>
        <w:t xml:space="preserve"> </w:t>
      </w:r>
      <w:r>
        <w:rPr>
          <w:rFonts w:hint="eastAsia" w:ascii="仿宋_GB2312" w:hAnsi="仿宋_GB2312" w:eastAsia="仿宋_GB2312" w:cs="仿宋_GB2312"/>
          <w:color w:val="auto"/>
          <w:spacing w:val="-1"/>
          <w:sz w:val="28"/>
          <w:szCs w:val="28"/>
          <w:highlight w:val="none"/>
        </w:rPr>
        <w:t xml:space="preserve"> 中标（选）通知书或委托书（如有）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_Toc14780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4D072E80">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"_Toc30884"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第四部分</w:t>
      </w:r>
      <w:r>
        <w:rPr>
          <w:rFonts w:hint="eastAsia" w:ascii="仿宋_GB2312" w:hAnsi="仿宋_GB2312" w:eastAsia="仿宋_GB2312" w:cs="仿宋_GB2312"/>
          <w:color w:val="auto"/>
          <w:spacing w:val="-1"/>
          <w:sz w:val="28"/>
          <w:szCs w:val="28"/>
          <w:highlight w:val="none"/>
          <w:lang w:val="en-US" w:eastAsia="zh-CN"/>
        </w:rPr>
        <w:t xml:space="preserve"> </w:t>
      </w:r>
      <w:r>
        <w:rPr>
          <w:rFonts w:hint="eastAsia" w:ascii="仿宋_GB2312" w:hAnsi="仿宋_GB2312" w:eastAsia="仿宋_GB2312" w:cs="仿宋_GB2312"/>
          <w:color w:val="auto"/>
          <w:spacing w:val="-1"/>
          <w:sz w:val="28"/>
          <w:szCs w:val="28"/>
          <w:highlight w:val="none"/>
        </w:rPr>
        <w:t xml:space="preserve"> 投标函及其附录（如有）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_Toc30884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9</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CD985E3">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"_Toc19701"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第五部分  通用合同条款</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_Toc19701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24C35B8">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"_Toc24981"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 一般约定</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_Toc24981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27EC32A">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"_Toc24812"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2. 发包人</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_Toc24812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40FE559">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"_Toc5496"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3. 设计人</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_Toc5496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10</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2ABB4DC">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"_Toc24973"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4. 工程设计资料</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_Toc24973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13</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36C3F7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"_Toc31695"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5. 工程设计要求</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_Toc31695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14</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16E12C7">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"_Toc15998"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6. 工程设计进度与周期</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_Toc15998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17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5E8575D">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"_Toc23363"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7. 工程设计文件交付</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_Toc23363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5799FC67">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"_Toc19180"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8. 工程设计文件审查</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_Toc19180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EBF30C6">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"_Toc3255"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9. 施工现场配合服务</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_Toc3255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24</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518F25D0">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"_Toc11509"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10. 合同价款与支付</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_Toc11509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24</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4E044093">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"_Toc5002"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11. 工程设计变更与索赔</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_Toc5002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57E99E2">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"_Toc24909"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12. 专业责任与保险</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_Toc24909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33A13EE">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"_Toc11565"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13. 知识产权</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_Toc11565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7C8A92A">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"_Toc15622"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14. 违约责任</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_Toc15622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29</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D87A8D5">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"_Toc14914"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15. 不可抗力</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_Toc14914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31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52E5F3C6">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"_Toc26280"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16. 合同解除</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_Toc26280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32</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D8F23C1">
      <w:pPr>
        <w:pStyle w:val="29"/>
        <w:tabs>
          <w:tab w:val="right" w:leader="dot" w:pos="8844"/>
        </w:tabs>
        <w:rPr>
          <w:color w:val="auto"/>
          <w:highlight w:val="none"/>
        </w:rPr>
        <w:sectPr>
          <w:footerReference r:id="rId10" w:type="default"/>
          <w:pgSz w:w="11906" w:h="16838"/>
          <w:pgMar w:top="1440" w:right="1531" w:bottom="1440" w:left="1531" w:header="851" w:footer="992" w:gutter="0"/>
          <w:pgNumType w:start="1"/>
          <w:cols w:space="425" w:num="1"/>
          <w:docGrid w:type="lines" w:linePitch="312" w:charSpace="0"/>
        </w:sectPr>
      </w:pPr>
    </w:p>
    <w:p w14:paraId="5152FF2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"_Toc13788"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17. 争议解决</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_Toc13788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33</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7D114A86">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"_Toc18682"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第六部分  专用合同条款</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_Toc18682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36</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A62C693">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"_Toc21404"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1.一般约定</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_Toc21404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36</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46FB716A">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"_Toc21809"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2.发包人</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_Toc21809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38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C86B98A">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"_Toc25525"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3.设计人</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_Toc25525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40</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42BEC07">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"_Toc22357"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4.工程设计资料</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_Toc22357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45</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941556A">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"_Toc21538"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5.工程设计要求</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_Toc21538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45</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46917DC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"_Toc30497"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6.工程设计进度与周期</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_Toc30497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46</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702DC4D">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"_Toc8348"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7.工程设计文件交付</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_Toc8348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4998B11D">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"_Toc4277"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8.工程设计文件审查</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_Toc4277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05FEDBB">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"_Toc20227"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9. 施工现场配合服务</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_Toc20227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026A049">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"_Toc11194"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10.合同价款与支付</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_Toc11194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48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99C5BA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"_Toc17504"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11.工程设计变更与索赔</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_Toc17504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50</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5A70935">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"_Toc19708"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12.专业责任与保险</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_Toc19708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50</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C8B385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"_Toc24235"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13.知识产权</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_Toc24235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50</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A5147C6">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"_Toc32133"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14.违约责任</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_Toc32133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A8FD16A">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"_Toc25073"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15.不可抗力</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_Toc25073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53</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F9A3EE2">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"_Toc31665"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16.合同解除</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_Toc31665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53</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C6DA71B">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"_Toc31639"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17.争议解决</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_Toc31639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54</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7AC1E359">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"_Toc28127"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18.其他</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_Toc28127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54</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28B778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"_Toc6579"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w:t>
      </w:r>
      <w:r>
        <w:rPr>
          <w:rFonts w:hint="eastAsia" w:ascii="仿宋_GB2312" w:hAnsi="仿宋_GB2312" w:eastAsia="仿宋_GB2312" w:cs="仿宋_GB2312"/>
          <w:color w:val="auto"/>
          <w:spacing w:val="-1"/>
          <w:sz w:val="28"/>
          <w:szCs w:val="28"/>
          <w:highlight w:val="none"/>
          <w:lang w:val="en-US" w:eastAsia="zh-CN"/>
        </w:rPr>
        <w:t>1</w:t>
      </w:r>
      <w:r>
        <w:rPr>
          <w:rFonts w:hint="eastAsia" w:ascii="仿宋_GB2312" w:hAnsi="仿宋_GB2312" w:eastAsia="仿宋_GB2312" w:cs="仿宋_GB2312"/>
          <w:color w:val="auto"/>
          <w:spacing w:val="-1"/>
          <w:sz w:val="28"/>
          <w:szCs w:val="28"/>
          <w:highlight w:val="none"/>
        </w:rPr>
        <w:t>：工程设计范围、阶段与服务内容</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_Toc6579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D838750">
      <w:pPr>
        <w:pStyle w:val="29"/>
        <w:tabs>
          <w:tab w:val="right" w:leader="dot" w:pos="8844"/>
        </w:tabs>
        <w:ind w:left="0" w:firstLine="420" w:firstLineChars="200"/>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"_Toc1469"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w:t>
      </w:r>
      <w:r>
        <w:rPr>
          <w:rFonts w:hint="eastAsia" w:ascii="仿宋_GB2312" w:hAnsi="仿宋_GB2312" w:eastAsia="仿宋_GB2312" w:cs="仿宋_GB2312"/>
          <w:color w:val="auto"/>
          <w:spacing w:val="-1"/>
          <w:sz w:val="28"/>
          <w:szCs w:val="28"/>
          <w:highlight w:val="none"/>
          <w:lang w:val="en-US" w:eastAsia="zh-CN"/>
        </w:rPr>
        <w:t>2</w:t>
      </w:r>
      <w:r>
        <w:rPr>
          <w:rFonts w:hint="eastAsia" w:ascii="仿宋_GB2312" w:hAnsi="仿宋_GB2312" w:eastAsia="仿宋_GB2312" w:cs="仿宋_GB2312"/>
          <w:color w:val="auto"/>
          <w:spacing w:val="-1"/>
          <w:sz w:val="28"/>
          <w:szCs w:val="28"/>
          <w:highlight w:val="none"/>
        </w:rPr>
        <w:t>：发包人向设计人提交有关资料及文件一览表</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_Toc1469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28926E9">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"_Toc22551"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w:t>
      </w:r>
      <w:r>
        <w:rPr>
          <w:rFonts w:hint="eastAsia" w:ascii="仿宋_GB2312" w:hAnsi="仿宋_GB2312" w:eastAsia="仿宋_GB2312" w:cs="仿宋_GB2312"/>
          <w:color w:val="auto"/>
          <w:spacing w:val="-1"/>
          <w:sz w:val="28"/>
          <w:szCs w:val="28"/>
          <w:highlight w:val="none"/>
          <w:lang w:val="en-US" w:eastAsia="zh-CN"/>
        </w:rPr>
        <w:t>3</w:t>
      </w:r>
      <w:r>
        <w:rPr>
          <w:rFonts w:hint="eastAsia" w:ascii="仿宋_GB2312" w:hAnsi="仿宋_GB2312" w:eastAsia="仿宋_GB2312" w:cs="仿宋_GB2312"/>
          <w:color w:val="auto"/>
          <w:spacing w:val="-1"/>
          <w:sz w:val="28"/>
          <w:szCs w:val="28"/>
          <w:highlight w:val="none"/>
        </w:rPr>
        <w:t>：设计人向发包人交付的工程设计文件目录</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_Toc22551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59</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54582E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"_Toc6003"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附件4：设计人主要设计人员表</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_Toc6003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61</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4B3794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"_Toc2213"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附件5：设计进度表</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_Toc2213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62</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D3F21A0">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"_Toc4832"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w:t>
      </w:r>
      <w:r>
        <w:rPr>
          <w:rFonts w:hint="eastAsia" w:ascii="仿宋_GB2312" w:hAnsi="仿宋_GB2312" w:eastAsia="仿宋_GB2312" w:cs="仿宋_GB2312"/>
          <w:color w:val="auto"/>
          <w:spacing w:val="-1"/>
          <w:sz w:val="28"/>
          <w:szCs w:val="28"/>
          <w:highlight w:val="none"/>
          <w:lang w:val="en-US" w:eastAsia="zh-CN"/>
        </w:rPr>
        <w:t>6</w:t>
      </w:r>
      <w:r>
        <w:rPr>
          <w:rFonts w:hint="eastAsia" w:ascii="仿宋_GB2312" w:hAnsi="仿宋_GB2312" w:eastAsia="仿宋_GB2312" w:cs="仿宋_GB2312"/>
          <w:color w:val="auto"/>
          <w:spacing w:val="-1"/>
          <w:sz w:val="28"/>
          <w:szCs w:val="28"/>
          <w:highlight w:val="none"/>
        </w:rPr>
        <w:t>：设计费明细及支付方式</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_Toc4832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63</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E21A146">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"_Toc30620"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w:t>
      </w:r>
      <w:r>
        <w:rPr>
          <w:rFonts w:hint="eastAsia" w:ascii="仿宋_GB2312" w:hAnsi="仿宋_GB2312" w:eastAsia="仿宋_GB2312" w:cs="仿宋_GB2312"/>
          <w:color w:val="auto"/>
          <w:spacing w:val="-1"/>
          <w:sz w:val="28"/>
          <w:szCs w:val="28"/>
          <w:highlight w:val="none"/>
          <w:lang w:val="en-US" w:eastAsia="zh-CN"/>
        </w:rPr>
        <w:t>7</w:t>
      </w:r>
      <w:r>
        <w:rPr>
          <w:rFonts w:hint="eastAsia" w:ascii="仿宋_GB2312" w:hAnsi="仿宋_GB2312" w:eastAsia="仿宋_GB2312" w:cs="仿宋_GB2312"/>
          <w:color w:val="auto"/>
          <w:spacing w:val="-1"/>
          <w:sz w:val="28"/>
          <w:szCs w:val="28"/>
          <w:highlight w:val="none"/>
        </w:rPr>
        <w:t>： 设计变更计费依据和方法</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_Toc30620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65</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10843CB">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"_Toc20592"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附件8：履约担保（如有）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_Toc20592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66</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41AD956">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"_Toc5668"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附件9：廉政责任书</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_Toc5668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68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B38D2E1">
      <w:pPr>
        <w:pStyle w:val="29"/>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"_Toc26308"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附件10：其他要求</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_Toc26308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72</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8BCA8A8">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"_Toc17170"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第七部分  发包人</w:t>
      </w:r>
      <w:r>
        <w:rPr>
          <w:rFonts w:hint="eastAsia" w:ascii="仿宋_GB2312" w:hAnsi="仿宋_GB2312" w:eastAsia="仿宋_GB2312" w:cs="仿宋_GB2312"/>
          <w:color w:val="auto"/>
          <w:spacing w:val="-1"/>
          <w:sz w:val="28"/>
          <w:szCs w:val="28"/>
          <w:highlight w:val="none"/>
          <w:lang w:eastAsia="zh-CN"/>
        </w:rPr>
        <w:t>（</w:t>
      </w:r>
      <w:r>
        <w:rPr>
          <w:rFonts w:hint="eastAsia" w:ascii="仿宋_GB2312" w:hAnsi="仿宋_GB2312" w:eastAsia="仿宋_GB2312" w:cs="仿宋_GB2312"/>
          <w:color w:val="auto"/>
          <w:spacing w:val="-1"/>
          <w:sz w:val="28"/>
          <w:szCs w:val="28"/>
          <w:highlight w:val="none"/>
          <w:lang w:val="en-US" w:eastAsia="zh-CN"/>
        </w:rPr>
        <w:t>甲方</w:t>
      </w:r>
      <w:r>
        <w:rPr>
          <w:rFonts w:hint="eastAsia" w:ascii="仿宋_GB2312" w:hAnsi="仿宋_GB2312" w:eastAsia="仿宋_GB2312" w:cs="仿宋_GB2312"/>
          <w:color w:val="auto"/>
          <w:spacing w:val="-1"/>
          <w:sz w:val="28"/>
          <w:szCs w:val="28"/>
          <w:highlight w:val="none"/>
          <w:lang w:eastAsia="zh-CN"/>
        </w:rPr>
        <w:t>）</w:t>
      </w:r>
      <w:r>
        <w:rPr>
          <w:rFonts w:hint="eastAsia" w:ascii="仿宋_GB2312" w:hAnsi="仿宋_GB2312" w:eastAsia="仿宋_GB2312" w:cs="仿宋_GB2312"/>
          <w:color w:val="auto"/>
          <w:spacing w:val="-1"/>
          <w:sz w:val="28"/>
          <w:szCs w:val="28"/>
          <w:highlight w:val="none"/>
        </w:rPr>
        <w:t>要求</w:t>
      </w:r>
      <w:r>
        <w:rPr>
          <w:rFonts w:hint="eastAsia" w:ascii="仿宋_GB2312" w:hAnsi="仿宋_GB2312" w:eastAsia="仿宋_GB2312" w:cs="仿宋_GB2312"/>
          <w:color w:val="auto"/>
          <w:spacing w:val="-1"/>
          <w:sz w:val="28"/>
          <w:szCs w:val="28"/>
          <w:highlight w:val="none"/>
          <w:lang w:eastAsia="zh-CN"/>
        </w:rPr>
        <w:t>（</w:t>
      </w:r>
      <w:r>
        <w:rPr>
          <w:rFonts w:hint="eastAsia" w:ascii="仿宋_GB2312" w:hAnsi="仿宋_GB2312" w:eastAsia="仿宋_GB2312" w:cs="仿宋_GB2312"/>
          <w:color w:val="auto"/>
          <w:spacing w:val="-1"/>
          <w:sz w:val="28"/>
          <w:szCs w:val="28"/>
          <w:highlight w:val="none"/>
          <w:lang w:val="en-US" w:eastAsia="zh-CN"/>
        </w:rPr>
        <w:t>如有</w:t>
      </w:r>
      <w:r>
        <w:rPr>
          <w:rFonts w:hint="eastAsia" w:ascii="仿宋_GB2312" w:hAnsi="仿宋_GB2312" w:eastAsia="仿宋_GB2312" w:cs="仿宋_GB2312"/>
          <w:color w:val="auto"/>
          <w:spacing w:val="-1"/>
          <w:sz w:val="28"/>
          <w:szCs w:val="28"/>
          <w:highlight w:val="none"/>
          <w:lang w:eastAsia="zh-CN"/>
        </w:rPr>
        <w:t>）</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_Toc17170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73</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10327A32">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"_Toc4005"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第八部分  技术标准</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_Toc4005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74</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501447EE">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"_Toc25152"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第九部分  设计费用清单</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_Toc25152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75</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6F8D061C">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"_Toc14500"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第十部分  发包人提供的上一阶段图纸（如有）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_Toc14500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76</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0A395CAC">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"_Toc9550"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第十一部分 招标文件及附件（如有）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_Toc9550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77</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37737B62">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"_Toc16513"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第十二部分 投标文件（如有）</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_Toc16513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78</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56E7E00F">
      <w:pPr>
        <w:pStyle w:val="24"/>
        <w:tabs>
          <w:tab w:val="right" w:leader="dot" w:pos="8844"/>
        </w:tabs>
        <w:rPr>
          <w:rFonts w:ascii="仿宋_GB2312" w:hAnsi="仿宋_GB2312" w:eastAsia="仿宋_GB2312" w:cs="仿宋_GB2312"/>
          <w:color w:val="auto"/>
          <w:spacing w:val="-1"/>
          <w:sz w:val="28"/>
          <w:szCs w:val="28"/>
          <w:highlight w:val="none"/>
        </w:rPr>
      </w:pPr>
      <w:r>
        <w:rPr>
          <w:color w:val="auto"/>
          <w:highlight w:val="none"/>
        </w:rPr>
        <w:fldChar w:fldCharType="begin"/>
      </w:r>
      <w:r>
        <w:rPr>
          <w:color w:val="auto"/>
          <w:highlight w:val="none"/>
        </w:rPr>
        <w:instrText xml:space="preserve"> HYPERLINK \l "_Toc31042" </w:instrText>
      </w:r>
      <w:r>
        <w:rPr>
          <w:color w:val="auto"/>
          <w:highlight w:val="none"/>
        </w:rPr>
        <w:fldChar w:fldCharType="separate"/>
      </w:r>
      <w:r>
        <w:rPr>
          <w:rFonts w:hint="eastAsia" w:ascii="仿宋_GB2312" w:hAnsi="仿宋_GB2312" w:eastAsia="仿宋_GB2312" w:cs="仿宋_GB2312"/>
          <w:color w:val="auto"/>
          <w:spacing w:val="-1"/>
          <w:sz w:val="28"/>
          <w:szCs w:val="28"/>
          <w:highlight w:val="none"/>
        </w:rPr>
        <w:t>第十三部分 其他合同文件</w:t>
      </w:r>
      <w:r>
        <w:rPr>
          <w:rFonts w:hint="eastAsia" w:ascii="仿宋_GB2312" w:hAnsi="仿宋_GB2312" w:eastAsia="仿宋_GB2312" w:cs="仿宋_GB2312"/>
          <w:color w:val="auto"/>
          <w:spacing w:val="-1"/>
          <w:sz w:val="28"/>
          <w:szCs w:val="28"/>
          <w:highlight w:val="none"/>
        </w:rPr>
        <w:tab/>
      </w:r>
      <w:r>
        <w:rPr>
          <w:rFonts w:hint="eastAsia" w:ascii="仿宋_GB2312" w:hAnsi="仿宋_GB2312" w:eastAsia="仿宋_GB2312" w:cs="仿宋_GB2312"/>
          <w:color w:val="auto"/>
          <w:spacing w:val="-1"/>
          <w:sz w:val="28"/>
          <w:szCs w:val="28"/>
          <w:highlight w:val="none"/>
        </w:rPr>
        <w:fldChar w:fldCharType="begin"/>
      </w:r>
      <w:r>
        <w:rPr>
          <w:rFonts w:hint="eastAsia" w:ascii="仿宋_GB2312" w:hAnsi="仿宋_GB2312" w:eastAsia="仿宋_GB2312" w:cs="仿宋_GB2312"/>
          <w:color w:val="auto"/>
          <w:spacing w:val="-1"/>
          <w:sz w:val="28"/>
          <w:szCs w:val="28"/>
          <w:highlight w:val="none"/>
        </w:rPr>
        <w:instrText xml:space="preserve"> PAGEREF _Toc31042 \h </w:instrText>
      </w:r>
      <w:r>
        <w:rPr>
          <w:rFonts w:hint="eastAsia" w:ascii="仿宋_GB2312" w:hAnsi="仿宋_GB2312" w:eastAsia="仿宋_GB2312" w:cs="仿宋_GB2312"/>
          <w:color w:val="auto"/>
          <w:spacing w:val="-1"/>
          <w:sz w:val="28"/>
          <w:szCs w:val="28"/>
          <w:highlight w:val="none"/>
        </w:rPr>
        <w:fldChar w:fldCharType="separate"/>
      </w:r>
      <w:r>
        <w:rPr>
          <w:rFonts w:hint="eastAsia" w:ascii="仿宋_GB2312" w:hAnsi="仿宋_GB2312" w:eastAsia="仿宋_GB2312" w:cs="仿宋_GB2312"/>
          <w:color w:val="auto"/>
          <w:spacing w:val="-1"/>
          <w:sz w:val="28"/>
          <w:szCs w:val="28"/>
          <w:highlight w:val="none"/>
        </w:rPr>
        <w:t>79</w:t>
      </w:r>
      <w:r>
        <w:rPr>
          <w:rFonts w:hint="eastAsia" w:ascii="仿宋_GB2312" w:hAnsi="仿宋_GB2312" w:eastAsia="仿宋_GB2312" w:cs="仿宋_GB2312"/>
          <w:color w:val="auto"/>
          <w:spacing w:val="-1"/>
          <w:sz w:val="28"/>
          <w:szCs w:val="28"/>
          <w:highlight w:val="none"/>
        </w:rPr>
        <w:fldChar w:fldCharType="end"/>
      </w:r>
      <w:r>
        <w:rPr>
          <w:rFonts w:hint="eastAsia" w:ascii="仿宋_GB2312" w:hAnsi="仿宋_GB2312" w:eastAsia="仿宋_GB2312" w:cs="仿宋_GB2312"/>
          <w:color w:val="auto"/>
          <w:spacing w:val="-1"/>
          <w:sz w:val="28"/>
          <w:szCs w:val="28"/>
          <w:highlight w:val="none"/>
        </w:rPr>
        <w:fldChar w:fldCharType="end"/>
      </w:r>
    </w:p>
    <w:p w14:paraId="245B3AB1">
      <w:pPr>
        <w:pStyle w:val="80"/>
        <w:spacing w:before="100" w:beforeAutospacing="1" w:after="100" w:afterAutospacing="1" w:line="360" w:lineRule="auto"/>
        <w:jc w:val="left"/>
        <w:rPr>
          <w:rFonts w:ascii="宋体" w:hAnsi="宋体" w:cs="宋体"/>
          <w:bCs/>
          <w:color w:val="auto"/>
          <w:kern w:val="0"/>
          <w:szCs w:val="21"/>
          <w:highlight w:val="none"/>
        </w:rPr>
      </w:pPr>
      <w:r>
        <w:rPr>
          <w:rFonts w:hint="eastAsia" w:ascii="仿宋_GB2312" w:hAnsi="仿宋_GB2312" w:eastAsia="仿宋_GB2312" w:cs="仿宋_GB2312"/>
          <w:bCs/>
          <w:color w:val="auto"/>
          <w:kern w:val="0"/>
          <w:szCs w:val="30"/>
          <w:highlight w:val="none"/>
        </w:rPr>
        <w:fldChar w:fldCharType="end"/>
      </w:r>
    </w:p>
    <w:bookmarkEnd w:id="1155"/>
    <w:bookmarkEnd w:id="1156"/>
    <w:bookmarkEnd w:id="1157"/>
    <w:p w14:paraId="30AE2B08">
      <w:pPr>
        <w:pStyle w:val="6"/>
        <w:rPr>
          <w:color w:val="auto"/>
          <w:highlight w:val="none"/>
        </w:rPr>
        <w:sectPr>
          <w:footerReference r:id="rId11" w:type="default"/>
          <w:pgSz w:w="11906" w:h="16838"/>
          <w:pgMar w:top="1440" w:right="1531" w:bottom="1440" w:left="1531" w:header="851" w:footer="992" w:gutter="0"/>
          <w:pgNumType w:start="1"/>
          <w:cols w:space="425" w:num="1"/>
          <w:docGrid w:type="lines" w:linePitch="312" w:charSpace="0"/>
        </w:sectPr>
      </w:pPr>
      <w:bookmarkStart w:id="1158" w:name="_Toc30050"/>
      <w:bookmarkStart w:id="1159" w:name="_Toc120"/>
      <w:bookmarkStart w:id="1160" w:name="_Toc19403"/>
      <w:bookmarkStart w:id="1161" w:name="_Toc9291"/>
      <w:bookmarkStart w:id="1162" w:name="_Toc30613"/>
    </w:p>
    <w:p w14:paraId="06373746">
      <w:pPr>
        <w:pStyle w:val="6"/>
        <w:rPr>
          <w:color w:val="auto"/>
          <w:highlight w:val="none"/>
        </w:rPr>
      </w:pPr>
      <w:r>
        <w:rPr>
          <w:color w:val="auto"/>
          <w:highlight w:val="none"/>
        </w:rPr>
        <w:t>第一</w:t>
      </w:r>
      <w:r>
        <w:rPr>
          <w:rFonts w:hint="eastAsia"/>
          <w:color w:val="auto"/>
          <w:highlight w:val="none"/>
        </w:rPr>
        <w:t>部分</w:t>
      </w:r>
      <w:r>
        <w:rPr>
          <w:color w:val="auto"/>
          <w:highlight w:val="none"/>
        </w:rPr>
        <w:t xml:space="preserve"> </w:t>
      </w:r>
      <w:r>
        <w:rPr>
          <w:rFonts w:hint="eastAsia"/>
          <w:color w:val="auto"/>
          <w:highlight w:val="none"/>
        </w:rPr>
        <w:t xml:space="preserve"> </w:t>
      </w:r>
      <w:r>
        <w:rPr>
          <w:color w:val="auto"/>
          <w:highlight w:val="none"/>
        </w:rPr>
        <w:t>合同协议书</w:t>
      </w:r>
      <w:bookmarkEnd w:id="1158"/>
      <w:bookmarkEnd w:id="1159"/>
      <w:bookmarkEnd w:id="1160"/>
      <w:bookmarkEnd w:id="1161"/>
      <w:bookmarkEnd w:id="1162"/>
    </w:p>
    <w:p w14:paraId="252CE17C">
      <w:pPr>
        <w:pStyle w:val="84"/>
        <w:spacing w:after="0" w:line="360" w:lineRule="auto"/>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3"/>
          <w:sz w:val="30"/>
          <w:szCs w:val="30"/>
          <w:highlight w:val="none"/>
        </w:rPr>
        <w:t>发包人（甲方</w:t>
      </w:r>
      <w:r>
        <w:rPr>
          <w:rFonts w:hint="eastAsia" w:ascii="仿宋_GB2312" w:hAnsi="仿宋_GB2312" w:eastAsia="仿宋_GB2312" w:cs="仿宋_GB2312"/>
          <w:color w:val="auto"/>
          <w:spacing w:val="-19"/>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180F44A1">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2"/>
          <w:sz w:val="30"/>
          <w:szCs w:val="30"/>
          <w:highlight w:val="none"/>
        </w:rPr>
        <w:t>设计人（乙方</w:t>
      </w:r>
      <w:r>
        <w:rPr>
          <w:rFonts w:hint="eastAsia" w:ascii="仿宋_GB2312" w:hAnsi="仿宋_GB2312" w:eastAsia="仿宋_GB2312" w:cs="仿宋_GB2312"/>
          <w:color w:val="auto"/>
          <w:spacing w:val="-21"/>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4FCA1450">
      <w:pPr>
        <w:pStyle w:val="84"/>
        <w:spacing w:after="0" w:line="360" w:lineRule="auto"/>
        <w:ind w:firstLine="596"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1"/>
          <w:sz w:val="30"/>
          <w:szCs w:val="30"/>
          <w:highlight w:val="none"/>
        </w:rPr>
        <w:t>及有关事项协商一致，共同达成如下协议：</w:t>
      </w:r>
    </w:p>
    <w:p w14:paraId="4ED81387">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一、</w:t>
      </w:r>
      <w:r>
        <w:rPr>
          <w:rFonts w:hint="eastAsia" w:ascii="仿宋_GB2312" w:hAnsi="仿宋_GB2312" w:eastAsia="仿宋_GB2312" w:cs="仿宋_GB2312"/>
          <w:b/>
          <w:bCs/>
          <w:color w:val="auto"/>
          <w:spacing w:val="-3"/>
          <w:sz w:val="30"/>
          <w:szCs w:val="30"/>
          <w:highlight w:val="none"/>
        </w:rPr>
        <w:t>工程概况</w:t>
      </w:r>
    </w:p>
    <w:p w14:paraId="56AE7BEF">
      <w:pPr>
        <w:pStyle w:val="84"/>
        <w:spacing w:after="0" w:line="360" w:lineRule="auto"/>
        <w:ind w:firstLine="596"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
          <w:sz w:val="30"/>
          <w:szCs w:val="30"/>
          <w:highlight w:val="none"/>
        </w:rPr>
        <w:t>1.工程名称：</w:t>
      </w:r>
      <w:r>
        <w:rPr>
          <w:rFonts w:hint="eastAsia" w:ascii="仿宋_GB2312" w:hAnsi="仿宋_GB2312" w:eastAsia="仿宋_GB2312" w:cs="仿宋_GB2312"/>
          <w:color w:val="auto"/>
          <w:spacing w:val="4"/>
          <w:sz w:val="30"/>
          <w:szCs w:val="30"/>
          <w:highlight w:val="none"/>
          <w:u w:val="single"/>
          <w:lang w:val="en-US" w:eastAsia="zh-CN"/>
        </w:rPr>
        <w:t>轨道168项目配电设计（含施工用电、项目正式用电）</w:t>
      </w:r>
      <w:r>
        <w:rPr>
          <w:rFonts w:hint="eastAsia" w:ascii="仿宋_GB2312" w:hAnsi="仿宋_GB2312" w:eastAsia="仿宋_GB2312" w:cs="仿宋_GB2312"/>
          <w:color w:val="auto"/>
          <w:spacing w:val="4"/>
          <w:sz w:val="30"/>
          <w:szCs w:val="30"/>
          <w:highlight w:val="none"/>
        </w:rPr>
        <w:t>。</w:t>
      </w:r>
    </w:p>
    <w:p w14:paraId="52E2A30A">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2.工程地点：</w:t>
      </w:r>
      <w:r>
        <w:rPr>
          <w:rFonts w:hint="eastAsia" w:ascii="仿宋_GB2312" w:hAnsi="仿宋_GB2312" w:eastAsia="仿宋_GB2312" w:cs="仿宋_GB2312"/>
          <w:color w:val="auto"/>
          <w:spacing w:val="4"/>
          <w:sz w:val="30"/>
          <w:szCs w:val="30"/>
          <w:highlight w:val="none"/>
          <w:u w:val="single"/>
        </w:rPr>
        <w:t>南宁市青秀区民族大道168号</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rPr>
        <w:t>民族大道以南、西至铜鼓岭路，南至青林路夏林路。</w:t>
      </w:r>
    </w:p>
    <w:p w14:paraId="4FDCAC0B">
      <w:pPr>
        <w:pStyle w:val="84"/>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3.工程内容及规模：</w:t>
      </w:r>
      <w:r>
        <w:rPr>
          <w:rFonts w:hint="eastAsia" w:ascii="仿宋_GB2312" w:hAnsi="仿宋_GB2312" w:eastAsia="仿宋_GB2312" w:cs="仿宋_GB2312"/>
          <w:color w:val="auto"/>
          <w:spacing w:val="4"/>
          <w:sz w:val="30"/>
          <w:szCs w:val="30"/>
          <w:highlight w:val="none"/>
          <w:u w:val="single"/>
        </w:rPr>
        <w:t>项目用地面积为29112.23㎡，宗地用途为城镇住宅、批发零售、商务金融。项目总建筑面积约</w:t>
      </w:r>
      <w:r>
        <w:rPr>
          <w:rFonts w:hint="eastAsia" w:ascii="仿宋_GB2312" w:hAnsi="仿宋_GB2312" w:eastAsia="仿宋_GB2312" w:cs="仿宋_GB2312"/>
          <w:color w:val="auto"/>
          <w:spacing w:val="4"/>
          <w:sz w:val="30"/>
          <w:szCs w:val="30"/>
          <w:highlight w:val="none"/>
          <w:u w:val="single"/>
          <w:lang w:val="en-US" w:eastAsia="zh-CN"/>
        </w:rPr>
        <w:t>19.14</w:t>
      </w:r>
      <w:r>
        <w:rPr>
          <w:rFonts w:hint="eastAsia" w:ascii="仿宋_GB2312" w:hAnsi="仿宋_GB2312" w:eastAsia="仿宋_GB2312" w:cs="仿宋_GB2312"/>
          <w:color w:val="auto"/>
          <w:spacing w:val="4"/>
          <w:sz w:val="30"/>
          <w:szCs w:val="30"/>
          <w:highlight w:val="none"/>
          <w:u w:val="single"/>
        </w:rPr>
        <w:t>万㎡，计容面积</w:t>
      </w:r>
      <w:r>
        <w:rPr>
          <w:rFonts w:hint="eastAsia" w:ascii="仿宋_GB2312" w:hAnsi="仿宋_GB2312" w:eastAsia="仿宋_GB2312" w:cs="仿宋_GB2312"/>
          <w:color w:val="auto"/>
          <w:spacing w:val="4"/>
          <w:sz w:val="30"/>
          <w:szCs w:val="30"/>
          <w:highlight w:val="none"/>
          <w:u w:val="single"/>
          <w:lang w:val="en-US" w:eastAsia="zh-CN"/>
        </w:rPr>
        <w:t>约</w:t>
      </w:r>
      <w:r>
        <w:rPr>
          <w:rFonts w:hint="eastAsia" w:ascii="仿宋_GB2312" w:hAnsi="仿宋_GB2312" w:eastAsia="仿宋_GB2312" w:cs="仿宋_GB2312"/>
          <w:color w:val="auto"/>
          <w:spacing w:val="4"/>
          <w:sz w:val="30"/>
          <w:szCs w:val="30"/>
          <w:highlight w:val="none"/>
          <w:u w:val="single"/>
        </w:rPr>
        <w:t>13.</w:t>
      </w:r>
      <w:r>
        <w:rPr>
          <w:rFonts w:hint="eastAsia" w:ascii="仿宋_GB2312" w:hAnsi="仿宋_GB2312" w:eastAsia="仿宋_GB2312" w:cs="仿宋_GB2312"/>
          <w:color w:val="auto"/>
          <w:spacing w:val="4"/>
          <w:sz w:val="30"/>
          <w:szCs w:val="30"/>
          <w:highlight w:val="none"/>
          <w:u w:val="single"/>
          <w:lang w:eastAsia="zh-CN"/>
        </w:rPr>
        <w:t>8</w:t>
      </w:r>
      <w:r>
        <w:rPr>
          <w:rFonts w:hint="eastAsia" w:ascii="仿宋_GB2312" w:hAnsi="仿宋_GB2312" w:eastAsia="仿宋_GB2312" w:cs="仿宋_GB2312"/>
          <w:color w:val="auto"/>
          <w:spacing w:val="4"/>
          <w:sz w:val="30"/>
          <w:szCs w:val="30"/>
          <w:highlight w:val="none"/>
          <w:u w:val="single"/>
        </w:rPr>
        <w:t>万</w:t>
      </w:r>
      <w:r>
        <w:rPr>
          <w:rFonts w:hint="eastAsia" w:ascii="仿宋_GB2312" w:hAnsi="仿宋_GB2312" w:eastAsia="仿宋_GB2312" w:cs="仿宋_GB2312"/>
          <w:color w:val="auto"/>
          <w:spacing w:val="4"/>
          <w:sz w:val="30"/>
          <w:szCs w:val="30"/>
          <w:highlight w:val="none"/>
          <w:u w:val="single"/>
          <w:lang w:val="en-US" w:eastAsia="zh-CN"/>
        </w:rPr>
        <w:t>㎡</w:t>
      </w:r>
      <w:r>
        <w:rPr>
          <w:rFonts w:hint="eastAsia" w:ascii="仿宋_GB2312" w:hAnsi="仿宋_GB2312" w:eastAsia="仿宋_GB2312" w:cs="仿宋_GB2312"/>
          <w:color w:val="auto"/>
          <w:spacing w:val="4"/>
          <w:sz w:val="30"/>
          <w:szCs w:val="30"/>
          <w:highlight w:val="none"/>
          <w:u w:val="single"/>
          <w:lang w:eastAsia="zh-CN"/>
        </w:rPr>
        <w:t>，</w:t>
      </w:r>
      <w:r>
        <w:rPr>
          <w:rFonts w:hint="eastAsia" w:ascii="仿宋_GB2312" w:hAnsi="仿宋_GB2312" w:eastAsia="仿宋_GB2312" w:cs="仿宋_GB2312"/>
          <w:color w:val="auto"/>
          <w:spacing w:val="4"/>
          <w:sz w:val="30"/>
          <w:szCs w:val="30"/>
          <w:highlight w:val="none"/>
          <w:u w:val="single"/>
          <w:lang w:val="en-US" w:eastAsia="zh-CN"/>
        </w:rPr>
        <w:t>其中住宅计容面积约6.72万㎡</w:t>
      </w:r>
      <w:r>
        <w:rPr>
          <w:rFonts w:hint="eastAsia" w:ascii="仿宋_GB2312" w:hAnsi="仿宋_GB2312" w:eastAsia="仿宋_GB2312" w:cs="仿宋_GB2312"/>
          <w:color w:val="auto"/>
          <w:spacing w:val="4"/>
          <w:sz w:val="30"/>
          <w:szCs w:val="30"/>
          <w:highlight w:val="none"/>
          <w:u w:val="single"/>
        </w:rPr>
        <w:t>。</w:t>
      </w:r>
      <w:r>
        <w:rPr>
          <w:rFonts w:hint="eastAsia" w:ascii="仿宋_GB2312" w:hAnsi="仿宋_GB2312" w:eastAsia="仿宋_GB2312" w:cs="仿宋_GB2312"/>
          <w:color w:val="auto"/>
          <w:spacing w:val="4"/>
          <w:sz w:val="30"/>
          <w:szCs w:val="30"/>
          <w:highlight w:val="none"/>
          <w:u w:val="single"/>
          <w:lang w:val="en-US" w:eastAsia="zh-CN"/>
        </w:rPr>
        <w:t>项目一标段包含住宅、裙楼商业及地下室，拟报一户一表（含充电桩）暂定容量4000kVA，商业专变暂定容量4500kVA，公共专变暂定容量2000kVA，临时变压器暂定容量1500kVA，暂定报装容量共计12000kVA（实际容量以供电局批复为准）；项目二标段包含2栋办公楼拟报装暂定容量共计8000kVA（实际容量以供电局批复为准）。本项目供配电工程设计，包含但不限于：</w:t>
      </w:r>
      <w:r>
        <w:rPr>
          <w:rFonts w:hint="eastAsia" w:ascii="仿宋_GB2312" w:hAnsi="仿宋_GB2312" w:eastAsia="仿宋_GB2312" w:cs="仿宋_GB2312"/>
          <w:color w:val="auto"/>
          <w:spacing w:val="4"/>
          <w:sz w:val="30"/>
          <w:szCs w:val="30"/>
          <w:highlight w:val="none"/>
          <w:u w:val="single"/>
          <w:lang w:val="zh-CN"/>
        </w:rPr>
        <w:t>从供电部门指定的变电站高压接驳点至</w:t>
      </w:r>
      <w:r>
        <w:rPr>
          <w:rFonts w:hint="eastAsia" w:ascii="仿宋_GB2312" w:hAnsi="仿宋_GB2312" w:eastAsia="仿宋_GB2312" w:cs="仿宋_GB2312"/>
          <w:color w:val="auto"/>
          <w:spacing w:val="4"/>
          <w:sz w:val="30"/>
          <w:szCs w:val="30"/>
          <w:highlight w:val="none"/>
          <w:u w:val="single"/>
        </w:rPr>
        <w:t>本项目</w:t>
      </w:r>
      <w:r>
        <w:rPr>
          <w:rFonts w:hint="eastAsia" w:ascii="仿宋_GB2312" w:hAnsi="仿宋_GB2312" w:eastAsia="仿宋_GB2312" w:cs="仿宋_GB2312"/>
          <w:color w:val="auto"/>
          <w:spacing w:val="4"/>
          <w:sz w:val="30"/>
          <w:szCs w:val="30"/>
          <w:highlight w:val="none"/>
          <w:u w:val="single"/>
          <w:lang w:val="zh-CN"/>
        </w:rPr>
        <w:t>配电室（含配电室内），及至用户一户一表电表箱之间的所有供配电设计（含二次接线），配电设计条件申报配合，配电方案设计及批复手续办理、配电扩初设计、供配电施工图设计（建筑、结构、给排水、暖通、电气全专业），供配电施工图审查及审查备案手续办理，设计过程中一切设计配合工作。设计内容以广西电网南宁供电局批复的《供电方案协议（中、高压）》和设计图纸为准。 技术依据必须满足国家及电力部门的设计规范以及《南宁供电局中低压配网客户接入技术导则》和建筑电气施工要求。并达到供电部门审图通过且满足工程预算、招标、施工、验收等要求。</w:t>
      </w:r>
    </w:p>
    <w:p w14:paraId="385814D5">
      <w:pPr>
        <w:spacing w:before="0" w:after="0" w:afterAutospacing="0" w:line="460" w:lineRule="exact"/>
        <w:ind w:left="0" w:right="0" w:firstLine="580" w:firstLineChars="200"/>
        <w:rPr>
          <w:rFonts w:hint="eastAsia"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4.工程主要技术标准：</w:t>
      </w:r>
    </w:p>
    <w:p w14:paraId="06CE8DD0">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bookmarkStart w:id="1834" w:name="_GoBack"/>
      <w:r>
        <w:rPr>
          <w:rFonts w:hint="eastAsia" w:ascii="仿宋_GB2312" w:hAnsi="仿宋_GB2312" w:eastAsia="仿宋_GB2312" w:cs="仿宋_GB2312"/>
          <w:color w:val="auto"/>
          <w:spacing w:val="4"/>
          <w:kern w:val="2"/>
          <w:sz w:val="30"/>
          <w:szCs w:val="30"/>
          <w:highlight w:val="none"/>
          <w:u w:val="single"/>
          <w:lang w:val="zh-CN" w:eastAsia="zh-CN" w:bidi="ar-SA"/>
        </w:rPr>
        <w:t>（1）GB50052-2009《供配电系统设计规范》；</w:t>
      </w:r>
    </w:p>
    <w:p w14:paraId="6E055E57">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2</w:t>
      </w:r>
      <w:r>
        <w:rPr>
          <w:rFonts w:hint="eastAsia" w:ascii="仿宋_GB2312" w:hAnsi="仿宋_GB2312" w:eastAsia="仿宋_GB2312" w:cs="仿宋_GB2312"/>
          <w:color w:val="auto"/>
          <w:spacing w:val="4"/>
          <w:kern w:val="2"/>
          <w:sz w:val="30"/>
          <w:szCs w:val="30"/>
          <w:highlight w:val="none"/>
          <w:u w:val="single"/>
          <w:lang w:val="zh-CN" w:eastAsia="zh-CN" w:bidi="ar-SA"/>
        </w:rPr>
        <w:t>）GB50053-2013《20kV及以下变电所设计规范》；</w:t>
      </w:r>
    </w:p>
    <w:p w14:paraId="65550FB0">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3</w:t>
      </w:r>
      <w:r>
        <w:rPr>
          <w:rFonts w:hint="eastAsia" w:ascii="仿宋_GB2312" w:hAnsi="仿宋_GB2312" w:eastAsia="仿宋_GB2312" w:cs="仿宋_GB2312"/>
          <w:color w:val="auto"/>
          <w:spacing w:val="4"/>
          <w:kern w:val="2"/>
          <w:sz w:val="30"/>
          <w:szCs w:val="30"/>
          <w:highlight w:val="none"/>
          <w:u w:val="single"/>
          <w:lang w:val="zh-CN" w:eastAsia="zh-CN" w:bidi="ar-SA"/>
        </w:rPr>
        <w:t>）GB50054-2011《低压配电设计规范》；</w:t>
      </w:r>
    </w:p>
    <w:p w14:paraId="39E14E38">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4</w:t>
      </w:r>
      <w:r>
        <w:rPr>
          <w:rFonts w:hint="eastAsia" w:ascii="仿宋_GB2312" w:hAnsi="仿宋_GB2312" w:eastAsia="仿宋_GB2312" w:cs="仿宋_GB2312"/>
          <w:color w:val="auto"/>
          <w:spacing w:val="4"/>
          <w:kern w:val="2"/>
          <w:sz w:val="30"/>
          <w:szCs w:val="30"/>
          <w:highlight w:val="none"/>
          <w:u w:val="single"/>
          <w:lang w:val="zh-CN" w:eastAsia="zh-CN" w:bidi="ar-SA"/>
        </w:rPr>
        <w:t>）GB50060-2008《3~110kV高压配电装置设计规范》；</w:t>
      </w:r>
    </w:p>
    <w:p w14:paraId="539E52AD">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5</w:t>
      </w:r>
      <w:r>
        <w:rPr>
          <w:rFonts w:hint="eastAsia" w:ascii="仿宋_GB2312" w:hAnsi="仿宋_GB2312" w:eastAsia="仿宋_GB2312" w:cs="仿宋_GB2312"/>
          <w:color w:val="auto"/>
          <w:spacing w:val="4"/>
          <w:kern w:val="2"/>
          <w:sz w:val="30"/>
          <w:szCs w:val="30"/>
          <w:highlight w:val="none"/>
          <w:u w:val="single"/>
          <w:lang w:val="zh-CN" w:eastAsia="zh-CN" w:bidi="ar-SA"/>
        </w:rPr>
        <w:t>）JGJ16-2008《民用建筑电气设计规范》；</w:t>
      </w:r>
    </w:p>
    <w:p w14:paraId="0A104D92">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6</w:t>
      </w:r>
      <w:r>
        <w:rPr>
          <w:rFonts w:hint="eastAsia" w:ascii="仿宋_GB2312" w:hAnsi="仿宋_GB2312" w:eastAsia="仿宋_GB2312" w:cs="仿宋_GB2312"/>
          <w:color w:val="auto"/>
          <w:spacing w:val="4"/>
          <w:kern w:val="2"/>
          <w:sz w:val="30"/>
          <w:szCs w:val="30"/>
          <w:highlight w:val="none"/>
          <w:u w:val="single"/>
          <w:lang w:val="zh-CN" w:eastAsia="zh-CN" w:bidi="ar-SA"/>
        </w:rPr>
        <w:t>）DB45/T562-2013广西壮族自治区地方标准《居住区供配电设施建设规范》；</w:t>
      </w:r>
    </w:p>
    <w:p w14:paraId="63E54B4E">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7</w:t>
      </w:r>
      <w:r>
        <w:rPr>
          <w:rFonts w:hint="eastAsia" w:ascii="仿宋_GB2312" w:hAnsi="仿宋_GB2312" w:eastAsia="仿宋_GB2312" w:cs="仿宋_GB2312"/>
          <w:color w:val="auto"/>
          <w:spacing w:val="4"/>
          <w:kern w:val="2"/>
          <w:sz w:val="30"/>
          <w:szCs w:val="30"/>
          <w:highlight w:val="none"/>
          <w:u w:val="single"/>
          <w:lang w:val="zh-CN" w:eastAsia="zh-CN" w:bidi="ar-SA"/>
        </w:rPr>
        <w:t>）《中国南方电网公司110kV及以下配电网规划指导原则》(2009年版)；</w:t>
      </w:r>
    </w:p>
    <w:p w14:paraId="32FB6CB0">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8</w:t>
      </w:r>
      <w:r>
        <w:rPr>
          <w:rFonts w:hint="eastAsia" w:ascii="仿宋_GB2312" w:hAnsi="仿宋_GB2312" w:eastAsia="仿宋_GB2312" w:cs="仿宋_GB2312"/>
          <w:color w:val="auto"/>
          <w:spacing w:val="4"/>
          <w:kern w:val="2"/>
          <w:sz w:val="30"/>
          <w:szCs w:val="30"/>
          <w:highlight w:val="none"/>
          <w:u w:val="single"/>
          <w:lang w:val="zh-CN" w:eastAsia="zh-CN" w:bidi="ar-SA"/>
        </w:rPr>
        <w:t>）《中国南方电网城市配电网技术导则》(2005年版)；</w:t>
      </w:r>
    </w:p>
    <w:p w14:paraId="4F4E97C4">
      <w:pPr>
        <w:spacing w:before="0" w:after="0" w:afterAutospacing="0" w:line="460" w:lineRule="exact"/>
        <w:ind w:left="0" w:right="0" w:firstLine="616" w:firstLineChars="200"/>
        <w:rPr>
          <w:rFonts w:hint="eastAsia" w:ascii="仿宋_GB2312" w:hAnsi="仿宋_GB2312" w:eastAsia="仿宋_GB2312" w:cs="仿宋_GB2312"/>
          <w:color w:val="auto"/>
          <w:spacing w:val="4"/>
          <w:kern w:val="2"/>
          <w:sz w:val="30"/>
          <w:szCs w:val="30"/>
          <w:highlight w:val="none"/>
          <w:u w:val="single"/>
          <w:lang w:val="zh-CN" w:eastAsia="zh-CN" w:bidi="ar-SA"/>
        </w:rPr>
      </w:pPr>
      <w:r>
        <w:rPr>
          <w:rFonts w:hint="eastAsia" w:ascii="仿宋_GB2312" w:hAnsi="仿宋_GB2312" w:eastAsia="仿宋_GB2312" w:cs="仿宋_GB2312"/>
          <w:color w:val="auto"/>
          <w:spacing w:val="4"/>
          <w:kern w:val="2"/>
          <w:sz w:val="30"/>
          <w:szCs w:val="30"/>
          <w:highlight w:val="none"/>
          <w:u w:val="single"/>
          <w:lang w:val="zh-CN" w:eastAsia="zh-CN" w:bidi="ar-SA"/>
        </w:rPr>
        <w:t>（</w:t>
      </w:r>
      <w:r>
        <w:rPr>
          <w:rFonts w:hint="eastAsia" w:ascii="仿宋_GB2312" w:hAnsi="仿宋_GB2312" w:eastAsia="仿宋_GB2312" w:cs="仿宋_GB2312"/>
          <w:color w:val="auto"/>
          <w:spacing w:val="4"/>
          <w:kern w:val="2"/>
          <w:sz w:val="30"/>
          <w:szCs w:val="30"/>
          <w:highlight w:val="none"/>
          <w:u w:val="single"/>
          <w:lang w:val="en-US" w:eastAsia="zh-CN" w:bidi="ar-SA"/>
        </w:rPr>
        <w:t>9</w:t>
      </w:r>
      <w:r>
        <w:rPr>
          <w:rFonts w:hint="eastAsia" w:ascii="仿宋_GB2312" w:hAnsi="仿宋_GB2312" w:eastAsia="仿宋_GB2312" w:cs="仿宋_GB2312"/>
          <w:color w:val="auto"/>
          <w:spacing w:val="4"/>
          <w:kern w:val="2"/>
          <w:sz w:val="30"/>
          <w:szCs w:val="30"/>
          <w:highlight w:val="none"/>
          <w:u w:val="single"/>
          <w:lang w:val="zh-CN" w:eastAsia="zh-CN" w:bidi="ar-SA"/>
        </w:rPr>
        <w:t>）南宁供电局供电方案协议。以及其他现行的相关法律、法规、国家及地方标准、以及相关政府文件。</w:t>
      </w:r>
    </w:p>
    <w:bookmarkEnd w:id="1834"/>
    <w:p w14:paraId="0F2CD3B5">
      <w:pPr>
        <w:pStyle w:val="84"/>
        <w:spacing w:after="0" w:line="360" w:lineRule="auto"/>
        <w:ind w:firstLine="580" w:firstLineChars="200"/>
        <w:rPr>
          <w:rFonts w:hint="eastAsia"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5.投资估算：约</w:t>
      </w:r>
      <w:r>
        <w:rPr>
          <w:rFonts w:hint="eastAsia" w:ascii="仿宋_GB2312" w:hAnsi="仿宋_GB2312" w:eastAsia="仿宋_GB2312" w:cs="仿宋_GB2312"/>
          <w:color w:val="auto"/>
          <w:spacing w:val="-5"/>
          <w:sz w:val="30"/>
          <w:szCs w:val="30"/>
          <w:highlight w:val="none"/>
          <w:lang w:val="en-US" w:eastAsia="zh-CN"/>
        </w:rPr>
        <w:t xml:space="preserve"> </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 xml:space="preserve">/ </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万元，</w:t>
      </w:r>
      <w:r>
        <w:rPr>
          <w:rFonts w:hint="eastAsia" w:ascii="仿宋_GB2312" w:hAnsi="仿宋_GB2312" w:eastAsia="仿宋_GB2312" w:cs="仿宋_GB2312"/>
          <w:color w:val="auto"/>
          <w:sz w:val="30"/>
          <w:szCs w:val="30"/>
          <w:highlight w:val="none"/>
        </w:rPr>
        <w:t>建安费约</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 xml:space="preserve"> /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万元</w:t>
      </w:r>
      <w:r>
        <w:rPr>
          <w:rFonts w:hint="eastAsia" w:ascii="仿宋_GB2312" w:hAnsi="仿宋_GB2312" w:eastAsia="仿宋_GB2312" w:cs="仿宋_GB2312"/>
          <w:color w:val="auto"/>
          <w:spacing w:val="-5"/>
          <w:sz w:val="30"/>
          <w:szCs w:val="30"/>
          <w:highlight w:val="none"/>
        </w:rPr>
        <w:t>。</w:t>
      </w:r>
    </w:p>
    <w:p w14:paraId="236D5CBA">
      <w:pPr>
        <w:pStyle w:val="84"/>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6.工程批准、核准或备案文号：</w:t>
      </w:r>
      <w:r>
        <w:rPr>
          <w:rFonts w:hint="eastAsia" w:ascii="仿宋_GB2312" w:hAnsi="仿宋_GB2312" w:eastAsia="仿宋_GB2312" w:cs="仿宋_GB2312"/>
          <w:color w:val="auto"/>
          <w:spacing w:val="4"/>
          <w:sz w:val="30"/>
          <w:szCs w:val="30"/>
          <w:highlight w:val="none"/>
          <w:u w:val="single"/>
          <w:lang w:val="en-US" w:eastAsia="zh-CN"/>
        </w:rPr>
        <w:t>2203-450103-04-05-334589</w:t>
      </w:r>
      <w:r>
        <w:rPr>
          <w:rFonts w:hint="eastAsia" w:ascii="仿宋_GB2312" w:hAnsi="仿宋_GB2312" w:eastAsia="仿宋_GB2312" w:cs="仿宋_GB2312"/>
          <w:color w:val="auto"/>
          <w:spacing w:val="4"/>
          <w:sz w:val="30"/>
          <w:szCs w:val="30"/>
          <w:highlight w:val="none"/>
        </w:rPr>
        <w:t>。</w:t>
      </w:r>
    </w:p>
    <w:p w14:paraId="393BFB70">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二、工程设计范围、阶段与服务内容</w:t>
      </w:r>
    </w:p>
    <w:p w14:paraId="3A6663F4">
      <w:pPr>
        <w:pStyle w:val="84"/>
        <w:spacing w:after="0" w:line="360" w:lineRule="auto"/>
        <w:ind w:firstLine="580" w:firstLineChars="200"/>
        <w:rPr>
          <w:rStyle w:val="44"/>
          <w:rFonts w:ascii="仿宋_GB2312" w:hAnsi="仿宋_GB2312" w:eastAsia="仿宋_GB2312" w:cs="仿宋_GB2312"/>
          <w:color w:val="auto"/>
          <w:spacing w:val="-5"/>
          <w:sz w:val="30"/>
          <w:szCs w:val="30"/>
          <w:highlight w:val="none"/>
          <w:u w:val="single"/>
        </w:rPr>
      </w:pPr>
      <w:r>
        <w:rPr>
          <w:rFonts w:hint="eastAsia" w:ascii="仿宋_GB2312" w:hAnsi="仿宋_GB2312" w:eastAsia="仿宋_GB2312" w:cs="仿宋_GB2312"/>
          <w:color w:val="auto"/>
          <w:spacing w:val="-5"/>
          <w:sz w:val="30"/>
          <w:szCs w:val="30"/>
          <w:highlight w:val="none"/>
        </w:rPr>
        <w:t>工程设计范围：</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主体施工图设计；</w:t>
      </w:r>
      <w:r>
        <w:rPr>
          <w:rFonts w:hint="eastAsia"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pacing w:val="-5"/>
          <w:sz w:val="30"/>
          <w:szCs w:val="30"/>
          <w:highlight w:val="none"/>
        </w:rPr>
        <w:t xml:space="preserve">供配电设计   </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景观设计；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智能化设计；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装修设计；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其他</w:t>
      </w:r>
      <w:r>
        <w:rPr>
          <w:rFonts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，具体的服务阶段及服务内容专用合同条款</w:t>
      </w:r>
      <w:r>
        <w:rPr>
          <w:rFonts w:hint="eastAsia" w:ascii="仿宋_GB2312" w:hAnsi="仿宋_GB2312" w:eastAsia="仿宋_GB2312" w:cs="仿宋_GB2312"/>
          <w:color w:val="auto"/>
          <w:spacing w:val="-5"/>
          <w:sz w:val="30"/>
          <w:szCs w:val="30"/>
          <w:highlight w:val="none"/>
          <w:u w:val="single"/>
        </w:rPr>
        <w:t>附件1</w:t>
      </w:r>
      <w:r>
        <w:rPr>
          <w:rFonts w:hint="eastAsia" w:ascii="仿宋_GB2312" w:hAnsi="仿宋_GB2312" w:eastAsia="仿宋_GB2312" w:cs="仿宋_GB2312"/>
          <w:color w:val="auto"/>
          <w:spacing w:val="-5"/>
          <w:sz w:val="30"/>
          <w:szCs w:val="30"/>
          <w:highlight w:val="none"/>
        </w:rPr>
        <w:t>。</w:t>
      </w:r>
    </w:p>
    <w:p w14:paraId="4C3544D6">
      <w:pPr>
        <w:pStyle w:val="84"/>
        <w:spacing w:after="0" w:line="360" w:lineRule="auto"/>
        <w:ind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三、工程设计周期</w:t>
      </w:r>
    </w:p>
    <w:p w14:paraId="5A6D8029">
      <w:pPr>
        <w:pStyle w:val="84"/>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1.计划开始设计日期：</w:t>
      </w:r>
      <w:r>
        <w:rPr>
          <w:rFonts w:hint="eastAsia" w:ascii="仿宋_GB2312" w:hAnsi="仿宋_GB2312" w:eastAsia="仿宋_GB2312" w:cs="仿宋_GB2312"/>
          <w:color w:val="auto"/>
          <w:spacing w:val="-5"/>
          <w:sz w:val="30"/>
          <w:szCs w:val="30"/>
          <w:highlight w:val="none"/>
          <w:u w:val="single"/>
          <w:lang w:val="en-US" w:eastAsia="zh-CN"/>
        </w:rPr>
        <w:t>2026</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lang w:val="en-US" w:eastAsia="zh-CN"/>
        </w:rPr>
        <w:t>11</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lang w:val="en-US" w:eastAsia="zh-CN"/>
        </w:rPr>
        <w:t>1</w:t>
      </w:r>
      <w:r>
        <w:rPr>
          <w:rFonts w:hint="eastAsia" w:ascii="仿宋_GB2312" w:hAnsi="仿宋_GB2312" w:eastAsia="仿宋_GB2312" w:cs="仿宋_GB2312"/>
          <w:color w:val="auto"/>
          <w:spacing w:val="-5"/>
          <w:sz w:val="30"/>
          <w:szCs w:val="30"/>
          <w:highlight w:val="none"/>
        </w:rPr>
        <w:t>日。</w:t>
      </w:r>
    </w:p>
    <w:p w14:paraId="1B8BAE03">
      <w:pPr>
        <w:pStyle w:val="84"/>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2.计划完成设计日期：</w:t>
      </w:r>
      <w:r>
        <w:rPr>
          <w:rFonts w:hint="eastAsia" w:ascii="仿宋_GB2312" w:hAnsi="仿宋_GB2312" w:eastAsia="仿宋_GB2312" w:cs="仿宋_GB2312"/>
          <w:color w:val="auto"/>
          <w:spacing w:val="-5"/>
          <w:sz w:val="30"/>
          <w:szCs w:val="30"/>
          <w:highlight w:val="none"/>
          <w:u w:val="single"/>
          <w:lang w:val="en-US" w:eastAsia="zh-CN"/>
        </w:rPr>
        <w:t>2027</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lang w:val="en-US" w:eastAsia="zh-CN"/>
        </w:rPr>
        <w:t>1</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lang w:val="en-US" w:eastAsia="zh-CN"/>
        </w:rPr>
        <w:t>31</w:t>
      </w:r>
      <w:r>
        <w:rPr>
          <w:rFonts w:hint="eastAsia" w:ascii="仿宋_GB2312" w:hAnsi="仿宋_GB2312" w:eastAsia="仿宋_GB2312" w:cs="仿宋_GB2312"/>
          <w:color w:val="auto"/>
          <w:spacing w:val="-5"/>
          <w:sz w:val="30"/>
          <w:szCs w:val="30"/>
          <w:highlight w:val="none"/>
        </w:rPr>
        <w:t>日。</w:t>
      </w:r>
    </w:p>
    <w:p w14:paraId="14D2DA99">
      <w:pPr>
        <w:pStyle w:val="84"/>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3.实际设计开始日期按照发包人在《开始设计通知》中载明的开始设计日期为准。</w:t>
      </w:r>
    </w:p>
    <w:p w14:paraId="3B32DCE0">
      <w:pPr>
        <w:pStyle w:val="84"/>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4.具体设计周期以专用合同条款及其附件的约定为准。</w:t>
      </w:r>
    </w:p>
    <w:p w14:paraId="0A308D14">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四、合同价格形式与签约合同价</w:t>
      </w:r>
    </w:p>
    <w:p w14:paraId="7B5F02FD">
      <w:pPr>
        <w:pStyle w:val="84"/>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1.合同价格形式</w:t>
      </w:r>
      <w:r>
        <w:rPr>
          <w:rFonts w:hint="eastAsia" w:ascii="仿宋_GB2312" w:hAnsi="仿宋_GB2312" w:eastAsia="仿宋_GB2312" w:cs="仿宋_GB2312"/>
          <w:color w:val="auto"/>
          <w:spacing w:val="-5"/>
          <w:sz w:val="30"/>
          <w:szCs w:val="30"/>
          <w:highlight w:val="none"/>
          <w:u w:val="none"/>
        </w:rPr>
        <w:t>：</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lang w:eastAsia="zh-CN"/>
        </w:rPr>
        <w:t>；</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元</w:t>
      </w:r>
      <w:r>
        <w:rPr>
          <w:rFonts w:hint="eastAsia" w:ascii="仿宋_GB2312" w:hAnsi="仿宋_GB2312" w:eastAsia="仿宋_GB2312" w:cs="仿宋_GB2312"/>
          <w:color w:val="auto"/>
          <w:spacing w:val="-5"/>
          <w:sz w:val="30"/>
          <w:szCs w:val="30"/>
          <w:highlight w:val="none"/>
        </w:rPr>
        <w:t>。</w:t>
      </w:r>
    </w:p>
    <w:p w14:paraId="3F632B62">
      <w:pPr>
        <w:adjustRightInd w:val="0"/>
        <w:snapToGrid w:val="0"/>
        <w:spacing w:line="360" w:lineRule="auto"/>
        <w:ind w:left="0" w:firstLine="58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pacing w:val="-5"/>
          <w:sz w:val="30"/>
          <w:szCs w:val="30"/>
          <w:highlight w:val="none"/>
        </w:rPr>
        <w:t>2.</w:t>
      </w:r>
      <w:r>
        <w:rPr>
          <w:rFonts w:hint="eastAsia" w:ascii="Cambria" w:hAnsi="Cambria" w:eastAsia="仿宋_GB2312" w:cs="Cambria"/>
          <w:color w:val="auto"/>
          <w:spacing w:val="-5"/>
          <w:sz w:val="30"/>
          <w:szCs w:val="30"/>
          <w:highlight w:val="none"/>
        </w:rPr>
        <w:t>签约合同价</w:t>
      </w:r>
      <w:r>
        <w:rPr>
          <w:rFonts w:hint="eastAsia" w:ascii="仿宋_GB2312" w:hAnsi="仿宋_GB2312" w:eastAsia="仿宋_GB2312" w:cs="仿宋_GB2312"/>
          <w:color w:val="auto"/>
          <w:spacing w:val="-5"/>
          <w:sz w:val="30"/>
          <w:szCs w:val="30"/>
          <w:highlight w:val="none"/>
        </w:rPr>
        <w:t>：</w:t>
      </w:r>
      <w:r>
        <w:rPr>
          <w:rFonts w:hint="eastAsia" w:ascii="仿宋_GB2312" w:hAnsi="仿宋_GB2312" w:eastAsia="仿宋_GB2312" w:cs="仿宋_GB2312"/>
          <w:color w:val="auto"/>
          <w:kern w:val="0"/>
          <w:sz w:val="30"/>
          <w:szCs w:val="30"/>
          <w:highlight w:val="none"/>
        </w:rPr>
        <w:t>不含税价格为：人民币（大写）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），增值税税额为：人民币（大写）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），税率：</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，价税合计为人民币（大写）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w:t>
      </w:r>
    </w:p>
    <w:p w14:paraId="4433CD49">
      <w:pPr>
        <w:adjustRightInd w:val="0"/>
        <w:snapToGri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注：在合同履约过程中，本合同税率必须遵照国家现行税法执行。本合同最终税金在结算阶段，按实际产生的税金进行核算。</w:t>
      </w:r>
    </w:p>
    <w:p w14:paraId="2434BE17">
      <w:pPr>
        <w:pStyle w:val="80"/>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五、发包人代表与设计人项目负责人</w:t>
      </w:r>
    </w:p>
    <w:p w14:paraId="489BAF8B">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 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FC31731">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 设计项目负责人：</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D06371D">
      <w:pPr>
        <w:adjustRightInd w:val="0"/>
        <w:snapToGrid w:val="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六、合同文件构成</w:t>
      </w:r>
    </w:p>
    <w:p w14:paraId="7014D158">
      <w:pPr>
        <w:pStyle w:val="84"/>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1.下列文件一起构成合同文件：</w:t>
      </w:r>
    </w:p>
    <w:p w14:paraId="64256CBE">
      <w:pPr>
        <w:pStyle w:val="80"/>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1538040E">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5B99E300">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3D98312E">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285377DF">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096F9FE1">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2D5EB282">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344AA40B">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68D62DCA">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1D5000D3">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06F1D100">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058BC612">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（12）投标文件（如有）；</w:t>
      </w:r>
    </w:p>
    <w:p w14:paraId="17805581">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19360D1F">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2.上述合同文件互相补充和解释。如果合同文件之间存在矛盾或不一致之处，以上述文件</w:t>
      </w:r>
      <w:r>
        <w:rPr>
          <w:rFonts w:hint="eastAsia" w:ascii="仿宋_GB2312" w:hAnsi="仿宋_GB2312" w:eastAsia="仿宋_GB2312" w:cs="仿宋_GB2312"/>
          <w:color w:val="auto"/>
          <w:spacing w:val="-4"/>
          <w:sz w:val="30"/>
          <w:szCs w:val="30"/>
          <w:highlight w:val="none"/>
        </w:rPr>
        <w:t>的排列顺序在先者为准。</w:t>
      </w:r>
    </w:p>
    <w:p w14:paraId="57E21064">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3.上述各项合同文件包括合同当事人就该项合同文件所作出的补充和修改，属</w:t>
      </w:r>
      <w:r>
        <w:rPr>
          <w:rFonts w:hint="eastAsia" w:ascii="仿宋_GB2312" w:hAnsi="仿宋_GB2312" w:eastAsia="仿宋_GB2312" w:cs="仿宋_GB2312"/>
          <w:color w:val="auto"/>
          <w:spacing w:val="-1"/>
          <w:sz w:val="30"/>
          <w:szCs w:val="30"/>
          <w:highlight w:val="none"/>
        </w:rPr>
        <w:t>于同一类内容的文件，应以最新签署的为准。</w:t>
      </w:r>
    </w:p>
    <w:p w14:paraId="139B84BE">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2"/>
          <w:sz w:val="30"/>
          <w:szCs w:val="30"/>
          <w:highlight w:val="none"/>
        </w:rPr>
        <w:t>七、质量标准和要求</w:t>
      </w:r>
    </w:p>
    <w:p w14:paraId="7D0AB9D8">
      <w:pPr>
        <w:pStyle w:val="84"/>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1.设计工作质量符合的标准和要求：</w:t>
      </w:r>
      <w:r>
        <w:rPr>
          <w:rFonts w:hint="eastAsia" w:ascii="仿宋_GB2312" w:hAnsi="仿宋_GB2312" w:eastAsia="仿宋_GB2312" w:cs="仿宋_GB2312"/>
          <w:color w:val="auto"/>
          <w:sz w:val="30"/>
          <w:szCs w:val="30"/>
          <w:highlight w:val="none"/>
          <w:u w:val="single"/>
        </w:rPr>
        <w:t>符合国家、地方规范及甲方要求</w:t>
      </w:r>
      <w:r>
        <w:rPr>
          <w:rFonts w:hint="eastAsia" w:ascii="仿宋_GB2312" w:hAnsi="仿宋_GB2312" w:eastAsia="仿宋_GB2312" w:cs="仿宋_GB2312"/>
          <w:color w:val="auto"/>
          <w:spacing w:val="-1"/>
          <w:sz w:val="30"/>
          <w:szCs w:val="30"/>
          <w:highlight w:val="none"/>
        </w:rPr>
        <w:t>。</w:t>
      </w:r>
    </w:p>
    <w:p w14:paraId="4398AD81">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2.奖项要求：</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个国家级的设计优秀奖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个省部级的设计优秀奖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个市级的设计优秀奖</w:t>
      </w:r>
      <w:r>
        <w:rPr>
          <w:rFonts w:hint="eastAsia" w:ascii="仿宋_GB2312" w:hAnsi="仿宋_GB2312" w:eastAsia="仿宋_GB2312" w:cs="仿宋_GB2312"/>
          <w:color w:val="auto"/>
          <w:sz w:val="30"/>
          <w:szCs w:val="30"/>
          <w:highlight w:val="none"/>
        </w:rPr>
        <w:t>。</w:t>
      </w:r>
    </w:p>
    <w:p w14:paraId="3E211E89">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八、承诺</w:t>
      </w:r>
    </w:p>
    <w:p w14:paraId="7FD76C93">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1.发包人承诺按照法律规定履行项目审批</w:t>
      </w:r>
      <w:r>
        <w:rPr>
          <w:rFonts w:hint="eastAsia" w:ascii="仿宋_GB2312" w:hAnsi="仿宋_GB2312" w:eastAsia="仿宋_GB2312" w:cs="仿宋_GB2312"/>
          <w:color w:val="auto"/>
          <w:spacing w:val="-1"/>
          <w:sz w:val="30"/>
          <w:szCs w:val="30"/>
          <w:highlight w:val="none"/>
        </w:rPr>
        <w:t>手续，按照合同约定提供设计依据，并按合同约定的条件、期限和方式支付合同价款。</w:t>
      </w:r>
    </w:p>
    <w:p w14:paraId="2D7A6100">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2.设计人承诺按照法律和技术标准规定及合同约定提供工程设计服务。</w:t>
      </w:r>
    </w:p>
    <w:p w14:paraId="6732D43D">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九、词语含义</w:t>
      </w:r>
    </w:p>
    <w:p w14:paraId="0D8C197A">
      <w:pPr>
        <w:pStyle w:val="84"/>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本协议书中词语含义与第五部分通用合同条款中赋予的含义相同。</w:t>
      </w:r>
    </w:p>
    <w:p w14:paraId="6FE663F4">
      <w:pPr>
        <w:pStyle w:val="80"/>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十、签订时间</w:t>
      </w:r>
    </w:p>
    <w:p w14:paraId="65B66C45">
      <w:pPr>
        <w:snapToGrid w:val="0"/>
        <w:spacing w:line="360" w:lineRule="auto"/>
        <w:ind w:firstLine="600" w:firstLineChars="200"/>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本合同于</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年</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月</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日签订。</w:t>
      </w:r>
    </w:p>
    <w:p w14:paraId="5D9369B0">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十一、签订地点</w:t>
      </w:r>
    </w:p>
    <w:p w14:paraId="18C754D9">
      <w:pPr>
        <w:pStyle w:val="84"/>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本合同在</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single"/>
          <w:lang w:val="en-US" w:eastAsia="zh-CN"/>
        </w:rPr>
        <w:t>广西南宁市青秀区</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签订。</w:t>
      </w:r>
    </w:p>
    <w:p w14:paraId="4F1A7689">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十二、补充协议</w:t>
      </w:r>
    </w:p>
    <w:p w14:paraId="3B5D97C4">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合同未尽事宜，合同当事人另行签订补充协议，补充协议是合同的组</w:t>
      </w:r>
      <w:r>
        <w:rPr>
          <w:rFonts w:hint="eastAsia" w:ascii="仿宋_GB2312" w:hAnsi="仿宋_GB2312" w:eastAsia="仿宋_GB2312" w:cs="仿宋_GB2312"/>
          <w:color w:val="auto"/>
          <w:spacing w:val="-1"/>
          <w:sz w:val="30"/>
          <w:szCs w:val="30"/>
          <w:highlight w:val="none"/>
        </w:rPr>
        <w:t>成部分。</w:t>
      </w:r>
    </w:p>
    <w:p w14:paraId="2FD557BE">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十三、合同生效</w:t>
      </w:r>
    </w:p>
    <w:p w14:paraId="10160DF1">
      <w:pPr>
        <w:pStyle w:val="85"/>
        <w:spacing w:line="50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本合同经双方法定代表人或委托代理人签字或（盖章）并加盖双方单位公章（或合同专用章）后生效。</w:t>
      </w:r>
    </w:p>
    <w:p w14:paraId="1EBC282C">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十四、合同份数</w:t>
      </w:r>
    </w:p>
    <w:p w14:paraId="7F244B77">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ascii="Times New Roman" w:hAnsi="Times New Roman" w:eastAsia="仿宋_GB2312"/>
          <w:bCs/>
          <w:color w:val="auto"/>
          <w:sz w:val="30"/>
          <w:szCs w:val="30"/>
          <w:highlight w:val="none"/>
        </w:rPr>
        <w:t>本</w:t>
      </w:r>
      <w:r>
        <w:rPr>
          <w:rFonts w:hint="eastAsia" w:ascii="Times New Roman" w:hAnsi="Times New Roman" w:eastAsia="仿宋_GB2312"/>
          <w:bCs/>
          <w:color w:val="auto"/>
          <w:sz w:val="30"/>
          <w:szCs w:val="30"/>
          <w:highlight w:val="none"/>
          <w:lang w:val="en-US" w:eastAsia="zh-CN"/>
        </w:rPr>
        <w:t>合同</w:t>
      </w:r>
      <w:r>
        <w:rPr>
          <w:rFonts w:ascii="Times New Roman" w:hAnsi="Times New Roman" w:eastAsia="仿宋_GB2312"/>
          <w:bCs/>
          <w:color w:val="auto"/>
          <w:sz w:val="30"/>
          <w:szCs w:val="30"/>
          <w:highlight w:val="none"/>
        </w:rPr>
        <w:t>正本</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hint="eastAsia" w:ascii="Times New Roman" w:hAnsi="Times New Roman" w:eastAsia="仿宋_GB2312"/>
          <w:bCs/>
          <w:color w:val="auto"/>
          <w:sz w:val="30"/>
          <w:szCs w:val="30"/>
          <w:highlight w:val="none"/>
        </w:rPr>
        <w:t>二</w:t>
      </w:r>
      <w:r>
        <w:rPr>
          <w:rFonts w:ascii="Times New Roman" w:hAnsi="Times New Roman" w:eastAsia="仿宋_GB2312"/>
          <w:bCs/>
          <w:color w:val="auto"/>
          <w:sz w:val="30"/>
          <w:szCs w:val="30"/>
          <w:highlight w:val="none"/>
        </w:rPr>
        <w:t>份，甲方和乙方各执</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份。副本</w:t>
      </w:r>
      <w:r>
        <w:rPr>
          <w:rFonts w:hint="eastAsia"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hint="eastAsia" w:ascii="Times New Roman" w:hAnsi="Times New Roman" w:eastAsia="仿宋_GB2312"/>
          <w:bCs/>
          <w:color w:val="auto"/>
          <w:sz w:val="30"/>
          <w:szCs w:val="30"/>
          <w:highlight w:val="none"/>
          <w:u w:val="single"/>
          <w:lang w:val="en-US" w:eastAsia="zh-CN"/>
        </w:rPr>
        <w:t>六</w:t>
      </w:r>
      <w:r>
        <w:rPr>
          <w:rFonts w:ascii="Times New Roman" w:hAnsi="Times New Roman" w:eastAsia="仿宋_GB2312"/>
          <w:bCs/>
          <w:color w:val="auto"/>
          <w:sz w:val="30"/>
          <w:szCs w:val="30"/>
          <w:highlight w:val="none"/>
        </w:rPr>
        <w:t>份，甲方</w:t>
      </w:r>
      <w:r>
        <w:rPr>
          <w:rFonts w:hint="eastAsia" w:ascii="Times New Roman" w:hAnsi="Times New Roman" w:eastAsia="仿宋_GB2312"/>
          <w:bCs/>
          <w:color w:val="auto"/>
          <w:sz w:val="30"/>
          <w:szCs w:val="30"/>
          <w:highlight w:val="none"/>
        </w:rPr>
        <w:t>执</w:t>
      </w:r>
      <w:r>
        <w:rPr>
          <w:rFonts w:hint="eastAsia" w:ascii="Times New Roman" w:hAnsi="Times New Roman" w:eastAsia="仿宋_GB2312"/>
          <w:bCs/>
          <w:color w:val="auto"/>
          <w:sz w:val="30"/>
          <w:szCs w:val="30"/>
          <w:highlight w:val="none"/>
          <w:u w:val="single"/>
          <w:lang w:val="en-US" w:eastAsia="zh-CN"/>
        </w:rPr>
        <w:t>五</w:t>
      </w:r>
      <w:r>
        <w:rPr>
          <w:rFonts w:ascii="Times New Roman" w:hAnsi="Times New Roman" w:eastAsia="仿宋_GB2312"/>
          <w:bCs/>
          <w:color w:val="auto"/>
          <w:sz w:val="30"/>
          <w:szCs w:val="30"/>
          <w:highlight w:val="none"/>
        </w:rPr>
        <w:t>份，乙方</w:t>
      </w:r>
      <w:r>
        <w:rPr>
          <w:rFonts w:hint="eastAsia" w:ascii="Times New Roman" w:hAnsi="Times New Roman" w:eastAsia="仿宋_GB2312"/>
          <w:bCs/>
          <w:color w:val="auto"/>
          <w:sz w:val="30"/>
          <w:szCs w:val="30"/>
          <w:highlight w:val="none"/>
        </w:rPr>
        <w:t>执</w:t>
      </w:r>
      <w:r>
        <w:rPr>
          <w:rFonts w:hint="eastAsia" w:ascii="Times New Roman" w:hAnsi="Times New Roman" w:eastAsia="仿宋_GB2312"/>
          <w:bCs/>
          <w:color w:val="auto"/>
          <w:sz w:val="30"/>
          <w:szCs w:val="30"/>
          <w:highlight w:val="none"/>
          <w:u w:val="single"/>
          <w:lang w:val="en-US" w:eastAsia="zh-CN"/>
        </w:rPr>
        <w:t>一</w:t>
      </w:r>
      <w:r>
        <w:rPr>
          <w:rFonts w:ascii="Times New Roman" w:hAnsi="Times New Roman" w:eastAsia="仿宋_GB2312"/>
          <w:bCs/>
          <w:color w:val="auto"/>
          <w:sz w:val="30"/>
          <w:szCs w:val="30"/>
          <w:highlight w:val="none"/>
        </w:rPr>
        <w:t>份，</w:t>
      </w:r>
      <w:r>
        <w:rPr>
          <w:rFonts w:hint="eastAsia" w:ascii="Times New Roman" w:hAnsi="Times New Roman" w:eastAsia="仿宋_GB2312"/>
          <w:bCs/>
          <w:color w:val="auto"/>
          <w:sz w:val="30"/>
          <w:szCs w:val="30"/>
          <w:highlight w:val="none"/>
        </w:rPr>
        <w:t>均</w:t>
      </w:r>
      <w:r>
        <w:rPr>
          <w:rFonts w:ascii="Times New Roman" w:hAnsi="Times New Roman" w:eastAsia="仿宋_GB2312"/>
          <w:bCs/>
          <w:color w:val="auto"/>
          <w:sz w:val="30"/>
          <w:szCs w:val="30"/>
          <w:highlight w:val="none"/>
        </w:rPr>
        <w:t>具有同等法律效力。</w:t>
      </w:r>
    </w:p>
    <w:p w14:paraId="2B9A8F3D">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（以下无正文）</w:t>
      </w:r>
    </w:p>
    <w:p w14:paraId="72F1A70C">
      <w:pPr>
        <w:pStyle w:val="80"/>
        <w:spacing w:line="360" w:lineRule="auto"/>
        <w:rPr>
          <w:rFonts w:ascii="仿宋_GB2312" w:hAnsi="仿宋_GB2312" w:eastAsia="仿宋_GB2312" w:cs="仿宋_GB2312"/>
          <w:color w:val="auto"/>
          <w:sz w:val="30"/>
          <w:szCs w:val="30"/>
          <w:highlight w:val="none"/>
        </w:rPr>
      </w:pPr>
    </w:p>
    <w:p w14:paraId="0908B58E">
      <w:pPr>
        <w:pStyle w:val="80"/>
        <w:spacing w:line="360" w:lineRule="auto"/>
        <w:rPr>
          <w:rFonts w:ascii="仿宋_GB2312" w:hAnsi="仿宋_GB2312" w:eastAsia="仿宋_GB2312" w:cs="仿宋_GB2312"/>
          <w:color w:val="auto"/>
          <w:sz w:val="30"/>
          <w:szCs w:val="30"/>
          <w:highlight w:val="none"/>
        </w:rPr>
      </w:pPr>
    </w:p>
    <w:p w14:paraId="36DA9784">
      <w:pPr>
        <w:pStyle w:val="80"/>
        <w:spacing w:line="360" w:lineRule="auto"/>
        <w:rPr>
          <w:rFonts w:ascii="仿宋_GB2312" w:hAnsi="仿宋_GB2312" w:eastAsia="仿宋_GB2312" w:cs="仿宋_GB2312"/>
          <w:color w:val="auto"/>
          <w:sz w:val="30"/>
          <w:szCs w:val="30"/>
          <w:highlight w:val="none"/>
        </w:rPr>
      </w:pPr>
    </w:p>
    <w:p w14:paraId="1AC75A1A">
      <w:pPr>
        <w:pStyle w:val="80"/>
        <w:spacing w:line="360" w:lineRule="auto"/>
        <w:rPr>
          <w:rFonts w:ascii="仿宋_GB2312" w:hAnsi="仿宋_GB2312" w:eastAsia="仿宋_GB2312" w:cs="仿宋_GB2312"/>
          <w:color w:val="auto"/>
          <w:sz w:val="30"/>
          <w:szCs w:val="30"/>
          <w:highlight w:val="none"/>
        </w:rPr>
      </w:pPr>
    </w:p>
    <w:p w14:paraId="2EF818EE">
      <w:pPr>
        <w:pStyle w:val="80"/>
        <w:spacing w:line="360" w:lineRule="auto"/>
        <w:rPr>
          <w:rFonts w:ascii="仿宋_GB2312" w:hAnsi="仿宋_GB2312" w:eastAsia="仿宋_GB2312" w:cs="仿宋_GB2312"/>
          <w:color w:val="auto"/>
          <w:sz w:val="30"/>
          <w:szCs w:val="30"/>
          <w:highlight w:val="none"/>
        </w:rPr>
      </w:pPr>
    </w:p>
    <w:p w14:paraId="08D47CB0">
      <w:pPr>
        <w:pStyle w:val="80"/>
        <w:spacing w:line="360" w:lineRule="auto"/>
        <w:rPr>
          <w:rFonts w:ascii="仿宋_GB2312" w:hAnsi="仿宋_GB2312" w:eastAsia="仿宋_GB2312" w:cs="仿宋_GB2312"/>
          <w:color w:val="auto"/>
          <w:sz w:val="30"/>
          <w:szCs w:val="30"/>
          <w:highlight w:val="none"/>
        </w:rPr>
      </w:pPr>
    </w:p>
    <w:p w14:paraId="12DB6B15">
      <w:pPr>
        <w:pStyle w:val="80"/>
        <w:spacing w:line="360" w:lineRule="auto"/>
        <w:rPr>
          <w:rFonts w:ascii="仿宋_GB2312" w:hAnsi="仿宋_GB2312" w:eastAsia="仿宋_GB2312" w:cs="仿宋_GB2312"/>
          <w:color w:val="auto"/>
          <w:sz w:val="30"/>
          <w:szCs w:val="30"/>
          <w:highlight w:val="none"/>
        </w:rPr>
      </w:pPr>
    </w:p>
    <w:p w14:paraId="085AD062">
      <w:pPr>
        <w:pStyle w:val="80"/>
        <w:spacing w:line="360" w:lineRule="auto"/>
        <w:rPr>
          <w:rFonts w:ascii="仿宋_GB2312" w:hAnsi="仿宋_GB2312" w:eastAsia="仿宋_GB2312" w:cs="仿宋_GB2312"/>
          <w:color w:val="auto"/>
          <w:sz w:val="30"/>
          <w:szCs w:val="30"/>
          <w:highlight w:val="none"/>
        </w:rPr>
      </w:pPr>
    </w:p>
    <w:p w14:paraId="023FE2E2">
      <w:pPr>
        <w:pStyle w:val="80"/>
        <w:spacing w:after="200" w:line="360"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（此页为签署页，无正文）</w:t>
      </w:r>
    </w:p>
    <w:p w14:paraId="759F055C">
      <w:pPr>
        <w:pStyle w:val="80"/>
        <w:spacing w:line="360" w:lineRule="auto"/>
        <w:rPr>
          <w:rFonts w:ascii="仿宋_GB2312" w:hAnsi="仿宋_GB2312" w:eastAsia="仿宋_GB2312" w:cs="仿宋_GB2312"/>
          <w:color w:val="auto"/>
          <w:sz w:val="30"/>
          <w:szCs w:val="30"/>
          <w:highlight w:val="none"/>
        </w:rPr>
      </w:pP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8"/>
        <w:gridCol w:w="4258"/>
      </w:tblGrid>
      <w:tr w14:paraId="37B6D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CFFE5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w:t>
            </w:r>
          </w:p>
        </w:tc>
        <w:tc>
          <w:tcPr>
            <w:tcW w:w="4258" w:type="dxa"/>
            <w:tcBorders>
              <w:tl2br w:val="nil"/>
              <w:tr2bl w:val="nil"/>
            </w:tcBorders>
          </w:tcPr>
          <w:p w14:paraId="48B2A76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设计人：(盖章)</w:t>
            </w:r>
          </w:p>
        </w:tc>
      </w:tr>
      <w:tr w14:paraId="2215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7B1430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c>
          <w:tcPr>
            <w:tcW w:w="4258" w:type="dxa"/>
            <w:tcBorders>
              <w:tl2br w:val="nil"/>
              <w:tr2bl w:val="nil"/>
            </w:tcBorders>
          </w:tcPr>
          <w:p w14:paraId="5B24A1A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r>
      <w:tr w14:paraId="21FA7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trPr>
        <w:tc>
          <w:tcPr>
            <w:tcW w:w="4258" w:type="dxa"/>
            <w:tcBorders>
              <w:tl2br w:val="nil"/>
              <w:tr2bl w:val="nil"/>
            </w:tcBorders>
          </w:tcPr>
          <w:p w14:paraId="48119CA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c>
          <w:tcPr>
            <w:tcW w:w="4258" w:type="dxa"/>
            <w:tcBorders>
              <w:tl2br w:val="nil"/>
              <w:tr2bl w:val="nil"/>
            </w:tcBorders>
          </w:tcPr>
          <w:p w14:paraId="5140CE02">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r>
      <w:tr w14:paraId="5269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C7D1CA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c>
          <w:tcPr>
            <w:tcW w:w="4258" w:type="dxa"/>
            <w:tcBorders>
              <w:tl2br w:val="nil"/>
              <w:tr2bl w:val="nil"/>
            </w:tcBorders>
          </w:tcPr>
          <w:p w14:paraId="00D3A35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r>
      <w:tr w14:paraId="6F28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58" w:type="dxa"/>
            <w:tcBorders>
              <w:tl2br w:val="nil"/>
              <w:tr2bl w:val="nil"/>
            </w:tcBorders>
          </w:tcPr>
          <w:p w14:paraId="6768B9C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p>
        </w:tc>
        <w:tc>
          <w:tcPr>
            <w:tcW w:w="4258" w:type="dxa"/>
            <w:tcBorders>
              <w:tl2br w:val="nil"/>
              <w:tr2bl w:val="nil"/>
            </w:tcBorders>
          </w:tcPr>
          <w:p w14:paraId="55883DF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r>
              <w:rPr>
                <w:rFonts w:ascii="仿宋_GB2312" w:hAnsi="仿宋_GB2312" w:eastAsia="仿宋_GB2312" w:cs="仿宋_GB2312"/>
                <w:color w:val="auto"/>
                <w:sz w:val="30"/>
                <w:szCs w:val="30"/>
                <w:highlight w:val="none"/>
              </w:rPr>
              <w:t>：</w:t>
            </w:r>
          </w:p>
        </w:tc>
      </w:tr>
      <w:tr w14:paraId="7AEB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BE7323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c>
          <w:tcPr>
            <w:tcW w:w="4258" w:type="dxa"/>
            <w:tcBorders>
              <w:tl2br w:val="nil"/>
              <w:tr2bl w:val="nil"/>
            </w:tcBorders>
          </w:tcPr>
          <w:p w14:paraId="48D00CB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r>
      <w:tr w14:paraId="1B68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58BDB7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c>
          <w:tcPr>
            <w:tcW w:w="4258" w:type="dxa"/>
            <w:tcBorders>
              <w:tl2br w:val="nil"/>
              <w:tr2bl w:val="nil"/>
            </w:tcBorders>
          </w:tcPr>
          <w:p w14:paraId="7485369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r>
      <w:tr w14:paraId="281B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2F12A4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c>
          <w:tcPr>
            <w:tcW w:w="4258" w:type="dxa"/>
            <w:tcBorders>
              <w:tl2br w:val="nil"/>
              <w:tr2bl w:val="nil"/>
            </w:tcBorders>
          </w:tcPr>
          <w:p w14:paraId="52FA7E7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r>
      <w:tr w14:paraId="2BDA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992409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c>
          <w:tcPr>
            <w:tcW w:w="4258" w:type="dxa"/>
            <w:tcBorders>
              <w:tl2br w:val="nil"/>
              <w:tr2bl w:val="nil"/>
            </w:tcBorders>
          </w:tcPr>
          <w:p w14:paraId="398A720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r>
      <w:tr w14:paraId="4FBF8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34DC782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c>
          <w:tcPr>
            <w:tcW w:w="4258" w:type="dxa"/>
            <w:tcBorders>
              <w:tl2br w:val="nil"/>
              <w:tr2bl w:val="nil"/>
            </w:tcBorders>
          </w:tcPr>
          <w:p w14:paraId="12B700F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r>
    </w:tbl>
    <w:p w14:paraId="1C2B6378">
      <w:pPr>
        <w:pStyle w:val="84"/>
        <w:spacing w:before="156" w:line="221" w:lineRule="auto"/>
        <w:ind w:left="2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br w:type="page"/>
      </w:r>
    </w:p>
    <w:p w14:paraId="5A4E1A88">
      <w:pPr>
        <w:pStyle w:val="6"/>
        <w:rPr>
          <w:color w:val="auto"/>
          <w:highlight w:val="none"/>
        </w:rPr>
        <w:sectPr>
          <w:footerReference r:id="rId12" w:type="default"/>
          <w:pgSz w:w="11906" w:h="16838"/>
          <w:pgMar w:top="1440" w:right="1531" w:bottom="1440" w:left="1531" w:header="851" w:footer="992" w:gutter="0"/>
          <w:pgNumType w:start="1"/>
          <w:cols w:space="425" w:num="1"/>
          <w:docGrid w:type="lines" w:linePitch="312" w:charSpace="0"/>
        </w:sectPr>
      </w:pPr>
      <w:bookmarkStart w:id="1163" w:name="_Toc256000293"/>
      <w:bookmarkStart w:id="1164" w:name="_Toc3572"/>
      <w:bookmarkStart w:id="1165" w:name="_Toc137596542"/>
    </w:p>
    <w:p w14:paraId="1A590A6C">
      <w:pPr>
        <w:pStyle w:val="6"/>
        <w:rPr>
          <w:color w:val="auto"/>
          <w:highlight w:val="none"/>
        </w:rPr>
        <w:sectPr>
          <w:pgSz w:w="11906" w:h="16838"/>
          <w:pgMar w:top="1440" w:right="1531" w:bottom="1440" w:left="1531" w:header="851" w:footer="992" w:gutter="0"/>
          <w:cols w:space="425" w:num="1"/>
          <w:docGrid w:type="lines" w:linePitch="312" w:charSpace="0"/>
        </w:sectPr>
      </w:pPr>
      <w:bookmarkStart w:id="1166" w:name="_Toc21034"/>
      <w:bookmarkStart w:id="1167" w:name="_Toc15086"/>
      <w:bookmarkStart w:id="1168" w:name="_Toc17470"/>
      <w:bookmarkStart w:id="1169" w:name="_Toc20677"/>
      <w:bookmarkStart w:id="1170" w:name="_Toc15109"/>
      <w:bookmarkStart w:id="1171" w:name="_Toc22114"/>
      <w:r>
        <w:rPr>
          <w:color w:val="auto"/>
          <w:highlight w:val="none"/>
        </w:rPr>
        <w:t>第二部分　合同澄清文件</w:t>
      </w:r>
      <w:bookmarkEnd w:id="1166"/>
      <w:r>
        <w:rPr>
          <w:rFonts w:hint="eastAsia"/>
          <w:color w:val="auto"/>
          <w:highlight w:val="none"/>
        </w:rPr>
        <w:t>（如有）</w:t>
      </w:r>
      <w:bookmarkEnd w:id="1167"/>
      <w:bookmarkEnd w:id="1168"/>
      <w:bookmarkEnd w:id="1169"/>
      <w:bookmarkEnd w:id="1170"/>
      <w:bookmarkEnd w:id="1171"/>
    </w:p>
    <w:p w14:paraId="50089F32">
      <w:pPr>
        <w:pStyle w:val="6"/>
        <w:rPr>
          <w:color w:val="auto"/>
          <w:highlight w:val="none"/>
        </w:rPr>
        <w:sectPr>
          <w:pgSz w:w="11906" w:h="16838"/>
          <w:pgMar w:top="1440" w:right="1531" w:bottom="1440" w:left="1531" w:header="851" w:footer="992" w:gutter="0"/>
          <w:cols w:space="425" w:num="1"/>
          <w:docGrid w:type="lines" w:linePitch="312" w:charSpace="0"/>
        </w:sectPr>
      </w:pPr>
      <w:bookmarkStart w:id="1172" w:name="_Toc29533"/>
      <w:bookmarkStart w:id="1173" w:name="_Toc3843"/>
      <w:bookmarkStart w:id="1174" w:name="_Toc18937"/>
      <w:bookmarkStart w:id="1175" w:name="_Toc25773"/>
      <w:bookmarkStart w:id="1176" w:name="_Toc11262"/>
      <w:bookmarkStart w:id="1177" w:name="_Toc2858"/>
      <w:bookmarkStart w:id="1178" w:name="_Toc14780"/>
      <w:r>
        <w:rPr>
          <w:rFonts w:hint="eastAsia"/>
          <w:color w:val="auto"/>
          <w:highlight w:val="none"/>
        </w:rPr>
        <w:t>第三部分 中标</w:t>
      </w:r>
      <w:bookmarkEnd w:id="1172"/>
      <w:bookmarkEnd w:id="1173"/>
      <w:r>
        <w:rPr>
          <w:rFonts w:hint="eastAsia"/>
          <w:color w:val="auto"/>
          <w:highlight w:val="none"/>
        </w:rPr>
        <w:t>（选）通知书或委托书（如有）</w:t>
      </w:r>
      <w:bookmarkEnd w:id="1174"/>
      <w:bookmarkEnd w:id="1175"/>
      <w:bookmarkEnd w:id="1176"/>
      <w:bookmarkEnd w:id="1177"/>
      <w:bookmarkEnd w:id="1178"/>
    </w:p>
    <w:p w14:paraId="145A7AC3">
      <w:pPr>
        <w:pStyle w:val="6"/>
        <w:rPr>
          <w:color w:val="auto"/>
          <w:highlight w:val="none"/>
        </w:rPr>
        <w:sectPr>
          <w:pgSz w:w="11906" w:h="16838"/>
          <w:pgMar w:top="1440" w:right="1531" w:bottom="1440" w:left="1531" w:header="851" w:footer="992" w:gutter="0"/>
          <w:cols w:space="425" w:num="1"/>
          <w:docGrid w:type="lines" w:linePitch="312" w:charSpace="0"/>
        </w:sectPr>
      </w:pPr>
      <w:bookmarkStart w:id="1179" w:name="_Toc19752"/>
      <w:bookmarkStart w:id="1180" w:name="_Toc24005"/>
      <w:bookmarkStart w:id="1181" w:name="_Toc17513"/>
      <w:bookmarkStart w:id="1182" w:name="_Toc18379"/>
      <w:bookmarkStart w:id="1183" w:name="_Toc5598"/>
      <w:bookmarkStart w:id="1184" w:name="_Toc24283"/>
      <w:bookmarkStart w:id="1185" w:name="_Toc7915"/>
      <w:bookmarkStart w:id="1186" w:name="_Toc84"/>
      <w:bookmarkStart w:id="1187" w:name="_Toc3930"/>
      <w:bookmarkStart w:id="1188" w:name="_Toc23818"/>
      <w:bookmarkStart w:id="1189" w:name="_Toc10009"/>
      <w:bookmarkStart w:id="1190" w:name="_Toc30884"/>
      <w:bookmarkStart w:id="1191" w:name="_Toc13888"/>
      <w:r>
        <w:rPr>
          <w:rFonts w:hint="eastAsia"/>
          <w:color w:val="auto"/>
          <w:highlight w:val="none"/>
        </w:rPr>
        <w:t>第四部分 投标函及其附录</w:t>
      </w:r>
      <w:bookmarkEnd w:id="1179"/>
      <w:bookmarkEnd w:id="1180"/>
      <w:bookmarkEnd w:id="1181"/>
      <w:bookmarkEnd w:id="1182"/>
      <w:bookmarkEnd w:id="1183"/>
      <w:bookmarkEnd w:id="1184"/>
      <w:bookmarkEnd w:id="1185"/>
      <w:bookmarkEnd w:id="1186"/>
      <w:r>
        <w:rPr>
          <w:rFonts w:hint="eastAsia"/>
          <w:color w:val="auto"/>
          <w:highlight w:val="none"/>
        </w:rPr>
        <w:t>（如有）</w:t>
      </w:r>
      <w:bookmarkEnd w:id="1187"/>
      <w:bookmarkEnd w:id="1188"/>
      <w:bookmarkEnd w:id="1189"/>
      <w:bookmarkEnd w:id="1190"/>
      <w:bookmarkEnd w:id="1191"/>
    </w:p>
    <w:p w14:paraId="4C55F204">
      <w:pPr>
        <w:pStyle w:val="6"/>
        <w:rPr>
          <w:rFonts w:ascii="仿宋_GB2312" w:hAnsi="仿宋_GB2312" w:cs="仿宋_GB2312"/>
          <w:bCs/>
          <w:color w:val="auto"/>
          <w:szCs w:val="30"/>
          <w:highlight w:val="none"/>
        </w:rPr>
      </w:pPr>
      <w:bookmarkStart w:id="1192" w:name="_Toc15524"/>
      <w:bookmarkStart w:id="1193" w:name="_Toc20520"/>
      <w:bookmarkStart w:id="1194" w:name="_Toc337"/>
      <w:bookmarkStart w:id="1195" w:name="_Toc30516"/>
      <w:bookmarkStart w:id="1196" w:name="_Toc19701"/>
      <w:r>
        <w:rPr>
          <w:rFonts w:hint="eastAsia"/>
          <w:color w:val="auto"/>
          <w:highlight w:val="none"/>
        </w:rPr>
        <w:t>第五部分  通用合同</w:t>
      </w:r>
      <w:bookmarkEnd w:id="1192"/>
      <w:bookmarkEnd w:id="1193"/>
      <w:bookmarkEnd w:id="1194"/>
      <w:r>
        <w:rPr>
          <w:rFonts w:hint="eastAsia"/>
          <w:color w:val="auto"/>
          <w:highlight w:val="none"/>
        </w:rPr>
        <w:t>条款</w:t>
      </w:r>
      <w:bookmarkEnd w:id="1195"/>
      <w:bookmarkEnd w:id="1196"/>
    </w:p>
    <w:p w14:paraId="13B14EF6">
      <w:pPr>
        <w:keepNext/>
        <w:keepLines/>
        <w:spacing w:line="360" w:lineRule="auto"/>
        <w:outlineLvl w:val="1"/>
        <w:rPr>
          <w:rFonts w:ascii="Times New Roman" w:hAnsi="Times New Roman" w:eastAsia="黑体"/>
          <w:b/>
          <w:bCs/>
          <w:color w:val="auto"/>
          <w:sz w:val="32"/>
          <w:szCs w:val="32"/>
          <w:highlight w:val="none"/>
        </w:rPr>
      </w:pPr>
      <w:bookmarkStart w:id="1197" w:name="_Toc24981"/>
      <w:bookmarkStart w:id="1198" w:name="_Toc21818"/>
      <w:bookmarkStart w:id="1199" w:name="_Toc28527"/>
      <w:bookmarkStart w:id="1200" w:name="_Toc19518"/>
      <w:bookmarkStart w:id="1201" w:name="_Toc351203495"/>
      <w:r>
        <w:rPr>
          <w:rFonts w:hint="eastAsia" w:ascii="Times New Roman" w:hAnsi="Times New Roman" w:eastAsia="黑体"/>
          <w:b/>
          <w:bCs/>
          <w:color w:val="auto"/>
          <w:sz w:val="32"/>
          <w:szCs w:val="32"/>
          <w:highlight w:val="none"/>
        </w:rPr>
        <w:t>1. 一</w:t>
      </w:r>
      <w:r>
        <w:rPr>
          <w:rFonts w:hint="eastAsia" w:ascii="Arial" w:hAnsi="Arial" w:eastAsia="黑体"/>
          <w:b/>
          <w:bCs/>
          <w:color w:val="auto"/>
          <w:sz w:val="32"/>
          <w:szCs w:val="32"/>
          <w:highlight w:val="none"/>
        </w:rPr>
        <w:t>般约定</w:t>
      </w:r>
      <w:bookmarkEnd w:id="1197"/>
      <w:bookmarkEnd w:id="1198"/>
      <w:bookmarkEnd w:id="1199"/>
      <w:bookmarkEnd w:id="1200"/>
    </w:p>
    <w:p w14:paraId="758768F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1.1 词语定义与解释</w:t>
      </w:r>
    </w:p>
    <w:p w14:paraId="721DA84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合同协议书、通用合同条款、专用合同条款中的下列词语具有本款所赋予的含义：</w:t>
      </w:r>
    </w:p>
    <w:p w14:paraId="5F1AFA0B">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1.1.1 合同</w:t>
      </w:r>
    </w:p>
    <w:p w14:paraId="01ACE27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1.1.1.1 合同：是指根据法律规定和合同当事人约定具有约束力的文件，构成合同的文件包括合同协议书、专用合同条款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、通用合同条款、中标通知书（如果有）、投标函及其附录（如果有）、发包人要求、技术标准、发包人提供的上一阶段图纸（如果有）以及其他合同文件。</w:t>
      </w:r>
    </w:p>
    <w:p w14:paraId="534B57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1.1.1.2 合同协议书：是指构成合同的由发包人和设计人共同签署的称为“合同协议书”的书面文件。</w:t>
      </w:r>
    </w:p>
    <w:p w14:paraId="47A276A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1.1.1.3 </w:t>
      </w:r>
      <w:r>
        <w:rPr>
          <w:rFonts w:hint="eastAsia" w:ascii="仿宋_GB2312" w:hAnsi="仿宋_GB2312" w:eastAsia="仿宋_GB2312" w:cs="仿宋_GB2312"/>
          <w:color w:val="auto"/>
          <w:kern w:val="0"/>
          <w:sz w:val="30"/>
          <w:szCs w:val="30"/>
          <w:highlight w:val="none"/>
        </w:rPr>
        <w:t>中标通知书：是指构成合同的由发包人通知设计人中标的书面文件。</w:t>
      </w:r>
    </w:p>
    <w:p w14:paraId="0593906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1.1.1.4 投标函：是指构成合同的由设计人填写并签署的用于投标的称为“投标函”的文件。</w:t>
      </w:r>
    </w:p>
    <w:p w14:paraId="6F6A822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1.1.1.5 投标函附录：是指构成合同的附在投标函后的称为“投标函附录”的文件。</w:t>
      </w:r>
    </w:p>
    <w:p w14:paraId="237168A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1.1.1.6 </w:t>
      </w:r>
      <w:r>
        <w:rPr>
          <w:rFonts w:hint="eastAsia" w:ascii="仿宋_GB2312" w:hAnsi="仿宋_GB2312" w:eastAsia="仿宋_GB2312" w:cs="仿宋_GB2312"/>
          <w:color w:val="auto"/>
          <w:sz w:val="30"/>
          <w:szCs w:val="30"/>
          <w:highlight w:val="none"/>
        </w:rPr>
        <w:t>发包人要求：是指构成合同文件组成部分的，由发包人就工程项目的目的、范围、功能要求及工程设计文件审查的范围和内容等提出相应要求的书面文件，又称设计任务书。</w:t>
      </w:r>
    </w:p>
    <w:p w14:paraId="049237D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1.1.1.7 技术标准：是指构成合同的设计应当遵守的或指导设计的国家、行业或地方的技术标准和要求，以及合同约定的技术标准和要求。</w:t>
      </w:r>
    </w:p>
    <w:p w14:paraId="082F7CD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1.1.1.8 其他合同文件：是指经合同当事人约定的与工程设计有关的具有合同约束力的文件或书面协议。合同当事人可以在专用合同条款中进行约定。</w:t>
      </w:r>
    </w:p>
    <w:p w14:paraId="6FE061D6">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1.1.2 合同当事人及其他相关方</w:t>
      </w:r>
    </w:p>
    <w:p w14:paraId="4F29E0D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1.1.2.1 合同当事人：是指发包人和（或）设计人。</w:t>
      </w:r>
    </w:p>
    <w:p w14:paraId="3BA1448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1.1.2.2 发包人：是指与设计人签订合同协议书的当事人及取得该当事人资格的合法继承人。</w:t>
      </w:r>
    </w:p>
    <w:p w14:paraId="2FE9D8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1.1.2.3 设计人：是指与发包人签订合同协议书的，具有相应工程设计资质的当事人及取得该当事人资格的合法继承人。</w:t>
      </w:r>
    </w:p>
    <w:p w14:paraId="5FFAFF7C">
      <w:pPr>
        <w:spacing w:line="360" w:lineRule="auto"/>
        <w:ind w:firstLine="585" w:firstLineChars="195"/>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1.1.2.4 分包人：是指按照法律规定和合同约定，分包部分工程设计工作，并与设计人签订分包合同的具有相应资质的法人。</w:t>
      </w:r>
    </w:p>
    <w:p w14:paraId="4FDB09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1.1.2.5 发包人代表：是指由发包人指定负责工程设计方面在发包人授权范围内行使发包人权利的人。</w:t>
      </w:r>
    </w:p>
    <w:p w14:paraId="01ED5E7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1.1.2.6 项目负责人：是指由设计人任命负责工程设计，在设计人授权范围内负责合同履行，且按照法律规定具有相应资格的项目主持人。</w:t>
      </w:r>
    </w:p>
    <w:p w14:paraId="0BE5EF8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1.1.2.7 联合体：是指两个以上设计人联合，以一个设计人身份为发包人提供工程设计服务的临时性组织。</w:t>
      </w:r>
    </w:p>
    <w:p w14:paraId="0B46778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 工程设计服务、资料与文件</w:t>
      </w:r>
    </w:p>
    <w:p w14:paraId="4126FDB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1.1.3.1 工程设计服务：是指设计人按照合同约定履行的服务，包括工程设计基本服务、工程设计其他服务。</w:t>
      </w:r>
    </w:p>
    <w:p w14:paraId="5D7E72A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0DCB8E9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E49B09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1.1.3.4 暂停设计：是指发生设计人不能按照合同约定履行全部或部分义务情形而暂时中断工程设计服务的行为。</w:t>
      </w:r>
    </w:p>
    <w:p w14:paraId="15DB595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1.1.3.5 工程设计资料：是指</w:t>
      </w:r>
      <w:r>
        <w:rPr>
          <w:rFonts w:hint="eastAsia" w:ascii="仿宋_GB2312" w:hAnsi="仿宋_GB2312" w:eastAsia="仿宋_GB2312" w:cs="仿宋_GB2312"/>
          <w:color w:val="auto"/>
          <w:sz w:val="30"/>
          <w:szCs w:val="30"/>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36566E2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1.1.3.6 工程设计文件：指按照合同约定和技术要求，由设计人向发包人提供的阶段性成果、最终工作成果等，且应当采用合同中双方约定的载体。</w:t>
      </w:r>
    </w:p>
    <w:p w14:paraId="3F9BC9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日期和期限</w:t>
      </w:r>
    </w:p>
    <w:p w14:paraId="06E95DD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6E6FE7E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BCBA6AA">
      <w:pPr>
        <w:spacing w:line="360" w:lineRule="auto"/>
        <w:ind w:firstLine="608" w:firstLineChars="20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1.1.4.3 设计周期又称设计工期：是指在合同协议书约定的设计人完成工程设计及相关服务所需的期限，包括按照合同约定所作的期限变更。</w:t>
      </w:r>
    </w:p>
    <w:p w14:paraId="457794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1.1.4.4 基准日期：招标发包的工程设计以投标截止日前28天的日期为基准日期，直接发包的工程设计以合同签订日前28天的日期为基准日期。</w:t>
      </w:r>
    </w:p>
    <w:p w14:paraId="61EC966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1.1.4.5 天：除特别指明外，均指日历天。合同中按天计算时间的，开始当天不计入，从次日开始计算，期限最后一天的截止时间为当天24:00时。</w:t>
      </w:r>
    </w:p>
    <w:p w14:paraId="27FAA0C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合同价格</w:t>
      </w:r>
    </w:p>
    <w:p w14:paraId="72D09EE8">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1.1.5.1 签约合同价：是指</w:t>
      </w:r>
      <w:r>
        <w:rPr>
          <w:rFonts w:hint="eastAsia" w:ascii="仿宋_GB2312" w:hAnsi="仿宋_GB2312" w:eastAsia="仿宋_GB2312" w:cs="仿宋_GB2312"/>
          <w:color w:val="auto"/>
          <w:sz w:val="30"/>
          <w:szCs w:val="30"/>
          <w:highlight w:val="none"/>
        </w:rPr>
        <w:t>发包人和设计人在合同协议书中确定的总金额。</w:t>
      </w:r>
    </w:p>
    <w:p w14:paraId="2C73A15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1.1.5.2 合同价格又称设计费：是指发包人用于支付设计人按照合同约定完成工程设计范围内全部工作的金额，包括合同履行过程中按合同约定发生的价格变化。</w:t>
      </w:r>
    </w:p>
    <w:p w14:paraId="460AF766">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1.1.6 其他</w:t>
      </w:r>
    </w:p>
    <w:p w14:paraId="2BA64F6E">
      <w:pPr>
        <w:spacing w:line="360" w:lineRule="auto"/>
        <w:ind w:firstLine="600" w:firstLineChars="200"/>
        <w:jc w:val="left"/>
        <w:rPr>
          <w:rFonts w:ascii="Times New Roman" w:hAnsi="Times New Roman"/>
          <w:color w:val="auto"/>
          <w:highlight w:val="none"/>
        </w:rPr>
      </w:pPr>
      <w:r>
        <w:rPr>
          <w:rFonts w:hint="eastAsia" w:ascii="仿宋_GB2312" w:hAnsi="仿宋_GB2312" w:eastAsia="仿宋_GB2312" w:cs="仿宋_GB2312"/>
          <w:color w:val="auto"/>
          <w:sz w:val="30"/>
          <w:szCs w:val="30"/>
          <w:highlight w:val="none"/>
        </w:rPr>
        <w:t>1.1.6.1 书面形式：是指合同书、信件和数据电文（包括电报、电传、传真、电子数据交换和电子邮件）等可以有形地表现所载内容的形式。</w:t>
      </w:r>
    </w:p>
    <w:p w14:paraId="7968710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1.2 语言文字</w:t>
      </w:r>
    </w:p>
    <w:p w14:paraId="6839DC5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合同以中国的汉语简体文字编写、解释和说明。合同当事人在专用合同条款中约定使用两种以上语言时，汉语为优先解释和说明合同的语言。</w:t>
      </w:r>
    </w:p>
    <w:p w14:paraId="5EEE6A8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1.3 法律</w:t>
      </w:r>
    </w:p>
    <w:p w14:paraId="323762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合同所称法律是指中华人民共和国法律、行政法规、部门规章，以及工程所在地的地方性法规、自治条例、单行条例和地方政府规章等。</w:t>
      </w:r>
    </w:p>
    <w:p w14:paraId="3930FE7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合同当事人可以在专用合同条款中约定合同适用的其他规范性文件。</w:t>
      </w:r>
    </w:p>
    <w:p w14:paraId="4DFDFAC5">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1.4 技术标准</w:t>
      </w:r>
    </w:p>
    <w:p w14:paraId="0027CE50">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 适用于工程的现行有效的国家标准、行业标准、工程所在地的地方性标准，以及相应的规范、规程等，合同当事人有特别要求的，应在专用合同条款中约定。</w:t>
      </w:r>
    </w:p>
    <w:p w14:paraId="4762D576">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 发包人要求使用国外技术标准的，发包人与设计人在专用合同条款中约定原文版本和中文译本提供方及提供标准的名称、份数、时间及费用承担等事项。</w:t>
      </w:r>
    </w:p>
    <w:p w14:paraId="724A0FFC">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28DB42E">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1.5 合同文件的优先顺序</w:t>
      </w:r>
    </w:p>
    <w:p w14:paraId="1CB17A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组成合同的各项文件应互相解释，互为说明。除专用合同条款另有约定外，解释合同文件的优先顺序如下：</w:t>
      </w:r>
    </w:p>
    <w:p w14:paraId="038407B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（1）合同协议书；</w:t>
      </w:r>
    </w:p>
    <w:p w14:paraId="5568E3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 xml:space="preserve">； </w:t>
      </w:r>
    </w:p>
    <w:p w14:paraId="0D81E5E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（3）通用合同条款； </w:t>
      </w:r>
    </w:p>
    <w:p w14:paraId="5D54BFB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（4）中标通知书（如果有）；</w:t>
      </w:r>
    </w:p>
    <w:p w14:paraId="48725A70">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（5）投标函及其附录（如果有）；</w:t>
      </w:r>
    </w:p>
    <w:p w14:paraId="2B5713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（6）发包人要求；</w:t>
      </w:r>
    </w:p>
    <w:p w14:paraId="0B4AD0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（7）技术标准；</w:t>
      </w:r>
    </w:p>
    <w:p w14:paraId="07ACBA2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（8）发包人提供的上一阶段图纸（如果有）；</w:t>
      </w:r>
    </w:p>
    <w:p w14:paraId="48A15051">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（9）其他合同文件。</w:t>
      </w:r>
    </w:p>
    <w:p w14:paraId="29CD848B">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上述各项合同文件包括合同当事人就该项合同文件所作出的补充和修改，属于同一类内容的文件，应以最新签署的为准。</w:t>
      </w:r>
    </w:p>
    <w:p w14:paraId="1A2F8BA9">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在合同履行过程中形成的与合同有关的文件均构成合同文件组成部分，并根据其性质确定优先解释顺序。</w:t>
      </w:r>
    </w:p>
    <w:p w14:paraId="45A1192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1.6 联络</w:t>
      </w:r>
    </w:p>
    <w:p w14:paraId="02075DE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1.6.1 与合同有关的通知、批准、证明、证书、指示、指令、要求、请求、同意</w:t>
      </w:r>
      <w:r>
        <w:rPr>
          <w:rFonts w:hint="eastAsia" w:ascii="仿宋_GB2312" w:hAnsi="仿宋_GB2312" w:eastAsia="仿宋_GB2312" w:cs="仿宋_GB2312"/>
          <w:b/>
          <w:color w:val="auto"/>
          <w:kern w:val="0"/>
          <w:sz w:val="30"/>
          <w:szCs w:val="30"/>
          <w:highlight w:val="none"/>
        </w:rPr>
        <w:t>、</w:t>
      </w:r>
      <w:r>
        <w:rPr>
          <w:rFonts w:hint="eastAsia" w:ascii="仿宋_GB2312" w:hAnsi="仿宋_GB2312" w:eastAsia="仿宋_GB2312" w:cs="仿宋_GB2312"/>
          <w:color w:val="auto"/>
          <w:kern w:val="0"/>
          <w:sz w:val="30"/>
          <w:szCs w:val="30"/>
          <w:highlight w:val="none"/>
        </w:rPr>
        <w:t>确定和决定等，均应采用书面形式，并应在合同约定的期限内送达接收人和送达地点。</w:t>
      </w:r>
    </w:p>
    <w:p w14:paraId="60979D6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30710C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1.6.3 发包人和设计人应当及时签收另一方送达至送达地点和指定接收人的来往信函，如确有充分证据证明一方无正当理由拒不签收的，视为拒绝签收一方认可往来信函的内容。</w:t>
      </w:r>
    </w:p>
    <w:p w14:paraId="099EA500">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 严禁贿赂</w:t>
      </w:r>
    </w:p>
    <w:p w14:paraId="17A0F1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合同当事人不得以贿赂或变相贿赂的方式，谋取非法利益或损害对方权益。因一方合同当事人的贿赂造成对方损失的，应赔偿损失，并承担相应的法律责任。</w:t>
      </w:r>
    </w:p>
    <w:p w14:paraId="6A5E9D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1.8 保密</w:t>
      </w:r>
    </w:p>
    <w:p w14:paraId="169929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除法律规定或合同另有约定外，未经发包人同意，设计人不得将发包人提供的图纸、文件以及声明需要保密的资料信息等商业秘密泄露给第三方。</w:t>
      </w:r>
    </w:p>
    <w:p w14:paraId="1DE8EB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除法律规定或合同另有约定外，未经设计人同意，发包人不得将设计人提供的技术文件、技术成果、技术秘密及声明需要保密的资料信息等商业秘密泄露给第三方。</w:t>
      </w:r>
    </w:p>
    <w:p w14:paraId="2CE4B07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保密期限由发包人与设计人在专用合同条款中约定。</w:t>
      </w:r>
    </w:p>
    <w:p w14:paraId="6605DF8D">
      <w:pPr>
        <w:keepNext/>
        <w:keepLines/>
        <w:spacing w:line="360" w:lineRule="auto"/>
        <w:outlineLvl w:val="1"/>
        <w:rPr>
          <w:rFonts w:ascii="Arial" w:hAnsi="Arial" w:eastAsia="黑体"/>
          <w:b/>
          <w:bCs/>
          <w:color w:val="auto"/>
          <w:sz w:val="32"/>
          <w:szCs w:val="32"/>
          <w:highlight w:val="none"/>
        </w:rPr>
      </w:pPr>
      <w:bookmarkStart w:id="1202" w:name="_Toc12330"/>
      <w:bookmarkStart w:id="1203" w:name="_Toc27410"/>
      <w:bookmarkStart w:id="1204" w:name="_Toc24812"/>
      <w:bookmarkStart w:id="1205" w:name="_Toc23120"/>
      <w:r>
        <w:rPr>
          <w:rFonts w:hint="eastAsia" w:ascii="Arial" w:hAnsi="Arial" w:eastAsia="黑体"/>
          <w:b/>
          <w:bCs/>
          <w:color w:val="auto"/>
          <w:sz w:val="32"/>
          <w:szCs w:val="32"/>
          <w:highlight w:val="none"/>
        </w:rPr>
        <w:t>2. 发包人</w:t>
      </w:r>
      <w:bookmarkEnd w:id="1202"/>
      <w:bookmarkEnd w:id="1203"/>
      <w:bookmarkEnd w:id="1204"/>
      <w:bookmarkEnd w:id="1205"/>
    </w:p>
    <w:p w14:paraId="08FA51AF">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2.1 发包人一般义务</w:t>
      </w:r>
    </w:p>
    <w:p w14:paraId="17E225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2.1.1 发包人应遵守法律，并办理法律规定由其办理的许可、核准或备案，包括但不限于建设用地规划许可证、建设工程规划许可证等许可、核准或备案。</w:t>
      </w:r>
    </w:p>
    <w:p w14:paraId="4124FAE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发包人负责本项目各阶段设计文件向有关管理部门的送审报批工作，并负责将报批结果书面通知设计人。</w:t>
      </w:r>
      <w:r>
        <w:rPr>
          <w:rFonts w:hint="eastAsia" w:ascii="仿宋_GB2312" w:hAnsi="仿宋_GB2312" w:eastAsia="仿宋_GB2312" w:cs="仿宋_GB2312"/>
          <w:color w:val="auto"/>
          <w:kern w:val="0"/>
          <w:sz w:val="30"/>
          <w:szCs w:val="30"/>
          <w:highlight w:val="none"/>
        </w:rPr>
        <w:t>因发包人原因未能及时办理完毕前述许可、核准或备案手续，导致设计工作量增加和（或）设计周期延长时，由发包人承担由此增加的设计费用和（或）延长的设计周期。</w:t>
      </w:r>
    </w:p>
    <w:p w14:paraId="393E48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2.1.2 发包人应当负责工程设计的所有外部关系的协调（包括但不限于当地政府主管部门等），为设计人履行合同提供必要的外部条件。</w:t>
      </w:r>
    </w:p>
    <w:p w14:paraId="5C1D356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2.1.3 专用合同条款约定的其他义务。</w:t>
      </w:r>
    </w:p>
    <w:p w14:paraId="16195F3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2.2 发包人代表</w:t>
      </w:r>
    </w:p>
    <w:p w14:paraId="15E097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21BFAE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发包人代表不能按照合同约定履行其职责及义务，并导致合同无法继续正常履行的，设计人可以要求发包人撤换发包人代表。</w:t>
      </w:r>
    </w:p>
    <w:p w14:paraId="4B1F461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2.3 发包人决定</w:t>
      </w:r>
    </w:p>
    <w:p w14:paraId="622286AA">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 xml:space="preserve">2.3.1 </w:t>
      </w:r>
      <w:r>
        <w:rPr>
          <w:rFonts w:hint="eastAsia" w:ascii="仿宋_GB2312" w:hAnsi="仿宋_GB2312" w:eastAsia="仿宋_GB2312" w:cs="仿宋_GB2312"/>
          <w:color w:val="auto"/>
          <w:sz w:val="30"/>
          <w:szCs w:val="30"/>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F15F1AA">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2.3.2 发包人应在专用合同条款约定的期限内对设计人书面提出的事项作出书面决定，如发包人不在确定时间内作出书面决定，设计人的设计周期相应延长。</w:t>
      </w:r>
    </w:p>
    <w:p w14:paraId="6502668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2.4 支付合同价款</w:t>
      </w:r>
    </w:p>
    <w:p w14:paraId="3593AF0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发包人应按合同约定向设计人及时足额支付合同价款。</w:t>
      </w:r>
    </w:p>
    <w:p w14:paraId="3003CF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2.5 设计文件接收</w:t>
      </w:r>
    </w:p>
    <w:p w14:paraId="1B79570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发包人应按合同约定及时接收设计人提交的工程设计文件。</w:t>
      </w:r>
    </w:p>
    <w:p w14:paraId="7F6844C7">
      <w:pPr>
        <w:keepNext/>
        <w:keepLines/>
        <w:spacing w:line="360" w:lineRule="auto"/>
        <w:outlineLvl w:val="1"/>
        <w:rPr>
          <w:rFonts w:ascii="Arial" w:hAnsi="Arial" w:eastAsia="黑体"/>
          <w:b/>
          <w:bCs/>
          <w:color w:val="auto"/>
          <w:sz w:val="32"/>
          <w:szCs w:val="32"/>
          <w:highlight w:val="none"/>
        </w:rPr>
      </w:pPr>
      <w:bookmarkStart w:id="1206" w:name="_Toc8614"/>
      <w:bookmarkStart w:id="1207" w:name="_Toc16833"/>
      <w:bookmarkStart w:id="1208" w:name="_Toc5496"/>
      <w:bookmarkStart w:id="1209" w:name="_Toc30729"/>
      <w:r>
        <w:rPr>
          <w:rFonts w:hint="eastAsia" w:ascii="Arial" w:hAnsi="Arial" w:eastAsia="黑体"/>
          <w:b/>
          <w:bCs/>
          <w:color w:val="auto"/>
          <w:sz w:val="32"/>
          <w:szCs w:val="32"/>
          <w:highlight w:val="none"/>
        </w:rPr>
        <w:t>3. 设计人</w:t>
      </w:r>
      <w:bookmarkEnd w:id="1206"/>
      <w:bookmarkEnd w:id="1207"/>
      <w:bookmarkEnd w:id="1208"/>
      <w:bookmarkEnd w:id="1209"/>
    </w:p>
    <w:p w14:paraId="024E0D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3.1 设计人一般义务</w:t>
      </w:r>
    </w:p>
    <w:p w14:paraId="32BDB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3.1.1 设计人应遵守法律和有关技术标准的强制性规定，完成合同约定范围内的专业建设工程初步设计、施工图设计，提供符合技术标准及合同要求的工程设计文件，提供施工配合服务。</w:t>
      </w:r>
    </w:p>
    <w:p w14:paraId="359EC28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23040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3.1.2 设计人应当完成合同约定的工程设计其他服务。</w:t>
      </w:r>
    </w:p>
    <w:p w14:paraId="4A489B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3.1.3 专用合同条款约定的其他义务。</w:t>
      </w:r>
    </w:p>
    <w:p w14:paraId="6BB3849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3.2 项目负责人</w:t>
      </w:r>
    </w:p>
    <w:p w14:paraId="5159613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7426039B">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592D39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6E5ED7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3.3 设计人人员</w:t>
      </w:r>
    </w:p>
    <w:p w14:paraId="15F71D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D0B2CA1">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06D38E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31007B7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3.4 设计分包</w:t>
      </w:r>
    </w:p>
    <w:p w14:paraId="3ABD6BE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3.4.1 设计分包的一般约定</w:t>
      </w:r>
    </w:p>
    <w:p w14:paraId="4DB3E57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325827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3.4.2 设计分包的确定</w:t>
      </w:r>
    </w:p>
    <w:p w14:paraId="642A2D4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35A9C6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3.4.3 设计分包管理</w:t>
      </w:r>
    </w:p>
    <w:p w14:paraId="0BD965D2">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设计人应按照专用合同条款的约定向发包人提交分包人的主要工程设计人员名单、注册执业资格或职称及执业经历等。</w:t>
      </w:r>
    </w:p>
    <w:p w14:paraId="16EC6B2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3.4.4 分包工程设计费</w:t>
      </w:r>
    </w:p>
    <w:p w14:paraId="4AA6AD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（1）除本项第（2）目约定的情况或专用合同条款另有约定外，分包工程设计费由设计人与分包人结算，未经设计人同意，发包人不得向分包人支付分包工程设计费；</w:t>
      </w:r>
    </w:p>
    <w:p w14:paraId="4FAE55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（2）生效的法院判决书或仲裁裁决书要求发包人向分包人支付分包工程设计费的，发包人有权从应付设计人合同价款中扣除该部分费用。</w:t>
      </w:r>
    </w:p>
    <w:p w14:paraId="0F02B3F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3.5 联合体</w:t>
      </w:r>
    </w:p>
    <w:p w14:paraId="4C7E90A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3.5.1 联合体各方应共同与发包人签订合同协议书。联合体各方应为履行合同向发包人承担连带责任。</w:t>
      </w:r>
    </w:p>
    <w:p w14:paraId="2034269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3.5.2 联合体协议，应当约定联合体各成员工作分工，经发包人确认后作为合同附件。在履行合同过程中，未经发包人同意，不得修改联合体协议。</w:t>
      </w:r>
    </w:p>
    <w:p w14:paraId="5FD78FB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3.5.3 联合体牵头人负责与发包人联系，并接受指示，负责组织联合体各成员全面履行合同。</w:t>
      </w:r>
    </w:p>
    <w:p w14:paraId="3562DD7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3.5.4 发包人向联合体支付设计费用的方式在专用合同条款中约定。</w:t>
      </w:r>
    </w:p>
    <w:p w14:paraId="733EB25E">
      <w:pPr>
        <w:keepNext/>
        <w:keepLines/>
        <w:spacing w:line="360" w:lineRule="auto"/>
        <w:outlineLvl w:val="1"/>
        <w:rPr>
          <w:rFonts w:ascii="Arial" w:hAnsi="Arial" w:eastAsia="黑体"/>
          <w:b/>
          <w:bCs/>
          <w:color w:val="auto"/>
          <w:sz w:val="32"/>
          <w:szCs w:val="32"/>
          <w:highlight w:val="none"/>
        </w:rPr>
      </w:pPr>
      <w:bookmarkStart w:id="1210" w:name="_Toc24973"/>
      <w:bookmarkStart w:id="1211" w:name="_Toc3708"/>
      <w:bookmarkStart w:id="1212" w:name="_Toc25177"/>
      <w:bookmarkStart w:id="1213" w:name="_Toc23815"/>
      <w:r>
        <w:rPr>
          <w:rFonts w:hint="eastAsia" w:ascii="Arial" w:hAnsi="Arial" w:eastAsia="黑体"/>
          <w:b/>
          <w:bCs/>
          <w:color w:val="auto"/>
          <w:sz w:val="32"/>
          <w:szCs w:val="32"/>
          <w:highlight w:val="none"/>
        </w:rPr>
        <w:t>4. 工程设计资料</w:t>
      </w:r>
      <w:bookmarkEnd w:id="1210"/>
      <w:bookmarkEnd w:id="1211"/>
      <w:bookmarkEnd w:id="1212"/>
      <w:bookmarkEnd w:id="1213"/>
    </w:p>
    <w:p w14:paraId="717D9D0F">
      <w:pPr>
        <w:autoSpaceDE w:val="0"/>
        <w:autoSpaceDN w:val="0"/>
        <w:adjustRightInd w:val="0"/>
        <w:spacing w:before="120" w:after="120" w:line="360" w:lineRule="auto"/>
        <w:ind w:firstLine="627" w:firstLineChars="209"/>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4.1 提供工程设计资料</w:t>
      </w:r>
    </w:p>
    <w:p w14:paraId="61C956A8">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发包人应当在工程设计前或专用合同条款附件2约定的时间向设计人提供工程设计所必需的工程设计资料，并对所提供资料的真实性、准确性和完整性负责。</w:t>
      </w:r>
    </w:p>
    <w:p w14:paraId="7B9388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按照法律规定确需在工程设计开始后方能提供的设计资料，发包人应及时地在相应工程设计文件提交给发包人前的合理期限内提供，合理期限应以不影响设计人的正常设计为限。</w:t>
      </w:r>
    </w:p>
    <w:p w14:paraId="7CB26FF7">
      <w:pPr>
        <w:autoSpaceDE w:val="0"/>
        <w:autoSpaceDN w:val="0"/>
        <w:adjustRightInd w:val="0"/>
        <w:spacing w:before="120" w:after="120" w:line="360" w:lineRule="auto"/>
        <w:ind w:firstLine="624" w:firstLineChars="208"/>
        <w:jc w:val="left"/>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4.2 逾期提供的责任</w:t>
      </w:r>
    </w:p>
    <w:p w14:paraId="13D3015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65C0878">
      <w:pPr>
        <w:keepNext/>
        <w:keepLines/>
        <w:spacing w:line="360" w:lineRule="auto"/>
        <w:outlineLvl w:val="1"/>
        <w:rPr>
          <w:rFonts w:ascii="Arial" w:hAnsi="Arial" w:eastAsia="黑体"/>
          <w:b/>
          <w:bCs/>
          <w:color w:val="auto"/>
          <w:sz w:val="32"/>
          <w:szCs w:val="32"/>
          <w:highlight w:val="none"/>
        </w:rPr>
      </w:pPr>
      <w:bookmarkStart w:id="1214" w:name="_Toc29118"/>
      <w:bookmarkStart w:id="1215" w:name="_Toc31695"/>
      <w:bookmarkStart w:id="1216" w:name="_Toc4161"/>
      <w:bookmarkStart w:id="1217" w:name="_Toc10656"/>
      <w:r>
        <w:rPr>
          <w:rFonts w:hint="eastAsia" w:ascii="Arial" w:hAnsi="Arial" w:eastAsia="黑体"/>
          <w:b/>
          <w:bCs/>
          <w:color w:val="auto"/>
          <w:sz w:val="32"/>
          <w:szCs w:val="32"/>
          <w:highlight w:val="none"/>
        </w:rPr>
        <w:t>5. 工程设计要求</w:t>
      </w:r>
      <w:bookmarkEnd w:id="1214"/>
      <w:bookmarkEnd w:id="1215"/>
      <w:bookmarkEnd w:id="1216"/>
      <w:bookmarkEnd w:id="1217"/>
    </w:p>
    <w:p w14:paraId="65D9199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5.1 工程设计一般要求</w:t>
      </w:r>
    </w:p>
    <w:p w14:paraId="48A1EA64">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5.1.1 对发包人的要求</w:t>
      </w:r>
    </w:p>
    <w:p w14:paraId="51364185">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F347A9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 对设计人的要求</w:t>
      </w:r>
    </w:p>
    <w:p w14:paraId="1B525C1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5.1.2.1设计人应当按法律和技术标准的强制性规定及发包人要求进行工程设计。有关工程设计的特殊标准或要求由合同当事人在专用合同条款中约定。</w:t>
      </w:r>
    </w:p>
    <w:p w14:paraId="0B3FB052">
      <w:pPr>
        <w:spacing w:line="360" w:lineRule="auto"/>
        <w:ind w:firstLine="65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kern w:val="0"/>
          <w:sz w:val="30"/>
          <w:szCs w:val="30"/>
          <w:highlight w:val="none"/>
        </w:rPr>
        <w:t>设计人发现发包人提供的工程设计资料有问题的，设计人应当及时通知发包人并经发包人确认。</w:t>
      </w:r>
    </w:p>
    <w:p w14:paraId="66832C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7C55593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5.1.2.3 设计人在工程设计中应当采用合同约定的技术、工艺和设备，满足质量、安全、节能、环保等要求。</w:t>
      </w:r>
    </w:p>
    <w:p w14:paraId="5D05BA4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5.2 工程设计保证措施</w:t>
      </w:r>
    </w:p>
    <w:p w14:paraId="232E99A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5.2.1 发包人的保证措施</w:t>
      </w:r>
    </w:p>
    <w:p w14:paraId="25D8A3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发包人应按照法律规定及合同约定完成与工程设计有关的各项工作。</w:t>
      </w:r>
    </w:p>
    <w:p w14:paraId="5E87903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5.2.2 设计人的保证措施</w:t>
      </w:r>
    </w:p>
    <w:p w14:paraId="54E01C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41F345E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5.3 工程设计文件的要求</w:t>
      </w:r>
    </w:p>
    <w:p w14:paraId="316887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5.3.1 工程设计文件的编制应符合法律、技术标准的强制性规定及合同的要求。</w:t>
      </w:r>
    </w:p>
    <w:p w14:paraId="6558371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5.3.2 工程设计依据应完整、准确、可靠，设计方案论证充分，计算成果可靠，并能够实施。</w:t>
      </w:r>
    </w:p>
    <w:p w14:paraId="1408938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5.3.3 工程设计文件的深度应满足本合同相应设计阶段的规定要求，并符合国家和行业现行有效的相关规定。</w:t>
      </w:r>
    </w:p>
    <w:p w14:paraId="17AE6F3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48FAB6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5.3.5 应根据法律、技术标准要求，保证专业建设工程的合理使用寿命年限，并应在工程设计文件中注明相应的合理使用寿命年限。</w:t>
      </w:r>
    </w:p>
    <w:p w14:paraId="78ED075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5.4 不合格工程设计文件的处理</w:t>
      </w:r>
    </w:p>
    <w:p w14:paraId="2F13241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5.4.1 因设计人原因造成工程设计文件不合格的，发包人有权要求设计人采取补救措施，直至达到合同要求的质量标准，并按第14.2款〔设计人违约责任〕的约定承担责任。 </w:t>
      </w:r>
    </w:p>
    <w:p w14:paraId="747F26E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5.4.2 因发包人原因造成工程设计文件不合格的，设计人应当采取补救措施，直至达到合同要求的质量标准，由此增加的设计费用和（或）设计周期的延长由发包人承担。</w:t>
      </w:r>
    </w:p>
    <w:p w14:paraId="54170B23">
      <w:pPr>
        <w:keepNext/>
        <w:keepLines/>
        <w:spacing w:line="360" w:lineRule="auto"/>
        <w:outlineLvl w:val="1"/>
        <w:rPr>
          <w:rFonts w:ascii="Arial" w:hAnsi="Arial" w:eastAsia="黑体"/>
          <w:b/>
          <w:bCs/>
          <w:color w:val="auto"/>
          <w:sz w:val="32"/>
          <w:szCs w:val="32"/>
          <w:highlight w:val="none"/>
        </w:rPr>
      </w:pPr>
      <w:bookmarkStart w:id="1218" w:name="_Toc15998"/>
      <w:bookmarkStart w:id="1219" w:name="_Toc26678"/>
      <w:bookmarkStart w:id="1220" w:name="_Toc14632"/>
      <w:bookmarkStart w:id="1221" w:name="_Toc11762"/>
      <w:r>
        <w:rPr>
          <w:rFonts w:hint="eastAsia" w:ascii="Arial" w:hAnsi="Arial" w:eastAsia="黑体"/>
          <w:b/>
          <w:bCs/>
          <w:color w:val="auto"/>
          <w:sz w:val="32"/>
          <w:szCs w:val="32"/>
          <w:highlight w:val="none"/>
        </w:rPr>
        <w:t>6. 工程设计进度与周期</w:t>
      </w:r>
      <w:bookmarkEnd w:id="1218"/>
      <w:bookmarkEnd w:id="1219"/>
      <w:bookmarkEnd w:id="1220"/>
      <w:bookmarkEnd w:id="1221"/>
    </w:p>
    <w:p w14:paraId="1B56A80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6.1 工程设计进度计划</w:t>
      </w:r>
    </w:p>
    <w:p w14:paraId="1D0C590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6.1.1 工程设计进度计划的编制</w:t>
      </w:r>
    </w:p>
    <w:p w14:paraId="40DEDB2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46C14E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工程设计进度计划中的设计周期应由发包人与设计人协商确定，明确约定各阶段设计任务的完成时间区间，</w:t>
      </w:r>
      <w:r>
        <w:rPr>
          <w:rFonts w:hint="eastAsia" w:ascii="仿宋_GB2312" w:hAnsi="仿宋_GB2312" w:eastAsia="仿宋_GB2312" w:cs="仿宋_GB2312"/>
          <w:color w:val="auto"/>
          <w:sz w:val="30"/>
          <w:szCs w:val="30"/>
          <w:highlight w:val="none"/>
        </w:rPr>
        <w:t>包括各阶段设计过程中设计人与发包人的交流时间，但不包括相关政府部门对设计成果的审批时间及发包人的审查时间。</w:t>
      </w:r>
    </w:p>
    <w:p w14:paraId="0089AB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5B3CE307">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F6FC1E6">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6.2 工程设计开始</w:t>
      </w:r>
    </w:p>
    <w:p w14:paraId="5D3F745F">
      <w:pPr>
        <w:adjustRightInd w:val="0"/>
        <w:spacing w:line="360" w:lineRule="auto"/>
        <w:ind w:firstLine="627" w:firstLineChars="209"/>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3430D1A">
      <w:pPr>
        <w:autoSpaceDE w:val="0"/>
        <w:autoSpaceDN w:val="0"/>
        <w:adjustRightInd w:val="0"/>
        <w:spacing w:line="360" w:lineRule="auto"/>
        <w:ind w:firstLine="630" w:firstLineChars="21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设计人应当在收到发包人提供的工程设计资料及专用合同条款约定的定金或预付款后，开始工程设计工作。</w:t>
      </w:r>
    </w:p>
    <w:p w14:paraId="56EAD8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各设计阶段的开始时间均以设计人收到的发包人发出开始设计工作的书面通知书中载明的</w:t>
      </w:r>
      <w:r>
        <w:rPr>
          <w:rFonts w:hint="eastAsia" w:ascii="仿宋_GB2312" w:hAnsi="仿宋_GB2312" w:eastAsia="仿宋_GB2312" w:cs="仿宋_GB2312"/>
          <w:color w:val="auto"/>
          <w:kern w:val="0"/>
          <w:sz w:val="30"/>
          <w:szCs w:val="30"/>
          <w:highlight w:val="none"/>
        </w:rPr>
        <w:t>开始设计的日期起算。</w:t>
      </w:r>
    </w:p>
    <w:p w14:paraId="7B45052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6.3 工程设计进度延误</w:t>
      </w:r>
    </w:p>
    <w:p w14:paraId="2D75B5B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6.3.1 因发包人原因导致工程设计进度延误</w:t>
      </w:r>
    </w:p>
    <w:p w14:paraId="7A581E8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在合同履行过程中，发包人导致工程设计进度延误的情形主要有： </w:t>
      </w:r>
    </w:p>
    <w:p w14:paraId="7B121A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（1）发包人未能按合同约定提供工程设计资料或所提供的工程设计资料不符合合同约定或存在错误或疏漏的；</w:t>
      </w:r>
    </w:p>
    <w:p w14:paraId="3D4B5F1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（2）发包人未能按合同约定日期足额支付定金或预付款、进度款的；</w:t>
      </w:r>
    </w:p>
    <w:p w14:paraId="1D098D4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（3）发包人提出影响设计周期的设计变更要求的；</w:t>
      </w:r>
    </w:p>
    <w:p w14:paraId="13C2EFC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（4）专用合同条款中约定的其他情形。</w:t>
      </w:r>
    </w:p>
    <w:p w14:paraId="5FF7AED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因发包人原因未按计划开始设计日期开始设计的，发包人应按实际开始设计日期顺延完成设计日期。</w:t>
      </w:r>
    </w:p>
    <w:p w14:paraId="57311C0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设计人应在发生上述情况后5天内向发包人发出要求延期的书面通知，在发生上述情况后10天内提交要求延期的详细说明供发包人审查。</w:t>
      </w: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发包人收到设计人要求延期的详细说明后，应在5天内进行审查并就是否延长设计周期及延期天数向设计人进行书面答复。</w:t>
      </w:r>
    </w:p>
    <w:p w14:paraId="327FB14D">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如果发包人在收到设计人</w:t>
      </w:r>
      <w:r>
        <w:rPr>
          <w:rFonts w:hint="eastAsia" w:ascii="仿宋_GB2312" w:hAnsi="仿宋_GB2312" w:eastAsia="仿宋_GB2312" w:cs="仿宋_GB2312"/>
          <w:color w:val="auto"/>
          <w:kern w:val="0"/>
          <w:sz w:val="30"/>
          <w:szCs w:val="30"/>
          <w:highlight w:val="none"/>
        </w:rPr>
        <w:t>提交要求</w:t>
      </w:r>
      <w:r>
        <w:rPr>
          <w:rFonts w:hint="eastAsia" w:ascii="仿宋_GB2312" w:hAnsi="仿宋_GB2312" w:eastAsia="仿宋_GB2312" w:cs="仿宋_GB2312"/>
          <w:color w:val="auto"/>
          <w:sz w:val="30"/>
          <w:szCs w:val="30"/>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36B1C40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发包人上述工程设计进度延误情形</w:t>
      </w:r>
      <w:r>
        <w:rPr>
          <w:rFonts w:hint="eastAsia" w:ascii="仿宋_GB2312" w:hAnsi="仿宋_GB2312" w:eastAsia="仿宋_GB2312" w:cs="仿宋_GB2312"/>
          <w:color w:val="auto"/>
          <w:sz w:val="30"/>
          <w:szCs w:val="30"/>
          <w:highlight w:val="none"/>
        </w:rPr>
        <w:t>导致增加了设计工作量的，发包人应当另行支付相应设计费用。</w:t>
      </w:r>
    </w:p>
    <w:p w14:paraId="638E706D">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6.3.2 因设计人原因导致工程设计进度延误</w:t>
      </w:r>
    </w:p>
    <w:p w14:paraId="06C298A2">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因设计人原因导致工程设计进度延误的，设计人应当按照第14.2款〔设计人违约责任〕承担责任。设计人支付逾期完成工程设计违约金后，不免除设计人继续完成工程设计的义务。</w:t>
      </w:r>
    </w:p>
    <w:p w14:paraId="67E346E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6.4 暂停设计</w:t>
      </w:r>
    </w:p>
    <w:p w14:paraId="3E70934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6.4.1 发包人原因引起的暂停设计</w:t>
      </w:r>
    </w:p>
    <w:p w14:paraId="6C1E829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因发包人原因引起暂停设计的，发包人应及时下达暂停设计指示。</w:t>
      </w:r>
    </w:p>
    <w:p w14:paraId="7F13A3B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因发包人原因引起的暂停设计，发包人应承担由此增加的设计费用和（或）延长的设计周期。</w:t>
      </w:r>
    </w:p>
    <w:p w14:paraId="28B55F3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6.4.2 设计人原因引起的暂停设计</w:t>
      </w:r>
    </w:p>
    <w:p w14:paraId="731434A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BE472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6.4.3 其他原因引起的暂停设计</w:t>
      </w:r>
    </w:p>
    <w:p w14:paraId="4B0601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当出现非设计人原因造成的暂停设计，设计人应当尽快向发包人发出书面通知。</w:t>
      </w:r>
    </w:p>
    <w:p w14:paraId="54ADC02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在上述情形下设计人的设计服务暂停，设计人的设计周期应当相应延长，复工应有发包人与设计人共同确认的合理期限。</w:t>
      </w:r>
    </w:p>
    <w:p w14:paraId="053A400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当发生本项约定的情况，导致设计人增加设计工作量的，发包人应当另行支付相应设计费用。</w:t>
      </w:r>
    </w:p>
    <w:p w14:paraId="2472A34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6.4.4 暂停设计后的复工</w:t>
      </w:r>
    </w:p>
    <w:p w14:paraId="6D0B9D9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暂停设计后，发包人和设计人应采取有效措施积极消除暂停设计的影响。当工程具备复工条件时，发包人向设计人发出复工通知，设计人应按照复工通知要求复工。</w:t>
      </w:r>
    </w:p>
    <w:p w14:paraId="406152E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除设计人原因导致暂停设计外，设计人暂停设计后复工所增加的设计工作量，发包人应当另行支付相应设计费用。</w:t>
      </w:r>
    </w:p>
    <w:p w14:paraId="77DED1C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6.5 提前交付工程设计文件</w:t>
      </w:r>
    </w:p>
    <w:p w14:paraId="282B78E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5BDA1F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C9DFB37">
      <w:pPr>
        <w:keepNext/>
        <w:keepLines/>
        <w:spacing w:line="360" w:lineRule="auto"/>
        <w:outlineLvl w:val="1"/>
        <w:rPr>
          <w:rFonts w:ascii="Arial" w:hAnsi="Arial" w:eastAsia="黑体"/>
          <w:b/>
          <w:bCs/>
          <w:color w:val="auto"/>
          <w:sz w:val="32"/>
          <w:szCs w:val="32"/>
          <w:highlight w:val="none"/>
        </w:rPr>
      </w:pPr>
      <w:bookmarkStart w:id="1222" w:name="_Toc23363"/>
      <w:bookmarkStart w:id="1223" w:name="_Toc26172"/>
      <w:bookmarkStart w:id="1224" w:name="_Toc30953"/>
      <w:bookmarkStart w:id="1225" w:name="_Toc31228"/>
      <w:r>
        <w:rPr>
          <w:rFonts w:hint="eastAsia" w:ascii="Arial" w:hAnsi="Arial" w:eastAsia="黑体"/>
          <w:b/>
          <w:bCs/>
          <w:color w:val="auto"/>
          <w:sz w:val="32"/>
          <w:szCs w:val="32"/>
          <w:highlight w:val="none"/>
        </w:rPr>
        <w:t>7. 工程设计文件交付</w:t>
      </w:r>
      <w:bookmarkEnd w:id="1222"/>
      <w:bookmarkEnd w:id="1223"/>
      <w:bookmarkEnd w:id="1224"/>
      <w:bookmarkEnd w:id="1225"/>
    </w:p>
    <w:p w14:paraId="2AA3814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7.1 工程设计文件交付的内容</w:t>
      </w:r>
    </w:p>
    <w:p w14:paraId="22D2DD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7.1.1 工程设计图纸及设计说明。</w:t>
      </w:r>
    </w:p>
    <w:p w14:paraId="10011E6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7.1.2 发包人可以要求设计人提交专用合同条款约定的具体形式的</w:t>
      </w:r>
      <w:r>
        <w:rPr>
          <w:rFonts w:hint="eastAsia" w:ascii="仿宋_GB2312" w:hAnsi="仿宋_GB2312" w:eastAsia="仿宋_GB2312" w:cs="仿宋_GB2312"/>
          <w:color w:val="auto"/>
          <w:sz w:val="30"/>
          <w:szCs w:val="30"/>
          <w:highlight w:val="none"/>
        </w:rPr>
        <w:t>电子版设计文件</w:t>
      </w:r>
      <w:r>
        <w:rPr>
          <w:rFonts w:hint="eastAsia" w:ascii="仿宋_GB2312" w:hAnsi="仿宋_GB2312" w:eastAsia="仿宋_GB2312" w:cs="仿宋_GB2312"/>
          <w:color w:val="auto"/>
          <w:kern w:val="0"/>
          <w:sz w:val="30"/>
          <w:szCs w:val="30"/>
          <w:highlight w:val="none"/>
        </w:rPr>
        <w:t>。</w:t>
      </w:r>
    </w:p>
    <w:p w14:paraId="6FCB05C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7.2 工程设计文件的交付方式</w:t>
      </w:r>
    </w:p>
    <w:p w14:paraId="4C1E773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设计人交付工程设计文件给发包人，发包人应当出具书面签收单，内容包括图纸名称、图纸内容、图纸形式、份数、提交和签收日期、提交人与接收人的亲笔签名。</w:t>
      </w:r>
    </w:p>
    <w:p w14:paraId="1981ABA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7.3 工程设计文件交付的时间和份数</w:t>
      </w:r>
    </w:p>
    <w:p w14:paraId="036A547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工程设计文件交付的名称、时间和份数在专用合同条款附件3中约定。</w:t>
      </w:r>
    </w:p>
    <w:p w14:paraId="4AFA682F">
      <w:pPr>
        <w:keepNext/>
        <w:keepLines/>
        <w:spacing w:line="360" w:lineRule="auto"/>
        <w:outlineLvl w:val="1"/>
        <w:rPr>
          <w:rFonts w:ascii="Arial" w:hAnsi="Arial" w:eastAsia="黑体"/>
          <w:b/>
          <w:bCs/>
          <w:color w:val="auto"/>
          <w:sz w:val="32"/>
          <w:szCs w:val="32"/>
          <w:highlight w:val="none"/>
        </w:rPr>
      </w:pPr>
      <w:bookmarkStart w:id="1226" w:name="_Toc6568"/>
      <w:bookmarkStart w:id="1227" w:name="_Toc19180"/>
      <w:bookmarkStart w:id="1228" w:name="_Toc31500"/>
      <w:bookmarkStart w:id="1229" w:name="_Toc1241"/>
      <w:r>
        <w:rPr>
          <w:rFonts w:hint="eastAsia" w:ascii="Arial" w:hAnsi="Arial" w:eastAsia="黑体"/>
          <w:b/>
          <w:bCs/>
          <w:color w:val="auto"/>
          <w:sz w:val="32"/>
          <w:szCs w:val="32"/>
          <w:highlight w:val="none"/>
        </w:rPr>
        <w:t>8. 工程设计文件审查</w:t>
      </w:r>
      <w:bookmarkEnd w:id="1226"/>
      <w:bookmarkEnd w:id="1227"/>
      <w:bookmarkEnd w:id="1228"/>
      <w:bookmarkEnd w:id="1229"/>
    </w:p>
    <w:p w14:paraId="14E5885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设计人的工程设计文件应报发包人审查同意。审查的范围和内容在发包人要求中约定。审查的具体标准应符合法律规定、技术标准要求和本合同约定。</w:t>
      </w:r>
    </w:p>
    <w:p w14:paraId="5A6BB7E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除专用合同条款对期限另有约定外，自发包人收到设计人的工程设计文件以及设计人的通知之日起，发包人对设计人的工程设计文件审查期不超过15天。</w:t>
      </w:r>
    </w:p>
    <w:p w14:paraId="0EF2A2D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5265F9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合同约定的审查期满，发包人没有做出审查结论也没有提出异议的，视为设计人的工程设计文件已获发包人同意。</w:t>
      </w:r>
    </w:p>
    <w:p w14:paraId="65F433B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2DBBE6D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w:t>
      </w:r>
      <w:r>
        <w:rPr>
          <w:rFonts w:hint="eastAsia" w:ascii="仿宋_GB2312" w:hAnsi="仿宋_GB2312" w:eastAsia="仿宋_GB2312" w:cs="仿宋_GB2312"/>
          <w:vanish/>
          <w:color w:val="auto"/>
          <w:sz w:val="30"/>
          <w:szCs w:val="30"/>
          <w:highlight w:val="none"/>
        </w:rPr>
        <w:t>（</w:t>
      </w:r>
      <w:r>
        <w:rPr>
          <w:rFonts w:hint="eastAsia" w:ascii="仿宋_GB2312" w:hAnsi="仿宋_GB2312" w:eastAsia="仿宋_GB2312" w:cs="仿宋_GB2312"/>
          <w:color w:val="auto"/>
          <w:sz w:val="30"/>
          <w:szCs w:val="30"/>
          <w:highlight w:val="none"/>
        </w:rPr>
        <w:t>设计文件需政府有关部门审查或批准的，发包人应在审查同意设计人的工程设计文件后在专用合同条款约定的期限内，向政府有关部门报送工程设计文件，设计人应予以协助。</w:t>
      </w:r>
    </w:p>
    <w:p w14:paraId="384E460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9B6E91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7E24EE50">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设计人按第7条〔工程设计文件交付〕的约定向发包人提交工程设计文件，有义务参加发包人组织的设计审查会议，向审查者介绍、解答、解释其工程设计文件，并提供有关补充资料。</w:t>
      </w:r>
    </w:p>
    <w:p w14:paraId="76509548">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0A81E38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仿宋_GB2312" w:hAnsi="仿宋_GB2312" w:eastAsia="仿宋_GB2312" w:cs="仿宋_GB2312"/>
          <w:color w:val="auto"/>
          <w:kern w:val="0"/>
          <w:sz w:val="30"/>
          <w:szCs w:val="30"/>
          <w:highlight w:val="none"/>
        </w:rPr>
        <w:t>按第14.2款〔设计人违约责任〕的约定承担责任</w:t>
      </w:r>
      <w:r>
        <w:rPr>
          <w:rFonts w:hint="eastAsia" w:ascii="仿宋_GB2312" w:hAnsi="仿宋_GB2312" w:eastAsia="仿宋_GB2312" w:cs="仿宋_GB2312"/>
          <w:color w:val="auto"/>
          <w:sz w:val="30"/>
          <w:szCs w:val="30"/>
          <w:highlight w:val="none"/>
        </w:rPr>
        <w:t>。</w:t>
      </w:r>
    </w:p>
    <w:p w14:paraId="24FC21F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因发包人原因，致使工程设计文件审查无法进行或无法按期进行，造成设计周期延长、窝工损失及设计人增加的费用，由发包人承担。</w:t>
      </w:r>
    </w:p>
    <w:p w14:paraId="13984D6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8.6 </w:t>
      </w:r>
      <w:r>
        <w:rPr>
          <w:rFonts w:hint="eastAsia" w:ascii="仿宋_GB2312" w:hAnsi="仿宋_GB2312" w:eastAsia="仿宋_GB2312" w:cs="仿宋_GB2312"/>
          <w:color w:val="auto"/>
          <w:kern w:val="0"/>
          <w:sz w:val="30"/>
          <w:szCs w:val="30"/>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5079BB0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因发包人原因造成工程设计文件不合格致使工程设计文件审查无法通过的，由此增加的设计费用和（或）延长的设计周期由发包人承担。</w:t>
      </w:r>
    </w:p>
    <w:p w14:paraId="7A65895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8.7 工程设计文件的审查，不减轻或免除设计人依据法律应当承担的责任。</w:t>
      </w:r>
    </w:p>
    <w:p w14:paraId="6693F3E4">
      <w:pPr>
        <w:keepNext/>
        <w:keepLines/>
        <w:spacing w:line="360" w:lineRule="auto"/>
        <w:outlineLvl w:val="1"/>
        <w:rPr>
          <w:rFonts w:ascii="Arial" w:hAnsi="Arial" w:eastAsia="黑体"/>
          <w:b/>
          <w:bCs/>
          <w:color w:val="auto"/>
          <w:sz w:val="32"/>
          <w:szCs w:val="32"/>
          <w:highlight w:val="none"/>
        </w:rPr>
      </w:pPr>
      <w:bookmarkStart w:id="1230" w:name="_Toc19231"/>
      <w:bookmarkStart w:id="1231" w:name="_Toc31068"/>
      <w:bookmarkStart w:id="1232" w:name="_Toc3255"/>
      <w:bookmarkStart w:id="1233" w:name="_Toc1157"/>
      <w:r>
        <w:rPr>
          <w:rFonts w:hint="eastAsia" w:ascii="Arial" w:hAnsi="Arial" w:eastAsia="黑体"/>
          <w:b/>
          <w:bCs/>
          <w:color w:val="auto"/>
          <w:sz w:val="32"/>
          <w:szCs w:val="32"/>
          <w:highlight w:val="none"/>
        </w:rPr>
        <w:t>9. 施工现场配合服务</w:t>
      </w:r>
      <w:bookmarkEnd w:id="1230"/>
      <w:bookmarkEnd w:id="1231"/>
      <w:bookmarkEnd w:id="1232"/>
      <w:bookmarkEnd w:id="1233"/>
    </w:p>
    <w:p w14:paraId="45F2FCC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9.1 除专用合同条款另有约定外，发包人应为设计人派赴现场的工作人员提供工作、生活及交通等方面的便利条件。</w:t>
      </w:r>
    </w:p>
    <w:p w14:paraId="5C0D7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3EEAA72E">
      <w:pPr>
        <w:keepNext/>
        <w:keepLines/>
        <w:spacing w:line="360" w:lineRule="auto"/>
        <w:outlineLvl w:val="1"/>
        <w:rPr>
          <w:rFonts w:ascii="Arial" w:hAnsi="Arial" w:eastAsia="黑体"/>
          <w:b/>
          <w:bCs/>
          <w:color w:val="auto"/>
          <w:sz w:val="32"/>
          <w:szCs w:val="32"/>
          <w:highlight w:val="none"/>
        </w:rPr>
      </w:pPr>
      <w:bookmarkStart w:id="1234" w:name="_Toc7463"/>
      <w:bookmarkStart w:id="1235" w:name="_Toc9483"/>
      <w:bookmarkStart w:id="1236" w:name="_Toc18275"/>
      <w:bookmarkStart w:id="1237" w:name="_Toc11509"/>
      <w:r>
        <w:rPr>
          <w:rFonts w:hint="eastAsia" w:ascii="Arial" w:hAnsi="Arial" w:eastAsia="黑体"/>
          <w:b/>
          <w:bCs/>
          <w:color w:val="auto"/>
          <w:sz w:val="32"/>
          <w:szCs w:val="32"/>
          <w:highlight w:val="none"/>
        </w:rPr>
        <w:t>10. 合同价款与支付</w:t>
      </w:r>
      <w:bookmarkEnd w:id="1234"/>
      <w:bookmarkEnd w:id="1235"/>
      <w:bookmarkEnd w:id="1236"/>
      <w:bookmarkEnd w:id="1237"/>
    </w:p>
    <w:p w14:paraId="23880C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10.1 合同价款组成</w:t>
      </w:r>
    </w:p>
    <w:p w14:paraId="0283F09B">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发包人和设计人应当在专用合同条款附件6中明确约定合同价款各组成部分的具体数额，主要包括：</w:t>
      </w:r>
    </w:p>
    <w:p w14:paraId="13E5E64A">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（1）工程设计基本服务费用；</w:t>
      </w:r>
    </w:p>
    <w:p w14:paraId="01FF46DF">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（2）工程设计其他服务费用；</w:t>
      </w:r>
    </w:p>
    <w:p w14:paraId="57F941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bCs/>
          <w:color w:val="auto"/>
          <w:kern w:val="0"/>
          <w:sz w:val="30"/>
          <w:szCs w:val="30"/>
          <w:highlight w:val="none"/>
        </w:rPr>
        <w:t>（3）</w:t>
      </w:r>
      <w:r>
        <w:rPr>
          <w:rFonts w:hint="eastAsia" w:ascii="仿宋_GB2312" w:hAnsi="仿宋_GB2312" w:eastAsia="仿宋_GB2312" w:cs="仿宋_GB2312"/>
          <w:color w:val="auto"/>
          <w:kern w:val="0"/>
          <w:sz w:val="30"/>
          <w:szCs w:val="30"/>
          <w:highlight w:val="none"/>
        </w:rPr>
        <w:t>在未签订合同前发包人已经同意或接受或已使用的设计人为发包人所做的各项工作的相应费用等。</w:t>
      </w:r>
    </w:p>
    <w:p w14:paraId="1559BF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10.2 合同价格形式</w:t>
      </w:r>
    </w:p>
    <w:p w14:paraId="36B354E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发包人和设计人应在合同协议书中选择下列一种合同价格形式： </w:t>
      </w:r>
    </w:p>
    <w:p w14:paraId="36D459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（1）单价合同</w:t>
      </w:r>
    </w:p>
    <w:p w14:paraId="02B1508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仿宋_GB2312" w:hAnsi="仿宋_GB2312" w:eastAsia="仿宋_GB2312" w:cs="仿宋_GB2312"/>
          <w:color w:val="auto"/>
          <w:sz w:val="30"/>
          <w:szCs w:val="30"/>
          <w:highlight w:val="none"/>
        </w:rPr>
        <w:t>在约定的范围内合同单价不作调整</w:t>
      </w:r>
      <w:r>
        <w:rPr>
          <w:rFonts w:hint="eastAsia" w:ascii="仿宋_GB2312" w:hAnsi="仿宋_GB2312" w:eastAsia="仿宋_GB2312" w:cs="仿宋_GB2312"/>
          <w:color w:val="auto"/>
          <w:kern w:val="0"/>
          <w:sz w:val="30"/>
          <w:szCs w:val="30"/>
          <w:highlight w:val="none"/>
        </w:rPr>
        <w:t>。合同当事人应在专用合同条款中约定单价包含的风险范围和风险费用的计算方法</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kern w:val="0"/>
          <w:sz w:val="30"/>
          <w:szCs w:val="30"/>
          <w:highlight w:val="none"/>
        </w:rPr>
        <w:t>并约定风险范围以外的合同价格的调整方法。</w:t>
      </w:r>
    </w:p>
    <w:p w14:paraId="1A1074F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（2）总价合同</w:t>
      </w:r>
    </w:p>
    <w:p w14:paraId="42F41B1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总价合同是指合同当事人约定以发包人提供的上一阶段工程设计文件及有关条件进行合同价格计算、调整和确认的建设工程设计合同，</w:t>
      </w:r>
      <w:r>
        <w:rPr>
          <w:rFonts w:hint="eastAsia" w:ascii="仿宋_GB2312" w:hAnsi="仿宋_GB2312" w:eastAsia="仿宋_GB2312" w:cs="仿宋_GB2312"/>
          <w:color w:val="auto"/>
          <w:sz w:val="30"/>
          <w:szCs w:val="30"/>
          <w:highlight w:val="none"/>
        </w:rPr>
        <w:t>在约定的范围内合同总价不作调整</w:t>
      </w:r>
      <w:r>
        <w:rPr>
          <w:rFonts w:hint="eastAsia" w:ascii="仿宋_GB2312" w:hAnsi="仿宋_GB2312" w:eastAsia="仿宋_GB2312" w:cs="仿宋_GB2312"/>
          <w:color w:val="auto"/>
          <w:kern w:val="0"/>
          <w:sz w:val="30"/>
          <w:szCs w:val="30"/>
          <w:highlight w:val="none"/>
        </w:rPr>
        <w:t>。合同当事人应在专用合同条款中约定总价包含的风险范围和风险费用的计算方法，并约定风险范围以外的合同价格的调整方法。</w:t>
      </w:r>
    </w:p>
    <w:p w14:paraId="590B905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（3）其它价格形式</w:t>
      </w:r>
    </w:p>
    <w:p w14:paraId="7089520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合同当事人可在专用合同条款中约定其他合同价格形式。</w:t>
      </w:r>
    </w:p>
    <w:p w14:paraId="79A46E3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10.3 定金或预付款</w:t>
      </w:r>
    </w:p>
    <w:p w14:paraId="4A498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10.3.1 </w:t>
      </w:r>
      <w:r>
        <w:rPr>
          <w:rFonts w:hint="eastAsia" w:ascii="仿宋_GB2312" w:hAnsi="仿宋_GB2312" w:eastAsia="仿宋_GB2312" w:cs="仿宋_GB2312"/>
          <w:color w:val="auto"/>
          <w:kern w:val="0"/>
          <w:sz w:val="30"/>
          <w:szCs w:val="30"/>
          <w:highlight w:val="none"/>
        </w:rPr>
        <w:t>定金或预付款的比例</w:t>
      </w:r>
    </w:p>
    <w:p w14:paraId="5EE8F8E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定金的比例不应超过合同总价款的20%。预付款的比例由发包人与设计人协商确定，一般不低于合同总价款的20%。</w:t>
      </w:r>
    </w:p>
    <w:p w14:paraId="22D537F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10.3.2 定金或预付款的支付</w:t>
      </w:r>
    </w:p>
    <w:p w14:paraId="779B708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定金或预付款的支付按照专用合同条款约定执行，但最迟应在开始设计通知载明的开始设计日期前专用合同条款约定的期限内支付。</w:t>
      </w:r>
    </w:p>
    <w:p w14:paraId="65F9C09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4F279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10.4 进度款支付</w:t>
      </w:r>
    </w:p>
    <w:p w14:paraId="5652F64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10.4.1 发包人应当按照专用合同条款附件6约定的付款条件及时向设计人支付进度款。</w:t>
      </w:r>
    </w:p>
    <w:p w14:paraId="2F57A9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10.4.2 进度付款的修正</w:t>
      </w:r>
    </w:p>
    <w:p w14:paraId="21DE79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在对已付进度款进行汇总和复核中发现错误、遗漏或重复的，发包人和设计人均有权提出修正申请。经发包人和设计人同意的修正，应在下期进度付款中支付或扣除。</w:t>
      </w:r>
    </w:p>
    <w:p w14:paraId="4D81758B">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 合同价款的结算与支付</w:t>
      </w:r>
    </w:p>
    <w:p w14:paraId="3FB1C407">
      <w:pPr>
        <w:spacing w:line="360" w:lineRule="auto"/>
        <w:ind w:firstLine="600" w:firstLineChars="200"/>
        <w:rPr>
          <w:rFonts w:ascii="仿宋_GB2312" w:hAnsi="仿宋_GB2312" w:eastAsia="仿宋_GB2312" w:cs="仿宋_GB2312"/>
          <w:bCs/>
          <w:color w:val="auto"/>
          <w:kern w:val="0"/>
          <w:sz w:val="30"/>
          <w:szCs w:val="30"/>
          <w:highlight w:val="none"/>
        </w:rPr>
      </w:pPr>
      <w:r>
        <w:rPr>
          <w:rFonts w:hint="eastAsia" w:ascii="仿宋_GB2312" w:hAnsi="仿宋_GB2312" w:eastAsia="仿宋_GB2312" w:cs="仿宋_GB2312"/>
          <w:bCs/>
          <w:color w:val="auto"/>
          <w:kern w:val="0"/>
          <w:sz w:val="30"/>
          <w:szCs w:val="30"/>
          <w:highlight w:val="none"/>
        </w:rPr>
        <w:t>10.5.1 对于采取固定总价形式的合同，发包人应当按照专用合同条款附件6的约定及时支付尾款。</w:t>
      </w:r>
    </w:p>
    <w:p w14:paraId="32578C3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10.5.2 对于采取固定单价形式的合同，发包人与设计人应当按照专用合同条款附件6约定的结算方式及时结清工程设计费，并将结清未支付的款项一次性支付给设计人。</w:t>
      </w:r>
    </w:p>
    <w:p w14:paraId="0E5BBD8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10.5.3 对于采取其他价格形式的，也应按专用合同条款的约定及时结算和支付。</w:t>
      </w:r>
    </w:p>
    <w:p w14:paraId="2D995ED6">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10.6支付账户</w:t>
      </w:r>
    </w:p>
    <w:p w14:paraId="6A2FDDC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发包人应将合同价款支付至合同协议书中约定的设计人账户。</w:t>
      </w:r>
    </w:p>
    <w:p w14:paraId="7B088984">
      <w:pPr>
        <w:keepNext/>
        <w:keepLines/>
        <w:spacing w:line="360" w:lineRule="auto"/>
        <w:outlineLvl w:val="1"/>
        <w:rPr>
          <w:rFonts w:ascii="Arial" w:hAnsi="Arial" w:eastAsia="黑体"/>
          <w:b/>
          <w:bCs/>
          <w:color w:val="auto"/>
          <w:sz w:val="32"/>
          <w:szCs w:val="32"/>
          <w:highlight w:val="none"/>
        </w:rPr>
      </w:pPr>
      <w:bookmarkStart w:id="1238" w:name="_Toc22407"/>
      <w:bookmarkStart w:id="1239" w:name="_Toc32077"/>
      <w:bookmarkStart w:id="1240" w:name="_Toc25343"/>
      <w:r>
        <w:rPr>
          <w:rFonts w:hint="eastAsia" w:ascii="Arial" w:hAnsi="Arial" w:eastAsia="黑体"/>
          <w:b/>
          <w:bCs/>
          <w:color w:val="auto"/>
          <w:sz w:val="32"/>
          <w:szCs w:val="32"/>
          <w:highlight w:val="none"/>
        </w:rPr>
        <w:t>11. 工程设计变更与索赔</w:t>
      </w:r>
      <w:bookmarkEnd w:id="1238"/>
      <w:bookmarkEnd w:id="1239"/>
      <w:bookmarkEnd w:id="1240"/>
    </w:p>
    <w:p w14:paraId="28B489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 发包人变更工程设计的内容、规模、功能、条件等，应当向设计人提供书面要求，设计人在不违反法律规定以及技术标准强制性规定的前提下应当按照发包人要求变更工程设计。</w:t>
      </w:r>
    </w:p>
    <w:p w14:paraId="4F951A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2D5AE62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11.3 </w:t>
      </w:r>
      <w:r>
        <w:rPr>
          <w:rFonts w:hint="eastAsia" w:ascii="仿宋_GB2312" w:hAnsi="仿宋_GB2312" w:eastAsia="仿宋_GB2312" w:cs="仿宋_GB2312"/>
          <w:color w:val="auto"/>
          <w:sz w:val="30"/>
          <w:szCs w:val="30"/>
          <w:highlight w:val="none"/>
        </w:rPr>
        <w:t>如果由于发包人要求更改而造成的项目复杂性的变更或性质的变更使得设计人的设计工作减少，发包人</w:t>
      </w:r>
      <w:r>
        <w:rPr>
          <w:rFonts w:hint="eastAsia" w:ascii="仿宋_GB2312" w:hAnsi="仿宋_GB2312" w:eastAsia="仿宋_GB2312" w:cs="仿宋_GB2312"/>
          <w:color w:val="auto"/>
          <w:kern w:val="0"/>
          <w:sz w:val="30"/>
          <w:szCs w:val="30"/>
          <w:highlight w:val="none"/>
        </w:rPr>
        <w:t>可按本条约定和专用合同条款附件7的约定，与设计人协商对合同价格和/或完工时间做可共同接受的修改。</w:t>
      </w:r>
    </w:p>
    <w:p w14:paraId="0F6C4FC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基准日期后，与工程设计服务有关的法律、技术标准的强制性规定的颁布及修改，由此增加的设计费用和（或）延长的设计周期由发包人承担。</w:t>
      </w:r>
    </w:p>
    <w:p w14:paraId="5B6052A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C71A7AF">
      <w:pPr>
        <w:keepNext/>
        <w:keepLines/>
        <w:spacing w:line="360" w:lineRule="auto"/>
        <w:outlineLvl w:val="1"/>
        <w:rPr>
          <w:rFonts w:ascii="Arial" w:hAnsi="Arial" w:eastAsia="黑体"/>
          <w:b/>
          <w:bCs/>
          <w:color w:val="auto"/>
          <w:sz w:val="32"/>
          <w:szCs w:val="32"/>
          <w:highlight w:val="none"/>
        </w:rPr>
      </w:pPr>
      <w:bookmarkStart w:id="1241" w:name="_Toc24909"/>
      <w:bookmarkStart w:id="1242" w:name="_Toc19167"/>
      <w:bookmarkStart w:id="1243" w:name="_Toc7724"/>
      <w:bookmarkStart w:id="1244" w:name="_Toc7591"/>
      <w:r>
        <w:rPr>
          <w:rFonts w:hint="eastAsia" w:ascii="Arial" w:hAnsi="Arial" w:eastAsia="黑体"/>
          <w:b/>
          <w:bCs/>
          <w:color w:val="auto"/>
          <w:sz w:val="32"/>
          <w:szCs w:val="32"/>
          <w:highlight w:val="none"/>
        </w:rPr>
        <w:t>12. 专业责任与保险</w:t>
      </w:r>
      <w:bookmarkEnd w:id="1241"/>
      <w:bookmarkEnd w:id="1242"/>
      <w:bookmarkEnd w:id="1243"/>
      <w:bookmarkEnd w:id="1244"/>
    </w:p>
    <w:p w14:paraId="2DB9B1A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12.1 设计人应运用一切合理的专业技术和经验知识，按照公认的职业标准尽其全部职责和谨慎、勤勉地履行其在本合同项下的责任和义务。</w:t>
      </w:r>
    </w:p>
    <w:p w14:paraId="2EB669D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 除专用合同条款另有约定外，设计人应具有发包人认可的、履行本合同所需要的工程设计责任保险并使其于合同责任期内保持有效。</w:t>
      </w:r>
    </w:p>
    <w:p w14:paraId="368714F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 工程设计责任保险应承担由于设计人的疏忽或过失而引发的工程质量事故所造成的建设工程本身的物质损失以及第三者人身伤亡、财产损失或费用的赔偿责任。</w:t>
      </w:r>
    </w:p>
    <w:p w14:paraId="130BA6A8">
      <w:pPr>
        <w:keepNext/>
        <w:keepLines/>
        <w:spacing w:line="360" w:lineRule="auto"/>
        <w:outlineLvl w:val="1"/>
        <w:rPr>
          <w:rFonts w:ascii="Arial" w:hAnsi="Arial" w:eastAsia="黑体"/>
          <w:b/>
          <w:bCs/>
          <w:color w:val="auto"/>
          <w:sz w:val="32"/>
          <w:szCs w:val="32"/>
          <w:highlight w:val="none"/>
        </w:rPr>
      </w:pPr>
      <w:bookmarkStart w:id="1245" w:name="_Toc21174"/>
      <w:bookmarkStart w:id="1246" w:name="_Toc11565"/>
      <w:bookmarkStart w:id="1247" w:name="_Toc1512"/>
      <w:bookmarkStart w:id="1248" w:name="_Toc30720"/>
      <w:r>
        <w:rPr>
          <w:rFonts w:hint="eastAsia" w:ascii="Arial" w:hAnsi="Arial" w:eastAsia="黑体"/>
          <w:b/>
          <w:bCs/>
          <w:color w:val="auto"/>
          <w:sz w:val="32"/>
          <w:szCs w:val="32"/>
          <w:highlight w:val="none"/>
        </w:rPr>
        <w:t>13. 知识产权</w:t>
      </w:r>
      <w:bookmarkEnd w:id="1245"/>
      <w:bookmarkEnd w:id="1246"/>
      <w:bookmarkEnd w:id="1247"/>
      <w:bookmarkEnd w:id="1248"/>
    </w:p>
    <w:p w14:paraId="2D331FE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A1E1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4D05BF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B3EEE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13.4 合同当事人双方均有权在不损害对方利益和保密约定的前提下，在自己宣传用的印刷品或其他出版物上，或申报奖项时等情形下公布有关项目的文字和图片材料。</w:t>
      </w:r>
    </w:p>
    <w:p w14:paraId="0D7EACCD">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13.5 除专用合同条款另有约定外，设计人在合同签订前和签订时已确定采用的专利、专有技术的使用费应包含在签约合同价中。</w:t>
      </w:r>
    </w:p>
    <w:p w14:paraId="4F3244F9">
      <w:pPr>
        <w:keepNext/>
        <w:keepLines/>
        <w:spacing w:line="360" w:lineRule="auto"/>
        <w:outlineLvl w:val="1"/>
        <w:rPr>
          <w:rFonts w:ascii="Arial" w:hAnsi="Arial" w:eastAsia="黑体"/>
          <w:b/>
          <w:bCs/>
          <w:color w:val="auto"/>
          <w:sz w:val="32"/>
          <w:szCs w:val="32"/>
          <w:highlight w:val="none"/>
        </w:rPr>
      </w:pPr>
      <w:bookmarkStart w:id="1249" w:name="_Toc15622"/>
      <w:bookmarkStart w:id="1250" w:name="_Toc21115"/>
      <w:bookmarkStart w:id="1251" w:name="_Toc7767"/>
      <w:bookmarkStart w:id="1252" w:name="_Toc21634"/>
      <w:r>
        <w:rPr>
          <w:rFonts w:hint="eastAsia" w:ascii="Arial" w:hAnsi="Arial" w:eastAsia="黑体"/>
          <w:b/>
          <w:bCs/>
          <w:color w:val="auto"/>
          <w:sz w:val="32"/>
          <w:szCs w:val="32"/>
          <w:highlight w:val="none"/>
        </w:rPr>
        <w:t>14. 违约责任</w:t>
      </w:r>
      <w:bookmarkEnd w:id="1249"/>
      <w:bookmarkEnd w:id="1250"/>
      <w:bookmarkEnd w:id="1251"/>
      <w:bookmarkEnd w:id="1252"/>
    </w:p>
    <w:p w14:paraId="048020E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14.1 发包人违约责任</w:t>
      </w:r>
    </w:p>
    <w:p w14:paraId="793EA75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14.1.1 合同生效后，发包人因非设计人原因要求终止或解除合同，设计人未开始设计工作的，退还发包人已付的定金；已开始设计工作的，发包人应按照设计人已完成的实际工作量计算设计费。</w:t>
      </w:r>
    </w:p>
    <w:p w14:paraId="3D1320D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A支付相应费用的，设计人应及时根据发包人要求恢复设计工作；自中止设计工作之日起超过15天后发包人支付相应费用的，设计人有权确定重新恢复设计工作的时间，且设计周期相应延长。</w:t>
      </w:r>
    </w:p>
    <w:p w14:paraId="03C5723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14.1.3 发包人的上级或设计审批部门对设计文件不进行审批或本合同工程停建、缓建，发包人应在事件发生之日起15天内按本合同第16条</w:t>
      </w:r>
      <w:r>
        <w:rPr>
          <w:rFonts w:hint="eastAsia" w:ascii="仿宋_GB2312" w:hAnsi="仿宋_GB2312" w:eastAsia="仿宋_GB2312" w:cs="仿宋_GB2312"/>
          <w:color w:val="auto"/>
          <w:sz w:val="30"/>
          <w:szCs w:val="30"/>
          <w:highlight w:val="none"/>
        </w:rPr>
        <w:t>〔合同解除〕</w:t>
      </w:r>
      <w:r>
        <w:rPr>
          <w:rFonts w:hint="eastAsia" w:ascii="仿宋_GB2312" w:hAnsi="仿宋_GB2312" w:eastAsia="仿宋_GB2312" w:cs="仿宋_GB2312"/>
          <w:color w:val="auto"/>
          <w:kern w:val="0"/>
          <w:sz w:val="30"/>
          <w:szCs w:val="30"/>
          <w:highlight w:val="none"/>
        </w:rPr>
        <w:t>的约定向设计人结算并支付设计费。</w:t>
      </w:r>
    </w:p>
    <w:p w14:paraId="512CA5C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14.1.4 发包人擅自将设计人的设计文件用于本工程以外的工程或交第三方使用时，应承担相应法律责任，并应赔偿设计人因此遭受的损失。</w:t>
      </w:r>
    </w:p>
    <w:p w14:paraId="0D89FAA4">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14.2 设计人违约责任</w:t>
      </w:r>
    </w:p>
    <w:p w14:paraId="4925C51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14.2.1 合同生效后，设计人因自身原因要求终止或解除合同，设计人应按发包人已支付的定金金额双倍返还给发包人或设计人按照专用合同条款的约定向发包人支付违约金。</w:t>
      </w:r>
    </w:p>
    <w:p w14:paraId="5EA235A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33B71B0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481AD2D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14.2.4 设计人未经发包人同意擅自对工程设计进行分包的，发包人有权要求设计人解除未经发包人同意的设计分包合同，设计人应当按照专用合同条款的约定承担违约责任。</w:t>
      </w:r>
    </w:p>
    <w:p w14:paraId="21BFC4FF">
      <w:pPr>
        <w:keepNext/>
        <w:keepLines/>
        <w:spacing w:line="360" w:lineRule="auto"/>
        <w:outlineLvl w:val="1"/>
        <w:rPr>
          <w:rFonts w:ascii="Arial" w:hAnsi="Arial" w:eastAsia="黑体"/>
          <w:b/>
          <w:bCs/>
          <w:color w:val="auto"/>
          <w:sz w:val="32"/>
          <w:szCs w:val="32"/>
          <w:highlight w:val="none"/>
        </w:rPr>
      </w:pPr>
      <w:bookmarkStart w:id="1253" w:name="_Toc26819"/>
      <w:bookmarkStart w:id="1254" w:name="_Toc28004"/>
      <w:bookmarkStart w:id="1255" w:name="_Toc14914"/>
      <w:bookmarkStart w:id="1256" w:name="_Toc30563"/>
      <w:r>
        <w:rPr>
          <w:rFonts w:hint="eastAsia" w:ascii="Arial" w:hAnsi="Arial" w:eastAsia="黑体"/>
          <w:b/>
          <w:bCs/>
          <w:color w:val="auto"/>
          <w:sz w:val="32"/>
          <w:szCs w:val="32"/>
          <w:highlight w:val="none"/>
        </w:rPr>
        <w:t>15. 不可抗力</w:t>
      </w:r>
      <w:bookmarkEnd w:id="1253"/>
      <w:bookmarkEnd w:id="1254"/>
      <w:bookmarkEnd w:id="1255"/>
      <w:bookmarkEnd w:id="1256"/>
      <w:r>
        <w:rPr>
          <w:rFonts w:hint="eastAsia" w:ascii="Arial" w:hAnsi="Arial" w:eastAsia="黑体"/>
          <w:b/>
          <w:bCs/>
          <w:color w:val="auto"/>
          <w:sz w:val="32"/>
          <w:szCs w:val="32"/>
          <w:highlight w:val="none"/>
        </w:rPr>
        <w:t xml:space="preserve"> </w:t>
      </w:r>
    </w:p>
    <w:p w14:paraId="1CDC33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15.1 不可抗力的确认</w:t>
      </w:r>
    </w:p>
    <w:p w14:paraId="6C7C66B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9E65894">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917C53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15.2 不可抗力的通知</w:t>
      </w:r>
    </w:p>
    <w:p w14:paraId="5A10F81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合同一方当事人遇到不可抗力事件，使其履行合同义务受到阻碍时，应立即通知合同另一方当事人，书面说明不可抗力和受阻碍的详细情况，并在合理期限内提供必要的证明。</w:t>
      </w:r>
    </w:p>
    <w:p w14:paraId="0903F20E">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不可抗力持续发生的，合同一方当事人应及时向合同另一方当事人提交中间报告，说明不可抗力和履行合同受阻的情况，并于不可抗力事件结束后28天内提交最终报告及有关资料。</w:t>
      </w:r>
    </w:p>
    <w:p w14:paraId="5529EDD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15.3 不可抗力后果的承担</w:t>
      </w:r>
    </w:p>
    <w:p w14:paraId="25FE335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不可抗力引起的后果及造成的损失由合同当事人按照法律规定及合同约定各自承担。不可抗力发生前已完成的工程设计应当按照合同约定进行支付。</w:t>
      </w:r>
    </w:p>
    <w:p w14:paraId="005D564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不可抗力发生后，合同当事人均应采取措施尽量避免和减少损失的扩大，任何一方当事人没有采取有效措施导致损失扩大的，应对扩大的损失承担责任。</w:t>
      </w:r>
    </w:p>
    <w:p w14:paraId="523F8E0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因合同一方迟延履行合同义务，在迟延履行期间遭遇不可抗力的，不免除其违约责任。</w:t>
      </w:r>
    </w:p>
    <w:p w14:paraId="651C9E52">
      <w:pPr>
        <w:keepNext/>
        <w:keepLines/>
        <w:spacing w:line="360" w:lineRule="auto"/>
        <w:outlineLvl w:val="1"/>
        <w:rPr>
          <w:rFonts w:ascii="Arial" w:hAnsi="Arial" w:eastAsia="黑体"/>
          <w:b/>
          <w:bCs/>
          <w:color w:val="auto"/>
          <w:sz w:val="32"/>
          <w:szCs w:val="32"/>
          <w:highlight w:val="none"/>
        </w:rPr>
      </w:pPr>
      <w:bookmarkStart w:id="1257" w:name="_Toc22736"/>
      <w:bookmarkStart w:id="1258" w:name="_Toc26280"/>
      <w:bookmarkStart w:id="1259" w:name="_Toc28230"/>
      <w:bookmarkStart w:id="1260" w:name="_Toc24923"/>
      <w:r>
        <w:rPr>
          <w:rFonts w:hint="eastAsia" w:ascii="Arial" w:hAnsi="Arial" w:eastAsia="黑体"/>
          <w:b/>
          <w:bCs/>
          <w:color w:val="auto"/>
          <w:sz w:val="32"/>
          <w:szCs w:val="32"/>
          <w:highlight w:val="none"/>
        </w:rPr>
        <w:t>16. 合同解除</w:t>
      </w:r>
      <w:bookmarkEnd w:id="1257"/>
      <w:bookmarkEnd w:id="1258"/>
      <w:bookmarkEnd w:id="1259"/>
      <w:bookmarkEnd w:id="1260"/>
    </w:p>
    <w:p w14:paraId="2DC5E1A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16.1 发包人与设计人协商一致，可以解除合同。</w:t>
      </w:r>
    </w:p>
    <w:p w14:paraId="257DFD2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16.2 有下列情形之一的，合同当事人一方或双方可以解除合同：</w:t>
      </w:r>
    </w:p>
    <w:p w14:paraId="606920C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（1）设计人工程设计文件存在重大质量问题，经发包人催告后，在合理期限内修改后仍不能满足国家现行深度要求或不能达到合同约定的设计质量要求的，发包人可以解除合同；</w:t>
      </w:r>
    </w:p>
    <w:p w14:paraId="5C6E38B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（2）发包人未按合同约定支付设计费用，经设计人催告后，在30天内仍未支付的，设计人可以解除合同；</w:t>
      </w:r>
    </w:p>
    <w:p w14:paraId="3FB8058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（3）暂停设计期限已连续超过180天，专用合同条款另有约定的除外；</w:t>
      </w:r>
    </w:p>
    <w:p w14:paraId="7C3960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（4）因不可抗力致使合同无法履行；</w:t>
      </w:r>
    </w:p>
    <w:p w14:paraId="2C200DC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（5）因一方违约致使合同无法实际履行或实际履行已无必要；</w:t>
      </w:r>
    </w:p>
    <w:p w14:paraId="7B13FA6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（6）因本工程项目条件发生重大变化，使合同无法继续履行。</w:t>
      </w:r>
    </w:p>
    <w:p w14:paraId="689AD32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16.3 任何一方因故需解除合同时，应提前30天书面通知对方，对合同中的遗留问题应取得一致意见并形成书面协议。</w:t>
      </w:r>
    </w:p>
    <w:p w14:paraId="2AD3A95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7EA9B14E">
      <w:pPr>
        <w:keepNext/>
        <w:keepLines/>
        <w:spacing w:line="360" w:lineRule="auto"/>
        <w:outlineLvl w:val="1"/>
        <w:rPr>
          <w:rFonts w:ascii="Arial" w:hAnsi="Arial" w:eastAsia="黑体"/>
          <w:b/>
          <w:bCs/>
          <w:color w:val="auto"/>
          <w:sz w:val="32"/>
          <w:szCs w:val="32"/>
          <w:highlight w:val="none"/>
        </w:rPr>
      </w:pPr>
      <w:bookmarkStart w:id="1261" w:name="_Toc13788"/>
      <w:bookmarkStart w:id="1262" w:name="_Toc3994"/>
      <w:bookmarkStart w:id="1263" w:name="_Toc15504"/>
      <w:bookmarkStart w:id="1264" w:name="_Toc15695"/>
      <w:r>
        <w:rPr>
          <w:rFonts w:hint="eastAsia" w:ascii="Arial" w:hAnsi="Arial" w:eastAsia="黑体"/>
          <w:b/>
          <w:bCs/>
          <w:color w:val="auto"/>
          <w:sz w:val="32"/>
          <w:szCs w:val="32"/>
          <w:highlight w:val="none"/>
        </w:rPr>
        <w:t>17. 争议解决</w:t>
      </w:r>
      <w:bookmarkEnd w:id="1261"/>
      <w:bookmarkEnd w:id="1262"/>
      <w:bookmarkEnd w:id="1263"/>
      <w:bookmarkEnd w:id="1264"/>
    </w:p>
    <w:p w14:paraId="770B275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17.1 和解</w:t>
      </w:r>
    </w:p>
    <w:p w14:paraId="5EA0985F">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合同当事人可以就争议自行和解，自行和解达成协议的经双方签字并盖章后作为合同补充文件，双方均应遵照执行。</w:t>
      </w:r>
    </w:p>
    <w:p w14:paraId="4B044E7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17.2 调解</w:t>
      </w:r>
    </w:p>
    <w:p w14:paraId="4EFC38C6">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合同当事人可以就争议请求相关行政主管部门、行业协会或其他第三方进行调解，调解达成协议的，经双方签字并盖章后作为合同补充文件，双方均应遵照执行。</w:t>
      </w:r>
    </w:p>
    <w:p w14:paraId="0DDD031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17.3 争议评审</w:t>
      </w:r>
    </w:p>
    <w:p w14:paraId="0C4999E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合同当事人在专用合同条款中约定采取争议评审方式解决争议以及评审规则，并按下列约定执行： </w:t>
      </w:r>
    </w:p>
    <w:p w14:paraId="7DC245B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17.3.1 争议评审小组的确定</w:t>
      </w:r>
    </w:p>
    <w:p w14:paraId="6D23D92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合同当事人可以共同选择一名或三名争议评审员，组成争议评审小组。除专用合同条款另有约定外，合同当事人应当自合同签订后28天内，或者争议发生后14天内，选定争议评审员。</w:t>
      </w:r>
    </w:p>
    <w:p w14:paraId="1CFE1E0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24672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除专用合同条款另有约定外，评审所发生的费用由发包人和设计人各承担一半。</w:t>
      </w:r>
    </w:p>
    <w:p w14:paraId="57BFCA1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17.3.2 争议评审小组的决定</w:t>
      </w:r>
    </w:p>
    <w:p w14:paraId="0F763E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7E0552D9">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17.3.3 争议评审小组决定的效力</w:t>
      </w:r>
    </w:p>
    <w:p w14:paraId="266AC20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争议评审小组作出的书面决定经合同当事人签字确认后，对双方具有约束力，双方应遵照执行。</w:t>
      </w:r>
    </w:p>
    <w:p w14:paraId="4CB8154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任何一方当事人不接受争议评审小组决定或不履行争议评审小组决定的，双方可选择采用其他争议解决方式。</w:t>
      </w:r>
    </w:p>
    <w:p w14:paraId="388863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17.4 仲裁或诉讼</w:t>
      </w:r>
    </w:p>
    <w:p w14:paraId="4FCC64F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因合同及合同有关事项产生的争议，合同当事人可以在专用合同条款中约定以下一种方式解决争议：</w:t>
      </w:r>
    </w:p>
    <w:p w14:paraId="23B8EF8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（1）向约定的仲裁委员会申请仲裁；</w:t>
      </w:r>
    </w:p>
    <w:p w14:paraId="28EC333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（2）向有管辖权的人民法院起诉。</w:t>
      </w:r>
    </w:p>
    <w:p w14:paraId="165C2AA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17.5 争议解决条款效力</w:t>
      </w:r>
    </w:p>
    <w:p w14:paraId="3390749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合同有关争议解决的条款独立存在，合同的变更、解除、终止、无效或者被撤销均不影响其效力。</w:t>
      </w:r>
    </w:p>
    <w:p w14:paraId="3243D03C">
      <w:pPr>
        <w:rPr>
          <w:rFonts w:ascii="Times New Roman" w:hAnsi="Times New Roman" w:eastAsia="黑体"/>
          <w:color w:val="auto"/>
          <w:sz w:val="32"/>
          <w:szCs w:val="32"/>
          <w:highlight w:val="none"/>
        </w:rPr>
      </w:pPr>
      <w:r>
        <w:rPr>
          <w:rFonts w:ascii="Times New Roman" w:hAnsi="Times New Roman" w:eastAsia="黑体"/>
          <w:color w:val="auto"/>
          <w:sz w:val="32"/>
          <w:highlight w:val="none"/>
        </w:rPr>
        <w:br w:type="page"/>
      </w:r>
    </w:p>
    <w:bookmarkEnd w:id="1201"/>
    <w:p w14:paraId="6E5733EB">
      <w:pPr>
        <w:pStyle w:val="6"/>
        <w:rPr>
          <w:color w:val="auto"/>
          <w:highlight w:val="none"/>
        </w:rPr>
      </w:pPr>
      <w:bookmarkStart w:id="1265" w:name="_Toc14191"/>
      <w:bookmarkStart w:id="1266" w:name="_Toc20461"/>
      <w:bookmarkStart w:id="1267" w:name="_Toc22586"/>
      <w:bookmarkStart w:id="1268" w:name="_Toc26267"/>
      <w:bookmarkStart w:id="1269" w:name="_Toc18682"/>
      <w:r>
        <w:rPr>
          <w:rFonts w:hint="eastAsia"/>
          <w:color w:val="auto"/>
          <w:highlight w:val="none"/>
        </w:rPr>
        <w:t xml:space="preserve">第六部分 </w:t>
      </w:r>
      <w:bookmarkEnd w:id="1163"/>
      <w:bookmarkEnd w:id="1164"/>
      <w:bookmarkEnd w:id="1165"/>
      <w:bookmarkStart w:id="1270" w:name="_Toc542063760"/>
      <w:bookmarkStart w:id="1271" w:name="_Toc256000294"/>
      <w:bookmarkStart w:id="1272" w:name="_Toc23980"/>
      <w:r>
        <w:rPr>
          <w:rFonts w:hint="eastAsia"/>
          <w:color w:val="auto"/>
          <w:highlight w:val="none"/>
        </w:rPr>
        <w:t xml:space="preserve"> 专用合同条款</w:t>
      </w:r>
      <w:bookmarkEnd w:id="1265"/>
      <w:bookmarkEnd w:id="1266"/>
      <w:bookmarkEnd w:id="1267"/>
      <w:bookmarkEnd w:id="1268"/>
      <w:bookmarkEnd w:id="1269"/>
      <w:bookmarkEnd w:id="1270"/>
      <w:bookmarkEnd w:id="1271"/>
      <w:bookmarkEnd w:id="1272"/>
    </w:p>
    <w:p w14:paraId="42B813D6">
      <w:pPr>
        <w:pStyle w:val="7"/>
        <w:keepNext/>
        <w:keepLines/>
        <w:ind w:firstLine="0" w:firstLineChars="0"/>
        <w:jc w:val="both"/>
        <w:rPr>
          <w:rFonts w:eastAsia="黑体"/>
          <w:bCs/>
          <w:color w:val="auto"/>
          <w:sz w:val="32"/>
          <w:highlight w:val="none"/>
        </w:rPr>
      </w:pPr>
      <w:bookmarkStart w:id="1273" w:name="_Toc256000295"/>
      <w:bookmarkStart w:id="1274" w:name="_Toc2630"/>
      <w:bookmarkStart w:id="1275" w:name="_Toc28286"/>
      <w:bookmarkStart w:id="1276" w:name="_Toc5610"/>
      <w:bookmarkStart w:id="1277" w:name="_Toc1674"/>
      <w:bookmarkStart w:id="1278" w:name="_Toc21404"/>
      <w:bookmarkStart w:id="1279" w:name="_Toc493"/>
      <w:r>
        <w:rPr>
          <w:rFonts w:eastAsia="黑体"/>
          <w:bCs/>
          <w:color w:val="auto"/>
          <w:sz w:val="32"/>
          <w:highlight w:val="none"/>
        </w:rPr>
        <w:t>1.一般约定</w:t>
      </w:r>
      <w:bookmarkEnd w:id="1273"/>
      <w:bookmarkEnd w:id="1274"/>
      <w:bookmarkEnd w:id="1275"/>
      <w:bookmarkEnd w:id="1276"/>
      <w:bookmarkEnd w:id="1277"/>
      <w:bookmarkEnd w:id="1278"/>
      <w:bookmarkEnd w:id="1279"/>
    </w:p>
    <w:p w14:paraId="76052408">
      <w:pPr>
        <w:pStyle w:val="8"/>
        <w:spacing w:before="120" w:after="120"/>
        <w:ind w:firstLine="602"/>
        <w:rPr>
          <w:rFonts w:ascii="Times New Roman" w:hAnsi="Times New Roman" w:eastAsia="黑体"/>
          <w:color w:val="auto"/>
          <w:sz w:val="30"/>
          <w:highlight w:val="none"/>
        </w:rPr>
      </w:pPr>
      <w:bookmarkStart w:id="1280" w:name="_Toc256000296"/>
      <w:bookmarkStart w:id="1281" w:name="_Toc31515"/>
      <w:r>
        <w:rPr>
          <w:rFonts w:ascii="Times New Roman" w:hAnsi="Times New Roman" w:eastAsia="黑体"/>
          <w:color w:val="auto"/>
          <w:sz w:val="30"/>
          <w:highlight w:val="none"/>
        </w:rPr>
        <w:t>1.1 词语定义与解释</w:t>
      </w:r>
      <w:bookmarkEnd w:id="1280"/>
      <w:bookmarkEnd w:id="1281"/>
    </w:p>
    <w:p w14:paraId="6505288B">
      <w:pPr>
        <w:pStyle w:val="84"/>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1.1.1合同</w:t>
      </w:r>
    </w:p>
    <w:p w14:paraId="28904D30">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"1.1.1.8" </w:instrText>
      </w:r>
      <w:r>
        <w:rPr>
          <w:color w:val="auto"/>
          <w:highlight w:val="none"/>
        </w:rPr>
        <w:fldChar w:fldCharType="separate"/>
      </w:r>
      <w:r>
        <w:rPr>
          <w:rFonts w:hint="eastAsia" w:ascii="仿宋_GB2312" w:hAnsi="仿宋_GB2312" w:eastAsia="仿宋_GB2312" w:cs="仿宋_GB2312"/>
          <w:color w:val="auto"/>
          <w:sz w:val="30"/>
          <w:szCs w:val="30"/>
          <w:highlight w:val="none"/>
        </w:rPr>
        <w:t>1.1.1.8</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 xml:space="preserve"> 其他合同文件包括：</w:t>
      </w:r>
      <w:r>
        <w:rPr>
          <w:rFonts w:hint="eastAsia" w:ascii="仿宋_GB2312" w:hAnsi="仿宋_GB2312" w:eastAsia="仿宋_GB2312" w:cs="仿宋_GB2312"/>
          <w:b/>
          <w:bCs/>
          <w:color w:val="auto"/>
          <w:sz w:val="30"/>
          <w:szCs w:val="30"/>
          <w:highlight w:val="none"/>
          <w:u w:val="single"/>
        </w:rPr>
        <w:t>经合同双</w:t>
      </w:r>
      <w:r>
        <w:rPr>
          <w:rFonts w:hint="eastAsia" w:ascii="仿宋_GB2312" w:hAnsi="仿宋_GB2312" w:eastAsia="仿宋_GB2312" w:cs="仿宋_GB2312"/>
          <w:b/>
          <w:bCs/>
          <w:color w:val="auto"/>
          <w:spacing w:val="-1"/>
          <w:sz w:val="30"/>
          <w:szCs w:val="30"/>
          <w:highlight w:val="none"/>
          <w:u w:val="single"/>
        </w:rPr>
        <w:t>方当事人确认构成合同文件的其他文件：如双方认可的来往函件、会议纪要等，招标文件、招标文件澄清变更、设计人相关承诺、设计人投标文</w:t>
      </w:r>
      <w:r>
        <w:rPr>
          <w:rFonts w:hint="eastAsia" w:ascii="仿宋_GB2312" w:hAnsi="仿宋_GB2312" w:eastAsia="仿宋_GB2312" w:cs="仿宋_GB2312"/>
          <w:b/>
          <w:bCs/>
          <w:color w:val="auto"/>
          <w:spacing w:val="-2"/>
          <w:sz w:val="30"/>
          <w:szCs w:val="30"/>
          <w:highlight w:val="none"/>
          <w:u w:val="single"/>
        </w:rPr>
        <w:t>件、投标文件澄清等</w:t>
      </w:r>
      <w:r>
        <w:rPr>
          <w:rFonts w:hint="eastAsia" w:ascii="仿宋_GB2312" w:hAnsi="仿宋_GB2312" w:eastAsia="仿宋_GB2312" w:cs="仿宋_GB2312"/>
          <w:color w:val="auto"/>
          <w:spacing w:val="-2"/>
          <w:sz w:val="30"/>
          <w:szCs w:val="30"/>
          <w:highlight w:val="none"/>
        </w:rPr>
        <w:t>。</w:t>
      </w:r>
    </w:p>
    <w:p w14:paraId="4080F63B">
      <w:pPr>
        <w:pStyle w:val="8"/>
        <w:spacing w:before="120" w:after="120"/>
        <w:ind w:firstLine="602"/>
        <w:rPr>
          <w:rFonts w:ascii="Times New Roman" w:hAnsi="Times New Roman" w:eastAsia="黑体"/>
          <w:color w:val="auto"/>
          <w:sz w:val="30"/>
          <w:highlight w:val="none"/>
        </w:rPr>
      </w:pPr>
      <w:bookmarkStart w:id="1282" w:name="_Toc256000297"/>
      <w:r>
        <w:rPr>
          <w:rFonts w:ascii="Times New Roman" w:hAnsi="Times New Roman" w:eastAsia="黑体"/>
          <w:color w:val="auto"/>
          <w:sz w:val="30"/>
          <w:highlight w:val="none"/>
        </w:rPr>
        <w:t>1.3法律</w:t>
      </w:r>
      <w:bookmarkEnd w:id="1282"/>
    </w:p>
    <w:p w14:paraId="06C4EE97">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适用于合同的其他规范性文件：</w:t>
      </w:r>
      <w:r>
        <w:rPr>
          <w:rFonts w:hint="eastAsia" w:ascii="仿宋_GB2312" w:hAnsi="仿宋_GB2312" w:eastAsia="仿宋_GB2312" w:cs="仿宋_GB2312"/>
          <w:color w:val="auto"/>
          <w:spacing w:val="-8"/>
          <w:sz w:val="30"/>
          <w:szCs w:val="30"/>
          <w:highlight w:val="none"/>
          <w:u w:val="single"/>
        </w:rPr>
        <w:t>《中华人民共和国民法典</w:t>
      </w:r>
      <w:r>
        <w:rPr>
          <w:rFonts w:hint="eastAsia" w:ascii="仿宋_GB2312" w:hAnsi="仿宋_GB2312" w:eastAsia="仿宋_GB2312" w:cs="仿宋_GB2312"/>
          <w:color w:val="auto"/>
          <w:spacing w:val="-9"/>
          <w:sz w:val="30"/>
          <w:szCs w:val="30"/>
          <w:highlight w:val="none"/>
          <w:u w:val="single"/>
        </w:rPr>
        <w:t>》、《中华人民共和国建筑法》和《建设</w:t>
      </w:r>
      <w:r>
        <w:rPr>
          <w:rFonts w:hint="eastAsia" w:ascii="仿宋_GB2312" w:hAnsi="仿宋_GB2312" w:eastAsia="仿宋_GB2312" w:cs="仿宋_GB2312"/>
          <w:color w:val="auto"/>
          <w:spacing w:val="-4"/>
          <w:sz w:val="30"/>
          <w:szCs w:val="30"/>
          <w:highlight w:val="none"/>
          <w:u w:val="single"/>
        </w:rPr>
        <w:t>工程勘察设计市场管理规定》；国家及地方有关建设工程勘察设计管理法规和规章；建设工程批</w:t>
      </w:r>
      <w:r>
        <w:rPr>
          <w:rFonts w:hint="eastAsia" w:ascii="仿宋_GB2312" w:hAnsi="仿宋_GB2312" w:eastAsia="仿宋_GB2312" w:cs="仿宋_GB2312"/>
          <w:color w:val="auto"/>
          <w:spacing w:val="-5"/>
          <w:sz w:val="30"/>
          <w:szCs w:val="30"/>
          <w:highlight w:val="none"/>
          <w:u w:val="single"/>
        </w:rPr>
        <w:t>准文件；</w:t>
      </w:r>
      <w:r>
        <w:rPr>
          <w:rFonts w:hint="eastAsia" w:ascii="仿宋_GB2312" w:hAnsi="仿宋_GB2312" w:eastAsia="仿宋_GB2312" w:cs="仿宋_GB2312"/>
          <w:color w:val="auto"/>
          <w:spacing w:val="-6"/>
          <w:sz w:val="30"/>
          <w:szCs w:val="30"/>
          <w:highlight w:val="none"/>
          <w:u w:val="single"/>
        </w:rPr>
        <w:t>《广西壮</w:t>
      </w:r>
      <w:r>
        <w:rPr>
          <w:rFonts w:hint="eastAsia" w:ascii="仿宋_GB2312" w:hAnsi="仿宋_GB2312" w:eastAsia="仿宋_GB2312" w:cs="仿宋_GB2312"/>
          <w:color w:val="auto"/>
          <w:spacing w:val="-4"/>
          <w:sz w:val="30"/>
          <w:szCs w:val="30"/>
          <w:highlight w:val="none"/>
          <w:u w:val="single"/>
        </w:rPr>
        <w:t>族自治区工程建设其他费用定额》（桂建标〔2018〕37</w:t>
      </w:r>
      <w:r>
        <w:rPr>
          <w:rFonts w:hint="eastAsia" w:ascii="仿宋_GB2312" w:hAnsi="仿宋_GB2312" w:eastAsia="仿宋_GB2312" w:cs="仿宋_GB2312"/>
          <w:color w:val="auto"/>
          <w:spacing w:val="-5"/>
          <w:sz w:val="30"/>
          <w:szCs w:val="30"/>
          <w:highlight w:val="none"/>
          <w:u w:val="single"/>
        </w:rPr>
        <w:t>号)等。</w:t>
      </w:r>
      <w:r>
        <w:rPr>
          <w:rFonts w:hint="eastAsia" w:ascii="仿宋_GB2312" w:hAnsi="仿宋_GB2312" w:eastAsia="仿宋_GB2312" w:cs="仿宋_GB2312"/>
          <w:color w:val="auto"/>
          <w:sz w:val="30"/>
          <w:szCs w:val="30"/>
          <w:highlight w:val="none"/>
          <w:u w:val="single"/>
        </w:rPr>
        <w:t>如有最新的规范性文件按最新的执行</w:t>
      </w:r>
      <w:r>
        <w:rPr>
          <w:rFonts w:hint="eastAsia" w:ascii="仿宋_GB2312" w:hAnsi="仿宋_GB2312" w:eastAsia="仿宋_GB2312" w:cs="仿宋_GB2312"/>
          <w:color w:val="auto"/>
          <w:sz w:val="30"/>
          <w:szCs w:val="30"/>
          <w:highlight w:val="none"/>
        </w:rPr>
        <w:t>。</w:t>
      </w:r>
    </w:p>
    <w:p w14:paraId="28B6ED47">
      <w:pPr>
        <w:pStyle w:val="8"/>
        <w:spacing w:before="120" w:after="120"/>
        <w:ind w:firstLine="602"/>
        <w:rPr>
          <w:rFonts w:ascii="Times New Roman" w:hAnsi="Times New Roman" w:eastAsia="黑体"/>
          <w:color w:val="auto"/>
          <w:sz w:val="30"/>
          <w:highlight w:val="none"/>
        </w:rPr>
      </w:pPr>
      <w:bookmarkStart w:id="1283" w:name="_Toc4045"/>
      <w:bookmarkStart w:id="1284" w:name="_Toc256000298"/>
      <w:r>
        <w:rPr>
          <w:rFonts w:ascii="Times New Roman" w:hAnsi="Times New Roman" w:eastAsia="黑体"/>
          <w:color w:val="auto"/>
          <w:sz w:val="30"/>
          <w:highlight w:val="none"/>
        </w:rPr>
        <w:t>1.4 技术标准</w:t>
      </w:r>
      <w:bookmarkEnd w:id="1283"/>
      <w:bookmarkEnd w:id="1284"/>
    </w:p>
    <w:p w14:paraId="0EFE164D">
      <w:pPr>
        <w:pStyle w:val="84"/>
        <w:spacing w:after="0" w:line="360" w:lineRule="auto"/>
        <w:ind w:firstLine="584" w:firstLineChars="200"/>
        <w:rPr>
          <w:rFonts w:ascii="仿宋_GB2312" w:hAnsi="仿宋_GB2312" w:eastAsia="仿宋_GB2312" w:cs="仿宋_GB2312"/>
          <w:color w:val="auto"/>
          <w:spacing w:val="-4"/>
          <w:sz w:val="30"/>
          <w:szCs w:val="30"/>
          <w:highlight w:val="none"/>
        </w:rPr>
      </w:pPr>
      <w:bookmarkStart w:id="1285" w:name="_Toc256000299"/>
      <w:r>
        <w:rPr>
          <w:rFonts w:hint="eastAsia" w:ascii="仿宋_GB2312" w:hAnsi="仿宋_GB2312" w:eastAsia="仿宋_GB2312" w:cs="仿宋_GB2312"/>
          <w:color w:val="auto"/>
          <w:spacing w:val="-4"/>
          <w:sz w:val="30"/>
          <w:szCs w:val="30"/>
          <w:highlight w:val="none"/>
        </w:rPr>
        <w:t>1.4.1  适用于工程的技术标准包括：</w:t>
      </w:r>
      <w:r>
        <w:rPr>
          <w:rFonts w:hint="eastAsia" w:ascii="仿宋_GB2312" w:hAnsi="仿宋_GB2312" w:eastAsia="仿宋_GB2312" w:cs="仿宋_GB2312"/>
          <w:color w:val="auto"/>
          <w:spacing w:val="-4"/>
          <w:sz w:val="30"/>
          <w:szCs w:val="30"/>
          <w:highlight w:val="none"/>
          <w:u w:val="single"/>
        </w:rPr>
        <w:t>国家、地方及行业现行有关规范及设计标准。</w:t>
      </w:r>
      <w:bookmarkEnd w:id="1285"/>
    </w:p>
    <w:p w14:paraId="1147E6B7">
      <w:pPr>
        <w:pStyle w:val="84"/>
        <w:spacing w:after="0" w:line="360" w:lineRule="auto"/>
        <w:ind w:firstLine="584" w:firstLineChars="200"/>
        <w:rPr>
          <w:rFonts w:ascii="仿宋_GB2312" w:hAnsi="仿宋_GB2312" w:eastAsia="仿宋_GB2312" w:cs="仿宋_GB2312"/>
          <w:color w:val="auto"/>
          <w:spacing w:val="-2"/>
          <w:sz w:val="30"/>
          <w:szCs w:val="30"/>
          <w:highlight w:val="none"/>
        </w:rPr>
      </w:pPr>
      <w:bookmarkStart w:id="1286" w:name="_Toc23749"/>
      <w:bookmarkStart w:id="1287" w:name="_Toc256000300"/>
      <w:r>
        <w:rPr>
          <w:rFonts w:hint="eastAsia" w:ascii="仿宋_GB2312" w:hAnsi="仿宋_GB2312" w:eastAsia="仿宋_GB2312" w:cs="仿宋_GB2312"/>
          <w:color w:val="auto"/>
          <w:spacing w:val="-4"/>
          <w:sz w:val="30"/>
          <w:szCs w:val="30"/>
          <w:highlight w:val="none"/>
        </w:rPr>
        <w:t>1.4.2国外技术标准原文版本</w:t>
      </w:r>
      <w:r>
        <w:rPr>
          <w:rFonts w:hint="eastAsia" w:ascii="仿宋_GB2312" w:hAnsi="仿宋_GB2312" w:eastAsia="仿宋_GB2312" w:cs="仿宋_GB2312"/>
          <w:color w:val="auto"/>
          <w:spacing w:val="-1"/>
          <w:sz w:val="30"/>
          <w:szCs w:val="30"/>
          <w:highlight w:val="none"/>
        </w:rPr>
        <w:t>和</w:t>
      </w:r>
      <w:r>
        <w:rPr>
          <w:rFonts w:hint="eastAsia" w:ascii="仿宋_GB2312" w:hAnsi="仿宋_GB2312" w:eastAsia="仿宋_GB2312" w:cs="仿宋_GB2312"/>
          <w:color w:val="auto"/>
          <w:spacing w:val="-4"/>
          <w:sz w:val="30"/>
          <w:szCs w:val="30"/>
          <w:highlight w:val="none"/>
        </w:rPr>
        <w:t>中文</w:t>
      </w:r>
      <w:r>
        <w:rPr>
          <w:rFonts w:hint="eastAsia" w:ascii="仿宋_GB2312" w:hAnsi="仿宋_GB2312" w:eastAsia="仿宋_GB2312" w:cs="仿宋_GB2312"/>
          <w:color w:val="auto"/>
          <w:spacing w:val="-1"/>
          <w:sz w:val="30"/>
          <w:szCs w:val="30"/>
          <w:highlight w:val="none"/>
        </w:rPr>
        <w:t>译本的提供方：</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bookmarkEnd w:id="1286"/>
      <w:bookmarkEnd w:id="1287"/>
    </w:p>
    <w:p w14:paraId="79CCAD3D">
      <w:pPr>
        <w:spacing w:line="360" w:lineRule="auto"/>
        <w:ind w:firstLine="600" w:firstLineChars="200"/>
        <w:rPr>
          <w:rFonts w:ascii="仿宋_GB2312" w:hAnsi="仿宋_GB2312" w:eastAsia="仿宋_GB2312" w:cs="仿宋_GB2312"/>
          <w:color w:val="auto"/>
          <w:sz w:val="30"/>
          <w:szCs w:val="30"/>
          <w:highlight w:val="none"/>
        </w:rPr>
      </w:pPr>
      <w:bookmarkStart w:id="1288" w:name="_Toc256000301"/>
      <w:bookmarkStart w:id="1289" w:name="_Toc30665"/>
      <w:r>
        <w:rPr>
          <w:rFonts w:hint="eastAsia" w:ascii="仿宋_GB2312" w:hAnsi="仿宋_GB2312" w:eastAsia="仿宋_GB2312" w:cs="仿宋_GB2312"/>
          <w:color w:val="auto"/>
          <w:sz w:val="30"/>
          <w:szCs w:val="30"/>
          <w:highlight w:val="none"/>
        </w:rPr>
        <w:t>提供国外技术标准的名称：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288"/>
      <w:bookmarkEnd w:id="1289"/>
    </w:p>
    <w:p w14:paraId="341FBC8B">
      <w:pPr>
        <w:spacing w:line="360" w:lineRule="auto"/>
        <w:ind w:firstLine="600" w:firstLineChars="200"/>
        <w:rPr>
          <w:rFonts w:ascii="仿宋_GB2312" w:hAnsi="仿宋_GB2312" w:eastAsia="仿宋_GB2312" w:cs="仿宋_GB2312"/>
          <w:color w:val="auto"/>
          <w:sz w:val="30"/>
          <w:szCs w:val="30"/>
          <w:highlight w:val="none"/>
        </w:rPr>
      </w:pPr>
      <w:bookmarkStart w:id="1290" w:name="_Toc256000302"/>
      <w:bookmarkStart w:id="1291" w:name="_Toc9844"/>
      <w:r>
        <w:rPr>
          <w:rFonts w:hint="eastAsia" w:ascii="仿宋_GB2312" w:hAnsi="仿宋_GB2312" w:eastAsia="仿宋_GB2312" w:cs="仿宋_GB2312"/>
          <w:color w:val="auto"/>
          <w:sz w:val="30"/>
          <w:szCs w:val="30"/>
          <w:highlight w:val="none"/>
        </w:rPr>
        <w:t>提供国外技术标准的份数：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290"/>
      <w:bookmarkEnd w:id="1291"/>
    </w:p>
    <w:p w14:paraId="71E0BC6E">
      <w:pPr>
        <w:spacing w:line="360" w:lineRule="auto"/>
        <w:ind w:firstLine="600" w:firstLineChars="200"/>
        <w:rPr>
          <w:rFonts w:ascii="仿宋_GB2312" w:hAnsi="仿宋_GB2312" w:eastAsia="仿宋_GB2312" w:cs="仿宋_GB2312"/>
          <w:color w:val="auto"/>
          <w:sz w:val="30"/>
          <w:szCs w:val="30"/>
          <w:highlight w:val="none"/>
        </w:rPr>
      </w:pPr>
      <w:bookmarkStart w:id="1292" w:name="_Toc256000303"/>
      <w:bookmarkStart w:id="1293" w:name="_Toc24890"/>
      <w:r>
        <w:rPr>
          <w:rFonts w:hint="eastAsia" w:ascii="仿宋_GB2312" w:hAnsi="仿宋_GB2312" w:eastAsia="仿宋_GB2312" w:cs="仿宋_GB2312"/>
          <w:color w:val="auto"/>
          <w:sz w:val="30"/>
          <w:szCs w:val="30"/>
          <w:highlight w:val="none"/>
        </w:rPr>
        <w:t>提供国外技术标准的时间：</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292"/>
      <w:bookmarkEnd w:id="1293"/>
    </w:p>
    <w:p w14:paraId="43924278">
      <w:pPr>
        <w:spacing w:line="360" w:lineRule="auto"/>
        <w:ind w:firstLine="600" w:firstLineChars="200"/>
        <w:rPr>
          <w:rFonts w:ascii="仿宋_GB2312" w:hAnsi="仿宋_GB2312" w:eastAsia="仿宋_GB2312" w:cs="仿宋_GB2312"/>
          <w:color w:val="auto"/>
          <w:sz w:val="30"/>
          <w:szCs w:val="30"/>
          <w:highlight w:val="none"/>
        </w:rPr>
      </w:pPr>
      <w:bookmarkStart w:id="1294" w:name="_Toc256000304"/>
      <w:bookmarkStart w:id="1295" w:name="_Toc19142"/>
      <w:r>
        <w:rPr>
          <w:rFonts w:hint="eastAsia" w:ascii="仿宋_GB2312" w:hAnsi="仿宋_GB2312" w:eastAsia="仿宋_GB2312" w:cs="仿宋_GB2312"/>
          <w:color w:val="auto"/>
          <w:sz w:val="30"/>
          <w:szCs w:val="30"/>
          <w:highlight w:val="none"/>
        </w:rPr>
        <w:t>提供国外技术标准的费用承担：</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294"/>
      <w:bookmarkEnd w:id="1295"/>
    </w:p>
    <w:p w14:paraId="09E46CF8">
      <w:pPr>
        <w:pStyle w:val="86"/>
        <w:spacing w:line="360" w:lineRule="auto"/>
        <w:ind w:firstLine="616" w:firstLineChars="200"/>
        <w:rPr>
          <w:rFonts w:ascii="仿宋_GB2312" w:hAnsi="仿宋_GB2312" w:eastAsia="仿宋_GB2312" w:cs="仿宋_GB2312"/>
          <w:color w:val="auto"/>
          <w:spacing w:val="4"/>
          <w:sz w:val="30"/>
          <w:szCs w:val="30"/>
          <w:highlight w:val="none"/>
        </w:rPr>
      </w:pPr>
      <w:bookmarkStart w:id="1296" w:name="_Toc256000305"/>
      <w:bookmarkStart w:id="1297" w:name="_Toc13815"/>
      <w:r>
        <w:rPr>
          <w:rFonts w:hint="eastAsia" w:ascii="仿宋_GB2312" w:hAnsi="仿宋_GB2312" w:eastAsia="仿宋_GB2312" w:cs="仿宋_GB2312"/>
          <w:color w:val="auto"/>
          <w:spacing w:val="4"/>
          <w:sz w:val="30"/>
          <w:szCs w:val="30"/>
          <w:highlight w:val="none"/>
        </w:rPr>
        <w:t>1.4.3  发包人对工程的技术标准和功能要求的特殊要求：</w:t>
      </w:r>
      <w:r>
        <w:rPr>
          <w:rFonts w:hint="eastAsia" w:ascii="仿宋_GB2312" w:hAnsi="仿宋_GB2312" w:eastAsia="仿宋_GB2312" w:cs="仿宋_GB2312"/>
          <w:color w:val="auto"/>
          <w:spacing w:val="4"/>
          <w:sz w:val="30"/>
          <w:szCs w:val="30"/>
          <w:highlight w:val="none"/>
          <w:u w:val="single"/>
        </w:rPr>
        <w:t>符合国家规定的工程设计质量标准、深度要求和现行技术规范、规程要求，并通过国家相关部门组织的审查。</w:t>
      </w:r>
      <w:bookmarkEnd w:id="1296"/>
      <w:bookmarkEnd w:id="1297"/>
    </w:p>
    <w:p w14:paraId="703ACDCC">
      <w:pPr>
        <w:pStyle w:val="8"/>
        <w:spacing w:before="120" w:after="120"/>
        <w:ind w:firstLine="602"/>
        <w:rPr>
          <w:rFonts w:ascii="Times New Roman" w:hAnsi="Times New Roman" w:eastAsia="黑体"/>
          <w:color w:val="auto"/>
          <w:sz w:val="30"/>
          <w:highlight w:val="none"/>
        </w:rPr>
      </w:pPr>
      <w:bookmarkStart w:id="1298" w:name="_Toc256000306"/>
      <w:bookmarkStart w:id="1299" w:name="_Toc23703"/>
      <w:r>
        <w:rPr>
          <w:rFonts w:ascii="Times New Roman" w:hAnsi="Times New Roman" w:eastAsia="黑体"/>
          <w:color w:val="auto"/>
          <w:sz w:val="30"/>
          <w:highlight w:val="none"/>
        </w:rPr>
        <w:t>1.5 合同文件的优先顺序</w:t>
      </w:r>
      <w:bookmarkEnd w:id="1298"/>
      <w:bookmarkEnd w:id="1299"/>
    </w:p>
    <w:p w14:paraId="11A33DBB">
      <w:pPr>
        <w:pStyle w:val="80"/>
        <w:spacing w:line="360" w:lineRule="auto"/>
        <w:ind w:firstLine="616" w:firstLineChars="200"/>
        <w:jc w:val="left"/>
        <w:rPr>
          <w:rFonts w:ascii="仿宋_GB2312" w:hAnsi="仿宋_GB2312" w:eastAsia="仿宋_GB2312" w:cs="仿宋_GB2312"/>
          <w:color w:val="auto"/>
          <w:spacing w:val="4"/>
          <w:sz w:val="30"/>
          <w:szCs w:val="30"/>
          <w:highlight w:val="none"/>
        </w:rPr>
      </w:pPr>
      <w:bookmarkStart w:id="1300" w:name="_Toc256000307"/>
      <w:bookmarkStart w:id="1301" w:name="_Toc20748"/>
      <w:r>
        <w:rPr>
          <w:rFonts w:hint="eastAsia" w:ascii="仿宋_GB2312" w:hAnsi="仿宋_GB2312" w:eastAsia="仿宋_GB2312" w:cs="仿宋_GB2312"/>
          <w:color w:val="auto"/>
          <w:spacing w:val="4"/>
          <w:sz w:val="30"/>
          <w:szCs w:val="30"/>
          <w:highlight w:val="none"/>
        </w:rPr>
        <w:t>1.5.1合同文件组成及优先顺序为：</w:t>
      </w:r>
    </w:p>
    <w:p w14:paraId="2083A39D">
      <w:pPr>
        <w:pStyle w:val="80"/>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0C5708C5">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7E7917E5">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1888D586">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48A9AEB2">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3A33C981">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11728F4D">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75D1B8F8">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2631D993">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5BE51EAC">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426F238C">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5036DE12">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（12）投标文件（如有）；</w:t>
      </w:r>
    </w:p>
    <w:p w14:paraId="5032EF13">
      <w:pPr>
        <w:pStyle w:val="8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6F2C7150">
      <w:pPr>
        <w:pStyle w:val="87"/>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1.5.2 上述合同文件互相补充和解释。如果合同文件之间存在矛盾或不一致之处，以上述文件的排列顺序在先者为准。</w:t>
      </w:r>
    </w:p>
    <w:p w14:paraId="0F36332F">
      <w:pPr>
        <w:pStyle w:val="87"/>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1.5.3 上述各项合同文件包括合同当事人就该项合同文件所作出的补充和修改，属于同一类内容的文件，应以最新签署的为准。</w:t>
      </w:r>
    </w:p>
    <w:bookmarkEnd w:id="1300"/>
    <w:bookmarkEnd w:id="1301"/>
    <w:p w14:paraId="331DD2AB">
      <w:pPr>
        <w:pStyle w:val="8"/>
        <w:spacing w:before="120"/>
        <w:ind w:firstLine="602"/>
        <w:rPr>
          <w:rFonts w:ascii="Times New Roman" w:hAnsi="Times New Roman" w:eastAsia="黑体"/>
          <w:color w:val="auto"/>
          <w:sz w:val="30"/>
          <w:highlight w:val="none"/>
        </w:rPr>
      </w:pPr>
      <w:bookmarkStart w:id="1302" w:name="_Toc6108"/>
      <w:bookmarkStart w:id="1303" w:name="_Toc256000308"/>
      <w:r>
        <w:rPr>
          <w:rFonts w:ascii="Times New Roman" w:hAnsi="Times New Roman" w:eastAsia="黑体"/>
          <w:color w:val="auto"/>
          <w:sz w:val="30"/>
          <w:highlight w:val="none"/>
        </w:rPr>
        <w:t>1.6联络</w:t>
      </w:r>
      <w:bookmarkEnd w:id="1302"/>
      <w:bookmarkEnd w:id="1303"/>
    </w:p>
    <w:p w14:paraId="72C0C9BC">
      <w:pPr>
        <w:spacing w:line="360" w:lineRule="auto"/>
        <w:ind w:firstLine="600" w:firstLineChars="200"/>
        <w:rPr>
          <w:rFonts w:ascii="仿宋_GB2312" w:hAnsi="仿宋_GB2312" w:eastAsia="仿宋_GB2312" w:cs="仿宋_GB2312"/>
          <w:color w:val="auto"/>
          <w:sz w:val="30"/>
          <w:szCs w:val="30"/>
          <w:highlight w:val="none"/>
        </w:rPr>
      </w:pPr>
      <w:bookmarkStart w:id="1304" w:name="_Toc32591"/>
      <w:bookmarkStart w:id="1305" w:name="_Toc256000309"/>
      <w:r>
        <w:rPr>
          <w:rFonts w:hint="eastAsia" w:ascii="仿宋_GB2312" w:hAnsi="仿宋_GB2312" w:eastAsia="仿宋_GB2312" w:cs="仿宋_GB2312"/>
          <w:color w:val="auto"/>
          <w:sz w:val="30"/>
          <w:szCs w:val="30"/>
          <w:highlight w:val="none"/>
        </w:rPr>
        <w:t>1.6.1  发包人和设计人应当在</w:t>
      </w:r>
      <w:r>
        <w:rPr>
          <w:rFonts w:hint="eastAsia" w:ascii="仿宋_GB2312" w:hAnsi="仿宋_GB2312" w:eastAsia="仿宋_GB2312" w:cs="仿宋_GB2312"/>
          <w:color w:val="auto"/>
          <w:sz w:val="30"/>
          <w:szCs w:val="30"/>
          <w:highlight w:val="none"/>
          <w:u w:val="single"/>
        </w:rPr>
        <w:t xml:space="preserve"> 5 </w:t>
      </w:r>
      <w:r>
        <w:rPr>
          <w:rFonts w:hint="eastAsia" w:ascii="仿宋_GB2312" w:hAnsi="仿宋_GB2312" w:eastAsia="仿宋_GB2312" w:cs="仿宋_GB2312"/>
          <w:color w:val="auto"/>
          <w:sz w:val="30"/>
          <w:szCs w:val="30"/>
          <w:highlight w:val="none"/>
        </w:rPr>
        <w:t>天内将与合同有关的通知、批准、证明、证书、指示、指令、要求、请求、同意、确定和决定等书面函件通过当面送交、邮政快递、电子邮件等方式按下列指定的联系信息送达对方当事人。</w:t>
      </w:r>
      <w:bookmarkEnd w:id="1304"/>
      <w:bookmarkEnd w:id="1305"/>
    </w:p>
    <w:p w14:paraId="65AC61FD">
      <w:pPr>
        <w:pStyle w:val="8"/>
        <w:spacing w:before="120"/>
        <w:ind w:firstLine="602"/>
        <w:rPr>
          <w:rFonts w:ascii="Times New Roman" w:hAnsi="Times New Roman" w:eastAsia="黑体"/>
          <w:color w:val="auto"/>
          <w:sz w:val="30"/>
          <w:highlight w:val="none"/>
        </w:rPr>
      </w:pPr>
      <w:bookmarkStart w:id="1306" w:name="_Toc30906"/>
      <w:bookmarkStart w:id="1307" w:name="_Toc256000311"/>
      <w:r>
        <w:rPr>
          <w:rFonts w:ascii="Times New Roman" w:hAnsi="Times New Roman" w:eastAsia="黑体"/>
          <w:color w:val="auto"/>
          <w:sz w:val="30"/>
          <w:highlight w:val="none"/>
        </w:rPr>
        <w:t>1.8保密</w:t>
      </w:r>
      <w:bookmarkEnd w:id="1306"/>
      <w:bookmarkEnd w:id="1307"/>
    </w:p>
    <w:p w14:paraId="08C1936E">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保密义务：双方均应保护对方的知识产权，未经对方同意，任何一方均不得对对方的资料及文件擅自修改、复制或向第三方转让或用于本合同项目外的项目。如发生以上情况，泄密方承担一切由此引起的后果并承担赔偿责任。</w:t>
      </w:r>
    </w:p>
    <w:p w14:paraId="4D0820A1">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本保密条款为持续性条款，无论本合同变更、中止、解除、终止或无效，均不影响保密条款的有效性。</w:t>
      </w:r>
    </w:p>
    <w:p w14:paraId="4FD5AB4D">
      <w:pPr>
        <w:pStyle w:val="7"/>
        <w:keepNext/>
        <w:keepLines/>
        <w:ind w:firstLine="0" w:firstLineChars="0"/>
        <w:jc w:val="both"/>
        <w:rPr>
          <w:rFonts w:eastAsia="黑体"/>
          <w:bCs/>
          <w:color w:val="auto"/>
          <w:sz w:val="32"/>
          <w:highlight w:val="none"/>
        </w:rPr>
      </w:pPr>
      <w:bookmarkStart w:id="1308" w:name="_Toc1519"/>
      <w:bookmarkStart w:id="1309" w:name="_Toc1613"/>
      <w:bookmarkStart w:id="1310" w:name="_Toc9426"/>
      <w:bookmarkStart w:id="1311" w:name="_Toc20452"/>
      <w:bookmarkStart w:id="1312" w:name="_Toc21809"/>
      <w:bookmarkStart w:id="1313" w:name="_Toc256000312"/>
      <w:r>
        <w:rPr>
          <w:rFonts w:eastAsia="黑体"/>
          <w:bCs/>
          <w:color w:val="auto"/>
          <w:sz w:val="32"/>
          <w:highlight w:val="none"/>
        </w:rPr>
        <w:t>2.发包人</w:t>
      </w:r>
      <w:bookmarkEnd w:id="1308"/>
      <w:bookmarkEnd w:id="1309"/>
      <w:bookmarkEnd w:id="1310"/>
      <w:bookmarkEnd w:id="1311"/>
      <w:bookmarkEnd w:id="1312"/>
      <w:bookmarkEnd w:id="1313"/>
    </w:p>
    <w:p w14:paraId="25AB22B7">
      <w:pPr>
        <w:pStyle w:val="8"/>
        <w:spacing w:before="120"/>
        <w:ind w:firstLine="602"/>
        <w:rPr>
          <w:rFonts w:ascii="Times New Roman" w:hAnsi="Times New Roman" w:eastAsia="黑体"/>
          <w:color w:val="auto"/>
          <w:sz w:val="30"/>
          <w:highlight w:val="none"/>
        </w:rPr>
      </w:pPr>
      <w:bookmarkStart w:id="1314" w:name="_Toc32206"/>
      <w:bookmarkStart w:id="1315" w:name="_Toc256000313"/>
      <w:r>
        <w:rPr>
          <w:rFonts w:ascii="Times New Roman" w:hAnsi="Times New Roman" w:eastAsia="黑体"/>
          <w:color w:val="auto"/>
          <w:sz w:val="30"/>
          <w:highlight w:val="none"/>
        </w:rPr>
        <w:t>2.1 发包人一般义务</w:t>
      </w:r>
      <w:bookmarkEnd w:id="1314"/>
      <w:bookmarkEnd w:id="1315"/>
    </w:p>
    <w:p w14:paraId="4101C80B">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  发包人其他义务：</w:t>
      </w:r>
    </w:p>
    <w:p w14:paraId="4D240ADE">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2.1.3.1  发包人应在规定的时间内向设计人提交基础资料及文件，并对其完整性、正确性及时限性负责。发包人不得要求设计人违反国家有关标准进行设计。发包人提交上述资料及文件超过规定期限</w:t>
      </w:r>
      <w:r>
        <w:rPr>
          <w:rFonts w:hint="eastAsia" w:ascii="仿宋_GB2312" w:hAnsi="仿宋_GB2312" w:eastAsia="仿宋_GB2312" w:cs="仿宋_GB2312"/>
          <w:color w:val="auto"/>
          <w:spacing w:val="4"/>
          <w:sz w:val="30"/>
          <w:szCs w:val="30"/>
          <w:highlight w:val="none"/>
          <w:u w:val="single"/>
        </w:rPr>
        <w:t xml:space="preserve"> 15 </w:t>
      </w:r>
      <w:r>
        <w:rPr>
          <w:rFonts w:hint="eastAsia" w:ascii="仿宋_GB2312" w:hAnsi="仿宋_GB2312" w:eastAsia="仿宋_GB2312" w:cs="仿宋_GB2312"/>
          <w:color w:val="auto"/>
          <w:spacing w:val="4"/>
          <w:sz w:val="30"/>
          <w:szCs w:val="30"/>
          <w:highlight w:val="none"/>
        </w:rPr>
        <w:t>天以内，设计人按本合同第七条规定的交付设计文件时间顺延。</w:t>
      </w:r>
    </w:p>
    <w:p w14:paraId="7CDD9087">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2.1.3.2 发包人变更委托设计项目、规模、条件或因提交的资料错误，或所提交资料作较大修改，以致造成设计人设计返工时，双方需另行协商签订补充协议（或另订合同）重新明确有关条款。</w:t>
      </w:r>
    </w:p>
    <w:p w14:paraId="3EDAF1C1">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 xml:space="preserve"> 2.1.3.3  在合同履行期间，发包人无故要求解除合同时，已开始设计工作的，按经甲乙双方确认实际完成的工作量结算设计费。</w:t>
      </w:r>
    </w:p>
    <w:p w14:paraId="24381B67">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2.1.3.4 发包人应按本合同规定的金额和日期向设计人支付设计费。</w:t>
      </w:r>
    </w:p>
    <w:p w14:paraId="69937729">
      <w:pPr>
        <w:pStyle w:val="84"/>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2.1.3.5  发包人要求设计人比合同规定时间提前交付设计文件时，须征得设计人同意，不得严重背离合理设计周期。</w:t>
      </w:r>
    </w:p>
    <w:p w14:paraId="494BA3E9">
      <w:pPr>
        <w:pStyle w:val="8"/>
        <w:spacing w:before="120"/>
        <w:ind w:firstLine="602"/>
        <w:rPr>
          <w:rFonts w:ascii="Times New Roman" w:hAnsi="Times New Roman" w:eastAsia="黑体"/>
          <w:color w:val="auto"/>
          <w:sz w:val="30"/>
          <w:highlight w:val="none"/>
        </w:rPr>
      </w:pPr>
      <w:bookmarkStart w:id="1316" w:name="_Toc256000314"/>
      <w:bookmarkStart w:id="1317" w:name="_Toc5193"/>
      <w:r>
        <w:rPr>
          <w:rFonts w:ascii="Times New Roman" w:hAnsi="Times New Roman" w:eastAsia="黑体"/>
          <w:color w:val="auto"/>
          <w:sz w:val="30"/>
          <w:highlight w:val="none"/>
        </w:rPr>
        <w:t>2.2 发包人代表</w:t>
      </w:r>
      <w:bookmarkEnd w:id="1316"/>
      <w:bookmarkEnd w:id="1317"/>
    </w:p>
    <w:p w14:paraId="5B4C769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A7DBC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姓    名：</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65CBB7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身份证号：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5A1391D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职    务：</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3919B4D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联系电话：</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737AE0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B484AF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通信地址：</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6A15E39">
      <w:pPr>
        <w:pStyle w:val="84"/>
        <w:spacing w:after="0" w:line="360" w:lineRule="auto"/>
        <w:ind w:firstLine="42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发包人对发包人代表的授权范围如下：</w:t>
      </w:r>
      <w:r>
        <w:rPr>
          <w:rFonts w:hint="eastAsia" w:ascii="仿宋_GB2312" w:hAnsi="仿宋_GB2312" w:eastAsia="仿宋_GB2312" w:cs="仿宋_GB2312"/>
          <w:color w:val="auto"/>
          <w:spacing w:val="1"/>
          <w:sz w:val="30"/>
          <w:szCs w:val="30"/>
          <w:highlight w:val="none"/>
          <w:u w:val="single"/>
        </w:rPr>
        <w:t>发包人代表在发包人的授权范围内，负责处理合同履行过程中与发包人有关的具体事宜</w:t>
      </w:r>
      <w:r>
        <w:rPr>
          <w:rFonts w:hint="eastAsia" w:ascii="仿宋_GB2312" w:hAnsi="仿宋_GB2312" w:eastAsia="仿宋_GB2312" w:cs="仿宋_GB2312"/>
          <w:color w:val="auto"/>
          <w:spacing w:val="-1"/>
          <w:sz w:val="30"/>
          <w:szCs w:val="30"/>
          <w:highlight w:val="none"/>
        </w:rPr>
        <w:t>。</w:t>
      </w:r>
    </w:p>
    <w:p w14:paraId="6483031E">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发包人更换发包人代表的，应当提前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w:t>
      </w:r>
      <w:r>
        <w:rPr>
          <w:rFonts w:hint="eastAsia" w:ascii="仿宋_GB2312" w:hAnsi="仿宋_GB2312" w:eastAsia="仿宋_GB2312" w:cs="仿宋_GB2312"/>
          <w:color w:val="auto"/>
          <w:spacing w:val="-1"/>
          <w:sz w:val="30"/>
          <w:szCs w:val="30"/>
          <w:highlight w:val="none"/>
        </w:rPr>
        <w:t>书面</w:t>
      </w:r>
      <w:r>
        <w:rPr>
          <w:rFonts w:hint="eastAsia" w:ascii="仿宋_GB2312" w:hAnsi="仿宋_GB2312" w:eastAsia="仿宋_GB2312" w:cs="仿宋_GB2312"/>
          <w:color w:val="auto"/>
          <w:sz w:val="30"/>
          <w:szCs w:val="30"/>
          <w:highlight w:val="none"/>
        </w:rPr>
        <w:t>通知设计人。</w:t>
      </w:r>
    </w:p>
    <w:p w14:paraId="362298EF">
      <w:pPr>
        <w:pStyle w:val="8"/>
        <w:spacing w:before="120"/>
        <w:ind w:firstLine="602"/>
        <w:rPr>
          <w:rFonts w:ascii="Times New Roman" w:hAnsi="Times New Roman" w:eastAsia="黑体"/>
          <w:color w:val="auto"/>
          <w:sz w:val="30"/>
          <w:highlight w:val="none"/>
        </w:rPr>
      </w:pPr>
      <w:bookmarkStart w:id="1318" w:name="_Toc256000315"/>
      <w:bookmarkStart w:id="1319" w:name="_Toc210"/>
      <w:r>
        <w:rPr>
          <w:rFonts w:ascii="Times New Roman" w:hAnsi="Times New Roman" w:eastAsia="黑体"/>
          <w:color w:val="auto"/>
          <w:sz w:val="30"/>
          <w:highlight w:val="none"/>
        </w:rPr>
        <w:t>2.3 发包人决定</w:t>
      </w:r>
      <w:bookmarkEnd w:id="1318"/>
      <w:bookmarkEnd w:id="1319"/>
    </w:p>
    <w:p w14:paraId="177C2704">
      <w:pPr>
        <w:pStyle w:val="84"/>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2.3.2 发包人应在</w:t>
      </w:r>
      <w:r>
        <w:rPr>
          <w:rFonts w:hint="eastAsia" w:ascii="仿宋_GB2312" w:hAnsi="仿宋_GB2312" w:eastAsia="仿宋_GB2312" w:cs="仿宋_GB2312"/>
          <w:color w:val="auto"/>
          <w:spacing w:val="-1"/>
          <w:sz w:val="30"/>
          <w:szCs w:val="30"/>
          <w:highlight w:val="none"/>
          <w:u w:val="single"/>
        </w:rPr>
        <w:t>15</w:t>
      </w:r>
      <w:r>
        <w:rPr>
          <w:rFonts w:hint="eastAsia" w:ascii="仿宋_GB2312" w:hAnsi="仿宋_GB2312" w:eastAsia="仿宋_GB2312" w:cs="仿宋_GB2312"/>
          <w:color w:val="auto"/>
          <w:spacing w:val="-1"/>
          <w:sz w:val="30"/>
          <w:szCs w:val="30"/>
          <w:highlight w:val="none"/>
        </w:rPr>
        <w:t>天内对设计人书</w:t>
      </w:r>
      <w:r>
        <w:rPr>
          <w:rFonts w:hint="eastAsia" w:ascii="仿宋_GB2312" w:hAnsi="仿宋_GB2312" w:eastAsia="仿宋_GB2312" w:cs="仿宋_GB2312"/>
          <w:color w:val="auto"/>
          <w:spacing w:val="-2"/>
          <w:sz w:val="30"/>
          <w:szCs w:val="30"/>
          <w:highlight w:val="none"/>
        </w:rPr>
        <w:t>面提出的事项作出书面决定。</w:t>
      </w:r>
    </w:p>
    <w:p w14:paraId="2C319C5F">
      <w:pPr>
        <w:pStyle w:val="7"/>
        <w:keepNext/>
        <w:keepLines/>
        <w:ind w:firstLine="0" w:firstLineChars="0"/>
        <w:jc w:val="both"/>
        <w:rPr>
          <w:rFonts w:eastAsia="黑体"/>
          <w:bCs/>
          <w:color w:val="auto"/>
          <w:sz w:val="32"/>
          <w:highlight w:val="none"/>
        </w:rPr>
      </w:pPr>
      <w:bookmarkStart w:id="1320" w:name="_Toc6127"/>
      <w:bookmarkStart w:id="1321" w:name="_Toc17235"/>
      <w:bookmarkStart w:id="1322" w:name="_Toc12524"/>
      <w:bookmarkStart w:id="1323" w:name="_Toc25525"/>
      <w:bookmarkStart w:id="1324" w:name="_Toc26816"/>
      <w:r>
        <w:rPr>
          <w:rFonts w:eastAsia="黑体"/>
          <w:bCs/>
          <w:color w:val="auto"/>
          <w:sz w:val="32"/>
          <w:highlight w:val="none"/>
        </w:rPr>
        <w:t>3.设计人</w:t>
      </w:r>
      <w:bookmarkEnd w:id="1320"/>
      <w:bookmarkEnd w:id="1321"/>
      <w:bookmarkEnd w:id="1322"/>
      <w:bookmarkEnd w:id="1323"/>
      <w:bookmarkEnd w:id="1324"/>
    </w:p>
    <w:p w14:paraId="681F525F">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3.1设计人一般义务</w:t>
      </w:r>
    </w:p>
    <w:p w14:paraId="1819C2A9">
      <w:pPr>
        <w:pStyle w:val="84"/>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3.1.1  设计人</w:t>
      </w:r>
      <w:r>
        <w:rPr>
          <w:rFonts w:hint="eastAsia" w:ascii="仿宋_GB2312" w:hAnsi="仿宋_GB2312" w:eastAsia="仿宋_GB2312" w:cs="仿宋_GB2312"/>
          <w:color w:val="auto"/>
          <w:spacing w:val="-1"/>
          <w:sz w:val="30"/>
          <w:szCs w:val="30"/>
          <w:highlight w:val="none"/>
          <w:u w:val="single"/>
          <w:lang w:val="en-US" w:eastAsia="zh-CN"/>
        </w:rPr>
        <w:t>需</w:t>
      </w:r>
      <w:r>
        <w:rPr>
          <w:rFonts w:hint="eastAsia" w:ascii="仿宋_GB2312" w:hAnsi="仿宋_GB2312" w:eastAsia="仿宋_GB2312" w:cs="仿宋_GB2312"/>
          <w:i/>
          <w:iCs/>
          <w:color w:val="auto"/>
          <w:spacing w:val="-1"/>
          <w:sz w:val="30"/>
          <w:szCs w:val="30"/>
          <w:highlight w:val="none"/>
        </w:rPr>
        <w:t>（需/不需）</w:t>
      </w:r>
      <w:r>
        <w:rPr>
          <w:rFonts w:hint="eastAsia" w:ascii="仿宋_GB2312" w:hAnsi="仿宋_GB2312" w:eastAsia="仿宋_GB2312" w:cs="仿宋_GB2312"/>
          <w:color w:val="auto"/>
          <w:spacing w:val="-1"/>
          <w:sz w:val="30"/>
          <w:szCs w:val="30"/>
          <w:highlight w:val="none"/>
        </w:rPr>
        <w:t>配合发包人办理有关许可、批准或备案手续。</w:t>
      </w:r>
    </w:p>
    <w:p w14:paraId="1B4D9764">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3.1.2设计人其他义务：</w:t>
      </w:r>
    </w:p>
    <w:p w14:paraId="55184CCB">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 </w:instrText>
      </w:r>
      <w:r>
        <w:rPr>
          <w:color w:val="auto"/>
          <w:highlight w:val="none"/>
        </w:rPr>
        <w:fldChar w:fldCharType="separate"/>
      </w:r>
      <w:r>
        <w:rPr>
          <w:rFonts w:hint="eastAsia" w:ascii="仿宋_GB2312" w:hAnsi="仿宋_GB2312" w:eastAsia="仿宋_GB2312" w:cs="仿宋_GB2312"/>
          <w:color w:val="auto"/>
          <w:sz w:val="30"/>
          <w:szCs w:val="30"/>
          <w:highlight w:val="none"/>
        </w:rPr>
        <w:t>3.1.2.1</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设计人应按国家规定和合同约定的技术规范、标准进行设计，按本合同规定的内容、时</w:t>
      </w:r>
      <w:r>
        <w:rPr>
          <w:rFonts w:hint="eastAsia" w:ascii="仿宋_GB2312" w:hAnsi="仿宋_GB2312" w:eastAsia="仿宋_GB2312" w:cs="仿宋_GB2312"/>
          <w:color w:val="auto"/>
          <w:spacing w:val="-2"/>
          <w:sz w:val="30"/>
          <w:szCs w:val="30"/>
          <w:highlight w:val="none"/>
        </w:rPr>
        <w:t>间及份数向发包人交付设计文件（出现</w:t>
      </w:r>
      <w:r>
        <w:rPr>
          <w:color w:val="auto"/>
          <w:highlight w:val="none"/>
        </w:rPr>
        <w:fldChar w:fldCharType="begin"/>
      </w:r>
      <w:r>
        <w:rPr>
          <w:color w:val="auto"/>
          <w:highlight w:val="none"/>
        </w:rPr>
        <w:instrText xml:space="preserve"> HYPERLINK "2.1.1.1"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2.1.3.1</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"2.1.1.5"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2.1.3.5</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规定有关交付设计文件</w:t>
      </w:r>
      <w:r>
        <w:rPr>
          <w:rFonts w:hint="eastAsia" w:ascii="仿宋_GB2312" w:hAnsi="仿宋_GB2312" w:eastAsia="仿宋_GB2312" w:cs="仿宋_GB2312"/>
          <w:color w:val="auto"/>
          <w:spacing w:val="-5"/>
          <w:sz w:val="30"/>
          <w:szCs w:val="30"/>
          <w:highlight w:val="none"/>
        </w:rPr>
        <w:t>顺延的情况除外）。并对提交的设计文件的质量负责。</w:t>
      </w:r>
    </w:p>
    <w:p w14:paraId="39613A75">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"3.1.2.2"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3.1.2.2</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设计人应对其设计的准确度负责</w:t>
      </w:r>
      <w:r>
        <w:rPr>
          <w:rFonts w:hint="eastAsia" w:ascii="仿宋_GB2312" w:hAnsi="仿宋_GB2312" w:eastAsia="仿宋_GB2312" w:cs="仿宋_GB2312"/>
          <w:color w:val="auto"/>
          <w:spacing w:val="-3"/>
          <w:sz w:val="30"/>
          <w:szCs w:val="30"/>
          <w:highlight w:val="none"/>
        </w:rPr>
        <w:t>，在设计的基本条件、工艺、工法、规模不变的情况下，</w:t>
      </w:r>
      <w:r>
        <w:rPr>
          <w:rFonts w:hint="eastAsia" w:ascii="仿宋_GB2312" w:hAnsi="仿宋_GB2312" w:eastAsia="仿宋_GB2312" w:cs="仿宋_GB2312"/>
          <w:color w:val="auto"/>
          <w:spacing w:val="1"/>
          <w:sz w:val="30"/>
          <w:szCs w:val="30"/>
          <w:highlight w:val="none"/>
        </w:rPr>
        <w:t>原则上上一阶段的设计工程量应涵盖下一阶段的设计工程量，</w:t>
      </w:r>
      <w:r>
        <w:rPr>
          <w:rFonts w:ascii="仿宋_GB2312" w:hAnsi="仿宋_GB2312" w:eastAsia="仿宋_GB2312" w:cs="仿宋_GB2312"/>
          <w:color w:val="auto"/>
          <w:spacing w:val="1"/>
          <w:sz w:val="30"/>
          <w:szCs w:val="30"/>
          <w:highlight w:val="none"/>
        </w:rPr>
        <w:t>不应超过发包人提供的设计限额</w:t>
      </w:r>
      <w:r>
        <w:rPr>
          <w:rFonts w:hint="eastAsia" w:ascii="仿宋_GB2312" w:hAnsi="仿宋_GB2312" w:eastAsia="仿宋_GB2312" w:cs="仿宋_GB2312"/>
          <w:color w:val="auto"/>
          <w:sz w:val="30"/>
          <w:szCs w:val="30"/>
          <w:highlight w:val="none"/>
        </w:rPr>
        <w:t>。</w:t>
      </w:r>
    </w:p>
    <w:p w14:paraId="77A0C8F7">
      <w:pPr>
        <w:pStyle w:val="84"/>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"3.1.2.3"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3.1.2.3</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设计合理使用年限为按当前国家规范规定的使用年限。</w:t>
      </w:r>
    </w:p>
    <w:p w14:paraId="7FD32BFC">
      <w:pPr>
        <w:pStyle w:val="84"/>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设计人对设计文件出现的遗漏或错误负责修改或补充。</w:t>
      </w:r>
    </w:p>
    <w:p w14:paraId="7B1D87FD">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设计人应按合同约定时间交付设计资料及设计文件。</w:t>
      </w:r>
    </w:p>
    <w:p w14:paraId="342DBAB6">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"3.1.2.6"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3.1.2.6</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设计人交付设计文件后，按规定参加</w:t>
      </w:r>
      <w:r>
        <w:rPr>
          <w:rFonts w:hint="eastAsia" w:ascii="仿宋_GB2312" w:hAnsi="仿宋_GB2312" w:eastAsia="仿宋_GB2312" w:cs="仿宋_GB2312"/>
          <w:color w:val="auto"/>
          <w:spacing w:val="-3"/>
          <w:sz w:val="30"/>
          <w:szCs w:val="30"/>
          <w:highlight w:val="none"/>
        </w:rPr>
        <w:t>有关上级的设计审查，并根据审查结论做调整补充，</w:t>
      </w:r>
      <w:r>
        <w:rPr>
          <w:rFonts w:hint="eastAsia" w:ascii="仿宋_GB2312" w:hAnsi="仿宋_GB2312" w:eastAsia="仿宋_GB2312" w:cs="仿宋_GB2312"/>
          <w:color w:val="auto"/>
          <w:spacing w:val="-1"/>
          <w:sz w:val="30"/>
          <w:szCs w:val="30"/>
          <w:highlight w:val="none"/>
        </w:rPr>
        <w:t>向发包人及施工单位进行设计交底、处理有关设计问题和参加竣工验收。</w:t>
      </w:r>
    </w:p>
    <w:p w14:paraId="03ADA7CF">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"3.1.2.7" </w:instrText>
      </w:r>
      <w:r>
        <w:rPr>
          <w:color w:val="auto"/>
          <w:highlight w:val="none"/>
        </w:rPr>
        <w:fldChar w:fldCharType="separate"/>
      </w:r>
      <w:r>
        <w:rPr>
          <w:rFonts w:hint="eastAsia" w:ascii="仿宋_GB2312" w:hAnsi="仿宋_GB2312" w:eastAsia="仿宋_GB2312" w:cs="仿宋_GB2312"/>
          <w:color w:val="auto"/>
          <w:sz w:val="30"/>
          <w:szCs w:val="30"/>
          <w:highlight w:val="none"/>
        </w:rPr>
        <w:t>3.1.2.7</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设计人应按发包人及主管单位的要求积极组织各项与设计文件相关的评审或审查会，并</w:t>
      </w:r>
      <w:r>
        <w:rPr>
          <w:rFonts w:hint="eastAsia" w:ascii="仿宋_GB2312" w:hAnsi="仿宋_GB2312" w:eastAsia="仿宋_GB2312" w:cs="仿宋_GB2312"/>
          <w:color w:val="auto"/>
          <w:spacing w:val="-2"/>
          <w:sz w:val="30"/>
          <w:szCs w:val="30"/>
          <w:highlight w:val="none"/>
        </w:rPr>
        <w:t>承担全过程的相关费用。</w:t>
      </w:r>
    </w:p>
    <w:p w14:paraId="7E2317A2">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"3.1.2.8"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3.1.2.8</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设计人员需配合发包人共同完成工程招标及工程量清单编制等相关工作。</w:t>
      </w:r>
    </w:p>
    <w:p w14:paraId="5F9AEC66">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"3.1.2.9" </w:instrText>
      </w:r>
      <w:r>
        <w:rPr>
          <w:color w:val="auto"/>
          <w:highlight w:val="none"/>
        </w:rPr>
        <w:fldChar w:fldCharType="separate"/>
      </w:r>
      <w:r>
        <w:rPr>
          <w:rFonts w:hint="eastAsia" w:ascii="仿宋_GB2312" w:hAnsi="仿宋_GB2312" w:eastAsia="仿宋_GB2312" w:cs="仿宋_GB2312"/>
          <w:color w:val="auto"/>
          <w:sz w:val="30"/>
          <w:szCs w:val="30"/>
          <w:highlight w:val="none"/>
        </w:rPr>
        <w:t>3.1.2.9</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项目在开展方案、施工图阶段时，设计人员配合发包人对专家、咨询</w:t>
      </w:r>
      <w:r>
        <w:rPr>
          <w:rFonts w:hint="eastAsia" w:ascii="仿宋_GB2312" w:hAnsi="仿宋_GB2312" w:eastAsia="仿宋_GB2312" w:cs="仿宋_GB2312"/>
          <w:color w:val="auto"/>
          <w:spacing w:val="-1"/>
          <w:sz w:val="30"/>
          <w:szCs w:val="30"/>
          <w:highlight w:val="none"/>
        </w:rPr>
        <w:t>事务所、施工图审查单位及市城建委完成图纸交接工作。</w:t>
      </w:r>
    </w:p>
    <w:p w14:paraId="0C24207E">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"3.1.2.10"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3.1.2.10</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设计人应按照发包人要求，编制合理的总进度计划及周密、细致的详细工作计划供发包</w:t>
      </w:r>
      <w:r>
        <w:rPr>
          <w:rFonts w:hint="eastAsia" w:ascii="仿宋_GB2312" w:hAnsi="仿宋_GB2312" w:eastAsia="仿宋_GB2312" w:cs="仿宋_GB2312"/>
          <w:color w:val="auto"/>
          <w:sz w:val="30"/>
          <w:szCs w:val="30"/>
          <w:highlight w:val="none"/>
        </w:rPr>
        <w:t xml:space="preserve"> 人审核，严格执行并接受发包人监督，确保有计划，</w:t>
      </w:r>
      <w:r>
        <w:rPr>
          <w:rFonts w:hint="eastAsia" w:ascii="仿宋_GB2312" w:hAnsi="仿宋_GB2312" w:eastAsia="仿宋_GB2312" w:cs="仿宋_GB2312"/>
          <w:color w:val="auto"/>
          <w:spacing w:val="-1"/>
          <w:sz w:val="30"/>
          <w:szCs w:val="30"/>
          <w:highlight w:val="none"/>
        </w:rPr>
        <w:t>更有实施。</w:t>
      </w:r>
    </w:p>
    <w:p w14:paraId="13F32E16">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"3.1.2.11"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3.1.2.11</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设计人应从施工组织、重大</w:t>
      </w:r>
      <w:r>
        <w:rPr>
          <w:rFonts w:hint="eastAsia" w:ascii="仿宋_GB2312" w:hAnsi="仿宋_GB2312" w:eastAsia="仿宋_GB2312" w:cs="仿宋_GB2312"/>
          <w:color w:val="auto"/>
          <w:spacing w:val="-2"/>
          <w:sz w:val="30"/>
          <w:szCs w:val="30"/>
          <w:highlight w:val="none"/>
        </w:rPr>
        <w:t>施工方案的审查以及现场技术问题处理等方面，为业主提供</w:t>
      </w:r>
      <w:r>
        <w:rPr>
          <w:rFonts w:hint="eastAsia" w:ascii="仿宋_GB2312" w:hAnsi="仿宋_GB2312" w:eastAsia="仿宋_GB2312" w:cs="仿宋_GB2312"/>
          <w:color w:val="auto"/>
          <w:spacing w:val="-5"/>
          <w:sz w:val="30"/>
          <w:szCs w:val="30"/>
          <w:highlight w:val="none"/>
        </w:rPr>
        <w:t>技术支持。</w:t>
      </w:r>
    </w:p>
    <w:p w14:paraId="216658FA">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"3.1.2.12"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3.1.2.12</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施工过程中，设计人应有责任和义务及时到</w:t>
      </w:r>
      <w:r>
        <w:rPr>
          <w:rFonts w:hint="eastAsia" w:ascii="仿宋_GB2312" w:hAnsi="仿宋_GB2312" w:eastAsia="仿宋_GB2312" w:cs="仿宋_GB2312"/>
          <w:color w:val="auto"/>
          <w:spacing w:val="-2"/>
          <w:sz w:val="30"/>
          <w:szCs w:val="30"/>
          <w:highlight w:val="none"/>
        </w:rPr>
        <w:t>现场解决施工中出现的问题。设计人须按投</w:t>
      </w:r>
      <w:r>
        <w:rPr>
          <w:rFonts w:hint="eastAsia" w:ascii="仿宋_GB2312" w:hAnsi="仿宋_GB2312" w:eastAsia="仿宋_GB2312" w:cs="仿宋_GB2312"/>
          <w:color w:val="auto"/>
          <w:sz w:val="30"/>
          <w:szCs w:val="30"/>
          <w:highlight w:val="none"/>
        </w:rPr>
        <w:t>标承诺在处理工程存在问题时，在收到通知后</w:t>
      </w:r>
      <w:r>
        <w:rPr>
          <w:rFonts w:ascii="仿宋_GB2312" w:hAnsi="仿宋_GB2312" w:eastAsia="仿宋_GB2312" w:cs="仿宋_GB2312"/>
          <w:color w:val="auto"/>
          <w:sz w:val="30"/>
          <w:szCs w:val="30"/>
          <w:highlight w:val="none"/>
        </w:rPr>
        <w:t>尽快</w:t>
      </w:r>
      <w:r>
        <w:rPr>
          <w:rFonts w:hint="eastAsia" w:ascii="仿宋_GB2312" w:hAnsi="仿宋_GB2312" w:eastAsia="仿宋_GB2312" w:cs="仿宋_GB2312"/>
          <w:color w:val="auto"/>
          <w:sz w:val="30"/>
          <w:szCs w:val="30"/>
          <w:highlight w:val="none"/>
        </w:rPr>
        <w:t>到达现场并主动解决问题。</w:t>
      </w:r>
    </w:p>
    <w:p w14:paraId="41B27ABE">
      <w:pPr>
        <w:pStyle w:val="84"/>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"3.1.2.13"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3.1.2.13</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协助发包人确定相关建材的</w:t>
      </w:r>
      <w:r>
        <w:rPr>
          <w:rFonts w:hint="eastAsia" w:ascii="仿宋_GB2312" w:hAnsi="仿宋_GB2312" w:eastAsia="仿宋_GB2312" w:cs="仿宋_GB2312"/>
          <w:color w:val="auto"/>
          <w:spacing w:val="-2"/>
          <w:sz w:val="30"/>
          <w:szCs w:val="30"/>
          <w:highlight w:val="none"/>
        </w:rPr>
        <w:t>颜色、规格、样板；并对相关的设计图纸进行复核，对需要</w:t>
      </w:r>
      <w:r>
        <w:rPr>
          <w:rFonts w:hint="eastAsia" w:ascii="仿宋_GB2312" w:hAnsi="仿宋_GB2312" w:eastAsia="仿宋_GB2312" w:cs="仿宋_GB2312"/>
          <w:color w:val="auto"/>
          <w:spacing w:val="-1"/>
          <w:sz w:val="30"/>
          <w:szCs w:val="30"/>
          <w:highlight w:val="none"/>
        </w:rPr>
        <w:t>盖章的资料给予配合，确保项目整体实施顺利。</w:t>
      </w:r>
    </w:p>
    <w:p w14:paraId="0CACAF6B">
      <w:pPr>
        <w:pStyle w:val="80"/>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"3.1.2.14" </w:instrText>
      </w:r>
      <w:r>
        <w:rPr>
          <w:color w:val="auto"/>
          <w:highlight w:val="none"/>
        </w:rPr>
        <w:fldChar w:fldCharType="separate"/>
      </w:r>
      <w:r>
        <w:rPr>
          <w:rFonts w:hint="eastAsia" w:ascii="仿宋_GB2312" w:hAnsi="仿宋_GB2312" w:eastAsia="仿宋_GB2312" w:cs="仿宋_GB2312"/>
          <w:color w:val="auto"/>
          <w:sz w:val="30"/>
          <w:szCs w:val="30"/>
          <w:highlight w:val="none"/>
        </w:rPr>
        <w:t>3.1.2.14</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积极配合发包人进行项目的竣工验</w:t>
      </w:r>
      <w:r>
        <w:rPr>
          <w:rFonts w:hint="eastAsia" w:ascii="仿宋_GB2312" w:hAnsi="仿宋_GB2312" w:eastAsia="仿宋_GB2312" w:cs="仿宋_GB2312"/>
          <w:color w:val="auto"/>
          <w:spacing w:val="-1"/>
          <w:sz w:val="30"/>
          <w:szCs w:val="30"/>
          <w:highlight w:val="none"/>
        </w:rPr>
        <w:t>收结算和设计资料完善等工作。</w:t>
      </w:r>
    </w:p>
    <w:p w14:paraId="2851C54F">
      <w:pPr>
        <w:pStyle w:val="80"/>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设计人在方案设计及施工图设计过程中，在不</w:t>
      </w:r>
      <w:r>
        <w:rPr>
          <w:rFonts w:hint="eastAsia" w:ascii="仿宋_GB2312" w:hAnsi="仿宋_GB2312" w:eastAsia="仿宋_GB2312" w:cs="仿宋_GB2312"/>
          <w:color w:val="auto"/>
          <w:spacing w:val="-2"/>
          <w:sz w:val="30"/>
          <w:szCs w:val="30"/>
          <w:highlight w:val="none"/>
        </w:rPr>
        <w:t>违反国家规定的设计标准和规程范围内，</w:t>
      </w:r>
      <w:r>
        <w:rPr>
          <w:rFonts w:hint="eastAsia" w:ascii="仿宋_GB2312" w:hAnsi="仿宋_GB2312" w:eastAsia="仿宋_GB2312" w:cs="仿宋_GB2312"/>
          <w:color w:val="auto"/>
          <w:spacing w:val="-1"/>
          <w:sz w:val="30"/>
          <w:szCs w:val="30"/>
          <w:highlight w:val="none"/>
        </w:rPr>
        <w:t>尽可能地为发包人降低工程成本。</w:t>
      </w:r>
    </w:p>
    <w:p w14:paraId="590E06EC">
      <w:pPr>
        <w:pStyle w:val="80"/>
        <w:spacing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"3.1.2.16"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3.1.2.16</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设计人应按投标文件承诺提供配备本</w:t>
      </w:r>
      <w:r>
        <w:rPr>
          <w:rFonts w:hint="eastAsia" w:ascii="仿宋_GB2312" w:hAnsi="仿宋_GB2312" w:eastAsia="仿宋_GB2312" w:cs="仿宋_GB2312"/>
          <w:color w:val="auto"/>
          <w:spacing w:val="-2"/>
          <w:sz w:val="30"/>
          <w:szCs w:val="30"/>
          <w:highlight w:val="none"/>
        </w:rPr>
        <w:t>项目设计人员。</w:t>
      </w:r>
    </w:p>
    <w:p w14:paraId="42827E3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3.2项目负责人</w:t>
      </w:r>
    </w:p>
    <w:p w14:paraId="322A1615">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3.2.1项目负责人</w:t>
      </w:r>
    </w:p>
    <w:p w14:paraId="2A1FAF03">
      <w:pPr>
        <w:pStyle w:val="84"/>
        <w:spacing w:after="0" w:line="360" w:lineRule="auto"/>
        <w:ind w:firstLine="572" w:firstLineChars="200"/>
        <w:rPr>
          <w:rFonts w:ascii="仿宋_GB2312" w:hAnsi="仿宋_GB2312" w:eastAsia="仿宋_GB2312" w:cs="仿宋_GB2312"/>
          <w:color w:val="auto"/>
          <w:spacing w:val="-27"/>
          <w:sz w:val="30"/>
          <w:szCs w:val="30"/>
          <w:highlight w:val="none"/>
        </w:rPr>
      </w:pPr>
      <w:r>
        <w:rPr>
          <w:rFonts w:hint="eastAsia" w:ascii="仿宋_GB2312" w:hAnsi="仿宋_GB2312" w:eastAsia="仿宋_GB2312" w:cs="仿宋_GB2312"/>
          <w:color w:val="auto"/>
          <w:spacing w:val="-7"/>
          <w:sz w:val="30"/>
          <w:szCs w:val="30"/>
          <w:highlight w:val="none"/>
        </w:rPr>
        <w:t>姓名</w:t>
      </w:r>
      <w:r>
        <w:rPr>
          <w:rFonts w:hint="eastAsia" w:ascii="仿宋_GB2312" w:hAnsi="仿宋_GB2312" w:eastAsia="仿宋_GB2312" w:cs="仿宋_GB2312"/>
          <w:color w:val="auto"/>
          <w:spacing w:val="-27"/>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6A9DE410">
      <w:pPr>
        <w:pStyle w:val="84"/>
        <w:spacing w:after="0" w:line="360" w:lineRule="auto"/>
        <w:ind w:firstLine="596"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1"/>
          <w:sz w:val="30"/>
          <w:szCs w:val="30"/>
          <w:highlight w:val="none"/>
        </w:rPr>
        <w:t>执业资格及等级</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0CC3FBB3">
      <w:pPr>
        <w:pStyle w:val="84"/>
        <w:spacing w:after="0" w:line="360" w:lineRule="auto"/>
        <w:ind w:firstLine="596" w:firstLineChars="200"/>
        <w:rPr>
          <w:rFonts w:ascii="仿宋_GB2312" w:hAnsi="仿宋_GB2312" w:eastAsia="仿宋_GB2312" w:cs="仿宋_GB2312"/>
          <w:color w:val="auto"/>
          <w:spacing w:val="-26"/>
          <w:sz w:val="30"/>
          <w:szCs w:val="30"/>
          <w:highlight w:val="none"/>
        </w:rPr>
      </w:pPr>
      <w:r>
        <w:rPr>
          <w:rFonts w:hint="eastAsia" w:ascii="仿宋_GB2312" w:hAnsi="仿宋_GB2312" w:eastAsia="仿宋_GB2312" w:cs="仿宋_GB2312"/>
          <w:color w:val="auto"/>
          <w:spacing w:val="-1"/>
          <w:sz w:val="30"/>
          <w:szCs w:val="30"/>
          <w:highlight w:val="none"/>
        </w:rPr>
        <w:t>注册证书号</w:t>
      </w:r>
      <w:r>
        <w:rPr>
          <w:rFonts w:hint="eastAsia" w:ascii="仿宋_GB2312" w:hAnsi="仿宋_GB2312" w:eastAsia="仿宋_GB2312" w:cs="仿宋_GB2312"/>
          <w:color w:val="auto"/>
          <w:spacing w:val="-26"/>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58E9A5E4">
      <w:pPr>
        <w:pStyle w:val="84"/>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联系电话</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3F5CD76A">
      <w:pPr>
        <w:pStyle w:val="84"/>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电子信箱</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2EADCC24">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通信地址</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76D83327">
      <w:pPr>
        <w:pStyle w:val="84"/>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设计人对项目负责人的授权范围如下：</w:t>
      </w:r>
      <w:r>
        <w:rPr>
          <w:rFonts w:hint="eastAsia" w:ascii="仿宋_GB2312" w:hAnsi="仿宋_GB2312" w:eastAsia="仿宋_GB2312" w:cs="仿宋_GB2312"/>
          <w:color w:val="auto"/>
          <w:spacing w:val="1"/>
          <w:sz w:val="30"/>
          <w:szCs w:val="30"/>
          <w:highlight w:val="none"/>
          <w:u w:val="single"/>
        </w:rPr>
        <w:t>按合同要求负责与本项目设计有关的一切事务，包</w:t>
      </w:r>
      <w:r>
        <w:rPr>
          <w:rFonts w:hint="eastAsia" w:ascii="仿宋_GB2312" w:hAnsi="仿宋_GB2312" w:eastAsia="仿宋_GB2312" w:cs="仿宋_GB2312"/>
          <w:color w:val="auto"/>
          <w:spacing w:val="-1"/>
          <w:sz w:val="30"/>
          <w:szCs w:val="30"/>
          <w:highlight w:val="none"/>
          <w:u w:val="single"/>
        </w:rPr>
        <w:t xml:space="preserve">括项目的组织、协调相关工作 </w:t>
      </w:r>
      <w:r>
        <w:rPr>
          <w:rFonts w:hint="eastAsia" w:ascii="仿宋_GB2312" w:hAnsi="仿宋_GB2312" w:eastAsia="仿宋_GB2312" w:cs="仿宋_GB2312"/>
          <w:color w:val="auto"/>
          <w:spacing w:val="-1"/>
          <w:sz w:val="30"/>
          <w:szCs w:val="30"/>
          <w:highlight w:val="none"/>
        </w:rPr>
        <w:t>。</w:t>
      </w:r>
    </w:p>
    <w:p w14:paraId="0DD7AC0A">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3.2.2  设计人更换项目负责人的，应提前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天书面通知发包人。</w:t>
      </w:r>
    </w:p>
    <w:p w14:paraId="7B24CA90">
      <w:pPr>
        <w:pStyle w:val="84"/>
        <w:spacing w:after="0"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设计人擅自更换项目负责人的违约责任：</w:t>
      </w:r>
      <w:r>
        <w:rPr>
          <w:rFonts w:hint="eastAsia" w:ascii="仿宋_GB2312" w:hAnsi="仿宋_GB2312" w:eastAsia="仿宋_GB2312" w:cs="仿宋_GB2312"/>
          <w:color w:val="auto"/>
          <w:sz w:val="30"/>
          <w:szCs w:val="30"/>
          <w:highlight w:val="none"/>
          <w:u w:val="single"/>
        </w:rPr>
        <w:t>设计人擅自更换项目负责人的违约责任：设计人擅自更换项目设计负责人</w:t>
      </w:r>
      <w:r>
        <w:rPr>
          <w:rFonts w:ascii="仿宋_GB2312" w:hAnsi="仿宋_GB2312" w:eastAsia="仿宋_GB2312" w:cs="仿宋_GB2312"/>
          <w:color w:val="auto"/>
          <w:sz w:val="30"/>
          <w:szCs w:val="30"/>
          <w:highlight w:val="none"/>
          <w:u w:val="single"/>
        </w:rPr>
        <w:t>或关键人员</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），发包人按每人每次向设计人处以设计费的 5%（百分之五）的违约金。若因此给发包人造成损失的，还应当赔偿损失</w:t>
      </w:r>
      <w:r>
        <w:rPr>
          <w:rFonts w:hint="eastAsia" w:ascii="仿宋_GB2312" w:hAnsi="仿宋_GB2312" w:eastAsia="仿宋_GB2312" w:cs="仿宋_GB2312"/>
          <w:color w:val="auto"/>
          <w:sz w:val="30"/>
          <w:szCs w:val="30"/>
          <w:highlight w:val="none"/>
        </w:rPr>
        <w:t>。</w:t>
      </w:r>
    </w:p>
    <w:p w14:paraId="79A9DA15">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3.2.3  发包人有权书面通知设计人更换其认为不称职的项目负责人，设计人应在收到书面更换通知后</w:t>
      </w:r>
      <w:r>
        <w:rPr>
          <w:rFonts w:hint="eastAsia" w:ascii="仿宋_GB2312" w:hAnsi="仿宋_GB2312" w:eastAsia="仿宋_GB2312" w:cs="仿宋_GB2312"/>
          <w:color w:val="auto"/>
          <w:sz w:val="30"/>
          <w:szCs w:val="30"/>
          <w:highlight w:val="none"/>
          <w:u w:val="single"/>
        </w:rPr>
        <w:t>7</w:t>
      </w:r>
      <w:r>
        <w:rPr>
          <w:rFonts w:hint="eastAsia" w:ascii="仿宋_GB2312" w:hAnsi="仿宋_GB2312" w:eastAsia="仿宋_GB2312" w:cs="仿宋_GB2312"/>
          <w:color w:val="auto"/>
          <w:sz w:val="30"/>
          <w:szCs w:val="30"/>
          <w:highlight w:val="none"/>
        </w:rPr>
        <w:t xml:space="preserve">天内更换项目负责人。更换的项目负责人不得低于投标时承诺投入项目负责人的标准。 </w:t>
      </w:r>
    </w:p>
    <w:p w14:paraId="5446E838">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设计人无正当理由拒绝更换项目负责人的违约责任：</w:t>
      </w:r>
      <w:r>
        <w:rPr>
          <w:rFonts w:ascii="仿宋_GB2312" w:hAnsi="仿宋_GB2312" w:eastAsia="仿宋_GB2312" w:cs="仿宋_GB2312"/>
          <w:color w:val="auto"/>
          <w:sz w:val="30"/>
          <w:szCs w:val="30"/>
          <w:highlight w:val="none"/>
          <w:u w:val="single"/>
        </w:rPr>
        <w:t>设计人的项目负责人或关键人员不能很好地履行合同服务或服务质量达不到发包人要求，发包人有权要求设计人限时更换人员如设计人无正当理由拒绝更换的，发包人按每人每次向设计人索赔设计费的 5%（百分之五）。</w:t>
      </w:r>
      <w:r>
        <w:rPr>
          <w:rFonts w:hint="eastAsia" w:ascii="仿宋_GB2312" w:hAnsi="仿宋_GB2312" w:eastAsia="仿宋_GB2312" w:cs="仿宋_GB2312"/>
          <w:color w:val="auto"/>
          <w:sz w:val="30"/>
          <w:szCs w:val="30"/>
          <w:highlight w:val="none"/>
          <w:u w:val="single"/>
        </w:rPr>
        <w:t>若因此给发包人造成损失的，还应当赔偿损失。</w:t>
      </w:r>
    </w:p>
    <w:p w14:paraId="01B52011">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3.3设计人人员</w:t>
      </w:r>
    </w:p>
    <w:p w14:paraId="2C168A00">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3.3.1  设计人提交项目管理机构及人员安排报告的期限：</w:t>
      </w:r>
      <w:r>
        <w:rPr>
          <w:rFonts w:hint="eastAsia" w:ascii="仿宋_GB2312" w:hAnsi="仿宋_GB2312" w:eastAsia="仿宋_GB2312" w:cs="仿宋_GB2312"/>
          <w:color w:val="auto"/>
          <w:sz w:val="30"/>
          <w:szCs w:val="30"/>
          <w:highlight w:val="none"/>
          <w:u w:val="single"/>
        </w:rPr>
        <w:t>合同签订后5个日历日内。</w:t>
      </w:r>
    </w:p>
    <w:p w14:paraId="4E19F576">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3.3.3  设计人无正当理由拒绝撤换</w:t>
      </w:r>
      <w:r>
        <w:rPr>
          <w:rFonts w:hint="eastAsia" w:ascii="仿宋_GB2312" w:hAnsi="仿宋_GB2312" w:eastAsia="仿宋_GB2312" w:cs="仿宋_GB2312"/>
          <w:color w:val="auto"/>
          <w:sz w:val="30"/>
          <w:szCs w:val="30"/>
          <w:highlight w:val="none"/>
          <w:u w:val="single"/>
        </w:rPr>
        <w:t>主要设计人员（</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rPr>
        <w:t>的违约责任：</w:t>
      </w:r>
      <w:r>
        <w:rPr>
          <w:rFonts w:hint="eastAsia" w:ascii="仿宋_GB2312" w:hAnsi="仿宋_GB2312" w:eastAsia="仿宋_GB2312" w:cs="仿宋_GB2312"/>
          <w:color w:val="auto"/>
          <w:sz w:val="30"/>
          <w:szCs w:val="30"/>
          <w:highlight w:val="none"/>
          <w:u w:val="single"/>
        </w:rPr>
        <w:t>发包人有权向设计人收取</w:t>
      </w:r>
      <w:r>
        <w:rPr>
          <w:rFonts w:ascii="仿宋_GB2312" w:hAnsi="仿宋_GB2312" w:eastAsia="仿宋_GB2312" w:cs="仿宋_GB2312"/>
          <w:color w:val="auto"/>
          <w:sz w:val="30"/>
          <w:szCs w:val="30"/>
          <w:highlight w:val="none"/>
          <w:u w:val="single"/>
        </w:rPr>
        <w:t>10000元违约金/人/天，</w:t>
      </w:r>
      <w:r>
        <w:rPr>
          <w:rFonts w:hint="eastAsia" w:ascii="仿宋_GB2312" w:hAnsi="仿宋_GB2312" w:eastAsia="仿宋_GB2312" w:cs="仿宋_GB2312"/>
          <w:color w:val="auto"/>
          <w:sz w:val="30"/>
          <w:szCs w:val="30"/>
          <w:highlight w:val="none"/>
          <w:u w:val="single"/>
        </w:rPr>
        <w:t>设计人需承担违约给发包人造成的一切损失及责任。</w:t>
      </w:r>
    </w:p>
    <w:p w14:paraId="6FE5D0E9">
      <w:pPr>
        <w:pStyle w:val="84"/>
        <w:spacing w:after="0"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以上（专用条款的3.2.2、3.2.3、3.3.3）有关违约赔偿，所有违约金全部从设计费中扣除。在本合同期内，履约保证金因设计人违约而扣除罚金后，设计人应在接收到发包人通知后5个工作日内补足履约保证金。</w:t>
      </w:r>
    </w:p>
    <w:p w14:paraId="60A029C7">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3.4设计分包</w:t>
      </w:r>
    </w:p>
    <w:p w14:paraId="24D317A1">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3.4.1设计分包的一般约定</w:t>
      </w:r>
    </w:p>
    <w:p w14:paraId="62880435">
      <w:pPr>
        <w:pStyle w:val="84"/>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禁止设计分包的工程包括：</w:t>
      </w:r>
      <w:r>
        <w:rPr>
          <w:rFonts w:hint="eastAsia" w:ascii="仿宋_GB2312" w:hAnsi="仿宋_GB2312" w:eastAsia="仿宋_GB2312" w:cs="仿宋_GB2312"/>
          <w:color w:val="auto"/>
          <w:spacing w:val="-1"/>
          <w:sz w:val="30"/>
          <w:szCs w:val="30"/>
          <w:highlight w:val="none"/>
          <w:u w:val="single"/>
        </w:rPr>
        <w:t xml:space="preserve"> 主体建筑设计与结构设计</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p>
    <w:p w14:paraId="21F50C70">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3.4.2设计分包的确定</w:t>
      </w:r>
    </w:p>
    <w:p w14:paraId="2CCE3AF0">
      <w:pPr>
        <w:pStyle w:val="84"/>
        <w:spacing w:after="0" w:line="360" w:lineRule="auto"/>
        <w:ind w:firstLine="592"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2"/>
          <w:sz w:val="30"/>
          <w:szCs w:val="30"/>
          <w:highlight w:val="none"/>
        </w:rPr>
        <w:t>允许分包的专业工程包括：</w:t>
      </w:r>
      <w:r>
        <w:rPr>
          <w:rFonts w:hint="eastAsia" w:ascii="仿宋_GB2312" w:hAnsi="仿宋_GB2312" w:eastAsia="仿宋_GB2312" w:cs="仿宋_GB2312"/>
          <w:color w:val="auto"/>
          <w:spacing w:val="1"/>
          <w:sz w:val="30"/>
          <w:szCs w:val="30"/>
          <w:highlight w:val="none"/>
        </w:rPr>
        <w:t>（</w:t>
      </w:r>
      <w:r>
        <w:rPr>
          <w:rFonts w:ascii="仿宋_GB2312" w:hAnsi="仿宋_GB2312" w:eastAsia="仿宋_GB2312" w:cs="仿宋_GB2312"/>
          <w:color w:val="auto"/>
          <w:spacing w:val="1"/>
          <w:sz w:val="30"/>
          <w:szCs w:val="30"/>
          <w:highlight w:val="none"/>
        </w:rPr>
        <w:t>1</w:t>
      </w:r>
      <w:r>
        <w:rPr>
          <w:rFonts w:hint="eastAsia" w:ascii="仿宋_GB2312" w:hAnsi="仿宋_GB2312" w:eastAsia="仿宋_GB2312" w:cs="仿宋_GB2312"/>
          <w:color w:val="auto"/>
          <w:spacing w:val="1"/>
          <w:sz w:val="30"/>
          <w:szCs w:val="30"/>
          <w:highlight w:val="none"/>
        </w:rPr>
        <w:t>）发包人对专业分包有要求的（如建筑方案设计等，发包人可以根据实际情况进行调整），设计人应当选择满足合同要求、规模适当、信誉良好的分包人报发包人确认，否则发包人有权拒绝设计人的分包请求和设计人选择的分包人。（</w:t>
      </w:r>
      <w:r>
        <w:rPr>
          <w:rFonts w:ascii="仿宋_GB2312" w:hAnsi="仿宋_GB2312" w:eastAsia="仿宋_GB2312" w:cs="仿宋_GB2312"/>
          <w:color w:val="auto"/>
          <w:spacing w:val="1"/>
          <w:sz w:val="30"/>
          <w:szCs w:val="30"/>
          <w:highlight w:val="none"/>
        </w:rPr>
        <w:t>2</w:t>
      </w:r>
      <w:r>
        <w:rPr>
          <w:rFonts w:hint="eastAsia" w:ascii="仿宋_GB2312" w:hAnsi="仿宋_GB2312" w:eastAsia="仿宋_GB2312" w:cs="仿宋_GB2312"/>
          <w:color w:val="auto"/>
          <w:spacing w:val="1"/>
          <w:sz w:val="30"/>
          <w:szCs w:val="30"/>
          <w:highlight w:val="none"/>
        </w:rPr>
        <w:t>）在分包合同签订后，设计人应当提交一份合同给发包人，设计人应保证分包工作不得再次分包。（</w:t>
      </w:r>
      <w:r>
        <w:rPr>
          <w:rFonts w:ascii="仿宋_GB2312" w:hAnsi="仿宋_GB2312" w:eastAsia="仿宋_GB2312" w:cs="仿宋_GB2312"/>
          <w:color w:val="auto"/>
          <w:spacing w:val="1"/>
          <w:sz w:val="30"/>
          <w:szCs w:val="30"/>
          <w:highlight w:val="none"/>
        </w:rPr>
        <w:t>3</w:t>
      </w:r>
      <w:r>
        <w:rPr>
          <w:rFonts w:hint="eastAsia" w:ascii="仿宋_GB2312" w:hAnsi="仿宋_GB2312" w:eastAsia="仿宋_GB2312" w:cs="仿宋_GB2312"/>
          <w:color w:val="auto"/>
          <w:spacing w:val="1"/>
          <w:sz w:val="30"/>
          <w:szCs w:val="30"/>
          <w:highlight w:val="none"/>
        </w:rPr>
        <w:t>）未经发包人审批同意的分包工程和分包人，发包人有权拒绝接收分包设计文件和支付相应设计费，由此引起的后果和责任由设计人承担。</w:t>
      </w:r>
    </w:p>
    <w:p w14:paraId="79E7FCF1">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其他关于分包的约定：</w:t>
      </w:r>
      <w:r>
        <w:rPr>
          <w:rFonts w:hint="eastAsia" w:ascii="仿宋_GB2312" w:hAnsi="仿宋_GB2312" w:eastAsia="仿宋_GB2312" w:cs="仿宋_GB2312"/>
          <w:color w:val="auto"/>
          <w:sz w:val="30"/>
          <w:szCs w:val="30"/>
          <w:highlight w:val="none"/>
          <w:u w:val="single"/>
        </w:rPr>
        <w:t xml:space="preserve"> 设计人所委托的设计单位要有相应的资质、能力和相关业绩，并经发包人书面同意</w:t>
      </w:r>
      <w:r>
        <w:rPr>
          <w:rFonts w:hint="eastAsia" w:ascii="仿宋_GB2312" w:hAnsi="仿宋_GB2312" w:eastAsia="仿宋_GB2312" w:cs="仿宋_GB2312"/>
          <w:color w:val="auto"/>
          <w:sz w:val="30"/>
          <w:szCs w:val="30"/>
          <w:highlight w:val="none"/>
        </w:rPr>
        <w:t xml:space="preserve">。 </w:t>
      </w:r>
    </w:p>
    <w:p w14:paraId="41F47A4C">
      <w:pPr>
        <w:pStyle w:val="84"/>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3.4.3  设计人向发包人提交有关分包人资料包括：</w:t>
      </w:r>
      <w:r>
        <w:rPr>
          <w:rFonts w:hint="eastAsia" w:ascii="仿宋_GB2312" w:hAnsi="仿宋_GB2312" w:eastAsia="仿宋_GB2312" w:cs="仿宋_GB2312"/>
          <w:color w:val="auto"/>
          <w:spacing w:val="-1"/>
          <w:sz w:val="30"/>
          <w:szCs w:val="30"/>
          <w:highlight w:val="none"/>
          <w:u w:val="single"/>
        </w:rPr>
        <w:t xml:space="preserve"> 分包人营业执照、资质、主要工</w:t>
      </w:r>
      <w:r>
        <w:rPr>
          <w:rFonts w:hint="eastAsia" w:ascii="仿宋_GB2312" w:hAnsi="仿宋_GB2312" w:eastAsia="仿宋_GB2312" w:cs="仿宋_GB2312"/>
          <w:color w:val="auto"/>
          <w:sz w:val="30"/>
          <w:szCs w:val="30"/>
          <w:highlight w:val="none"/>
          <w:u w:val="single"/>
        </w:rPr>
        <w:t>程设计人员名单</w:t>
      </w:r>
      <w:r>
        <w:rPr>
          <w:rFonts w:hint="eastAsia" w:ascii="仿宋_GB2312" w:hAnsi="仿宋_GB2312" w:eastAsia="仿宋_GB2312" w:cs="仿宋_GB2312"/>
          <w:color w:val="auto"/>
          <w:spacing w:val="-1"/>
          <w:sz w:val="30"/>
          <w:szCs w:val="30"/>
          <w:highlight w:val="none"/>
          <w:u w:val="single"/>
        </w:rPr>
        <w:t>、相关业绩等</w:t>
      </w:r>
      <w:r>
        <w:rPr>
          <w:rFonts w:hint="eastAsia" w:ascii="仿宋_GB2312" w:hAnsi="仿宋_GB2312" w:eastAsia="仿宋_GB2312" w:cs="仿宋_GB2312"/>
          <w:color w:val="auto"/>
          <w:spacing w:val="-1"/>
          <w:sz w:val="30"/>
          <w:szCs w:val="30"/>
          <w:highlight w:val="none"/>
        </w:rPr>
        <w:t>。</w:t>
      </w:r>
    </w:p>
    <w:p w14:paraId="1D9B3950">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3.4.4  分包工程设计费支付方式：</w:t>
      </w:r>
      <w:r>
        <w:rPr>
          <w:rFonts w:ascii="仿宋_GB2312" w:hAnsi="仿宋_GB2312" w:eastAsia="仿宋_GB2312" w:cs="仿宋_GB2312"/>
          <w:color w:val="auto"/>
          <w:sz w:val="30"/>
          <w:szCs w:val="30"/>
          <w:highlight w:val="none"/>
          <w:u w:val="single"/>
        </w:rPr>
        <w:t>按通用条款</w:t>
      </w:r>
      <w:r>
        <w:rPr>
          <w:rFonts w:hint="eastAsia" w:ascii="仿宋_GB2312" w:hAnsi="仿宋_GB2312" w:eastAsia="仿宋_GB2312" w:cs="仿宋_GB2312"/>
          <w:color w:val="auto"/>
          <w:sz w:val="30"/>
          <w:szCs w:val="30"/>
          <w:highlight w:val="none"/>
          <w:u w:val="single"/>
        </w:rPr>
        <w:t>3.4.4</w:t>
      </w:r>
      <w:r>
        <w:rPr>
          <w:rFonts w:ascii="仿宋_GB2312" w:hAnsi="仿宋_GB2312" w:eastAsia="仿宋_GB2312" w:cs="仿宋_GB2312"/>
          <w:color w:val="auto"/>
          <w:sz w:val="30"/>
          <w:szCs w:val="30"/>
          <w:highlight w:val="none"/>
          <w:u w:val="single"/>
        </w:rPr>
        <w:t>执行</w:t>
      </w:r>
      <w:r>
        <w:rPr>
          <w:rFonts w:hint="eastAsia" w:ascii="仿宋_GB2312" w:hAnsi="仿宋_GB2312" w:eastAsia="仿宋_GB2312" w:cs="仿宋_GB2312"/>
          <w:color w:val="auto"/>
          <w:sz w:val="30"/>
          <w:szCs w:val="30"/>
          <w:highlight w:val="none"/>
        </w:rPr>
        <w:t>。</w:t>
      </w:r>
    </w:p>
    <w:p w14:paraId="4432B34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3.5联合体</w:t>
      </w:r>
    </w:p>
    <w:p w14:paraId="192EDF19">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3.5.4  发包人向联合体支付设计费用的方式：按照联合体协议书约定的联合体双方承接设计内容</w:t>
      </w:r>
      <w:r>
        <w:rPr>
          <w:rFonts w:hint="eastAsia" w:ascii="仿宋_GB2312" w:hAnsi="仿宋_GB2312" w:eastAsia="仿宋_GB2312" w:cs="仿宋_GB2312"/>
          <w:color w:val="auto"/>
          <w:spacing w:val="-7"/>
          <w:sz w:val="30"/>
          <w:szCs w:val="30"/>
          <w:highlight w:val="none"/>
        </w:rPr>
        <w:t>比例进行支付。</w:t>
      </w:r>
    </w:p>
    <w:p w14:paraId="47149464">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3.6履约担保</w:t>
      </w:r>
    </w:p>
    <w:p w14:paraId="44C38199">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设计人是否提供履约担保：</w:t>
      </w:r>
      <w:r>
        <w:rPr>
          <w:rFonts w:hint="eastAsia" w:ascii="仿宋_GB2312" w:hAnsi="仿宋_GB2312" w:eastAsia="仿宋_GB2312" w:cs="仿宋_GB2312"/>
          <w:color w:val="auto"/>
          <w:sz w:val="30"/>
          <w:szCs w:val="30"/>
          <w:highlight w:val="none"/>
          <w:u w:val="single"/>
        </w:rPr>
        <w:sym w:font="Wingdings" w:char="00A8"/>
      </w:r>
      <w:r>
        <w:rPr>
          <w:rFonts w:hint="eastAsia" w:ascii="仿宋_GB2312" w:hAnsi="仿宋_GB2312" w:eastAsia="仿宋_GB2312" w:cs="仿宋_GB2312"/>
          <w:color w:val="auto"/>
          <w:sz w:val="30"/>
          <w:szCs w:val="30"/>
          <w:highlight w:val="none"/>
          <w:u w:val="single"/>
        </w:rPr>
        <w:t>是</w:t>
      </w:r>
      <w:r>
        <w:rPr>
          <w:rStyle w:val="44"/>
          <w:rFonts w:hint="eastAsia" w:ascii="仿宋_GB2312" w:hAnsi="仿宋_GB2312" w:eastAsia="仿宋_GB2312" w:cs="仿宋_GB2312"/>
          <w:color w:val="auto"/>
          <w:sz w:val="30"/>
          <w:szCs w:val="30"/>
          <w:highlight w:val="none"/>
          <w:u w:val="single"/>
        </w:rPr>
        <w:t>；</w:t>
      </w:r>
      <w:r>
        <w:rPr>
          <w:rStyle w:val="44"/>
          <w:rFonts w:hint="eastAsia" w:ascii="仿宋_GB2312" w:hAnsi="仿宋_GB2312" w:eastAsia="仿宋_GB2312" w:cs="仿宋_GB2312"/>
          <w:color w:val="auto"/>
          <w:sz w:val="30"/>
          <w:szCs w:val="30"/>
          <w:highlight w:val="none"/>
          <w:u w:val="single"/>
        </w:rPr>
        <w:sym w:font="Wingdings" w:char="00FE"/>
      </w:r>
      <w:r>
        <w:rPr>
          <w:rStyle w:val="44"/>
          <w:rFonts w:hint="eastAsia" w:ascii="仿宋_GB2312" w:hAnsi="仿宋_GB2312" w:eastAsia="仿宋_GB2312" w:cs="仿宋_GB2312"/>
          <w:color w:val="auto"/>
          <w:sz w:val="30"/>
          <w:szCs w:val="30"/>
          <w:highlight w:val="none"/>
          <w:u w:val="single"/>
        </w:rPr>
        <w:t>否</w:t>
      </w:r>
      <w:r>
        <w:rPr>
          <w:rFonts w:hint="eastAsia" w:ascii="仿宋_GB2312" w:hAnsi="仿宋_GB2312" w:eastAsia="仿宋_GB2312" w:cs="仿宋_GB2312"/>
          <w:color w:val="auto"/>
          <w:sz w:val="30"/>
          <w:szCs w:val="30"/>
          <w:highlight w:val="none"/>
        </w:rPr>
        <w:t>。</w:t>
      </w:r>
    </w:p>
    <w:p w14:paraId="7D7DA3B7">
      <w:pPr>
        <w:pStyle w:val="84"/>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设计人在收到中标通知书后，须在</w:t>
      </w:r>
      <w:r>
        <w:rPr>
          <w:rFonts w:hint="eastAsia" w:ascii="仿宋_GB2312" w:hAnsi="仿宋_GB2312" w:eastAsia="仿宋_GB2312" w:cs="仿宋_GB2312"/>
          <w:color w:val="auto"/>
          <w:sz w:val="30"/>
          <w:szCs w:val="30"/>
          <w:highlight w:val="none"/>
          <w:u w:val="single"/>
        </w:rPr>
        <w:t>30</w:t>
      </w:r>
      <w:r>
        <w:rPr>
          <w:rFonts w:hint="eastAsia" w:ascii="仿宋_GB2312" w:hAnsi="仿宋_GB2312" w:eastAsia="仿宋_GB2312" w:cs="仿宋_GB2312"/>
          <w:color w:val="auto"/>
          <w:sz w:val="30"/>
          <w:szCs w:val="30"/>
          <w:highlight w:val="none"/>
        </w:rPr>
        <w:t>日内向发包人提交履约担保。</w:t>
      </w:r>
    </w:p>
    <w:p w14:paraId="3932A406">
      <w:pPr>
        <w:pStyle w:val="86"/>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设计人提供履约担保的形式、金额、期限及退回：</w:t>
      </w:r>
    </w:p>
    <w:p w14:paraId="333822B5">
      <w:pPr>
        <w:pStyle w:val="86"/>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形式：</w:t>
      </w:r>
      <w:r>
        <w:rPr>
          <w:rFonts w:hint="eastAsia" w:ascii="仿宋_GB2312" w:hAnsi="仿宋_GB2312" w:eastAsia="仿宋_GB2312" w:cs="仿宋_GB2312"/>
          <w:color w:val="auto"/>
          <w:sz w:val="30"/>
          <w:szCs w:val="30"/>
          <w:highlight w:val="none"/>
          <w:u w:val="single"/>
        </w:rPr>
        <w:t>可以采用现金、银行保函、工程担保、电子保函或保证保险等形式</w:t>
      </w:r>
      <w:r>
        <w:rPr>
          <w:rFonts w:hint="eastAsia" w:ascii="仿宋_GB2312" w:hAnsi="仿宋_GB2312" w:eastAsia="仿宋_GB2312" w:cs="仿宋_GB2312"/>
          <w:color w:val="auto"/>
          <w:sz w:val="30"/>
          <w:szCs w:val="30"/>
          <w:highlight w:val="none"/>
        </w:rPr>
        <w:t>。</w:t>
      </w:r>
    </w:p>
    <w:p w14:paraId="57AED140">
      <w:pPr>
        <w:pStyle w:val="86"/>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金额：履约担保为合同价款的</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，即人民币（大写）</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2F8F8E34">
      <w:pPr>
        <w:pStyle w:val="86"/>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期限：履约担保的有效期应当自本合同生效之日起至设计人设计阶段完成之日止。但采用履约保函时，如果设计人无法获得一份不带具体截止日期的担保，履约担保中应当有“变更设计阶段完成日期的，保证期间按照变更后的设计阶段完成日期做相应调整”或类似约定的条款。</w:t>
      </w:r>
    </w:p>
    <w:p w14:paraId="32DB6A50">
      <w:pPr>
        <w:pStyle w:val="84"/>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退回：履约保证金在设计阶段完成7日后可向发包人提出退回履约保证金的申请，发包人应在收到申请之日起28个日历天内扣减设计人赔偿金和其他应从设计人扣回的款项后，将履约金的余额退还给设计人（无息）。</w:t>
      </w:r>
    </w:p>
    <w:p w14:paraId="1DAB7E62">
      <w:pPr>
        <w:pStyle w:val="7"/>
        <w:keepNext/>
        <w:keepLines/>
        <w:numPr>
          <w:ilvl w:val="255"/>
          <w:numId w:val="0"/>
        </w:numPr>
        <w:jc w:val="both"/>
        <w:rPr>
          <w:rFonts w:eastAsia="黑体"/>
          <w:bCs/>
          <w:color w:val="auto"/>
          <w:sz w:val="32"/>
          <w:highlight w:val="none"/>
        </w:rPr>
      </w:pPr>
      <w:bookmarkStart w:id="1325" w:name="_Toc5114"/>
      <w:bookmarkStart w:id="1326" w:name="_Toc15406"/>
      <w:bookmarkStart w:id="1327" w:name="_Toc9846"/>
      <w:bookmarkStart w:id="1328" w:name="_Toc10391"/>
      <w:bookmarkStart w:id="1329" w:name="_Toc22357"/>
      <w:r>
        <w:rPr>
          <w:rFonts w:eastAsia="黑体"/>
          <w:bCs/>
          <w:color w:val="auto"/>
          <w:sz w:val="32"/>
          <w:highlight w:val="none"/>
        </w:rPr>
        <w:t>4.工程设计资料</w:t>
      </w:r>
      <w:bookmarkEnd w:id="1325"/>
      <w:bookmarkEnd w:id="1326"/>
      <w:bookmarkEnd w:id="1327"/>
      <w:bookmarkEnd w:id="1328"/>
      <w:bookmarkEnd w:id="1329"/>
    </w:p>
    <w:p w14:paraId="7206F59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4.1 发包人向设计人提交有关资料：</w:t>
      </w:r>
      <w:r>
        <w:rPr>
          <w:rFonts w:hint="eastAsia"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color w:val="auto"/>
          <w:spacing w:val="1"/>
          <w:sz w:val="30"/>
          <w:szCs w:val="30"/>
          <w:highlight w:val="none"/>
          <w:u w:val="single"/>
        </w:rPr>
        <w:t>详见附件2</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none"/>
        </w:rPr>
        <w:t>。</w:t>
      </w:r>
    </w:p>
    <w:p w14:paraId="2E7B63EB">
      <w:pPr>
        <w:pStyle w:val="7"/>
        <w:keepNext/>
        <w:keepLines/>
        <w:ind w:firstLine="0" w:firstLineChars="0"/>
        <w:jc w:val="both"/>
        <w:rPr>
          <w:rFonts w:eastAsia="黑体"/>
          <w:bCs/>
          <w:color w:val="auto"/>
          <w:sz w:val="32"/>
          <w:highlight w:val="none"/>
        </w:rPr>
      </w:pPr>
      <w:bookmarkStart w:id="1330" w:name="_Toc17160"/>
      <w:bookmarkStart w:id="1331" w:name="_Toc22560"/>
      <w:bookmarkStart w:id="1332" w:name="_Toc24669"/>
      <w:bookmarkStart w:id="1333" w:name="_Toc11395"/>
      <w:bookmarkStart w:id="1334" w:name="_Toc21538"/>
      <w:r>
        <w:rPr>
          <w:rFonts w:eastAsia="黑体"/>
          <w:bCs/>
          <w:color w:val="auto"/>
          <w:sz w:val="32"/>
          <w:highlight w:val="none"/>
        </w:rPr>
        <w:t>5.工程设计要求</w:t>
      </w:r>
      <w:bookmarkEnd w:id="1330"/>
      <w:bookmarkEnd w:id="1331"/>
      <w:bookmarkEnd w:id="1332"/>
      <w:bookmarkEnd w:id="1333"/>
      <w:bookmarkEnd w:id="1334"/>
    </w:p>
    <w:p w14:paraId="28310571">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5.1工程设计一般要求</w:t>
      </w:r>
    </w:p>
    <w:p w14:paraId="2F84F22E">
      <w:pPr>
        <w:pStyle w:val="84"/>
        <w:spacing w:after="0" w:line="360" w:lineRule="auto"/>
        <w:ind w:firstLine="420" w:firstLineChars="200"/>
        <w:rPr>
          <w:rFonts w:ascii="仿宋_GB2312" w:hAnsi="仿宋_GB2312" w:eastAsia="仿宋_GB2312" w:cs="仿宋_GB2312"/>
          <w:color w:val="auto"/>
          <w:spacing w:val="1"/>
          <w:sz w:val="30"/>
          <w:szCs w:val="30"/>
          <w:highlight w:val="none"/>
          <w:u w:val="single"/>
        </w:rPr>
      </w:pPr>
      <w:r>
        <w:rPr>
          <w:color w:val="auto"/>
          <w:highlight w:val="none"/>
        </w:rPr>
        <w:fldChar w:fldCharType="begin"/>
      </w:r>
      <w:r>
        <w:rPr>
          <w:color w:val="auto"/>
          <w:highlight w:val="none"/>
        </w:rPr>
        <w:instrText xml:space="preserve"> HYPERLINK "5.1.2.1" </w:instrText>
      </w:r>
      <w:r>
        <w:rPr>
          <w:color w:val="auto"/>
          <w:highlight w:val="none"/>
        </w:rPr>
        <w:fldChar w:fldCharType="separate"/>
      </w:r>
      <w:r>
        <w:rPr>
          <w:rFonts w:ascii="仿宋_GB2312" w:hAnsi="仿宋_GB2312" w:eastAsia="仿宋_GB2312" w:cs="仿宋_GB2312"/>
          <w:color w:val="auto"/>
          <w:spacing w:val="1"/>
          <w:sz w:val="30"/>
          <w:szCs w:val="30"/>
          <w:highlight w:val="none"/>
        </w:rPr>
        <w:t>5.1.2.1</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工程设计的特殊标准或要求：</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5.1.2.1 执行</w:t>
      </w:r>
      <w:r>
        <w:rPr>
          <w:rFonts w:ascii="仿宋_GB2312" w:hAnsi="仿宋_GB2312" w:eastAsia="仿宋_GB2312" w:cs="仿宋_GB2312"/>
          <w:color w:val="auto"/>
          <w:spacing w:val="1"/>
          <w:sz w:val="30"/>
          <w:szCs w:val="30"/>
          <w:highlight w:val="none"/>
        </w:rPr>
        <w:t>。</w:t>
      </w:r>
    </w:p>
    <w:p w14:paraId="7E88E427">
      <w:pPr>
        <w:pStyle w:val="84"/>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"5.1.2.2" </w:instrText>
      </w:r>
      <w:r>
        <w:rPr>
          <w:color w:val="auto"/>
          <w:highlight w:val="none"/>
        </w:rPr>
        <w:fldChar w:fldCharType="separate"/>
      </w:r>
      <w:r>
        <w:rPr>
          <w:rFonts w:ascii="仿宋_GB2312" w:hAnsi="仿宋_GB2312" w:eastAsia="仿宋_GB2312" w:cs="仿宋_GB2312"/>
          <w:color w:val="auto"/>
          <w:spacing w:val="1"/>
          <w:sz w:val="30"/>
          <w:szCs w:val="30"/>
          <w:highlight w:val="none"/>
        </w:rPr>
        <w:t>5.1.2.2</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工程设计适用的技术标准：</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5.1.2.2 执行</w:t>
      </w:r>
      <w:r>
        <w:rPr>
          <w:rFonts w:ascii="仿宋_GB2312" w:hAnsi="仿宋_GB2312" w:eastAsia="仿宋_GB2312" w:cs="仿宋_GB2312"/>
          <w:color w:val="auto"/>
          <w:spacing w:val="1"/>
          <w:sz w:val="30"/>
          <w:szCs w:val="30"/>
          <w:highlight w:val="none"/>
          <w:u w:val="single"/>
        </w:rPr>
        <w:t xml:space="preserve"> 。</w:t>
      </w:r>
    </w:p>
    <w:p w14:paraId="10697D8A">
      <w:pPr>
        <w:pStyle w:val="84"/>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"5.1.2.4" </w:instrText>
      </w:r>
      <w:r>
        <w:rPr>
          <w:color w:val="auto"/>
          <w:highlight w:val="none"/>
        </w:rPr>
        <w:fldChar w:fldCharType="separate"/>
      </w:r>
      <w:r>
        <w:rPr>
          <w:rFonts w:ascii="仿宋_GB2312" w:hAnsi="仿宋_GB2312" w:eastAsia="仿宋_GB2312" w:cs="仿宋_GB2312"/>
          <w:color w:val="auto"/>
          <w:spacing w:val="1"/>
          <w:sz w:val="30"/>
          <w:szCs w:val="30"/>
          <w:highlight w:val="none"/>
        </w:rPr>
        <w:t>5.1.2.4</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工程设计文件的主要技术指标控制值及比例：</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设计人应当严格执行其双方书面确认的主要技术指标控制值，由于设计人的原因导致工程设计文件超出在专用合同条款中约定的主要技术指标控制值比例的，设计人应当承担相应的违约责任</w:t>
      </w:r>
      <w:r>
        <w:rPr>
          <w:rFonts w:ascii="仿宋_GB2312" w:hAnsi="仿宋_GB2312" w:eastAsia="仿宋_GB2312" w:cs="仿宋_GB2312"/>
          <w:color w:val="auto"/>
          <w:spacing w:val="1"/>
          <w:sz w:val="30"/>
          <w:szCs w:val="30"/>
          <w:highlight w:val="none"/>
        </w:rPr>
        <w:t>。</w:t>
      </w:r>
    </w:p>
    <w:p w14:paraId="0A742EB0">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5.3工程设计文件的要求</w:t>
      </w:r>
    </w:p>
    <w:p w14:paraId="5807BD06">
      <w:pPr>
        <w:pStyle w:val="84"/>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5.3.3  工程设计文件深度规定：</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5.3.3 执行</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w:t>
      </w:r>
    </w:p>
    <w:p w14:paraId="478188AE">
      <w:pPr>
        <w:pStyle w:val="84"/>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5.3.5  建筑物及其功能设施的合理使用寿命年限：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5.3.5 执行</w:t>
      </w:r>
      <w:r>
        <w:rPr>
          <w:rFonts w:ascii="仿宋_GB2312" w:hAnsi="仿宋_GB2312" w:eastAsia="仿宋_GB2312" w:cs="仿宋_GB2312"/>
          <w:color w:val="auto"/>
          <w:sz w:val="30"/>
          <w:szCs w:val="30"/>
          <w:highlight w:val="none"/>
          <w:u w:val="single"/>
        </w:rPr>
        <w:t>。</w:t>
      </w:r>
    </w:p>
    <w:p w14:paraId="4AAF12A8">
      <w:pPr>
        <w:pStyle w:val="7"/>
        <w:keepNext/>
        <w:keepLines/>
        <w:ind w:firstLine="0" w:firstLineChars="0"/>
        <w:jc w:val="both"/>
        <w:rPr>
          <w:rFonts w:eastAsia="黑体"/>
          <w:bCs/>
          <w:color w:val="auto"/>
          <w:sz w:val="32"/>
          <w:highlight w:val="none"/>
        </w:rPr>
      </w:pPr>
      <w:bookmarkStart w:id="1335" w:name="_Toc30497"/>
      <w:bookmarkStart w:id="1336" w:name="_Toc5046"/>
      <w:bookmarkStart w:id="1337" w:name="_Toc26016"/>
      <w:bookmarkStart w:id="1338" w:name="_Toc13318"/>
      <w:bookmarkStart w:id="1339" w:name="_Toc25596"/>
      <w:r>
        <w:rPr>
          <w:rFonts w:eastAsia="黑体"/>
          <w:bCs/>
          <w:color w:val="auto"/>
          <w:sz w:val="32"/>
          <w:highlight w:val="none"/>
        </w:rPr>
        <w:t>6.工程设计进度与周期</w:t>
      </w:r>
      <w:bookmarkEnd w:id="1335"/>
      <w:bookmarkEnd w:id="1336"/>
      <w:bookmarkEnd w:id="1337"/>
      <w:bookmarkEnd w:id="1338"/>
      <w:bookmarkEnd w:id="1339"/>
    </w:p>
    <w:p w14:paraId="09D1A10A">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6.1工程设计进度计划</w:t>
      </w:r>
    </w:p>
    <w:p w14:paraId="031FD03E">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6.1.1  工程设计进度计划的编制</w:t>
      </w:r>
    </w:p>
    <w:p w14:paraId="621E4594">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合同当事人约定的工程设计进度计划提交的时间：</w:t>
      </w:r>
      <w:r>
        <w:rPr>
          <w:rFonts w:hint="eastAsia" w:ascii="仿宋_GB2312" w:hAnsi="仿宋_GB2312" w:eastAsia="仿宋_GB2312" w:cs="仿宋_GB2312"/>
          <w:color w:val="auto"/>
          <w:spacing w:val="-1"/>
          <w:sz w:val="30"/>
          <w:szCs w:val="30"/>
          <w:highlight w:val="none"/>
          <w:u w:val="single"/>
        </w:rPr>
        <w:t xml:space="preserve"> 合同签订后5个日历天内  </w:t>
      </w:r>
      <w:r>
        <w:rPr>
          <w:rFonts w:hint="eastAsia" w:ascii="仿宋_GB2312" w:hAnsi="仿宋_GB2312" w:eastAsia="仿宋_GB2312" w:cs="仿宋_GB2312"/>
          <w:color w:val="auto"/>
          <w:spacing w:val="-1"/>
          <w:sz w:val="30"/>
          <w:szCs w:val="30"/>
          <w:highlight w:val="none"/>
        </w:rPr>
        <w:t>。</w:t>
      </w:r>
    </w:p>
    <w:p w14:paraId="08FB7C2A">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合同当事人约定的工程设计进度计划应包括的内容：</w:t>
      </w:r>
      <w:r>
        <w:rPr>
          <w:rFonts w:hint="eastAsia" w:ascii="仿宋_GB2312" w:hAnsi="仿宋_GB2312" w:eastAsia="仿宋_GB2312" w:cs="仿宋_GB2312"/>
          <w:color w:val="auto"/>
          <w:spacing w:val="-2"/>
          <w:sz w:val="30"/>
          <w:szCs w:val="30"/>
          <w:highlight w:val="none"/>
          <w:u w:val="single"/>
        </w:rPr>
        <w:t xml:space="preserve"> 包含但不限于工程设计关键性控制节点、</w:t>
      </w:r>
      <w:r>
        <w:rPr>
          <w:rFonts w:hint="eastAsia" w:ascii="仿宋_GB2312" w:hAnsi="仿宋_GB2312" w:eastAsia="仿宋_GB2312" w:cs="仿宋_GB2312"/>
          <w:color w:val="auto"/>
          <w:spacing w:val="-1"/>
          <w:sz w:val="30"/>
          <w:szCs w:val="30"/>
          <w:highlight w:val="none"/>
          <w:u w:val="single"/>
        </w:rPr>
        <w:t>为确保完成工程设计进度的赶工措施等内容</w:t>
      </w:r>
      <w:r>
        <w:rPr>
          <w:rFonts w:hint="eastAsia" w:ascii="仿宋_GB2312" w:hAnsi="仿宋_GB2312" w:eastAsia="仿宋_GB2312" w:cs="仿宋_GB2312"/>
          <w:color w:val="auto"/>
          <w:spacing w:val="-1"/>
          <w:sz w:val="30"/>
          <w:szCs w:val="30"/>
          <w:highlight w:val="none"/>
        </w:rPr>
        <w:t>。</w:t>
      </w:r>
    </w:p>
    <w:p w14:paraId="765729AE">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0DE7AEF3">
      <w:pPr>
        <w:pStyle w:val="86"/>
        <w:autoSpaceDE w:val="0"/>
        <w:autoSpaceDN w:val="0"/>
        <w:adjustRightInd w:val="0"/>
        <w:spacing w:line="360" w:lineRule="auto"/>
        <w:ind w:firstLine="600" w:firstLineChars="200"/>
        <w:jc w:val="left"/>
        <w:rPr>
          <w:rFonts w:ascii="Times New Roman" w:hAnsi="Times New Roman"/>
          <w:color w:val="auto"/>
          <w:kern w:val="0"/>
          <w:szCs w:val="21"/>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hint="eastAsia" w:ascii="仿宋_GB2312" w:hAnsi="仿宋_GB2312" w:eastAsia="仿宋_GB2312" w:cs="仿宋_GB2312"/>
          <w:color w:val="auto"/>
          <w:spacing w:val="-1"/>
          <w:sz w:val="30"/>
          <w:szCs w:val="30"/>
          <w:highlight w:val="none"/>
          <w:u w:val="single"/>
        </w:rPr>
        <w:t xml:space="preserve"> </w:t>
      </w:r>
    </w:p>
    <w:p w14:paraId="4F5CA94D">
      <w:pPr>
        <w:pStyle w:val="86"/>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重大变更应在</w:t>
      </w:r>
      <w:r>
        <w:rPr>
          <w:rFonts w:ascii="仿宋_GB2312" w:hAnsi="仿宋_GB2312" w:eastAsia="仿宋_GB2312" w:cs="仿宋_GB2312"/>
          <w:color w:val="auto"/>
          <w:sz w:val="30"/>
          <w:szCs w:val="30"/>
          <w:highlight w:val="none"/>
          <w:u w:val="single"/>
        </w:rPr>
        <w:t>10</w:t>
      </w:r>
      <w:r>
        <w:rPr>
          <w:rFonts w:hint="eastAsia" w:ascii="仿宋_GB2312" w:hAnsi="仿宋_GB2312" w:eastAsia="仿宋_GB2312" w:cs="仿宋_GB2312"/>
          <w:color w:val="auto"/>
          <w:sz w:val="30"/>
          <w:szCs w:val="30"/>
          <w:highlight w:val="none"/>
          <w:u w:val="single"/>
        </w:rPr>
        <w:t>天内完成审核和批准或提出修改意见，重要变更应在</w:t>
      </w:r>
      <w:r>
        <w:rPr>
          <w:rFonts w:ascii="仿宋_GB2312" w:hAnsi="仿宋_GB2312" w:eastAsia="仿宋_GB2312" w:cs="仿宋_GB2312"/>
          <w:color w:val="auto"/>
          <w:sz w:val="30"/>
          <w:szCs w:val="30"/>
          <w:highlight w:val="none"/>
          <w:u w:val="single"/>
        </w:rPr>
        <w:t>5</w:t>
      </w:r>
      <w:r>
        <w:rPr>
          <w:rFonts w:hint="eastAsia" w:ascii="仿宋_GB2312" w:hAnsi="仿宋_GB2312" w:eastAsia="仿宋_GB2312" w:cs="仿宋_GB2312"/>
          <w:color w:val="auto"/>
          <w:sz w:val="30"/>
          <w:szCs w:val="30"/>
          <w:highlight w:val="none"/>
          <w:u w:val="single"/>
        </w:rPr>
        <w:t>天内完成审核和批准或提出修改意见，一般设计变更图纸</w:t>
      </w:r>
      <w:r>
        <w:rPr>
          <w:rFonts w:ascii="仿宋_GB2312" w:hAnsi="仿宋_GB2312" w:eastAsia="仿宋_GB2312" w:cs="仿宋_GB2312"/>
          <w:color w:val="auto"/>
          <w:sz w:val="30"/>
          <w:szCs w:val="30"/>
          <w:highlight w:val="none"/>
          <w:u w:val="single"/>
        </w:rPr>
        <w:t>3</w:t>
      </w:r>
      <w:r>
        <w:rPr>
          <w:rFonts w:hint="eastAsia" w:ascii="仿宋_GB2312" w:hAnsi="仿宋_GB2312" w:eastAsia="仿宋_GB2312" w:cs="仿宋_GB2312"/>
          <w:color w:val="auto"/>
          <w:sz w:val="30"/>
          <w:szCs w:val="30"/>
          <w:highlight w:val="none"/>
          <w:u w:val="single"/>
        </w:rPr>
        <w:t>天内完成审核和批准或提出修改意见；工地重大事件处理</w:t>
      </w:r>
      <w:r>
        <w:rPr>
          <w:rFonts w:ascii="仿宋_GB2312" w:hAnsi="仿宋_GB2312" w:eastAsia="仿宋_GB2312" w:cs="仿宋_GB2312"/>
          <w:color w:val="auto"/>
          <w:sz w:val="30"/>
          <w:szCs w:val="30"/>
          <w:highlight w:val="none"/>
          <w:u w:val="single"/>
        </w:rPr>
        <w:t>24</w:t>
      </w:r>
      <w:r>
        <w:rPr>
          <w:rFonts w:hint="eastAsia" w:ascii="仿宋_GB2312" w:hAnsi="仿宋_GB2312" w:eastAsia="仿宋_GB2312" w:cs="仿宋_GB2312"/>
          <w:color w:val="auto"/>
          <w:sz w:val="30"/>
          <w:szCs w:val="30"/>
          <w:highlight w:val="none"/>
          <w:u w:val="single"/>
        </w:rPr>
        <w:t>小时内到达现场</w:t>
      </w:r>
      <w:r>
        <w:rPr>
          <w:rFonts w:ascii="仿宋_GB2312" w:hAnsi="仿宋_GB2312" w:eastAsia="仿宋_GB2312" w:cs="仿宋_GB2312"/>
          <w:color w:val="auto"/>
          <w:spacing w:val="-1"/>
          <w:sz w:val="30"/>
          <w:szCs w:val="30"/>
          <w:highlight w:val="none"/>
        </w:rPr>
        <w:t>。</w:t>
      </w:r>
    </w:p>
    <w:p w14:paraId="4C4B6DB6">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6.3工程设计进度延误</w:t>
      </w:r>
    </w:p>
    <w:p w14:paraId="52AF0D74">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6.3.1因发包人原因导致工程设计进度延误</w:t>
      </w:r>
    </w:p>
    <w:p w14:paraId="1CC9F6E3">
      <w:pPr>
        <w:pStyle w:val="84"/>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（4）因发包人原因导致工程设计进度延误</w:t>
      </w:r>
      <w:r>
        <w:rPr>
          <w:rFonts w:hint="eastAsia" w:ascii="仿宋_GB2312" w:hAnsi="仿宋_GB2312" w:eastAsia="仿宋_GB2312" w:cs="仿宋_GB2312"/>
          <w:color w:val="auto"/>
          <w:sz w:val="30"/>
          <w:szCs w:val="30"/>
          <w:highlight w:val="none"/>
        </w:rPr>
        <w:t>的其他情形：</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739EB1A6">
      <w:pPr>
        <w:pStyle w:val="84"/>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设计人应在发生进度延误的情形后</w:t>
      </w:r>
      <w:r>
        <w:rPr>
          <w:rFonts w:hint="eastAsia" w:ascii="仿宋_GB2312" w:hAnsi="仿宋_GB2312" w:eastAsia="仿宋_GB2312" w:cs="仿宋_GB2312"/>
          <w:color w:val="auto"/>
          <w:spacing w:val="1"/>
          <w:sz w:val="30"/>
          <w:szCs w:val="30"/>
          <w:highlight w:val="none"/>
          <w:u w:val="single"/>
        </w:rPr>
        <w:t xml:space="preserve">  5  </w:t>
      </w:r>
      <w:r>
        <w:rPr>
          <w:rFonts w:hint="eastAsia" w:ascii="仿宋_GB2312" w:hAnsi="仿宋_GB2312" w:eastAsia="仿宋_GB2312" w:cs="仿宋_GB2312"/>
          <w:color w:val="auto"/>
          <w:spacing w:val="1"/>
          <w:sz w:val="30"/>
          <w:szCs w:val="30"/>
          <w:highlight w:val="none"/>
        </w:rPr>
        <w:t>天内向发包人发出要求延期的书面通知，在发生该情形</w:t>
      </w:r>
      <w:r>
        <w:rPr>
          <w:rFonts w:hint="eastAsia" w:ascii="仿宋_GB2312" w:hAnsi="仿宋_GB2312" w:eastAsia="仿宋_GB2312" w:cs="仿宋_GB2312"/>
          <w:color w:val="auto"/>
          <w:spacing w:val="-1"/>
          <w:sz w:val="30"/>
          <w:szCs w:val="30"/>
          <w:highlight w:val="none"/>
        </w:rPr>
        <w:t>后</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天内提交要求延期的详细说明。</w:t>
      </w:r>
    </w:p>
    <w:p w14:paraId="517520EB">
      <w:pPr>
        <w:pStyle w:val="84"/>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发包人收到设计人要求延期的详细说明后，应在</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天内进行审查并书面答复。</w:t>
      </w:r>
    </w:p>
    <w:p w14:paraId="531E8F83">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6.5  提前交付工程设计文件</w:t>
      </w:r>
    </w:p>
    <w:p w14:paraId="4296C126">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6.5.2  提前交付工程设计文件的奖励：</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0BFA04CD">
      <w:pPr>
        <w:pStyle w:val="7"/>
        <w:keepNext/>
        <w:keepLines/>
        <w:ind w:firstLine="0" w:firstLineChars="0"/>
        <w:jc w:val="both"/>
        <w:rPr>
          <w:rFonts w:eastAsia="黑体"/>
          <w:bCs/>
          <w:color w:val="auto"/>
          <w:sz w:val="32"/>
          <w:highlight w:val="none"/>
        </w:rPr>
      </w:pPr>
      <w:bookmarkStart w:id="1340" w:name="_Toc27894"/>
      <w:bookmarkStart w:id="1341" w:name="_Toc8348"/>
      <w:bookmarkStart w:id="1342" w:name="_Toc5295"/>
      <w:bookmarkStart w:id="1343" w:name="_Toc6236"/>
      <w:bookmarkStart w:id="1344" w:name="_Toc24524"/>
      <w:r>
        <w:rPr>
          <w:rFonts w:eastAsia="黑体"/>
          <w:bCs/>
          <w:color w:val="auto"/>
          <w:sz w:val="32"/>
          <w:highlight w:val="none"/>
        </w:rPr>
        <w:t>7.工程设计文件交付</w:t>
      </w:r>
      <w:bookmarkEnd w:id="1340"/>
      <w:bookmarkEnd w:id="1341"/>
      <w:bookmarkEnd w:id="1342"/>
      <w:bookmarkEnd w:id="1343"/>
      <w:bookmarkEnd w:id="1344"/>
    </w:p>
    <w:p w14:paraId="370E66DD">
      <w:pPr>
        <w:pStyle w:val="8"/>
        <w:spacing w:before="120"/>
        <w:ind w:firstLine="596"/>
        <w:rPr>
          <w:rFonts w:ascii="仿宋_GB2312" w:hAnsi="仿宋_GB2312" w:eastAsia="仿宋_GB2312" w:cs="仿宋_GB2312"/>
          <w:color w:val="auto"/>
          <w:spacing w:val="-1"/>
          <w:sz w:val="30"/>
          <w:szCs w:val="30"/>
          <w:highlight w:val="none"/>
        </w:rPr>
      </w:pPr>
      <w:r>
        <w:rPr>
          <w:rFonts w:ascii="仿宋_GB2312" w:hAnsi="仿宋_GB2312" w:eastAsia="仿宋_GB2312" w:cs="仿宋_GB2312"/>
          <w:b w:val="0"/>
          <w:bCs w:val="0"/>
          <w:color w:val="auto"/>
          <w:spacing w:val="-1"/>
          <w:sz w:val="30"/>
          <w:szCs w:val="30"/>
          <w:highlight w:val="none"/>
        </w:rPr>
        <w:t>7.1  工程设计文件交付的内容</w:t>
      </w:r>
    </w:p>
    <w:p w14:paraId="1A513AE4">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7.1.2  发包人要求设计人提交电子版设计文件的具体形式为：光盘、电子邮件、网盘（有其他约定的从其约定）</w:t>
      </w:r>
      <w:r>
        <w:rPr>
          <w:rFonts w:ascii="仿宋_GB2312" w:hAnsi="仿宋_GB2312" w:eastAsia="仿宋_GB2312" w:cs="仿宋_GB2312"/>
          <w:color w:val="auto"/>
          <w:spacing w:val="-1"/>
          <w:sz w:val="30"/>
          <w:szCs w:val="30"/>
          <w:highlight w:val="none"/>
        </w:rPr>
        <w:t xml:space="preserve"> </w:t>
      </w:r>
      <w:r>
        <w:rPr>
          <w:rFonts w:hint="eastAsia" w:ascii="仿宋_GB2312" w:hAnsi="仿宋_GB2312" w:eastAsia="仿宋_GB2312" w:cs="仿宋_GB2312"/>
          <w:color w:val="auto"/>
          <w:spacing w:val="-4"/>
          <w:sz w:val="30"/>
          <w:szCs w:val="30"/>
          <w:highlight w:val="none"/>
        </w:rPr>
        <w:t>。</w:t>
      </w:r>
    </w:p>
    <w:p w14:paraId="10BAECFC">
      <w:pPr>
        <w:pStyle w:val="84"/>
        <w:spacing w:after="0" w:line="360" w:lineRule="auto"/>
        <w:ind w:firstLine="596"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1"/>
          <w:sz w:val="30"/>
          <w:szCs w:val="30"/>
          <w:highlight w:val="none"/>
        </w:rPr>
        <w:t>7.3工程设计文件交付的名称、时间和份数</w:t>
      </w:r>
      <w:r>
        <w:rPr>
          <w:rFonts w:hint="eastAsia" w:ascii="仿宋_GB2312" w:hAnsi="仿宋_GB2312" w:eastAsia="仿宋_GB2312" w:cs="仿宋_GB2312"/>
          <w:color w:val="auto"/>
          <w:spacing w:val="-50"/>
          <w:w w:val="90"/>
          <w:sz w:val="30"/>
          <w:szCs w:val="30"/>
          <w:highlight w:val="none"/>
        </w:rPr>
        <w:t>：</w:t>
      </w:r>
      <w:r>
        <w:rPr>
          <w:rFonts w:ascii="仿宋_GB2312" w:hAnsi="仿宋_GB2312" w:eastAsia="仿宋_GB2312" w:cs="仿宋_GB2312"/>
          <w:color w:val="auto"/>
          <w:sz w:val="30"/>
          <w:szCs w:val="30"/>
          <w:highlight w:val="none"/>
          <w:u w:val="single"/>
        </w:rPr>
        <w:t>详见附件3</w:t>
      </w:r>
      <w:r>
        <w:rPr>
          <w:rFonts w:hint="eastAsia" w:ascii="仿宋_GB2312" w:hAnsi="仿宋_GB2312" w:eastAsia="仿宋_GB2312" w:cs="仿宋_GB2312"/>
          <w:color w:val="auto"/>
          <w:sz w:val="30"/>
          <w:szCs w:val="30"/>
          <w:highlight w:val="none"/>
          <w:u w:val="single"/>
        </w:rPr>
        <w:t>。</w:t>
      </w:r>
    </w:p>
    <w:p w14:paraId="3274E71E">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设计人完成设计成果文件并通过相关部门审查，且按专用合同条款的7.1、7.2款交付给发包人</w:t>
      </w:r>
      <w:r>
        <w:rPr>
          <w:rFonts w:hint="eastAsia" w:ascii="仿宋_GB2312" w:hAnsi="仿宋_GB2312" w:eastAsia="仿宋_GB2312" w:cs="仿宋_GB2312"/>
          <w:color w:val="auto"/>
          <w:spacing w:val="-2"/>
          <w:sz w:val="30"/>
          <w:szCs w:val="30"/>
          <w:highlight w:val="none"/>
        </w:rPr>
        <w:t>之日为设计阶段完成日。发包人签收设计文件后的 7日内，发包人应出具设计阶段完成证明；</w:t>
      </w:r>
      <w:r>
        <w:rPr>
          <w:rFonts w:hint="eastAsia" w:ascii="仿宋_GB2312" w:hAnsi="仿宋_GB2312" w:eastAsia="仿宋_GB2312" w:cs="仿宋_GB2312"/>
          <w:color w:val="auto"/>
          <w:spacing w:val="-1"/>
          <w:sz w:val="30"/>
          <w:szCs w:val="30"/>
          <w:highlight w:val="none"/>
        </w:rPr>
        <w:t>如发包人未在约定的期限内出具证明，视为发包人认可该设计阶段完成的日期。</w:t>
      </w:r>
    </w:p>
    <w:p w14:paraId="66A38290">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工程竣工验收日为设计服务完成日。工程竣工验收后的 7日内，发包人应出具设计服务完成证</w:t>
      </w:r>
      <w:r>
        <w:rPr>
          <w:rFonts w:hint="eastAsia" w:ascii="仿宋_GB2312" w:hAnsi="仿宋_GB2312" w:eastAsia="仿宋_GB2312" w:cs="仿宋_GB2312"/>
          <w:color w:val="auto"/>
          <w:spacing w:val="-1"/>
          <w:sz w:val="30"/>
          <w:szCs w:val="30"/>
          <w:highlight w:val="none"/>
        </w:rPr>
        <w:t>明。如发包人未在约定的期限内出具证明，视为发包人认可该设计服务阶段完成的日期。</w:t>
      </w:r>
    </w:p>
    <w:p w14:paraId="72C5FA08">
      <w:pPr>
        <w:pStyle w:val="7"/>
        <w:keepNext/>
        <w:keepLines/>
        <w:ind w:firstLine="0" w:firstLineChars="0"/>
        <w:jc w:val="both"/>
        <w:rPr>
          <w:rFonts w:eastAsia="黑体"/>
          <w:bCs/>
          <w:color w:val="auto"/>
          <w:sz w:val="32"/>
          <w:highlight w:val="none"/>
        </w:rPr>
      </w:pPr>
      <w:bookmarkStart w:id="1345" w:name="_Toc20069"/>
      <w:bookmarkStart w:id="1346" w:name="_Toc17957"/>
      <w:bookmarkStart w:id="1347" w:name="_Toc4808"/>
      <w:bookmarkStart w:id="1348" w:name="_Toc4277"/>
      <w:r>
        <w:rPr>
          <w:rFonts w:eastAsia="黑体"/>
          <w:bCs/>
          <w:color w:val="auto"/>
          <w:sz w:val="32"/>
          <w:highlight w:val="none"/>
        </w:rPr>
        <w:t>8.工程设计文件审查</w:t>
      </w:r>
      <w:bookmarkEnd w:id="1345"/>
      <w:bookmarkEnd w:id="1346"/>
      <w:bookmarkEnd w:id="1347"/>
      <w:bookmarkEnd w:id="1348"/>
    </w:p>
    <w:p w14:paraId="1406CA32">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发包人对设计人的设计文件审查期限</w:t>
      </w:r>
      <w:r>
        <w:rPr>
          <w:rFonts w:hint="eastAsia" w:ascii="仿宋_GB2312" w:hAnsi="仿宋_GB2312" w:eastAsia="仿宋_GB2312" w:cs="仿宋_GB2312"/>
          <w:color w:val="auto"/>
          <w:spacing w:val="-1"/>
          <w:sz w:val="30"/>
          <w:szCs w:val="30"/>
          <w:highlight w:val="none"/>
        </w:rPr>
        <w:t>不超过</w:t>
      </w:r>
      <w:r>
        <w:rPr>
          <w:rFonts w:hint="eastAsia" w:ascii="仿宋_GB2312" w:hAnsi="仿宋_GB2312" w:eastAsia="仿宋_GB2312" w:cs="仿宋_GB2312"/>
          <w:color w:val="auto"/>
          <w:spacing w:val="-1"/>
          <w:sz w:val="30"/>
          <w:szCs w:val="30"/>
          <w:highlight w:val="none"/>
          <w:u w:val="single"/>
        </w:rPr>
        <w:t xml:space="preserve">  20</w:t>
      </w:r>
      <w:r>
        <w:rPr>
          <w:rFonts w:hint="eastAsia" w:ascii="仿宋_GB2312" w:hAnsi="仿宋_GB2312" w:eastAsia="仿宋_GB2312" w:cs="仿宋_GB2312"/>
          <w:color w:val="auto"/>
          <w:spacing w:val="-1"/>
          <w:sz w:val="30"/>
          <w:szCs w:val="30"/>
          <w:highlight w:val="none"/>
        </w:rPr>
        <w:t>天。</w:t>
      </w:r>
    </w:p>
    <w:p w14:paraId="0AC01599">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8.2  发包人应在审查同意设计人的工程设计文件后在</w:t>
      </w:r>
      <w:r>
        <w:rPr>
          <w:rFonts w:hint="eastAsia" w:ascii="仿宋_GB2312" w:hAnsi="仿宋_GB2312" w:eastAsia="仿宋_GB2312" w:cs="仿宋_GB2312"/>
          <w:color w:val="auto"/>
          <w:spacing w:val="-2"/>
          <w:sz w:val="30"/>
          <w:szCs w:val="30"/>
          <w:highlight w:val="none"/>
          <w:u w:val="single"/>
        </w:rPr>
        <w:t xml:space="preserve">  20</w:t>
      </w:r>
      <w:r>
        <w:rPr>
          <w:rFonts w:hint="eastAsia" w:ascii="仿宋_GB2312" w:hAnsi="仿宋_GB2312" w:eastAsia="仿宋_GB2312" w:cs="仿宋_GB2312"/>
          <w:color w:val="auto"/>
          <w:spacing w:val="-2"/>
          <w:sz w:val="30"/>
          <w:szCs w:val="30"/>
          <w:highlight w:val="none"/>
        </w:rPr>
        <w:t>天内，向政府有关部门报</w:t>
      </w:r>
      <w:r>
        <w:rPr>
          <w:rFonts w:hint="eastAsia" w:ascii="仿宋_GB2312" w:hAnsi="仿宋_GB2312" w:eastAsia="仿宋_GB2312" w:cs="仿宋_GB2312"/>
          <w:color w:val="auto"/>
          <w:spacing w:val="-3"/>
          <w:sz w:val="30"/>
          <w:szCs w:val="30"/>
          <w:highlight w:val="none"/>
        </w:rPr>
        <w:t>送工程设计文</w:t>
      </w:r>
      <w:r>
        <w:rPr>
          <w:rFonts w:hint="eastAsia" w:ascii="仿宋_GB2312" w:hAnsi="仿宋_GB2312" w:eastAsia="仿宋_GB2312" w:cs="仿宋_GB2312"/>
          <w:color w:val="auto"/>
          <w:spacing w:val="-10"/>
          <w:sz w:val="30"/>
          <w:szCs w:val="30"/>
          <w:highlight w:val="none"/>
        </w:rPr>
        <w:t>件。</w:t>
      </w:r>
    </w:p>
    <w:p w14:paraId="3BC81D31">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工程设计审查形式及时间安排：</w:t>
      </w:r>
      <w:r>
        <w:rPr>
          <w:rFonts w:hint="eastAsia" w:ascii="仿宋_GB2312" w:hAnsi="仿宋_GB2312" w:eastAsia="仿宋_GB2312" w:cs="仿宋_GB2312"/>
          <w:color w:val="auto"/>
          <w:sz w:val="30"/>
          <w:szCs w:val="30"/>
          <w:highlight w:val="none"/>
          <w:u w:val="single"/>
        </w:rPr>
        <w:t xml:space="preserve"> 发包人负责组织工程设计文件审查会议</w:t>
      </w:r>
      <w:r>
        <w:rPr>
          <w:rFonts w:hint="eastAsia" w:ascii="仿宋_GB2312" w:hAnsi="仿宋_GB2312" w:eastAsia="仿宋_GB2312" w:cs="仿宋_GB2312"/>
          <w:color w:val="auto"/>
          <w:sz w:val="30"/>
          <w:szCs w:val="30"/>
          <w:highlight w:val="none"/>
          <w:u w:val="none"/>
        </w:rPr>
        <w:t>。</w:t>
      </w:r>
    </w:p>
    <w:p w14:paraId="0E1A162F">
      <w:pPr>
        <w:pStyle w:val="7"/>
        <w:keepNext/>
        <w:keepLines/>
        <w:ind w:firstLine="0" w:firstLineChars="0"/>
        <w:jc w:val="both"/>
        <w:rPr>
          <w:rFonts w:eastAsia="黑体"/>
          <w:bCs/>
          <w:color w:val="auto"/>
          <w:sz w:val="32"/>
          <w:highlight w:val="none"/>
        </w:rPr>
      </w:pPr>
      <w:bookmarkStart w:id="1349" w:name="_Toc5949"/>
      <w:bookmarkStart w:id="1350" w:name="_Toc22010"/>
      <w:bookmarkStart w:id="1351" w:name="_Toc20227"/>
      <w:bookmarkStart w:id="1352" w:name="_Toc11341"/>
      <w:bookmarkStart w:id="1353" w:name="_Toc28406"/>
      <w:r>
        <w:rPr>
          <w:rFonts w:eastAsia="黑体"/>
          <w:bCs/>
          <w:color w:val="auto"/>
          <w:sz w:val="32"/>
          <w:highlight w:val="none"/>
        </w:rPr>
        <w:t>9. 施工现场配合服务</w:t>
      </w:r>
      <w:bookmarkEnd w:id="1349"/>
      <w:bookmarkEnd w:id="1350"/>
      <w:bookmarkEnd w:id="1351"/>
      <w:bookmarkEnd w:id="1352"/>
      <w:bookmarkEnd w:id="1353"/>
    </w:p>
    <w:p w14:paraId="11B88233">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9.1  发包人为设计人派赴现场的工作人员提供便利条件的内容包括：</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189D292A">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9.2  设计人应当在施工阶段提供施工现场配合服务</w:t>
      </w:r>
      <w:r>
        <w:rPr>
          <w:rFonts w:ascii="仿宋_GB2312" w:hAnsi="仿宋_GB2312" w:eastAsia="仿宋_GB2312" w:cs="仿宋_GB2312"/>
          <w:color w:val="auto"/>
          <w:spacing w:val="-2"/>
          <w:sz w:val="30"/>
          <w:szCs w:val="30"/>
          <w:highlight w:val="none"/>
        </w:rPr>
        <w:t>，并按发包人的要求对项目进行巡查，出具巡查报告</w:t>
      </w:r>
      <w:r>
        <w:rPr>
          <w:rFonts w:hint="eastAsia" w:ascii="仿宋_GB2312" w:hAnsi="仿宋_GB2312" w:eastAsia="仿宋_GB2312" w:cs="仿宋_GB2312"/>
          <w:color w:val="auto"/>
          <w:spacing w:val="-2"/>
          <w:sz w:val="30"/>
          <w:szCs w:val="30"/>
          <w:highlight w:val="none"/>
        </w:rPr>
        <w:t>。设计人应当在工程施工开始至</w:t>
      </w:r>
      <w:r>
        <w:rPr>
          <w:rFonts w:hint="eastAsia" w:ascii="仿宋_GB2312" w:hAnsi="仿宋_GB2312" w:eastAsia="仿宋_GB2312" w:cs="仿宋_GB2312"/>
          <w:color w:val="auto"/>
          <w:spacing w:val="-3"/>
          <w:sz w:val="30"/>
          <w:szCs w:val="30"/>
          <w:highlight w:val="none"/>
        </w:rPr>
        <w:t>工程竣工验收</w:t>
      </w:r>
      <w:r>
        <w:rPr>
          <w:rFonts w:hint="eastAsia" w:ascii="仿宋_GB2312" w:hAnsi="仿宋_GB2312" w:eastAsia="仿宋_GB2312" w:cs="仿宋_GB2312"/>
          <w:color w:val="auto"/>
          <w:spacing w:val="1"/>
          <w:sz w:val="30"/>
          <w:szCs w:val="30"/>
          <w:highlight w:val="none"/>
        </w:rPr>
        <w:t>合格期间派出项目负责人或专业负责人根据发包人要求提供相应变更的设计文件，服务内容包括但不限于提供设计技术交底、及时解决施工中设计技术问题、签字确认施工过程中的相关文</w:t>
      </w:r>
      <w:r>
        <w:rPr>
          <w:rFonts w:hint="eastAsia" w:ascii="仿宋_GB2312" w:hAnsi="仿宋_GB2312" w:eastAsia="仿宋_GB2312" w:cs="仿宋_GB2312"/>
          <w:color w:val="auto"/>
          <w:spacing w:val="-1"/>
          <w:sz w:val="30"/>
          <w:szCs w:val="30"/>
          <w:highlight w:val="none"/>
        </w:rPr>
        <w:t>件、配合发包人进行外部协调、参加竣工验收等工作。</w:t>
      </w:r>
    </w:p>
    <w:p w14:paraId="7BD541A4">
      <w:pPr>
        <w:pStyle w:val="7"/>
        <w:keepNext/>
        <w:keepLines/>
        <w:ind w:firstLine="0" w:firstLineChars="0"/>
        <w:jc w:val="both"/>
        <w:rPr>
          <w:rFonts w:eastAsia="黑体"/>
          <w:bCs/>
          <w:color w:val="auto"/>
          <w:sz w:val="32"/>
          <w:highlight w:val="none"/>
        </w:rPr>
      </w:pPr>
      <w:bookmarkStart w:id="1354" w:name="_Toc11194"/>
      <w:bookmarkStart w:id="1355" w:name="_Toc808"/>
      <w:bookmarkStart w:id="1356" w:name="_Toc32027"/>
      <w:bookmarkStart w:id="1357" w:name="_Toc2247"/>
      <w:bookmarkStart w:id="1358" w:name="_Toc16270"/>
      <w:r>
        <w:rPr>
          <w:rFonts w:eastAsia="黑体"/>
          <w:bCs/>
          <w:color w:val="auto"/>
          <w:sz w:val="32"/>
          <w:highlight w:val="none"/>
        </w:rPr>
        <w:t>10.合同价款与支付</w:t>
      </w:r>
      <w:bookmarkEnd w:id="1354"/>
      <w:bookmarkEnd w:id="1355"/>
      <w:bookmarkEnd w:id="1356"/>
      <w:bookmarkEnd w:id="1357"/>
      <w:bookmarkEnd w:id="1358"/>
    </w:p>
    <w:p w14:paraId="309EA975">
      <w:pPr>
        <w:pStyle w:val="8"/>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10.1合同价款组成</w:t>
      </w:r>
    </w:p>
    <w:p w14:paraId="746C813A">
      <w:pPr>
        <w:spacing w:line="360" w:lineRule="auto"/>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sz w:val="30"/>
          <w:szCs w:val="30"/>
          <w:highlight w:val="none"/>
        </w:rPr>
        <w:t xml:space="preserve"> 10.1.1本合同价为提供本合同所列服务而发生的人工费、成果文件制作费、办公通讯费、交通费、差旅费、管理费、风险（包括由发包人原因引起的重复工作等）、利润和税金等。</w:t>
      </w:r>
    </w:p>
    <w:p w14:paraId="71025F4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10.1.2 其他约定：</w:t>
      </w:r>
      <w:r>
        <w:rPr>
          <w:rFonts w:hint="eastAsia" w:ascii="仿宋_GB2312" w:hAnsi="仿宋_GB2312" w:eastAsia="仿宋_GB2312" w:cs="仿宋_GB2312"/>
          <w:color w:val="auto"/>
          <w:sz w:val="30"/>
          <w:szCs w:val="30"/>
          <w:highlight w:val="none"/>
          <w:u w:val="single"/>
        </w:rPr>
        <w:t>详见第七部分发包人要求。</w:t>
      </w:r>
    </w:p>
    <w:p w14:paraId="4B6CC496">
      <w:pPr>
        <w:widowControl/>
        <w:adjustRightInd w:val="0"/>
        <w:snapToGrid w:val="0"/>
        <w:spacing w:line="360" w:lineRule="auto"/>
        <w:ind w:firstLine="602" w:firstLineChars="200"/>
        <w:rPr>
          <w:rFonts w:ascii="仿宋_GB2312" w:hAnsi="仿宋_GB2312" w:eastAsia="仿宋_GB2312" w:cs="仿宋_GB2312"/>
          <w:color w:val="auto"/>
          <w:sz w:val="30"/>
          <w:szCs w:val="30"/>
          <w:highlight w:val="none"/>
        </w:rPr>
      </w:pPr>
      <w:r>
        <w:rPr>
          <w:rFonts w:ascii="Times New Roman" w:hAnsi="Times New Roman" w:eastAsia="黑体"/>
          <w:b/>
          <w:bCs/>
          <w:color w:val="auto"/>
          <w:sz w:val="30"/>
          <w:szCs w:val="32"/>
          <w:highlight w:val="none"/>
        </w:rPr>
        <w:t xml:space="preserve">10.2 </w:t>
      </w:r>
      <w:r>
        <w:rPr>
          <w:rFonts w:hint="eastAsia" w:ascii="Times New Roman" w:hAnsi="Times New Roman" w:eastAsia="黑体"/>
          <w:b/>
          <w:bCs/>
          <w:color w:val="auto"/>
          <w:sz w:val="30"/>
          <w:szCs w:val="32"/>
          <w:highlight w:val="none"/>
        </w:rPr>
        <w:t>合同价格形式</w:t>
      </w:r>
    </w:p>
    <w:p w14:paraId="58469EC7">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单价合同</w:t>
      </w:r>
    </w:p>
    <w:p w14:paraId="396AEDC5">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价格计算：每平方米单价：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元/㎡，根据建筑物的建筑面积（包括地上建筑面积和地下建筑面积）每平方米报价</w:t>
      </w:r>
    </w:p>
    <w:p w14:paraId="0443293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设计费＝总建筑面积（㎡）×单价（元／㎡）。</w:t>
      </w:r>
    </w:p>
    <w:p w14:paraId="0A019EE5">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单价包含的风险范围：</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0A2486F7">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105061F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1306D3A8">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总价合同</w:t>
      </w:r>
    </w:p>
    <w:p w14:paraId="1E6CC903">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总价：</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p>
    <w:p w14:paraId="5A5305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总价包含的风险范围：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6835D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306143F">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0CD1ADBF">
      <w:pPr>
        <w:pStyle w:val="84"/>
        <w:spacing w:after="0" w:line="360" w:lineRule="auto"/>
        <w:ind w:firstLine="580" w:firstLineChars="200"/>
        <w:rPr>
          <w:rFonts w:ascii="仿宋_GB2312" w:hAnsi="仿宋_GB2312" w:eastAsia="仿宋_GB2312" w:cs="仿宋_GB2312"/>
          <w:color w:val="auto"/>
          <w:spacing w:val="-3"/>
          <w:sz w:val="30"/>
          <w:szCs w:val="30"/>
          <w:highlight w:val="none"/>
        </w:rPr>
      </w:pPr>
      <w:r>
        <w:rPr>
          <w:rFonts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z w:val="30"/>
          <w:szCs w:val="30"/>
          <w:highlight w:val="none"/>
        </w:rPr>
        <w:t>其他价格形式：</w:t>
      </w:r>
      <w:r>
        <w:rPr>
          <w:color w:val="auto"/>
          <w:szCs w:val="21"/>
          <w:highlight w:val="none"/>
          <w:u w:val="single"/>
        </w:rPr>
        <w:t xml:space="preserve"> </w:t>
      </w:r>
      <w:r>
        <w:rPr>
          <w:rStyle w:val="44"/>
          <w:rFonts w:hint="eastAsia" w:ascii="仿宋_GB2312" w:hAnsi="仿宋_GB2312" w:eastAsia="仿宋_GB2312" w:cs="仿宋_GB2312"/>
          <w:color w:val="auto"/>
          <w:sz w:val="30"/>
          <w:szCs w:val="30"/>
          <w:highlight w:val="none"/>
          <w:u w:val="single"/>
          <w:lang w:val="en-US" w:eastAsia="zh-CN"/>
        </w:rPr>
        <w:t>详见附件6</w:t>
      </w:r>
      <w:r>
        <w:rPr>
          <w:rStyle w:val="44"/>
          <w:rFonts w:hint="eastAsia" w:ascii="仿宋_GB2312" w:hAnsi="仿宋_GB2312" w:eastAsia="仿宋_GB2312" w:cs="仿宋_GB2312"/>
          <w:color w:val="auto"/>
          <w:sz w:val="30"/>
          <w:szCs w:val="30"/>
          <w:highlight w:val="none"/>
          <w:u w:val="single"/>
        </w:rPr>
        <w:t xml:space="preserve"> </w:t>
      </w:r>
      <w:r>
        <w:rPr>
          <w:rFonts w:hint="eastAsia" w:ascii="宋体" w:hAnsi="宋体" w:cs="宋体"/>
          <w:color w:val="auto"/>
          <w:szCs w:val="21"/>
          <w:highlight w:val="none"/>
        </w:rPr>
        <w:t xml:space="preserve">。 </w:t>
      </w:r>
    </w:p>
    <w:p w14:paraId="55653686">
      <w:pPr>
        <w:pStyle w:val="84"/>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10.3定金或预付款</w:t>
      </w:r>
    </w:p>
    <w:p w14:paraId="69059E47">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本项目无定金或预付款。</w:t>
      </w:r>
    </w:p>
    <w:p w14:paraId="16E20481">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10.5合同价款的结算与支付</w:t>
      </w:r>
      <w:r>
        <w:rPr>
          <w:rStyle w:val="44"/>
          <w:rFonts w:hint="eastAsia" w:ascii="仿宋_GB2312" w:hAnsi="仿宋_GB2312" w:eastAsia="仿宋_GB2312" w:cs="仿宋_GB2312"/>
          <w:color w:val="auto"/>
          <w:sz w:val="30"/>
          <w:szCs w:val="30"/>
          <w:highlight w:val="none"/>
          <w:u w:val="single"/>
          <w:lang w:val="en-US" w:eastAsia="zh-CN"/>
        </w:rPr>
        <w:t>本项目供配电工程分为一标段、二标段，各标段独立设计、独立验收，甲乙双方同意按各标段独立办理过程支付与结算的方式支付对应标段设计费用，各标段设计费用付款节点独立执行、互不影响，具体付款节点详见附件6</w:t>
      </w:r>
      <w:r>
        <w:rPr>
          <w:rStyle w:val="44"/>
          <w:rFonts w:hint="eastAsia" w:ascii="仿宋_GB2312" w:hAnsi="仿宋_GB2312" w:eastAsia="仿宋_GB2312" w:cs="仿宋_GB2312"/>
          <w:color w:val="auto"/>
          <w:sz w:val="30"/>
          <w:szCs w:val="30"/>
          <w:highlight w:val="none"/>
          <w:u w:val="single"/>
        </w:rPr>
        <w:t>。</w:t>
      </w:r>
    </w:p>
    <w:p w14:paraId="7CC3FD2C">
      <w:pPr>
        <w:pStyle w:val="84"/>
        <w:spacing w:after="0"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10.5.1合同费用由发包人分次支付设计人。申请各阶段费用时，设计人应开具合格的发票给发包人或发包人指定的部门（单位/组织），具体通过相关纪要或往来函件明确。各阶段费用支付方式详见附件6。</w:t>
      </w:r>
    </w:p>
    <w:p w14:paraId="61789A2E">
      <w:pPr>
        <w:pStyle w:val="84"/>
        <w:widowControl/>
        <w:spacing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10.5.2双方委托银行代付代收有关费用，支付款项同时提供等额合法有效增值税普通发票至发包</w:t>
      </w:r>
      <w:r>
        <w:rPr>
          <w:rFonts w:hint="eastAsia" w:ascii="仿宋_GB2312" w:hAnsi="仿宋_GB2312" w:eastAsia="仿宋_GB2312" w:cs="仿宋_GB2312"/>
          <w:color w:val="auto"/>
          <w:spacing w:val="-2"/>
          <w:sz w:val="30"/>
          <w:szCs w:val="30"/>
          <w:highlight w:val="none"/>
        </w:rPr>
        <w:t>人，否则发包人有权延迟付款直至设计人提供发票为止，并不需要承担相应的损失及法律责任。</w:t>
      </w:r>
    </w:p>
    <w:p w14:paraId="628C19BA">
      <w:pPr>
        <w:widowControl/>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10.5.4合同价款的调整</w:t>
      </w:r>
      <w:r>
        <w:rPr>
          <w:rStyle w:val="44"/>
          <w:rFonts w:hint="eastAsia" w:ascii="仿宋_GB2312" w:hAnsi="仿宋_GB2312" w:eastAsia="仿宋_GB2312" w:cs="仿宋_GB2312"/>
          <w:color w:val="auto"/>
          <w:sz w:val="30"/>
          <w:szCs w:val="30"/>
          <w:highlight w:val="none"/>
        </w:rPr>
        <w:t>：</w:t>
      </w:r>
      <w:r>
        <w:rPr>
          <w:rStyle w:val="44"/>
          <w:rFonts w:ascii="仿宋_GB2312" w:hAnsi="仿宋_GB2312" w:eastAsia="仿宋_GB2312" w:cs="仿宋_GB2312"/>
          <w:color w:val="auto"/>
          <w:sz w:val="30"/>
          <w:szCs w:val="30"/>
          <w:highlight w:val="none"/>
          <w:u w:val="single"/>
        </w:rPr>
        <w:t>详见附件7</w:t>
      </w:r>
      <w:r>
        <w:rPr>
          <w:rStyle w:val="44"/>
          <w:rFonts w:hint="eastAsia" w:ascii="仿宋_GB2312" w:hAnsi="仿宋_GB2312" w:eastAsia="仿宋_GB2312" w:cs="仿宋_GB2312"/>
          <w:color w:val="auto"/>
          <w:sz w:val="30"/>
          <w:szCs w:val="30"/>
          <w:highlight w:val="none"/>
        </w:rPr>
        <w:t>。</w:t>
      </w:r>
    </w:p>
    <w:p w14:paraId="08D3C753">
      <w:pPr>
        <w:widowControl/>
        <w:autoSpaceDE w:val="0"/>
        <w:autoSpaceDN w:val="0"/>
        <w:adjustRightInd w:val="0"/>
        <w:snapToGrid w:val="0"/>
        <w:spacing w:line="360" w:lineRule="auto"/>
        <w:ind w:firstLine="600"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color w:val="auto"/>
          <w:sz w:val="30"/>
          <w:szCs w:val="30"/>
          <w:highlight w:val="none"/>
        </w:rPr>
        <w:t>10</w:t>
      </w:r>
      <w:r>
        <w:rPr>
          <w:rFonts w:hint="eastAsia" w:ascii="仿宋_GB2312" w:hAnsi="仿宋_GB2312" w:eastAsia="仿宋_GB2312" w:cs="仿宋_GB2312"/>
          <w:b/>
          <w:color w:val="auto"/>
          <w:sz w:val="30"/>
          <w:szCs w:val="30"/>
          <w:highlight w:val="none"/>
        </w:rPr>
        <w:t>.5.5 本设计费用不包括以下项目：</w:t>
      </w:r>
    </w:p>
    <w:p w14:paraId="5B182850">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lang w:val="zh-TW"/>
        </w:rPr>
      </w:pPr>
      <w:r>
        <w:rPr>
          <w:rFonts w:hint="eastAsia" w:ascii="仿宋_GB2312" w:hAnsi="仿宋_GB2312" w:eastAsia="仿宋_GB2312" w:cs="仿宋_GB2312"/>
          <w:color w:val="auto"/>
          <w:sz w:val="30"/>
          <w:szCs w:val="30"/>
          <w:highlight w:val="none"/>
        </w:rPr>
        <w:t xml:space="preserve">10.5.5.1 </w:t>
      </w:r>
      <w:r>
        <w:rPr>
          <w:rFonts w:hint="eastAsia" w:ascii="仿宋_GB2312" w:hAnsi="仿宋_GB2312" w:eastAsia="仿宋_GB2312" w:cs="仿宋_GB2312"/>
          <w:color w:val="auto"/>
          <w:sz w:val="30"/>
          <w:szCs w:val="30"/>
          <w:highlight w:val="none"/>
          <w:lang w:val="zh-TW"/>
        </w:rPr>
        <w:t>附件图纸圈定地域及设计内容要求以外的项目设计费。</w:t>
      </w:r>
    </w:p>
    <w:p w14:paraId="2F49A9EC">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10.5.5.2 </w:t>
      </w:r>
      <w:r>
        <w:rPr>
          <w:rFonts w:hint="eastAsia" w:ascii="仿宋_GB2312" w:hAnsi="仿宋_GB2312" w:eastAsia="仿宋_GB2312" w:cs="仿宋_GB2312"/>
          <w:color w:val="auto"/>
          <w:sz w:val="30"/>
          <w:szCs w:val="30"/>
          <w:highlight w:val="none"/>
          <w:lang w:val="zh-TW"/>
        </w:rPr>
        <w:t>施工监理的费用。</w:t>
      </w:r>
    </w:p>
    <w:p w14:paraId="4EBBF324">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10.5.5.3 </w:t>
      </w:r>
      <w:r>
        <w:rPr>
          <w:rFonts w:hint="eastAsia" w:ascii="仿宋_GB2312" w:hAnsi="仿宋_GB2312" w:eastAsia="仿宋_GB2312" w:cs="仿宋_GB2312"/>
          <w:color w:val="auto"/>
          <w:sz w:val="30"/>
          <w:szCs w:val="30"/>
          <w:highlight w:val="none"/>
          <w:lang w:val="zh-TW"/>
        </w:rPr>
        <w:t>呈交政府管理部门审批的费用</w:t>
      </w:r>
      <w:r>
        <w:rPr>
          <w:rFonts w:hint="eastAsia" w:ascii="仿宋_GB2312" w:hAnsi="仿宋_GB2312" w:eastAsia="仿宋_GB2312" w:cs="仿宋_GB2312"/>
          <w:color w:val="auto"/>
          <w:sz w:val="30"/>
          <w:szCs w:val="30"/>
          <w:highlight w:val="none"/>
        </w:rPr>
        <w:t>。</w:t>
      </w:r>
    </w:p>
    <w:p w14:paraId="3D1396E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10.6 甲方应将每期应付的设计费用汇至如下乙方银行账户：</w:t>
      </w:r>
    </w:p>
    <w:p w14:paraId="7C030C8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公司全称：</w:t>
      </w:r>
      <w:sdt>
        <w:sdtPr>
          <w:rPr>
            <w:rFonts w:hint="eastAsia" w:ascii="仿宋_GB2312" w:hAnsi="仿宋_GB2312" w:eastAsia="仿宋_GB2312" w:cs="仿宋_GB2312"/>
            <w:color w:val="auto"/>
            <w:sz w:val="30"/>
            <w:szCs w:val="30"/>
            <w:highlight w:val="none"/>
          </w:rPr>
          <w:id w:val="147473545"/>
          <w:placeholder>
            <w:docPart w:val="{280de66f-67ed-4aa3-badf-0de8c27082f9}"/>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r>
        <w:rPr>
          <w:rFonts w:hint="eastAsia" w:ascii="仿宋_GB2312" w:hAnsi="仿宋_GB2312" w:eastAsia="仿宋_GB2312" w:cs="仿宋_GB2312"/>
          <w:color w:val="auto"/>
          <w:sz w:val="30"/>
          <w:szCs w:val="30"/>
          <w:highlight w:val="none"/>
        </w:rPr>
        <w:t xml:space="preserve"> </w:t>
      </w:r>
    </w:p>
    <w:p w14:paraId="09624A19">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银行账号：</w:t>
      </w:r>
      <w:sdt>
        <w:sdtPr>
          <w:rPr>
            <w:rFonts w:hint="eastAsia" w:ascii="仿宋_GB2312" w:hAnsi="仿宋_GB2312" w:eastAsia="仿宋_GB2312" w:cs="仿宋_GB2312"/>
            <w:color w:val="auto"/>
            <w:sz w:val="30"/>
            <w:szCs w:val="30"/>
            <w:highlight w:val="none"/>
          </w:rPr>
          <w:id w:val="147473535"/>
          <w:placeholder>
            <w:docPart w:val="{13d512bd-d3a5-47f0-bb87-12a9201230d4}"/>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30BBE9DA">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sdt>
        <w:sdtPr>
          <w:rPr>
            <w:rFonts w:hint="eastAsia" w:ascii="仿宋_GB2312" w:hAnsi="仿宋_GB2312" w:eastAsia="仿宋_GB2312" w:cs="仿宋_GB2312"/>
            <w:color w:val="auto"/>
            <w:sz w:val="30"/>
            <w:szCs w:val="30"/>
            <w:highlight w:val="none"/>
          </w:rPr>
          <w:id w:val="147473518"/>
          <w:placeholder>
            <w:docPart w:val="{a820e3e0-ec1f-433b-a2c8-0c7c9b1563fa}"/>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69B2E06B">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如乙方银行账户发生变更的，应于变更后三日内书面通知甲方，否则由此导致的逾期收款后果等损失由乙方自行承担。</w:t>
      </w:r>
    </w:p>
    <w:p w14:paraId="79FA672B">
      <w:pPr>
        <w:pStyle w:val="7"/>
        <w:keepNext/>
        <w:keepLines/>
        <w:ind w:firstLine="0" w:firstLineChars="0"/>
        <w:jc w:val="both"/>
        <w:rPr>
          <w:rFonts w:eastAsia="黑体"/>
          <w:bCs/>
          <w:color w:val="auto"/>
          <w:sz w:val="32"/>
          <w:highlight w:val="none"/>
        </w:rPr>
      </w:pPr>
      <w:bookmarkStart w:id="1359" w:name="_Toc32746"/>
      <w:bookmarkStart w:id="1360" w:name="_Toc19031"/>
      <w:bookmarkStart w:id="1361" w:name="_Toc17504"/>
      <w:bookmarkStart w:id="1362" w:name="_Toc14285"/>
      <w:bookmarkStart w:id="1363" w:name="_Toc15294"/>
      <w:r>
        <w:rPr>
          <w:rFonts w:eastAsia="黑体"/>
          <w:bCs/>
          <w:color w:val="auto"/>
          <w:sz w:val="32"/>
          <w:highlight w:val="none"/>
        </w:rPr>
        <w:t>11.工程设计变更与索赔</w:t>
      </w:r>
      <w:bookmarkEnd w:id="1359"/>
      <w:bookmarkEnd w:id="1360"/>
      <w:bookmarkEnd w:id="1361"/>
      <w:bookmarkEnd w:id="1362"/>
      <w:bookmarkEnd w:id="1363"/>
    </w:p>
    <w:p w14:paraId="575BB687">
      <w:pPr>
        <w:pStyle w:val="84"/>
        <w:spacing w:after="0" w:line="360" w:lineRule="auto"/>
        <w:ind w:firstLine="60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11.5设计人应于认为有理由提出增加合</w:t>
      </w:r>
      <w:r>
        <w:rPr>
          <w:rFonts w:hint="eastAsia" w:ascii="仿宋_GB2312" w:hAnsi="仿宋_GB2312" w:eastAsia="仿宋_GB2312" w:cs="仿宋_GB2312"/>
          <w:color w:val="auto"/>
          <w:spacing w:val="1"/>
          <w:sz w:val="30"/>
          <w:szCs w:val="30"/>
          <w:highlight w:val="none"/>
        </w:rPr>
        <w:t>同价款或延长设计周期的要求事项发生后</w:t>
      </w:r>
      <w:r>
        <w:rPr>
          <w:rFonts w:hint="eastAsia" w:ascii="仿宋_GB2312" w:hAnsi="仿宋_GB2312" w:eastAsia="仿宋_GB2312" w:cs="仿宋_GB2312"/>
          <w:color w:val="auto"/>
          <w:spacing w:val="1"/>
          <w:sz w:val="30"/>
          <w:szCs w:val="30"/>
          <w:highlight w:val="none"/>
          <w:u w:val="single"/>
        </w:rPr>
        <w:t xml:space="preserve">7  </w:t>
      </w:r>
      <w:r>
        <w:rPr>
          <w:rFonts w:hint="eastAsia" w:ascii="仿宋_GB2312" w:hAnsi="仿宋_GB2312" w:eastAsia="仿宋_GB2312" w:cs="仿宋_GB2312"/>
          <w:color w:val="auto"/>
          <w:spacing w:val="1"/>
          <w:sz w:val="30"/>
          <w:szCs w:val="30"/>
          <w:highlight w:val="none"/>
        </w:rPr>
        <w:t>天内书面</w:t>
      </w:r>
      <w:r>
        <w:rPr>
          <w:rFonts w:hint="eastAsia" w:ascii="仿宋_GB2312" w:hAnsi="仿宋_GB2312" w:eastAsia="仿宋_GB2312" w:cs="仿宋_GB2312"/>
          <w:color w:val="auto"/>
          <w:spacing w:val="-1"/>
          <w:sz w:val="30"/>
          <w:szCs w:val="30"/>
          <w:highlight w:val="none"/>
        </w:rPr>
        <w:t>通知发包人。</w:t>
      </w:r>
    </w:p>
    <w:p w14:paraId="23720E6C">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设计人应在该事项发生后</w:t>
      </w:r>
      <w:r>
        <w:rPr>
          <w:rFonts w:hint="eastAsia" w:ascii="仿宋_GB2312" w:hAnsi="仿宋_GB2312" w:eastAsia="仿宋_GB2312" w:cs="仿宋_GB2312"/>
          <w:color w:val="auto"/>
          <w:spacing w:val="-1"/>
          <w:sz w:val="30"/>
          <w:szCs w:val="30"/>
          <w:highlight w:val="none"/>
          <w:u w:val="single"/>
        </w:rPr>
        <w:t xml:space="preserve">  10  </w:t>
      </w:r>
      <w:r>
        <w:rPr>
          <w:rFonts w:hint="eastAsia" w:ascii="仿宋_GB2312" w:hAnsi="仿宋_GB2312" w:eastAsia="仿宋_GB2312" w:cs="仿宋_GB2312"/>
          <w:color w:val="auto"/>
          <w:spacing w:val="-1"/>
          <w:sz w:val="30"/>
          <w:szCs w:val="30"/>
          <w:highlight w:val="none"/>
        </w:rPr>
        <w:t>天内向发</w:t>
      </w:r>
      <w:r>
        <w:rPr>
          <w:rFonts w:hint="eastAsia" w:ascii="仿宋_GB2312" w:hAnsi="仿宋_GB2312" w:eastAsia="仿宋_GB2312" w:cs="仿宋_GB2312"/>
          <w:color w:val="auto"/>
          <w:spacing w:val="-2"/>
          <w:sz w:val="30"/>
          <w:szCs w:val="30"/>
          <w:highlight w:val="none"/>
        </w:rPr>
        <w:t>包人提供证明设计人要求的书面声明。</w:t>
      </w:r>
      <w:r>
        <w:rPr>
          <w:rFonts w:hint="eastAsia" w:ascii="仿宋_GB2312" w:hAnsi="仿宋_GB2312" w:eastAsia="仿宋_GB2312" w:cs="仿宋_GB2312"/>
          <w:color w:val="auto"/>
          <w:sz w:val="30"/>
          <w:szCs w:val="30"/>
          <w:highlight w:val="none"/>
        </w:rPr>
        <w:t xml:space="preserve"> 发包人应在接到设计人书面声明后的</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天内，予以书面</w:t>
      </w:r>
      <w:r>
        <w:rPr>
          <w:rFonts w:hint="eastAsia" w:ascii="仿宋_GB2312" w:hAnsi="仿宋_GB2312" w:eastAsia="仿宋_GB2312" w:cs="仿宋_GB2312"/>
          <w:color w:val="auto"/>
          <w:spacing w:val="-1"/>
          <w:sz w:val="30"/>
          <w:szCs w:val="30"/>
          <w:highlight w:val="none"/>
        </w:rPr>
        <w:t>答复。</w:t>
      </w:r>
    </w:p>
    <w:p w14:paraId="2C4C7C5B">
      <w:pPr>
        <w:pStyle w:val="7"/>
        <w:keepNext/>
        <w:keepLines/>
        <w:ind w:firstLine="0" w:firstLineChars="0"/>
        <w:jc w:val="both"/>
        <w:rPr>
          <w:rFonts w:eastAsia="黑体"/>
          <w:bCs/>
          <w:color w:val="auto"/>
          <w:sz w:val="32"/>
          <w:highlight w:val="none"/>
        </w:rPr>
      </w:pPr>
      <w:bookmarkStart w:id="1364" w:name="_Toc1922"/>
      <w:bookmarkStart w:id="1365" w:name="_Toc25916"/>
      <w:bookmarkStart w:id="1366" w:name="_Toc11950"/>
      <w:bookmarkStart w:id="1367" w:name="_Toc10448"/>
      <w:bookmarkStart w:id="1368" w:name="_Toc19708"/>
      <w:r>
        <w:rPr>
          <w:rFonts w:eastAsia="黑体"/>
          <w:bCs/>
          <w:color w:val="auto"/>
          <w:sz w:val="32"/>
          <w:highlight w:val="none"/>
        </w:rPr>
        <w:t>12.专业责任与保险</w:t>
      </w:r>
      <w:bookmarkEnd w:id="1364"/>
      <w:bookmarkEnd w:id="1365"/>
      <w:bookmarkEnd w:id="1366"/>
      <w:bookmarkEnd w:id="1367"/>
      <w:bookmarkEnd w:id="1368"/>
    </w:p>
    <w:p w14:paraId="5E6A0799">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12.2  设计人</w:t>
      </w:r>
      <w:r>
        <w:rPr>
          <w:rFonts w:hint="eastAsia" w:ascii="仿宋_GB2312" w:hAnsi="仿宋_GB2312" w:eastAsia="仿宋_GB2312" w:cs="仿宋_GB2312"/>
          <w:color w:val="auto"/>
          <w:spacing w:val="-1"/>
          <w:sz w:val="30"/>
          <w:szCs w:val="30"/>
          <w:highlight w:val="none"/>
          <w:u w:val="single"/>
        </w:rPr>
        <w:t xml:space="preserve">  不需  </w:t>
      </w:r>
      <w:r>
        <w:rPr>
          <w:rFonts w:hint="eastAsia" w:ascii="仿宋_GB2312" w:hAnsi="仿宋_GB2312" w:eastAsia="仿宋_GB2312" w:cs="仿宋_GB2312"/>
          <w:color w:val="auto"/>
          <w:spacing w:val="-1"/>
          <w:sz w:val="30"/>
          <w:szCs w:val="30"/>
          <w:highlight w:val="none"/>
        </w:rPr>
        <w:t>有发包人认可的工程设计责任保险。</w:t>
      </w:r>
    </w:p>
    <w:p w14:paraId="5790FA82">
      <w:pPr>
        <w:pStyle w:val="7"/>
        <w:keepNext/>
        <w:keepLines/>
        <w:ind w:firstLine="0" w:firstLineChars="0"/>
        <w:jc w:val="both"/>
        <w:rPr>
          <w:rFonts w:eastAsia="黑体"/>
          <w:bCs/>
          <w:color w:val="auto"/>
          <w:sz w:val="32"/>
          <w:highlight w:val="none"/>
        </w:rPr>
      </w:pPr>
      <w:bookmarkStart w:id="1369" w:name="_Toc24235"/>
      <w:bookmarkStart w:id="1370" w:name="_Toc2637"/>
      <w:bookmarkStart w:id="1371" w:name="_Toc22086"/>
      <w:bookmarkStart w:id="1372" w:name="_Toc3164"/>
      <w:r>
        <w:rPr>
          <w:rFonts w:eastAsia="黑体"/>
          <w:bCs/>
          <w:color w:val="auto"/>
          <w:sz w:val="32"/>
          <w:highlight w:val="none"/>
        </w:rPr>
        <w:t>13.知识产权</w:t>
      </w:r>
      <w:bookmarkEnd w:id="1369"/>
      <w:bookmarkEnd w:id="1370"/>
      <w:bookmarkEnd w:id="1371"/>
      <w:bookmarkEnd w:id="1372"/>
    </w:p>
    <w:p w14:paraId="4EF2BC7C">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13.1  关于发包人提供给设计人的图纸、发包人为实施工程自行编制或委托编制的技术规格</w:t>
      </w:r>
      <w:r>
        <w:rPr>
          <w:rFonts w:hint="eastAsia" w:ascii="仿宋_GB2312" w:hAnsi="仿宋_GB2312" w:eastAsia="仿宋_GB2312" w:cs="仿宋_GB2312"/>
          <w:color w:val="auto"/>
          <w:spacing w:val="-1"/>
          <w:sz w:val="30"/>
          <w:szCs w:val="30"/>
          <w:highlight w:val="none"/>
        </w:rPr>
        <w:t>以及</w:t>
      </w:r>
      <w:r>
        <w:rPr>
          <w:rFonts w:hint="eastAsia" w:ascii="仿宋_GB2312" w:hAnsi="仿宋_GB2312" w:eastAsia="仿宋_GB2312" w:cs="仿宋_GB2312"/>
          <w:color w:val="auto"/>
          <w:sz w:val="30"/>
          <w:szCs w:val="30"/>
          <w:highlight w:val="none"/>
        </w:rPr>
        <w:t>反映发包人关于合同要求或其他类似性质的文件的著作权的归属：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8E970CC">
      <w:pPr>
        <w:pStyle w:val="84"/>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关于发包人提供的上述文件的使用限制的要求：</w:t>
      </w:r>
      <w:r>
        <w:rPr>
          <w:rFonts w:hint="eastAsia" w:ascii="仿宋_GB2312" w:hAnsi="仿宋_GB2312" w:eastAsia="仿宋_GB2312" w:cs="仿宋_GB2312"/>
          <w:color w:val="auto"/>
          <w:spacing w:val="1"/>
          <w:sz w:val="30"/>
          <w:szCs w:val="30"/>
          <w:highlight w:val="none"/>
          <w:u w:val="single"/>
        </w:rPr>
        <w:t>设计人可以为实现合同目的而复制、使用此类文件，但不能用于与合同无关的其他事项。未经发包人书面同意，设计人不得为了合同以外的</w:t>
      </w:r>
      <w:r>
        <w:rPr>
          <w:rFonts w:hint="eastAsia" w:ascii="仿宋_GB2312" w:hAnsi="仿宋_GB2312" w:eastAsia="仿宋_GB2312" w:cs="仿宋_GB2312"/>
          <w:color w:val="auto"/>
          <w:sz w:val="30"/>
          <w:szCs w:val="30"/>
          <w:highlight w:val="none"/>
          <w:u w:val="single"/>
        </w:rPr>
        <w:t>目的而复制、使用上述文件或将之提供给任何第</w:t>
      </w:r>
      <w:r>
        <w:rPr>
          <w:rFonts w:hint="eastAsia" w:ascii="仿宋_GB2312" w:hAnsi="仿宋_GB2312" w:eastAsia="仿宋_GB2312" w:cs="仿宋_GB2312"/>
          <w:color w:val="auto"/>
          <w:spacing w:val="-1"/>
          <w:sz w:val="30"/>
          <w:szCs w:val="30"/>
          <w:highlight w:val="none"/>
          <w:u w:val="single"/>
        </w:rPr>
        <w:t>三方发包人</w:t>
      </w:r>
      <w:r>
        <w:rPr>
          <w:rFonts w:ascii="仿宋_GB2312" w:hAnsi="仿宋_GB2312" w:eastAsia="仿宋_GB2312" w:cs="仿宋_GB2312"/>
          <w:color w:val="auto"/>
          <w:spacing w:val="-1"/>
          <w:sz w:val="30"/>
          <w:szCs w:val="30"/>
          <w:highlight w:val="none"/>
          <w:u w:val="single"/>
        </w:rPr>
        <w:t>，如发现资料外泄发包人可对</w:t>
      </w:r>
      <w:r>
        <w:rPr>
          <w:rFonts w:hint="eastAsia" w:ascii="仿宋_GB2312" w:hAnsi="仿宋_GB2312" w:eastAsia="仿宋_GB2312" w:cs="仿宋_GB2312"/>
          <w:color w:val="auto"/>
          <w:spacing w:val="-1"/>
          <w:sz w:val="30"/>
          <w:szCs w:val="30"/>
          <w:highlight w:val="none"/>
          <w:u w:val="single"/>
        </w:rPr>
        <w:t>设计</w:t>
      </w:r>
      <w:r>
        <w:rPr>
          <w:rFonts w:ascii="仿宋_GB2312" w:hAnsi="仿宋_GB2312" w:eastAsia="仿宋_GB2312" w:cs="仿宋_GB2312"/>
          <w:color w:val="auto"/>
          <w:spacing w:val="-1"/>
          <w:sz w:val="30"/>
          <w:szCs w:val="30"/>
          <w:highlight w:val="none"/>
          <w:u w:val="single"/>
        </w:rPr>
        <w:t>人予以追责并处以合同金额20%的赔偿金</w:t>
      </w:r>
      <w:r>
        <w:rPr>
          <w:rFonts w:hint="eastAsia" w:ascii="仿宋_GB2312" w:hAnsi="仿宋_GB2312" w:eastAsia="仿宋_GB2312" w:cs="仿宋_GB2312"/>
          <w:color w:val="auto"/>
          <w:spacing w:val="-1"/>
          <w:sz w:val="30"/>
          <w:szCs w:val="30"/>
          <w:highlight w:val="none"/>
        </w:rPr>
        <w:t>。</w:t>
      </w:r>
    </w:p>
    <w:p w14:paraId="0EA84907">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13.2  关于设计人为实施工程所编制文件的著作权的归属：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555CCF6">
      <w:pPr>
        <w:pStyle w:val="84"/>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关于设计人提供的上述文件的使用限制的要求：</w:t>
      </w:r>
      <w:r>
        <w:rPr>
          <w:rFonts w:hint="eastAsia" w:ascii="仿宋_GB2312" w:hAnsi="仿宋_GB2312" w:eastAsia="仿宋_GB2312" w:cs="仿宋_GB2312"/>
          <w:color w:val="auto"/>
          <w:spacing w:val="1"/>
          <w:sz w:val="30"/>
          <w:szCs w:val="30"/>
          <w:highlight w:val="none"/>
          <w:u w:val="single"/>
        </w:rPr>
        <w:t>未经发包人书面同意，设计人不得为了合同以</w:t>
      </w:r>
      <w:r>
        <w:rPr>
          <w:rFonts w:hint="eastAsia" w:ascii="仿宋_GB2312" w:hAnsi="仿宋_GB2312" w:eastAsia="仿宋_GB2312" w:cs="仿宋_GB2312"/>
          <w:color w:val="auto"/>
          <w:sz w:val="30"/>
          <w:szCs w:val="30"/>
          <w:highlight w:val="none"/>
          <w:u w:val="single"/>
        </w:rPr>
        <w:t>外的目的而复制、使用上述文件或将之提供</w:t>
      </w:r>
      <w:r>
        <w:rPr>
          <w:rFonts w:hint="eastAsia" w:ascii="仿宋_GB2312" w:hAnsi="仿宋_GB2312" w:eastAsia="仿宋_GB2312" w:cs="仿宋_GB2312"/>
          <w:color w:val="auto"/>
          <w:spacing w:val="-1"/>
          <w:sz w:val="30"/>
          <w:szCs w:val="30"/>
          <w:highlight w:val="none"/>
          <w:u w:val="single"/>
        </w:rPr>
        <w:t>给任何第三方。</w:t>
      </w:r>
    </w:p>
    <w:p w14:paraId="4FCB3549">
      <w:pPr>
        <w:pStyle w:val="84"/>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13.5设计人在设计过程中所采用的专利、专有技术的使用费的承担方式：</w:t>
      </w:r>
      <w:r>
        <w:rPr>
          <w:rFonts w:hint="eastAsia" w:ascii="仿宋_GB2312" w:hAnsi="仿宋_GB2312" w:eastAsia="仿宋_GB2312" w:cs="仿宋_GB2312"/>
          <w:color w:val="auto"/>
          <w:spacing w:val="-1"/>
          <w:sz w:val="30"/>
          <w:szCs w:val="30"/>
          <w:highlight w:val="none"/>
          <w:u w:val="single"/>
        </w:rPr>
        <w:t xml:space="preserve"> 设计人</w:t>
      </w:r>
      <w:r>
        <w:rPr>
          <w:rFonts w:hint="eastAsia" w:ascii="仿宋_GB2312" w:hAnsi="仿宋_GB2312" w:eastAsia="仿宋_GB2312" w:cs="仿宋_GB2312"/>
          <w:color w:val="auto"/>
          <w:spacing w:val="-2"/>
          <w:sz w:val="30"/>
          <w:szCs w:val="30"/>
          <w:highlight w:val="none"/>
          <w:u w:val="single"/>
        </w:rPr>
        <w:t>自行承担</w:t>
      </w:r>
      <w:r>
        <w:rPr>
          <w:rFonts w:hint="eastAsia" w:ascii="仿宋_GB2312" w:hAnsi="仿宋_GB2312" w:eastAsia="仿宋_GB2312" w:cs="仿宋_GB2312"/>
          <w:color w:val="auto"/>
          <w:spacing w:val="-2"/>
          <w:sz w:val="30"/>
          <w:szCs w:val="30"/>
          <w:highlight w:val="none"/>
        </w:rPr>
        <w:t>。</w:t>
      </w:r>
    </w:p>
    <w:p w14:paraId="67F45352">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13.6  设计人在设计过程中因侵犯他人的专利权或其他知识产权所引起的责任，由设计人承担，</w:t>
      </w:r>
      <w:r>
        <w:rPr>
          <w:rFonts w:hint="eastAsia" w:ascii="仿宋_GB2312" w:hAnsi="仿宋_GB2312" w:eastAsia="仿宋_GB2312" w:cs="仿宋_GB2312"/>
          <w:color w:val="auto"/>
          <w:spacing w:val="-2"/>
          <w:sz w:val="30"/>
          <w:szCs w:val="30"/>
          <w:highlight w:val="none"/>
        </w:rPr>
        <w:t>并承担因侵权行为给发包人造成的损失。</w:t>
      </w:r>
    </w:p>
    <w:p w14:paraId="2804C258">
      <w:pPr>
        <w:pStyle w:val="7"/>
        <w:keepNext/>
        <w:keepLines/>
        <w:ind w:firstLine="0" w:firstLineChars="0"/>
        <w:jc w:val="both"/>
        <w:rPr>
          <w:rFonts w:eastAsia="黑体"/>
          <w:bCs/>
          <w:color w:val="auto"/>
          <w:sz w:val="32"/>
          <w:highlight w:val="none"/>
        </w:rPr>
      </w:pPr>
      <w:bookmarkStart w:id="1373" w:name="_Toc31390"/>
      <w:bookmarkStart w:id="1374" w:name="_Toc27503"/>
      <w:bookmarkStart w:id="1375" w:name="_Toc1866"/>
      <w:bookmarkStart w:id="1376" w:name="_Toc9094"/>
      <w:bookmarkStart w:id="1377" w:name="_Toc32133"/>
      <w:r>
        <w:rPr>
          <w:rFonts w:eastAsia="黑体"/>
          <w:bCs/>
          <w:color w:val="auto"/>
          <w:sz w:val="32"/>
          <w:highlight w:val="none"/>
        </w:rPr>
        <w:t>14.违约责任</w:t>
      </w:r>
      <w:bookmarkEnd w:id="1373"/>
      <w:bookmarkEnd w:id="1374"/>
      <w:bookmarkEnd w:id="1375"/>
      <w:bookmarkEnd w:id="1376"/>
      <w:bookmarkEnd w:id="1377"/>
    </w:p>
    <w:p w14:paraId="11AE4952">
      <w:pPr>
        <w:pStyle w:val="84"/>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14.1发包人违约责任</w:t>
      </w:r>
    </w:p>
    <w:p w14:paraId="1ECCB4B4">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14.1.1  发包人支付设计人的违约金：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1"/>
          <w:sz w:val="30"/>
          <w:szCs w:val="30"/>
          <w:highlight w:val="none"/>
        </w:rPr>
        <w:t>。</w:t>
      </w:r>
    </w:p>
    <w:p w14:paraId="10B2904A">
      <w:pPr>
        <w:pStyle w:val="84"/>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14.1.2  发包人逾期支付设计费的违约金：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2"/>
          <w:sz w:val="30"/>
          <w:szCs w:val="30"/>
          <w:highlight w:val="none"/>
        </w:rPr>
        <w:t>。</w:t>
      </w:r>
    </w:p>
    <w:p w14:paraId="5800FF2E">
      <w:pPr>
        <w:pStyle w:val="84"/>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14.2设计人违约责任</w:t>
      </w:r>
    </w:p>
    <w:p w14:paraId="00611A43">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14.2.1  设计人支付发包人的违约金：</w:t>
      </w:r>
      <w:r>
        <w:rPr>
          <w:rFonts w:hint="eastAsia" w:ascii="仿宋_GB2312" w:hAnsi="仿宋_GB2312" w:eastAsia="仿宋_GB2312" w:cs="仿宋_GB2312"/>
          <w:color w:val="auto"/>
          <w:sz w:val="30"/>
          <w:szCs w:val="30"/>
          <w:highlight w:val="none"/>
          <w:u w:val="single"/>
        </w:rPr>
        <w:t xml:space="preserve"> 按本专用合同条款的1</w:t>
      </w:r>
      <w:r>
        <w:rPr>
          <w:rFonts w:hint="eastAsia" w:ascii="仿宋_GB2312" w:hAnsi="仿宋_GB2312" w:eastAsia="仿宋_GB2312" w:cs="仿宋_GB2312"/>
          <w:color w:val="auto"/>
          <w:spacing w:val="-1"/>
          <w:sz w:val="30"/>
          <w:szCs w:val="30"/>
          <w:highlight w:val="none"/>
          <w:u w:val="single"/>
        </w:rPr>
        <w:t>4.2.2</w:t>
      </w:r>
      <w:r>
        <w:rPr>
          <w:rFonts w:hint="eastAsia" w:ascii="仿宋_GB2312" w:hAnsi="仿宋_GB2312" w:eastAsia="仿宋_GB2312" w:cs="仿宋_GB2312"/>
          <w:color w:val="auto"/>
          <w:spacing w:val="-1"/>
          <w:sz w:val="30"/>
          <w:szCs w:val="30"/>
          <w:highlight w:val="none"/>
        </w:rPr>
        <w:t>。</w:t>
      </w:r>
    </w:p>
    <w:p w14:paraId="1C279EC6">
      <w:pPr>
        <w:pStyle w:val="84"/>
        <w:spacing w:after="0" w:line="360" w:lineRule="auto"/>
        <w:ind w:firstLine="604"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14.2.2设计人逾期交付工程设计文件的违约金：</w:t>
      </w:r>
      <w:r>
        <w:rPr>
          <w:rFonts w:hint="eastAsia" w:ascii="仿宋_GB2312" w:hAnsi="仿宋_GB2312" w:eastAsia="仿宋_GB2312" w:cs="仿宋_GB2312"/>
          <w:color w:val="auto"/>
          <w:spacing w:val="1"/>
          <w:sz w:val="30"/>
          <w:szCs w:val="30"/>
          <w:highlight w:val="none"/>
          <w:u w:val="single"/>
        </w:rPr>
        <w:t>合同生效后，设计人因自身原</w:t>
      </w:r>
      <w:r>
        <w:rPr>
          <w:rFonts w:hint="eastAsia" w:ascii="仿宋_GB2312" w:hAnsi="仿宋_GB2312" w:eastAsia="仿宋_GB2312" w:cs="仿宋_GB2312"/>
          <w:color w:val="auto"/>
          <w:sz w:val="30"/>
          <w:szCs w:val="30"/>
          <w:highlight w:val="none"/>
          <w:u w:val="single"/>
        </w:rPr>
        <w:t>因要求终止或</w:t>
      </w:r>
      <w:r>
        <w:rPr>
          <w:rFonts w:hint="eastAsia" w:ascii="仿宋_GB2312" w:hAnsi="仿宋_GB2312" w:eastAsia="仿宋_GB2312" w:cs="仿宋_GB2312"/>
          <w:color w:val="auto"/>
          <w:spacing w:val="-1"/>
          <w:sz w:val="30"/>
          <w:szCs w:val="30"/>
          <w:highlight w:val="none"/>
          <w:u w:val="single"/>
        </w:rPr>
        <w:t>解除合同的，视为违约。设计人除双倍返还发包人已支付的设计费外发包人有权没收设</w:t>
      </w:r>
      <w:r>
        <w:rPr>
          <w:rFonts w:hint="eastAsia" w:ascii="仿宋_GB2312" w:hAnsi="仿宋_GB2312" w:eastAsia="仿宋_GB2312" w:cs="仿宋_GB2312"/>
          <w:color w:val="auto"/>
          <w:spacing w:val="-2"/>
          <w:sz w:val="30"/>
          <w:szCs w:val="30"/>
          <w:highlight w:val="none"/>
          <w:u w:val="single"/>
        </w:rPr>
        <w:t>计人的</w:t>
      </w:r>
      <w:r>
        <w:rPr>
          <w:rFonts w:hint="eastAsia" w:ascii="仿宋_GB2312" w:hAnsi="仿宋_GB2312" w:eastAsia="仿宋_GB2312" w:cs="仿宋_GB2312"/>
          <w:color w:val="auto"/>
          <w:sz w:val="30"/>
          <w:szCs w:val="30"/>
          <w:highlight w:val="none"/>
          <w:u w:val="single"/>
        </w:rPr>
        <w:t>履约保证金</w:t>
      </w:r>
      <w:r>
        <w:rPr>
          <w:rFonts w:hint="eastAsia" w:ascii="仿宋_GB2312" w:hAnsi="仿宋_GB2312" w:eastAsia="仿宋_GB2312" w:cs="仿宋_GB2312"/>
          <w:color w:val="auto"/>
          <w:spacing w:val="-48"/>
          <w:sz w:val="30"/>
          <w:szCs w:val="30"/>
          <w:highlight w:val="none"/>
          <w:u w:val="single"/>
        </w:rPr>
        <w:t>，</w:t>
      </w:r>
      <w:r>
        <w:rPr>
          <w:rFonts w:hint="eastAsia" w:ascii="仿宋_GB2312" w:hAnsi="仿宋_GB2312" w:eastAsia="仿宋_GB2312" w:cs="仿宋_GB2312"/>
          <w:color w:val="auto"/>
          <w:sz w:val="30"/>
          <w:szCs w:val="30"/>
          <w:highlight w:val="none"/>
          <w:u w:val="single"/>
        </w:rPr>
        <w:t>设计人承担违约给发包人</w:t>
      </w:r>
      <w:r>
        <w:rPr>
          <w:rFonts w:hint="eastAsia" w:ascii="仿宋_GB2312" w:hAnsi="仿宋_GB2312" w:eastAsia="仿宋_GB2312" w:cs="仿宋_GB2312"/>
          <w:color w:val="auto"/>
          <w:spacing w:val="-1"/>
          <w:sz w:val="30"/>
          <w:szCs w:val="30"/>
          <w:highlight w:val="none"/>
          <w:u w:val="single"/>
        </w:rPr>
        <w:t>造成的一切损失及责任</w:t>
      </w:r>
      <w:r>
        <w:rPr>
          <w:rFonts w:hint="eastAsia" w:ascii="仿宋_GB2312" w:hAnsi="仿宋_GB2312" w:eastAsia="仿宋_GB2312" w:cs="仿宋_GB2312"/>
          <w:color w:val="auto"/>
          <w:spacing w:val="-1"/>
          <w:sz w:val="30"/>
          <w:szCs w:val="30"/>
          <w:highlight w:val="none"/>
        </w:rPr>
        <w:t>。</w:t>
      </w:r>
    </w:p>
    <w:p w14:paraId="3A356592">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u w:val="single"/>
        </w:rPr>
        <w:t>14.2.3由于设计人原因，未按合同约定时间交付设计资料的视为违约。每延</w:t>
      </w:r>
      <w:r>
        <w:rPr>
          <w:rFonts w:hint="eastAsia" w:ascii="仿宋_GB2312" w:hAnsi="仿宋_GB2312" w:eastAsia="仿宋_GB2312" w:cs="仿宋_GB2312"/>
          <w:color w:val="auto"/>
          <w:spacing w:val="-3"/>
          <w:sz w:val="30"/>
          <w:szCs w:val="30"/>
          <w:highlight w:val="none"/>
          <w:u w:val="single"/>
        </w:rPr>
        <w:t>误一天，应减收设</w:t>
      </w:r>
      <w:r>
        <w:rPr>
          <w:rFonts w:hint="eastAsia" w:ascii="仿宋_GB2312" w:hAnsi="仿宋_GB2312" w:eastAsia="仿宋_GB2312" w:cs="仿宋_GB2312"/>
          <w:color w:val="auto"/>
          <w:spacing w:val="-1"/>
          <w:sz w:val="30"/>
          <w:szCs w:val="30"/>
          <w:highlight w:val="none"/>
          <w:u w:val="single"/>
        </w:rPr>
        <w:t>计费的万分之五。逾期超过10天的，发包人有权解除合同。因设</w:t>
      </w:r>
      <w:r>
        <w:rPr>
          <w:rFonts w:hint="eastAsia" w:ascii="仿宋_GB2312" w:hAnsi="仿宋_GB2312" w:eastAsia="仿宋_GB2312" w:cs="仿宋_GB2312"/>
          <w:color w:val="auto"/>
          <w:sz w:val="30"/>
          <w:szCs w:val="30"/>
          <w:highlight w:val="none"/>
          <w:u w:val="single"/>
        </w:rPr>
        <w:t>计人原因导致发包人解除合同的，设计人应向发包人支付合同暂定金额20%的违约金，如违约金不足以弥补发包人损失的，设计人按实际损</w:t>
      </w:r>
      <w:r>
        <w:rPr>
          <w:rFonts w:hint="eastAsia" w:ascii="仿宋_GB2312" w:hAnsi="仿宋_GB2312" w:eastAsia="仿宋_GB2312" w:cs="仿宋_GB2312"/>
          <w:color w:val="auto"/>
          <w:spacing w:val="-1"/>
          <w:sz w:val="30"/>
          <w:szCs w:val="30"/>
          <w:highlight w:val="none"/>
          <w:u w:val="single"/>
        </w:rPr>
        <w:t>失额赔偿。</w:t>
      </w:r>
    </w:p>
    <w:p w14:paraId="5D689975">
      <w:pPr>
        <w:pStyle w:val="84"/>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14.2.4设计人对工程设计文件出现的遗漏或错误负责修改或补充。由于设计人原因产生的设计问题造成工程质量事故或其他事故的，视为违约。设计人除负责采取补救措施外，应免收受损失部分的设计费。因设计人提交的设计成果有错漏或不同专业之间图纸冲突等质量原因，导致发包人在该项目开发中产生（设计修改、建造成本增加等）无效成本或额外投入的，发包人有权按合同追究其责任并处无效成本×100%的处罚。</w:t>
      </w:r>
    </w:p>
    <w:p w14:paraId="54C3E1A8">
      <w:pPr>
        <w:pStyle w:val="84"/>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以上有关违约赔偿，所有违约金全部从设计人的设计费中</w:t>
      </w:r>
      <w:r>
        <w:rPr>
          <w:rFonts w:ascii="仿宋_GB2312" w:hAnsi="仿宋_GB2312" w:eastAsia="仿宋_GB2312" w:cs="仿宋_GB2312"/>
          <w:color w:val="auto"/>
          <w:spacing w:val="1"/>
          <w:sz w:val="30"/>
          <w:szCs w:val="30"/>
          <w:highlight w:val="none"/>
          <w:u w:val="single"/>
        </w:rPr>
        <w:t>扣除。</w:t>
      </w:r>
    </w:p>
    <w:p w14:paraId="7744EEE7">
      <w:pPr>
        <w:pStyle w:val="84"/>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14.2.6合同范围内的全部施工图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完成前，</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申请更换人员的，均视为</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违约(以下情形除外:因重病或重伤(持有市级以上医院证明)两个月以上不能履行职责的:离职或提拔调离原工作法人单位的:死亡的)，并</w:t>
      </w:r>
      <w:r>
        <w:rPr>
          <w:rFonts w:hint="eastAsia" w:ascii="仿宋_GB2312" w:hAnsi="仿宋_GB2312" w:eastAsia="仿宋_GB2312" w:cs="仿宋_GB2312"/>
          <w:bCs/>
          <w:color w:val="auto"/>
          <w:spacing w:val="1"/>
          <w:sz w:val="30"/>
          <w:szCs w:val="30"/>
          <w:highlight w:val="none"/>
          <w:u w:val="single"/>
        </w:rPr>
        <w:t>除</w:t>
      </w:r>
      <w:r>
        <w:rPr>
          <w:rFonts w:ascii="仿宋_GB2312" w:hAnsi="仿宋_GB2312" w:eastAsia="仿宋_GB2312" w:cs="仿宋_GB2312"/>
          <w:bCs/>
          <w:color w:val="auto"/>
          <w:spacing w:val="1"/>
          <w:sz w:val="30"/>
          <w:szCs w:val="30"/>
          <w:highlight w:val="none"/>
          <w:u w:val="single"/>
        </w:rPr>
        <w:t>以下违约金:项目负责人</w:t>
      </w:r>
      <w:r>
        <w:rPr>
          <w:rFonts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w:t>
      </w:r>
      <w:r>
        <w:rPr>
          <w:rFonts w:hint="eastAsia" w:ascii="仿宋_GB2312" w:hAnsi="仿宋_GB2312" w:eastAsia="仿宋_GB2312" w:cs="仿宋_GB2312"/>
          <w:bCs/>
          <w:color w:val="auto"/>
          <w:spacing w:val="1"/>
          <w:sz w:val="30"/>
          <w:szCs w:val="30"/>
          <w:highlight w:val="none"/>
          <w:u w:val="single"/>
        </w:rPr>
        <w:t>，结构</w:t>
      </w:r>
      <w:r>
        <w:rPr>
          <w:rFonts w:ascii="仿宋_GB2312" w:hAnsi="仿宋_GB2312" w:eastAsia="仿宋_GB2312" w:cs="仿宋_GB2312"/>
          <w:bCs/>
          <w:color w:val="auto"/>
          <w:spacing w:val="1"/>
          <w:sz w:val="30"/>
          <w:szCs w:val="30"/>
          <w:highlight w:val="none"/>
          <w:u w:val="single"/>
        </w:rPr>
        <w:t>负责人</w:t>
      </w:r>
      <w:r>
        <w:rPr>
          <w:rFonts w:hint="eastAsia" w:ascii="仿宋_GB2312" w:hAnsi="仿宋_GB2312" w:eastAsia="仿宋_GB2312" w:cs="仿宋_GB2312"/>
          <w:bCs/>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万元/人次，机电系统负责人万元/人次。</w:t>
      </w:r>
    </w:p>
    <w:p w14:paraId="767739DB">
      <w:pPr>
        <w:pStyle w:val="84"/>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完成后，设计</w:t>
      </w:r>
      <w:r>
        <w:rPr>
          <w:rFonts w:hint="eastAsia" w:ascii="仿宋_GB2312" w:hAnsi="仿宋_GB2312" w:eastAsia="仿宋_GB2312" w:cs="仿宋_GB2312"/>
          <w:color w:val="auto"/>
          <w:spacing w:val="1"/>
          <w:sz w:val="30"/>
          <w:szCs w:val="30"/>
          <w:highlight w:val="none"/>
          <w:u w:val="single"/>
        </w:rPr>
        <w:t>人</w:t>
      </w:r>
      <w:r>
        <w:rPr>
          <w:rFonts w:ascii="仿宋_GB2312" w:hAnsi="仿宋_GB2312" w:eastAsia="仿宋_GB2312" w:cs="仿宋_GB2312"/>
          <w:bCs/>
          <w:color w:val="auto"/>
          <w:spacing w:val="1"/>
          <w:sz w:val="30"/>
          <w:szCs w:val="30"/>
          <w:highlight w:val="none"/>
          <w:u w:val="single"/>
        </w:rPr>
        <w:t>申请更换人员的，经发</w:t>
      </w:r>
      <w:r>
        <w:rPr>
          <w:rFonts w:hint="eastAsia" w:ascii="仿宋_GB2312" w:hAnsi="仿宋_GB2312" w:eastAsia="仿宋_GB2312" w:cs="仿宋_GB2312"/>
          <w:color w:val="auto"/>
          <w:spacing w:val="1"/>
          <w:sz w:val="30"/>
          <w:szCs w:val="30"/>
          <w:highlight w:val="none"/>
          <w:u w:val="single"/>
        </w:rPr>
        <w:t>包人书面同意，可不视为违约</w:t>
      </w:r>
      <w:r>
        <w:rPr>
          <w:rFonts w:ascii="仿宋_GB2312" w:hAnsi="仿宋_GB2312" w:eastAsia="仿宋_GB2312" w:cs="仿宋_GB2312"/>
          <w:bCs/>
          <w:color w:val="auto"/>
          <w:spacing w:val="1"/>
          <w:sz w:val="30"/>
          <w:szCs w:val="30"/>
          <w:highlight w:val="none"/>
          <w:u w:val="single"/>
        </w:rPr>
        <w:t>。</w:t>
      </w:r>
    </w:p>
    <w:p w14:paraId="6936ED74">
      <w:pPr>
        <w:pStyle w:val="7"/>
        <w:keepNext/>
        <w:keepLines/>
        <w:ind w:firstLine="0" w:firstLineChars="0"/>
        <w:jc w:val="both"/>
        <w:rPr>
          <w:rFonts w:eastAsia="黑体"/>
          <w:bCs/>
          <w:color w:val="auto"/>
          <w:sz w:val="32"/>
          <w:highlight w:val="none"/>
        </w:rPr>
      </w:pPr>
      <w:bookmarkStart w:id="1378" w:name="_Toc24536"/>
      <w:bookmarkStart w:id="1379" w:name="_Toc5198"/>
      <w:bookmarkStart w:id="1380" w:name="_Toc25073"/>
      <w:bookmarkStart w:id="1381" w:name="_Toc966"/>
      <w:bookmarkStart w:id="1382" w:name="_Toc25271"/>
      <w:r>
        <w:rPr>
          <w:rFonts w:eastAsia="黑体"/>
          <w:bCs/>
          <w:color w:val="auto"/>
          <w:sz w:val="32"/>
          <w:highlight w:val="none"/>
        </w:rPr>
        <w:t>15.不可抗力</w:t>
      </w:r>
      <w:bookmarkEnd w:id="1378"/>
      <w:bookmarkEnd w:id="1379"/>
      <w:bookmarkEnd w:id="1380"/>
      <w:bookmarkEnd w:id="1381"/>
      <w:bookmarkEnd w:id="1382"/>
    </w:p>
    <w:p w14:paraId="6415E6C3">
      <w:pPr>
        <w:pStyle w:val="84"/>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15.1不可抗力的确认</w:t>
      </w:r>
    </w:p>
    <w:p w14:paraId="289D2464">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除通用合同条款约定的不可抗力事件之外，视为不</w:t>
      </w:r>
      <w:r>
        <w:rPr>
          <w:rFonts w:hint="eastAsia" w:ascii="仿宋_GB2312" w:hAnsi="仿宋_GB2312" w:eastAsia="仿宋_GB2312" w:cs="仿宋_GB2312"/>
          <w:color w:val="auto"/>
          <w:spacing w:val="-2"/>
          <w:sz w:val="30"/>
          <w:szCs w:val="30"/>
          <w:highlight w:val="none"/>
        </w:rPr>
        <w:t>可抗力的其他情形：</w:t>
      </w:r>
      <w:r>
        <w:rPr>
          <w:rFonts w:hint="eastAsia" w:ascii="仿宋_GB2312" w:hAnsi="仿宋_GB2312" w:eastAsia="仿宋_GB2312" w:cs="仿宋_GB2312"/>
          <w:color w:val="auto"/>
          <w:spacing w:val="-2"/>
          <w:sz w:val="30"/>
          <w:szCs w:val="30"/>
          <w:highlight w:val="none"/>
          <w:u w:val="single"/>
        </w:rPr>
        <w:t xml:space="preserve"> 因政府或相关主管部门</w:t>
      </w:r>
      <w:r>
        <w:rPr>
          <w:rFonts w:hint="eastAsia" w:ascii="仿宋_GB2312" w:hAnsi="仿宋_GB2312" w:eastAsia="仿宋_GB2312" w:cs="仿宋_GB2312"/>
          <w:color w:val="auto"/>
          <w:spacing w:val="-1"/>
          <w:sz w:val="30"/>
          <w:szCs w:val="30"/>
          <w:highlight w:val="none"/>
          <w:u w:val="single"/>
        </w:rPr>
        <w:t>要求导致项目中断设计。1、不可抗力是指不能预见、不能避免并不能克服</w:t>
      </w:r>
      <w:r>
        <w:rPr>
          <w:rFonts w:hint="eastAsia" w:ascii="仿宋_GB2312" w:hAnsi="仿宋_GB2312" w:eastAsia="仿宋_GB2312" w:cs="仿宋_GB2312"/>
          <w:color w:val="auto"/>
          <w:spacing w:val="-2"/>
          <w:sz w:val="30"/>
          <w:szCs w:val="30"/>
          <w:highlight w:val="none"/>
          <w:u w:val="single"/>
        </w:rPr>
        <w:t>的客观情况，包括洪</w:t>
      </w:r>
      <w:r>
        <w:rPr>
          <w:rFonts w:hint="eastAsia" w:ascii="仿宋_GB2312" w:hAnsi="仿宋_GB2312" w:eastAsia="仿宋_GB2312" w:cs="仿宋_GB2312"/>
          <w:color w:val="auto"/>
          <w:spacing w:val="1"/>
          <w:sz w:val="30"/>
          <w:szCs w:val="30"/>
          <w:highlight w:val="none"/>
          <w:u w:val="single"/>
        </w:rPr>
        <w:t>水、地震、疫情等自然原因，战争、政变、政府行为等社会及政</w:t>
      </w:r>
      <w:r>
        <w:rPr>
          <w:rFonts w:hint="eastAsia" w:ascii="仿宋_GB2312" w:hAnsi="仿宋_GB2312" w:eastAsia="仿宋_GB2312" w:cs="仿宋_GB2312"/>
          <w:color w:val="auto"/>
          <w:sz w:val="30"/>
          <w:szCs w:val="30"/>
          <w:highlight w:val="none"/>
          <w:u w:val="single"/>
        </w:rPr>
        <w:t>府行为原因等。2、 主张发生</w:t>
      </w:r>
      <w:r>
        <w:rPr>
          <w:rFonts w:hint="eastAsia" w:ascii="仿宋_GB2312" w:hAnsi="仿宋_GB2312" w:eastAsia="仿宋_GB2312" w:cs="仿宋_GB2312"/>
          <w:color w:val="auto"/>
          <w:spacing w:val="-2"/>
          <w:sz w:val="30"/>
          <w:szCs w:val="30"/>
          <w:highlight w:val="none"/>
          <w:u w:val="single"/>
        </w:rPr>
        <w:t>不可抗力的一方应在不可抗力事件发生后及时书面通知其他各方，并在其后的十五(15)天内提供</w:t>
      </w:r>
      <w:r>
        <w:rPr>
          <w:rFonts w:hint="eastAsia" w:ascii="仿宋_GB2312" w:hAnsi="仿宋_GB2312" w:eastAsia="仿宋_GB2312" w:cs="仿宋_GB2312"/>
          <w:color w:val="auto"/>
          <w:spacing w:val="1"/>
          <w:sz w:val="30"/>
          <w:szCs w:val="30"/>
          <w:highlight w:val="none"/>
          <w:u w:val="single"/>
        </w:rPr>
        <w:t>证明不可抗力发生及其持续时间的足够证据。3、 不可抗</w:t>
      </w:r>
      <w:r>
        <w:rPr>
          <w:rFonts w:hint="eastAsia" w:ascii="仿宋_GB2312" w:hAnsi="仿宋_GB2312" w:eastAsia="仿宋_GB2312" w:cs="仿宋_GB2312"/>
          <w:color w:val="auto"/>
          <w:sz w:val="30"/>
          <w:szCs w:val="30"/>
          <w:highlight w:val="none"/>
          <w:u w:val="single"/>
        </w:rPr>
        <w:t>力事件，各方应立即互相协商，以找</w:t>
      </w:r>
      <w:r>
        <w:rPr>
          <w:rFonts w:hint="eastAsia" w:ascii="仿宋_GB2312" w:hAnsi="仿宋_GB2312" w:eastAsia="仿宋_GB2312" w:cs="仿宋_GB2312"/>
          <w:color w:val="auto"/>
          <w:spacing w:val="1"/>
          <w:sz w:val="30"/>
          <w:szCs w:val="30"/>
          <w:highlight w:val="none"/>
          <w:u w:val="single"/>
        </w:rPr>
        <w:t>到公平的解决办法，并且应尽一切合理努力将不可抗力的影响减少到最低限度。如不可抗力的</w:t>
      </w:r>
      <w:r>
        <w:rPr>
          <w:rFonts w:hint="eastAsia" w:ascii="仿宋_GB2312" w:hAnsi="仿宋_GB2312" w:eastAsia="仿宋_GB2312" w:cs="仿宋_GB2312"/>
          <w:color w:val="auto"/>
          <w:spacing w:val="-2"/>
          <w:sz w:val="30"/>
          <w:szCs w:val="30"/>
          <w:highlight w:val="none"/>
          <w:u w:val="single"/>
        </w:rPr>
        <w:t>发生或后果对合同的履行造成重大妨碍，时间超过六个月，并且各</w:t>
      </w:r>
      <w:r>
        <w:rPr>
          <w:rFonts w:hint="eastAsia" w:ascii="仿宋_GB2312" w:hAnsi="仿宋_GB2312" w:eastAsia="仿宋_GB2312" w:cs="仿宋_GB2312"/>
          <w:color w:val="auto"/>
          <w:spacing w:val="-3"/>
          <w:sz w:val="30"/>
          <w:szCs w:val="30"/>
          <w:highlight w:val="none"/>
          <w:u w:val="single"/>
        </w:rPr>
        <w:t>方没有找到公平的解决办法，</w:t>
      </w:r>
      <w:r>
        <w:rPr>
          <w:rFonts w:hint="eastAsia" w:ascii="仿宋_GB2312" w:hAnsi="仿宋_GB2312" w:eastAsia="仿宋_GB2312" w:cs="仿宋_GB2312"/>
          <w:color w:val="auto"/>
          <w:sz w:val="30"/>
          <w:szCs w:val="30"/>
          <w:highlight w:val="none"/>
          <w:u w:val="single"/>
        </w:rPr>
        <w:t>则任何一方可终止本协议的程序，但条件是该方已履行其在本条项下的</w:t>
      </w:r>
      <w:r>
        <w:rPr>
          <w:rFonts w:hint="eastAsia" w:ascii="仿宋_GB2312" w:hAnsi="仿宋_GB2312" w:eastAsia="仿宋_GB2312" w:cs="仿宋_GB2312"/>
          <w:color w:val="auto"/>
          <w:spacing w:val="-1"/>
          <w:sz w:val="30"/>
          <w:szCs w:val="30"/>
          <w:highlight w:val="none"/>
          <w:u w:val="single"/>
        </w:rPr>
        <w:t>义务</w:t>
      </w:r>
      <w:r>
        <w:rPr>
          <w:rFonts w:hint="eastAsia" w:ascii="仿宋_GB2312" w:hAnsi="仿宋_GB2312" w:eastAsia="仿宋_GB2312" w:cs="仿宋_GB2312"/>
          <w:color w:val="auto"/>
          <w:spacing w:val="-1"/>
          <w:sz w:val="30"/>
          <w:szCs w:val="30"/>
          <w:highlight w:val="none"/>
        </w:rPr>
        <w:t>。</w:t>
      </w:r>
    </w:p>
    <w:p w14:paraId="4090B832">
      <w:pPr>
        <w:pStyle w:val="7"/>
        <w:keepNext/>
        <w:keepLines/>
        <w:ind w:firstLine="0" w:firstLineChars="0"/>
        <w:jc w:val="both"/>
        <w:rPr>
          <w:rFonts w:eastAsia="黑体"/>
          <w:bCs/>
          <w:color w:val="auto"/>
          <w:sz w:val="32"/>
          <w:highlight w:val="none"/>
        </w:rPr>
      </w:pPr>
      <w:bookmarkStart w:id="1383" w:name="_Toc25085"/>
      <w:bookmarkStart w:id="1384" w:name="_Toc31665"/>
      <w:bookmarkStart w:id="1385" w:name="_Toc27335"/>
      <w:bookmarkStart w:id="1386" w:name="_Toc28446"/>
      <w:bookmarkStart w:id="1387" w:name="_Toc29135"/>
      <w:r>
        <w:rPr>
          <w:rFonts w:eastAsia="黑体"/>
          <w:bCs/>
          <w:color w:val="auto"/>
          <w:sz w:val="32"/>
          <w:highlight w:val="none"/>
        </w:rPr>
        <w:t>16.合同解除</w:t>
      </w:r>
      <w:bookmarkEnd w:id="1383"/>
      <w:bookmarkEnd w:id="1384"/>
      <w:bookmarkEnd w:id="1385"/>
      <w:bookmarkEnd w:id="1386"/>
      <w:bookmarkEnd w:id="1387"/>
    </w:p>
    <w:p w14:paraId="05F3EC16">
      <w:pPr>
        <w:pStyle w:val="84"/>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16.2有下列情形之一的，可以解除合同：</w:t>
      </w:r>
    </w:p>
    <w:p w14:paraId="3EF7BD1E">
      <w:pPr>
        <w:pStyle w:val="84"/>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（1）暂停设计期限已连续超过</w:t>
      </w:r>
      <w:r>
        <w:rPr>
          <w:rFonts w:hint="eastAsia" w:ascii="仿宋_GB2312" w:hAnsi="仿宋_GB2312" w:eastAsia="仿宋_GB2312" w:cs="仿宋_GB2312"/>
          <w:color w:val="auto"/>
          <w:spacing w:val="-3"/>
          <w:sz w:val="30"/>
          <w:szCs w:val="30"/>
          <w:highlight w:val="none"/>
          <w:u w:val="single"/>
        </w:rPr>
        <w:t>180</w:t>
      </w:r>
      <w:r>
        <w:rPr>
          <w:rFonts w:hint="eastAsia" w:ascii="仿宋_GB2312" w:hAnsi="仿宋_GB2312" w:eastAsia="仿宋_GB2312" w:cs="仿宋_GB2312"/>
          <w:color w:val="auto"/>
          <w:spacing w:val="-3"/>
          <w:sz w:val="30"/>
          <w:szCs w:val="30"/>
          <w:highlight w:val="none"/>
        </w:rPr>
        <w:t>天。</w:t>
      </w:r>
    </w:p>
    <w:p w14:paraId="46E50D5C">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（2）因设计人原因造成设计文件不合格致使审查无法通过达到3次的，发包人有权单方面解除</w:t>
      </w:r>
      <w:r>
        <w:rPr>
          <w:rFonts w:hint="eastAsia" w:ascii="仿宋_GB2312" w:hAnsi="仿宋_GB2312" w:eastAsia="仿宋_GB2312" w:cs="仿宋_GB2312"/>
          <w:color w:val="auto"/>
          <w:spacing w:val="-9"/>
          <w:sz w:val="30"/>
          <w:szCs w:val="30"/>
          <w:highlight w:val="none"/>
        </w:rPr>
        <w:t>合同。</w:t>
      </w:r>
    </w:p>
    <w:p w14:paraId="2FD307AA">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（3）设计人应按专用合同条款第7.2条、附件3以及发包人根据工程进展情况要求的期限交付</w:t>
      </w:r>
      <w:r>
        <w:rPr>
          <w:rFonts w:hint="eastAsia" w:ascii="仿宋_GB2312" w:hAnsi="仿宋_GB2312" w:eastAsia="仿宋_GB2312" w:cs="仿宋_GB2312"/>
          <w:color w:val="auto"/>
          <w:spacing w:val="-8"/>
          <w:sz w:val="30"/>
          <w:szCs w:val="30"/>
          <w:highlight w:val="none"/>
        </w:rPr>
        <w:t>设计文件，单次交付阶段逾期超过15  日历天的，发包人有权单方面解除合同。设计人有2次（含</w:t>
      </w:r>
      <w:r>
        <w:rPr>
          <w:rFonts w:hint="eastAsia" w:ascii="仿宋_GB2312" w:hAnsi="仿宋_GB2312" w:eastAsia="仿宋_GB2312" w:cs="仿宋_GB2312"/>
          <w:color w:val="auto"/>
          <w:spacing w:val="-1"/>
          <w:sz w:val="30"/>
          <w:szCs w:val="30"/>
          <w:highlight w:val="none"/>
        </w:rPr>
        <w:t>2次）以上不依据发包人的通知或函告执行，发包人</w:t>
      </w:r>
      <w:r>
        <w:rPr>
          <w:rFonts w:hint="eastAsia" w:ascii="仿宋_GB2312" w:hAnsi="仿宋_GB2312" w:eastAsia="仿宋_GB2312" w:cs="仿宋_GB2312"/>
          <w:color w:val="auto"/>
          <w:spacing w:val="-2"/>
          <w:sz w:val="30"/>
          <w:szCs w:val="30"/>
          <w:highlight w:val="none"/>
        </w:rPr>
        <w:t>有权解除本合同。</w:t>
      </w:r>
    </w:p>
    <w:p w14:paraId="7BD996E5">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（4）设计人需按发包人要求及合同约定时间按质履行合同，如果设计人存在不符合合同约定的</w:t>
      </w:r>
      <w:r>
        <w:rPr>
          <w:rFonts w:hint="eastAsia" w:ascii="仿宋_GB2312" w:hAnsi="仿宋_GB2312" w:eastAsia="仿宋_GB2312" w:cs="仿宋_GB2312"/>
          <w:color w:val="auto"/>
          <w:spacing w:val="1"/>
          <w:sz w:val="30"/>
          <w:szCs w:val="30"/>
          <w:highlight w:val="none"/>
        </w:rPr>
        <w:t>违约行为，发包人有权将该部分工作直接分割，分包给第三方完成，所需费用由设计人承</w:t>
      </w:r>
      <w:r>
        <w:rPr>
          <w:rFonts w:hint="eastAsia" w:ascii="仿宋_GB2312" w:hAnsi="仿宋_GB2312" w:eastAsia="仿宋_GB2312" w:cs="仿宋_GB2312"/>
          <w:color w:val="auto"/>
          <w:sz w:val="30"/>
          <w:szCs w:val="30"/>
          <w:highlight w:val="none"/>
        </w:rPr>
        <w:t>担， 发包人有权从合同款中予以扣除，同时设计人所需承担责任不</w:t>
      </w:r>
      <w:r>
        <w:rPr>
          <w:rFonts w:hint="eastAsia" w:ascii="仿宋_GB2312" w:hAnsi="仿宋_GB2312" w:eastAsia="仿宋_GB2312" w:cs="仿宋_GB2312"/>
          <w:color w:val="auto"/>
          <w:spacing w:val="-1"/>
          <w:sz w:val="30"/>
          <w:szCs w:val="30"/>
          <w:highlight w:val="none"/>
        </w:rPr>
        <w:t>免除。</w:t>
      </w:r>
    </w:p>
    <w:p w14:paraId="165F9F9A">
      <w:pPr>
        <w:pStyle w:val="7"/>
        <w:keepNext/>
        <w:keepLines/>
        <w:ind w:firstLine="0" w:firstLineChars="0"/>
        <w:jc w:val="both"/>
        <w:rPr>
          <w:rFonts w:eastAsia="黑体"/>
          <w:bCs/>
          <w:color w:val="auto"/>
          <w:sz w:val="32"/>
          <w:highlight w:val="none"/>
        </w:rPr>
      </w:pPr>
      <w:bookmarkStart w:id="1388" w:name="_Toc30683"/>
      <w:bookmarkStart w:id="1389" w:name="_Toc9034"/>
      <w:bookmarkStart w:id="1390" w:name="_Toc31639"/>
      <w:bookmarkStart w:id="1391" w:name="_Toc14804"/>
      <w:r>
        <w:rPr>
          <w:rFonts w:eastAsia="黑体"/>
          <w:bCs/>
          <w:color w:val="auto"/>
          <w:sz w:val="32"/>
          <w:highlight w:val="none"/>
        </w:rPr>
        <w:t>17.争议解决</w:t>
      </w:r>
      <w:bookmarkEnd w:id="1388"/>
      <w:bookmarkEnd w:id="1389"/>
      <w:bookmarkEnd w:id="1390"/>
      <w:bookmarkEnd w:id="1391"/>
    </w:p>
    <w:p w14:paraId="0B0C85F0">
      <w:pPr>
        <w:pStyle w:val="84"/>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17.4仲裁或诉讼</w:t>
      </w:r>
    </w:p>
    <w:p w14:paraId="03110969">
      <w:pPr>
        <w:pStyle w:val="84"/>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因合同及合同有关事项发生的争议，按下列第</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lang w:val="en-US" w:eastAsia="zh-CN"/>
        </w:rPr>
        <w:t>1</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种方式解决：</w:t>
      </w:r>
    </w:p>
    <w:p w14:paraId="56B6F953">
      <w:pPr>
        <w:pStyle w:val="84"/>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（1）因本协议及本协议在履行过程中发生的争议，由各方友好协商解决，协商不成的，任何一方均有权向</w:t>
      </w:r>
      <w:r>
        <w:rPr>
          <w:rFonts w:hint="eastAsia" w:ascii="仿宋_GB2312" w:hAnsi="仿宋_GB2312" w:eastAsia="仿宋_GB2312" w:cs="仿宋_GB2312"/>
          <w:color w:val="auto"/>
          <w:sz w:val="30"/>
          <w:szCs w:val="30"/>
          <w:highlight w:val="none"/>
          <w:u w:val="single"/>
        </w:rPr>
        <w:t>甲方所在地有管辖权</w:t>
      </w:r>
      <w:r>
        <w:rPr>
          <w:rFonts w:hint="eastAsia" w:ascii="仿宋_GB2312" w:hAnsi="仿宋_GB2312" w:eastAsia="仿宋_GB2312" w:cs="仿宋_GB2312"/>
          <w:color w:val="auto"/>
          <w:spacing w:val="-2"/>
          <w:sz w:val="30"/>
          <w:szCs w:val="30"/>
          <w:highlight w:val="none"/>
        </w:rPr>
        <w:t>的人民法院起诉。</w:t>
      </w:r>
    </w:p>
    <w:p w14:paraId="30DBB2C9">
      <w:pPr>
        <w:pStyle w:val="84"/>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（2）提请</w:t>
      </w:r>
      <w:r>
        <w:rPr>
          <w:rFonts w:hint="eastAsia" w:ascii="仿宋_GB2312" w:hAnsi="仿宋_GB2312" w:eastAsia="仿宋_GB2312" w:cs="仿宋_GB2312"/>
          <w:color w:val="auto"/>
          <w:spacing w:val="-2"/>
          <w:sz w:val="30"/>
          <w:szCs w:val="30"/>
          <w:highlight w:val="none"/>
          <w:u w:val="single"/>
        </w:rPr>
        <w:t xml:space="preserve">  /  </w:t>
      </w:r>
      <w:r>
        <w:rPr>
          <w:rFonts w:hint="eastAsia" w:ascii="仿宋_GB2312" w:hAnsi="仿宋_GB2312" w:eastAsia="仿宋_GB2312" w:cs="仿宋_GB2312"/>
          <w:color w:val="auto"/>
          <w:spacing w:val="-2"/>
          <w:sz w:val="30"/>
          <w:szCs w:val="30"/>
          <w:highlight w:val="none"/>
        </w:rPr>
        <w:t>仲裁委员会按照该会仲裁规则进行仲裁，仲裁裁决是终局的，对合同双方均有约束力。</w:t>
      </w:r>
    </w:p>
    <w:p w14:paraId="634CC524">
      <w:pPr>
        <w:pStyle w:val="7"/>
        <w:keepNext/>
        <w:keepLines/>
        <w:ind w:firstLine="0" w:firstLineChars="0"/>
        <w:jc w:val="both"/>
        <w:rPr>
          <w:rFonts w:eastAsia="黑体"/>
          <w:bCs/>
          <w:color w:val="auto"/>
          <w:sz w:val="32"/>
          <w:highlight w:val="none"/>
        </w:rPr>
      </w:pPr>
      <w:bookmarkStart w:id="1392" w:name="_Toc25166"/>
      <w:bookmarkStart w:id="1393" w:name="_Toc5313"/>
      <w:bookmarkStart w:id="1394" w:name="_Toc28127"/>
      <w:bookmarkStart w:id="1395" w:name="_Toc6448"/>
      <w:bookmarkStart w:id="1396" w:name="_Toc17774"/>
      <w:r>
        <w:rPr>
          <w:rFonts w:eastAsia="黑体"/>
          <w:bCs/>
          <w:color w:val="auto"/>
          <w:sz w:val="32"/>
          <w:highlight w:val="none"/>
        </w:rPr>
        <w:t>18.其他</w:t>
      </w:r>
      <w:bookmarkEnd w:id="1392"/>
      <w:bookmarkEnd w:id="1393"/>
      <w:bookmarkEnd w:id="1394"/>
      <w:bookmarkEnd w:id="1395"/>
      <w:bookmarkEnd w:id="1396"/>
    </w:p>
    <w:p w14:paraId="214BCDF7">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18.1  设计人应利用本项目已完成的设计成果，如因设计成果未能满足本次设计目标时</w:t>
      </w:r>
      <w:r>
        <w:rPr>
          <w:rFonts w:hint="eastAsia" w:ascii="仿宋_GB2312" w:hAnsi="仿宋_GB2312" w:eastAsia="仿宋_GB2312" w:cs="仿宋_GB2312"/>
          <w:color w:val="auto"/>
          <w:spacing w:val="-1"/>
          <w:sz w:val="30"/>
          <w:szCs w:val="30"/>
          <w:highlight w:val="none"/>
        </w:rPr>
        <w:t>，应按照相关部门的要求，对发生部分内容给予计列。</w:t>
      </w:r>
    </w:p>
    <w:p w14:paraId="2247C63A">
      <w:pPr>
        <w:pStyle w:val="84"/>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18.2总体协调单位主要责任：</w:t>
      </w:r>
    </w:p>
    <w:p w14:paraId="397C71CF">
      <w:pPr>
        <w:pStyle w:val="84"/>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（1）组织各设计人研究建设项目的总体设计方案；</w:t>
      </w:r>
    </w:p>
    <w:p w14:paraId="2B5190BC">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（2）确定统一的工程设计标准、规范、深度和要求；</w:t>
      </w:r>
    </w:p>
    <w:p w14:paraId="5E58584F">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（3）组织编制建设项目工程设计总说明、总图等；</w:t>
      </w:r>
    </w:p>
    <w:p w14:paraId="60F3D984">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（4）协调工程设计进度，组织各设计人按照要</w:t>
      </w:r>
      <w:r>
        <w:rPr>
          <w:rFonts w:hint="eastAsia" w:ascii="仿宋_GB2312" w:hAnsi="仿宋_GB2312" w:eastAsia="仿宋_GB2312" w:cs="仿宋_GB2312"/>
          <w:color w:val="auto"/>
          <w:spacing w:val="-1"/>
          <w:sz w:val="30"/>
          <w:szCs w:val="30"/>
          <w:highlight w:val="none"/>
        </w:rPr>
        <w:t>求提交工程设计文件；</w:t>
      </w:r>
    </w:p>
    <w:p w14:paraId="6B13E8DB">
      <w:pPr>
        <w:pStyle w:val="84"/>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（5）负责协调、完成各工程设计文件的衔接设计工</w:t>
      </w:r>
      <w:r>
        <w:rPr>
          <w:rFonts w:hint="eastAsia" w:ascii="仿宋_GB2312" w:hAnsi="仿宋_GB2312" w:eastAsia="仿宋_GB2312" w:cs="仿宋_GB2312"/>
          <w:color w:val="auto"/>
          <w:spacing w:val="-2"/>
          <w:sz w:val="30"/>
          <w:szCs w:val="30"/>
          <w:highlight w:val="none"/>
        </w:rPr>
        <w:t>作。</w:t>
      </w:r>
    </w:p>
    <w:p w14:paraId="4B2ED2A6">
      <w:pPr>
        <w:pStyle w:val="84"/>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18.3  本合同载明的通讯地址为双方指定收件地址，今后凡与本合同相关的任何通知、函件</w:t>
      </w:r>
      <w:r>
        <w:rPr>
          <w:rFonts w:hint="eastAsia" w:ascii="仿宋_GB2312" w:hAnsi="仿宋_GB2312" w:eastAsia="仿宋_GB2312" w:cs="仿宋_GB2312"/>
          <w:color w:val="auto"/>
          <w:spacing w:val="-1"/>
          <w:sz w:val="30"/>
          <w:szCs w:val="30"/>
          <w:highlight w:val="none"/>
        </w:rPr>
        <w:t>、法</w:t>
      </w:r>
      <w:r>
        <w:rPr>
          <w:rFonts w:hint="eastAsia" w:ascii="仿宋_GB2312" w:hAnsi="仿宋_GB2312" w:eastAsia="仿宋_GB2312" w:cs="仿宋_GB2312"/>
          <w:color w:val="auto"/>
          <w:spacing w:val="1"/>
          <w:sz w:val="30"/>
          <w:szCs w:val="30"/>
          <w:highlight w:val="none"/>
        </w:rPr>
        <w:t>律文书（包括但不限于律师函、起诉状、应诉通知、传票、判决书、裁定书等）均送达至该地</w:t>
      </w:r>
      <w:r>
        <w:rPr>
          <w:rFonts w:hint="eastAsia" w:ascii="仿宋_GB2312" w:hAnsi="仿宋_GB2312" w:eastAsia="仿宋_GB2312" w:cs="仿宋_GB2312"/>
          <w:color w:val="auto"/>
          <w:spacing w:val="-1"/>
          <w:sz w:val="30"/>
          <w:szCs w:val="30"/>
          <w:highlight w:val="none"/>
        </w:rPr>
        <w:t>址，自EMS邮件加盖邮戳之日起第三日起视为送达，任一方有变更应书面通知对方</w:t>
      </w:r>
      <w:r>
        <w:rPr>
          <w:rFonts w:hint="eastAsia" w:ascii="仿宋_GB2312" w:hAnsi="仿宋_GB2312" w:eastAsia="仿宋_GB2312" w:cs="仿宋_GB2312"/>
          <w:color w:val="auto"/>
          <w:spacing w:val="-2"/>
          <w:sz w:val="30"/>
          <w:szCs w:val="30"/>
          <w:highlight w:val="none"/>
        </w:rPr>
        <w:t>，否则均为</w:t>
      </w:r>
      <w:r>
        <w:rPr>
          <w:rFonts w:hint="eastAsia" w:ascii="仿宋_GB2312" w:hAnsi="仿宋_GB2312" w:eastAsia="仿宋_GB2312" w:cs="仿宋_GB2312"/>
          <w:color w:val="auto"/>
          <w:spacing w:val="-1"/>
          <w:sz w:val="30"/>
          <w:szCs w:val="30"/>
          <w:highlight w:val="none"/>
        </w:rPr>
        <w:t>有效送达，未及时告知的不良后果由该方承担。</w:t>
      </w:r>
    </w:p>
    <w:p w14:paraId="1F1B95FF">
      <w:pPr>
        <w:rPr>
          <w:rFonts w:ascii="仿宋_GB2312" w:hAnsi="仿宋_GB2312" w:eastAsia="仿宋_GB2312" w:cs="仿宋_GB2312"/>
          <w:b/>
          <w:bCs/>
          <w:color w:val="auto"/>
          <w:spacing w:val="-6"/>
          <w:sz w:val="30"/>
          <w:szCs w:val="30"/>
          <w:highlight w:val="none"/>
        </w:rPr>
      </w:pPr>
    </w:p>
    <w:p w14:paraId="147A5D3A">
      <w:pPr>
        <w:pStyle w:val="84"/>
        <w:spacing w:after="0" w:line="360" w:lineRule="auto"/>
        <w:rPr>
          <w:rFonts w:ascii="Arial" w:hAnsi="Arial" w:eastAsia="黑体"/>
          <w:b/>
          <w:bCs/>
          <w:color w:val="auto"/>
          <w:sz w:val="32"/>
          <w:szCs w:val="32"/>
          <w:highlight w:val="none"/>
        </w:rPr>
      </w:pPr>
      <w:r>
        <w:rPr>
          <w:rFonts w:hint="eastAsia" w:ascii="Arial" w:hAnsi="Arial" w:eastAsia="黑体"/>
          <w:b/>
          <w:bCs/>
          <w:color w:val="auto"/>
          <w:sz w:val="32"/>
          <w:szCs w:val="32"/>
          <w:highlight w:val="none"/>
        </w:rPr>
        <w:t>19.专用合同条款</w:t>
      </w:r>
      <w:r>
        <w:rPr>
          <w:rFonts w:ascii="Arial" w:hAnsi="Arial" w:eastAsia="黑体"/>
          <w:b/>
          <w:bCs/>
          <w:color w:val="auto"/>
          <w:sz w:val="32"/>
          <w:szCs w:val="32"/>
          <w:highlight w:val="none"/>
        </w:rPr>
        <w:t>附件</w:t>
      </w:r>
    </w:p>
    <w:p w14:paraId="5356A217">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附件1：工程设计范围、阶段与服务内容</w:t>
      </w:r>
    </w:p>
    <w:p w14:paraId="2D3733F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附件2：发包人向设计人提交的有关资料及文件一览表</w:t>
      </w:r>
    </w:p>
    <w:p w14:paraId="4695FB4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附件3：设计人向发包人交付的工程设计文件目录</w:t>
      </w:r>
    </w:p>
    <w:p w14:paraId="38CA870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附件4：设计人主要设计人员表</w:t>
      </w:r>
    </w:p>
    <w:p w14:paraId="546948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附件5: 设计进度表</w:t>
      </w:r>
    </w:p>
    <w:p w14:paraId="5026B3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附件6: 设计费明细及支付方式</w:t>
      </w:r>
    </w:p>
    <w:p w14:paraId="78580C7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附件7: 设计变更计费依据和方法</w:t>
      </w:r>
    </w:p>
    <w:p w14:paraId="41C4138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附件8：履约担保（如有）</w:t>
      </w:r>
    </w:p>
    <w:p w14:paraId="720970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附件9：廉政责任书</w:t>
      </w:r>
    </w:p>
    <w:p w14:paraId="78AE71C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附件10：其他要求</w:t>
      </w:r>
    </w:p>
    <w:p w14:paraId="2BF442F3">
      <w:pPr>
        <w:pStyle w:val="80"/>
        <w:spacing w:before="91" w:line="222" w:lineRule="auto"/>
        <w:ind w:left="0"/>
        <w:rPr>
          <w:rFonts w:ascii="仿宋_GB2312" w:hAnsi="仿宋_GB2312" w:eastAsia="仿宋_GB2312" w:cs="仿宋_GB2312"/>
          <w:b/>
          <w:bCs/>
          <w:color w:val="auto"/>
          <w:spacing w:val="-15"/>
          <w:sz w:val="30"/>
          <w:szCs w:val="30"/>
          <w:highlight w:val="none"/>
        </w:rPr>
        <w:sectPr>
          <w:pgSz w:w="11906" w:h="16838"/>
          <w:pgMar w:top="1440" w:right="1531" w:bottom="1440" w:left="1531" w:header="851" w:footer="992" w:gutter="0"/>
          <w:pgNumType w:start="1"/>
          <w:cols w:space="425" w:num="1"/>
          <w:docGrid w:type="lines" w:linePitch="312" w:charSpace="0"/>
        </w:sectPr>
      </w:pPr>
    </w:p>
    <w:p w14:paraId="6FB8DE95">
      <w:pPr>
        <w:pStyle w:val="7"/>
        <w:ind w:firstLine="598"/>
        <w:rPr>
          <w:rFonts w:ascii="仿宋_GB2312" w:hAnsi="仿宋_GB2312" w:eastAsia="仿宋_GB2312" w:cs="仿宋_GB2312"/>
          <w:color w:val="auto"/>
          <w:spacing w:val="-1"/>
          <w:sz w:val="30"/>
          <w:szCs w:val="30"/>
          <w:highlight w:val="none"/>
        </w:rPr>
      </w:pPr>
      <w:bookmarkStart w:id="1397" w:name="_Toc25097"/>
      <w:bookmarkStart w:id="1398" w:name="_Toc943"/>
      <w:bookmarkStart w:id="1399" w:name="_Toc23069"/>
      <w:bookmarkStart w:id="1400" w:name="_Toc6579"/>
      <w:bookmarkStart w:id="1401" w:name="_Toc29879"/>
      <w:r>
        <w:rPr>
          <w:rFonts w:hint="eastAsia" w:ascii="仿宋_GB2312" w:hAnsi="仿宋_GB2312" w:eastAsia="仿宋_GB2312" w:cs="仿宋_GB2312"/>
          <w:color w:val="auto"/>
          <w:spacing w:val="-1"/>
          <w:sz w:val="30"/>
          <w:szCs w:val="30"/>
          <w:highlight w:val="none"/>
        </w:rPr>
        <w:t>附件1：工程设计范围、阶段与服务内容</w:t>
      </w:r>
      <w:bookmarkEnd w:id="1397"/>
      <w:bookmarkEnd w:id="1398"/>
      <w:bookmarkEnd w:id="1399"/>
      <w:bookmarkEnd w:id="1400"/>
      <w:bookmarkEnd w:id="1401"/>
    </w:p>
    <w:p w14:paraId="0B115949">
      <w:pPr>
        <w:ind w:firstLine="11400" w:firstLineChars="3800"/>
        <w:jc w:val="center"/>
        <w:rPr>
          <w:rFonts w:ascii="仿宋_GB2312" w:hAnsi="仿宋_GB2312" w:eastAsia="仿宋_GB2312" w:cs="仿宋_GB2312"/>
          <w:i/>
          <w:iCs/>
          <w:color w:val="auto"/>
          <w:sz w:val="30"/>
          <w:szCs w:val="30"/>
          <w:highlight w:val="none"/>
        </w:rPr>
      </w:pPr>
      <w:r>
        <w:rPr>
          <w:rFonts w:hint="eastAsia" w:ascii="仿宋_GB2312" w:hAnsi="仿宋_GB2312" w:eastAsia="仿宋_GB2312" w:cs="仿宋_GB2312"/>
          <w:i/>
          <w:iCs/>
          <w:color w:val="auto"/>
          <w:sz w:val="30"/>
          <w:szCs w:val="30"/>
          <w:highlight w:val="none"/>
          <w:lang w:val="en-US" w:eastAsia="zh-CN"/>
        </w:rPr>
        <w:t xml:space="preserve"> 注</w:t>
      </w:r>
      <w:r>
        <w:rPr>
          <w:rFonts w:hint="eastAsia" w:ascii="仿宋_GB2312" w:hAnsi="仿宋_GB2312" w:eastAsia="仿宋_GB2312" w:cs="仿宋_GB2312"/>
          <w:i/>
          <w:iCs/>
          <w:color w:val="auto"/>
          <w:sz w:val="30"/>
          <w:szCs w:val="30"/>
          <w:highlight w:val="none"/>
        </w:rPr>
        <w:t>：适用于供配电设计</w:t>
      </w:r>
    </w:p>
    <w:p w14:paraId="3507B30B">
      <w:pPr>
        <w:ind w:firstLine="11400" w:firstLineChars="3800"/>
        <w:jc w:val="center"/>
        <w:rPr>
          <w:rFonts w:ascii="仿宋_GB2312" w:hAnsi="仿宋_GB2312" w:eastAsia="仿宋_GB2312" w:cs="仿宋_GB2312"/>
          <w:i/>
          <w:iCs/>
          <w:color w:val="auto"/>
          <w:sz w:val="30"/>
          <w:szCs w:val="30"/>
          <w:highlight w:val="none"/>
        </w:rPr>
      </w:pPr>
    </w:p>
    <w:p w14:paraId="748385DA">
      <w:pPr>
        <w:pStyle w:val="80"/>
        <w:ind w:firstLine="602"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z w:val="30"/>
          <w:szCs w:val="30"/>
          <w:highlight w:val="none"/>
        </w:rPr>
        <w:t>工程设计范围、阶段与服务内容</w:t>
      </w:r>
    </w:p>
    <w:p w14:paraId="64A6E7A1">
      <w:pPr>
        <w:spacing w:line="360" w:lineRule="auto"/>
        <w:ind w:firstLine="563" w:firstLineChars="187"/>
        <w:rPr>
          <w:rFonts w:ascii="仿宋_GB2312" w:hAnsi="仿宋_GB2312" w:eastAsia="仿宋_GB2312" w:cs="仿宋_GB2312"/>
          <w:b/>
          <w:color w:val="auto"/>
          <w:sz w:val="30"/>
          <w:szCs w:val="30"/>
          <w:highlight w:val="none"/>
        </w:rPr>
      </w:pPr>
    </w:p>
    <w:p w14:paraId="5BC52230">
      <w:pPr>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一、本工程设计范围及服务内容</w:t>
      </w:r>
    </w:p>
    <w:p w14:paraId="0263B95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本项目供配电工程设计，包含但不限于：</w:t>
      </w:r>
      <w:r>
        <w:rPr>
          <w:rFonts w:hint="eastAsia" w:ascii="仿宋_GB2312" w:hAnsi="仿宋_GB2312" w:eastAsia="仿宋_GB2312" w:cs="仿宋_GB2312"/>
          <w:color w:val="auto"/>
          <w:sz w:val="30"/>
          <w:szCs w:val="30"/>
          <w:highlight w:val="none"/>
          <w:lang w:val="zh-CN"/>
        </w:rPr>
        <w:t>从供电部门指定的变电站高压接驳点至</w:t>
      </w:r>
      <w:r>
        <w:rPr>
          <w:rFonts w:hint="eastAsia" w:ascii="仿宋_GB2312" w:hAnsi="仿宋_GB2312" w:eastAsia="仿宋_GB2312" w:cs="仿宋_GB2312"/>
          <w:color w:val="auto"/>
          <w:sz w:val="30"/>
          <w:szCs w:val="30"/>
          <w:highlight w:val="none"/>
        </w:rPr>
        <w:t>本项目</w:t>
      </w:r>
      <w:r>
        <w:rPr>
          <w:rFonts w:hint="eastAsia" w:ascii="仿宋_GB2312" w:hAnsi="仿宋_GB2312" w:eastAsia="仿宋_GB2312" w:cs="仿宋_GB2312"/>
          <w:color w:val="auto"/>
          <w:sz w:val="30"/>
          <w:szCs w:val="30"/>
          <w:highlight w:val="none"/>
          <w:lang w:val="zh-CN"/>
        </w:rPr>
        <w:t>配电室（含配电室内），及至用户一户一表电表箱之间的所有供配电设计（含二次接线），配电设计条件申报配合，配电方案设计及批复手续办理、配电扩初设计、供配电施工图设计（建筑、结构、给排水、暖通、电气全专业），供配电施工图审查及审查备案手续办理，设计过程中一切设计配合工作。设计内容以广西电网南宁供电局批复的《供电方案协议（中、高压）》和设计图纸为准。 技术依据必须满足国家及电力部门的设计规范以及《南宁供电局中低压配网客户接入技术导则》和建筑电气施工要求。并达到供电部门审图通过且满足工程预算、招标、施工、验收等要求。</w:t>
      </w:r>
    </w:p>
    <w:p w14:paraId="7FA2C9B5">
      <w:pPr>
        <w:rPr>
          <w:rFonts w:ascii="仿宋_GB2312" w:hAnsi="仿宋_GB2312" w:eastAsia="仿宋_GB2312" w:cs="仿宋_GB2312"/>
          <w:i/>
          <w:iCs/>
          <w:color w:val="auto"/>
          <w:sz w:val="30"/>
          <w:szCs w:val="30"/>
          <w:highlight w:val="none"/>
        </w:rPr>
        <w:sectPr>
          <w:pgSz w:w="11906" w:h="16838"/>
          <w:pgMar w:top="1440" w:right="1800" w:bottom="1440" w:left="1800" w:header="851" w:footer="992" w:gutter="0"/>
          <w:cols w:space="425" w:num="1"/>
          <w:docGrid w:type="lines" w:linePitch="312" w:charSpace="0"/>
        </w:sectPr>
      </w:pPr>
    </w:p>
    <w:p w14:paraId="29DF19A1">
      <w:pPr>
        <w:pStyle w:val="7"/>
        <w:ind w:firstLine="598"/>
        <w:rPr>
          <w:rFonts w:ascii="仿宋_GB2312" w:hAnsi="仿宋_GB2312" w:eastAsia="仿宋_GB2312" w:cs="仿宋_GB2312"/>
          <w:color w:val="auto"/>
          <w:spacing w:val="-1"/>
          <w:sz w:val="30"/>
          <w:szCs w:val="30"/>
          <w:highlight w:val="none"/>
        </w:rPr>
      </w:pPr>
      <w:bookmarkStart w:id="1402" w:name="_Toc7095"/>
      <w:bookmarkStart w:id="1403" w:name="_Toc1469"/>
      <w:r>
        <w:rPr>
          <w:rFonts w:hint="eastAsia" w:ascii="仿宋_GB2312" w:hAnsi="仿宋_GB2312" w:eastAsia="仿宋_GB2312" w:cs="仿宋_GB2312"/>
          <w:color w:val="auto"/>
          <w:spacing w:val="-1"/>
          <w:sz w:val="30"/>
          <w:szCs w:val="30"/>
          <w:highlight w:val="none"/>
        </w:rPr>
        <w:t>附件</w:t>
      </w:r>
      <w:r>
        <w:rPr>
          <w:rFonts w:hint="eastAsia" w:ascii="仿宋_GB2312" w:hAnsi="仿宋_GB2312" w:eastAsia="仿宋_GB2312" w:cs="仿宋_GB2312"/>
          <w:color w:val="auto"/>
          <w:spacing w:val="-1"/>
          <w:sz w:val="30"/>
          <w:szCs w:val="30"/>
          <w:highlight w:val="none"/>
          <w:lang w:val="en-US" w:eastAsia="zh-CN"/>
        </w:rPr>
        <w:t>2</w:t>
      </w:r>
      <w:r>
        <w:rPr>
          <w:rFonts w:hint="eastAsia" w:ascii="仿宋_GB2312" w:hAnsi="仿宋_GB2312" w:eastAsia="仿宋_GB2312" w:cs="仿宋_GB2312"/>
          <w:color w:val="auto"/>
          <w:spacing w:val="-1"/>
          <w:sz w:val="30"/>
          <w:szCs w:val="30"/>
          <w:highlight w:val="none"/>
        </w:rPr>
        <w:t>：发包人向设计人提交有关资料及文件一览表</w:t>
      </w:r>
      <w:bookmarkEnd w:id="1402"/>
      <w:bookmarkEnd w:id="1403"/>
    </w:p>
    <w:p w14:paraId="0081BCD3">
      <w:pPr>
        <w:pStyle w:val="80"/>
        <w:spacing w:before="91" w:line="222" w:lineRule="auto"/>
        <w:ind w:left="338"/>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发包人向设计人提交有关资料及文件一览表（</w:t>
      </w:r>
      <w:r>
        <w:rPr>
          <w:rFonts w:hint="eastAsia" w:ascii="仿宋_GB2312" w:hAnsi="仿宋_GB2312" w:eastAsia="仿宋_GB2312" w:cs="仿宋_GB2312"/>
          <w:color w:val="auto"/>
          <w:sz w:val="30"/>
          <w:szCs w:val="30"/>
          <w:highlight w:val="none"/>
          <w:lang w:val="zh-CN"/>
        </w:rPr>
        <w:t>供配电设计</w:t>
      </w:r>
      <w:r>
        <w:rPr>
          <w:rFonts w:hint="eastAsia" w:ascii="仿宋_GB2312" w:hAnsi="仿宋_GB2312" w:eastAsia="仿宋_GB2312" w:cs="仿宋_GB2312"/>
          <w:color w:val="auto"/>
          <w:sz w:val="30"/>
          <w:szCs w:val="30"/>
          <w:highlight w:val="none"/>
        </w:rPr>
        <w:t>）</w:t>
      </w:r>
    </w:p>
    <w:p w14:paraId="185EDC91">
      <w:pPr>
        <w:pStyle w:val="80"/>
        <w:spacing w:before="91" w:line="222" w:lineRule="auto"/>
        <w:ind w:left="338"/>
        <w:rPr>
          <w:rFonts w:ascii="仿宋_GB2312" w:hAnsi="仿宋_GB2312" w:eastAsia="仿宋_GB2312" w:cs="仿宋_GB2312"/>
          <w:color w:val="auto"/>
          <w:sz w:val="30"/>
          <w:szCs w:val="30"/>
          <w:highlight w:val="none"/>
        </w:rPr>
      </w:pPr>
    </w:p>
    <w:tbl>
      <w:tblPr>
        <w:tblStyle w:val="35"/>
        <w:tblW w:w="5263"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663"/>
        <w:gridCol w:w="667"/>
        <w:gridCol w:w="2103"/>
        <w:gridCol w:w="1839"/>
      </w:tblGrid>
      <w:tr w14:paraId="6B70E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9" w:type="pct"/>
            <w:tcBorders>
              <w:top w:val="single" w:color="auto" w:sz="8" w:space="0"/>
              <w:left w:val="single" w:color="auto" w:sz="8" w:space="0"/>
              <w:bottom w:val="single" w:color="auto" w:sz="4" w:space="0"/>
              <w:right w:val="single" w:color="auto" w:sz="4" w:space="0"/>
            </w:tcBorders>
            <w:noWrap/>
            <w:vAlign w:val="center"/>
          </w:tcPr>
          <w:p w14:paraId="3504CC97">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2040" w:type="pct"/>
            <w:tcBorders>
              <w:top w:val="single" w:color="auto" w:sz="8" w:space="0"/>
              <w:left w:val="single" w:color="auto" w:sz="4" w:space="0"/>
              <w:bottom w:val="single" w:color="auto" w:sz="4" w:space="0"/>
              <w:right w:val="single" w:color="auto" w:sz="4" w:space="0"/>
            </w:tcBorders>
            <w:noWrap/>
            <w:vAlign w:val="center"/>
          </w:tcPr>
          <w:p w14:paraId="2ACBE1B2">
            <w:pPr>
              <w:spacing w:line="460" w:lineRule="exact"/>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资料及文件名称</w:t>
            </w:r>
          </w:p>
        </w:tc>
        <w:tc>
          <w:tcPr>
            <w:tcW w:w="372" w:type="pct"/>
            <w:tcBorders>
              <w:top w:val="single" w:color="auto" w:sz="8" w:space="0"/>
              <w:left w:val="single" w:color="auto" w:sz="4" w:space="0"/>
              <w:bottom w:val="single" w:color="auto" w:sz="4" w:space="0"/>
              <w:right w:val="single" w:color="auto" w:sz="4" w:space="0"/>
            </w:tcBorders>
            <w:noWrap/>
            <w:vAlign w:val="center"/>
          </w:tcPr>
          <w:p w14:paraId="163E97A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份数</w:t>
            </w:r>
          </w:p>
        </w:tc>
        <w:tc>
          <w:tcPr>
            <w:tcW w:w="1171" w:type="pct"/>
            <w:tcBorders>
              <w:top w:val="single" w:color="auto" w:sz="8" w:space="0"/>
              <w:left w:val="single" w:color="auto" w:sz="4" w:space="0"/>
              <w:bottom w:val="single" w:color="auto" w:sz="4" w:space="0"/>
              <w:right w:val="single" w:color="auto" w:sz="4" w:space="0"/>
            </w:tcBorders>
            <w:noWrap/>
            <w:vAlign w:val="center"/>
          </w:tcPr>
          <w:p w14:paraId="1743F77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提交日期</w:t>
            </w:r>
          </w:p>
        </w:tc>
        <w:tc>
          <w:tcPr>
            <w:tcW w:w="1024" w:type="pct"/>
            <w:tcBorders>
              <w:top w:val="single" w:color="auto" w:sz="8" w:space="0"/>
              <w:left w:val="single" w:color="auto" w:sz="4" w:space="0"/>
              <w:bottom w:val="single" w:color="auto" w:sz="4" w:space="0"/>
              <w:right w:val="single" w:color="auto" w:sz="8" w:space="0"/>
            </w:tcBorders>
            <w:noWrap/>
            <w:vAlign w:val="center"/>
          </w:tcPr>
          <w:p w14:paraId="39C0D68F">
            <w:pPr>
              <w:spacing w:line="460" w:lineRule="exact"/>
              <w:ind w:left="9" w:hanging="9"/>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有关事宜</w:t>
            </w:r>
          </w:p>
        </w:tc>
      </w:tr>
      <w:tr w14:paraId="046FBE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02BE15B5">
            <w:pPr>
              <w:spacing w:before="0" w:after="0" w:afterAutospacing="0" w:line="460" w:lineRule="exact"/>
              <w:ind w:right="-28"/>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2040" w:type="pct"/>
            <w:tcBorders>
              <w:top w:val="single" w:color="auto" w:sz="4" w:space="0"/>
              <w:left w:val="single" w:color="auto" w:sz="4" w:space="0"/>
              <w:bottom w:val="single" w:color="auto" w:sz="4" w:space="0"/>
              <w:right w:val="single" w:color="auto" w:sz="4" w:space="0"/>
            </w:tcBorders>
            <w:noWrap/>
            <w:vAlign w:val="center"/>
          </w:tcPr>
          <w:p w14:paraId="13CAD942">
            <w:pPr>
              <w:spacing w:before="0" w:after="0" w:afterAutospacing="0" w:line="460" w:lineRule="exact"/>
              <w:ind w:left="0" w:right="0" w:firstLine="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设计委托书</w:t>
            </w:r>
          </w:p>
        </w:tc>
        <w:tc>
          <w:tcPr>
            <w:tcW w:w="372" w:type="pct"/>
            <w:tcBorders>
              <w:top w:val="single" w:color="auto" w:sz="4" w:space="0"/>
              <w:left w:val="single" w:color="auto" w:sz="4" w:space="0"/>
              <w:bottom w:val="single" w:color="auto" w:sz="4" w:space="0"/>
              <w:right w:val="single" w:color="auto" w:sz="4" w:space="0"/>
            </w:tcBorders>
            <w:noWrap/>
            <w:vAlign w:val="center"/>
          </w:tcPr>
          <w:p w14:paraId="048F4E8B">
            <w:pPr>
              <w:spacing w:before="0" w:after="0" w:afterAutospacing="0" w:line="460" w:lineRule="exact"/>
              <w:ind w:right="-28"/>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32ABB046">
            <w:pPr>
              <w:spacing w:before="0" w:after="0" w:afterAutospacing="0" w:line="460" w:lineRule="exact"/>
              <w:ind w:left="0" w:right="-28" w:firstLine="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合同签订之后提供</w:t>
            </w:r>
          </w:p>
        </w:tc>
        <w:tc>
          <w:tcPr>
            <w:tcW w:w="1024" w:type="pct"/>
            <w:vMerge w:val="restart"/>
            <w:tcBorders>
              <w:top w:val="single" w:color="auto" w:sz="4" w:space="0"/>
              <w:left w:val="single" w:color="auto" w:sz="4" w:space="0"/>
              <w:bottom w:val="single" w:color="auto" w:sz="8" w:space="0"/>
              <w:right w:val="single" w:color="auto" w:sz="8" w:space="0"/>
            </w:tcBorders>
            <w:noWrap/>
            <w:vAlign w:val="center"/>
          </w:tcPr>
          <w:p w14:paraId="048F02F8">
            <w:pPr>
              <w:spacing w:before="0" w:after="0" w:afterAutospacing="0" w:line="460" w:lineRule="exact"/>
              <w:ind w:left="0" w:right="-28" w:firstLine="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满足设计需要</w:t>
            </w:r>
          </w:p>
        </w:tc>
      </w:tr>
      <w:tr w14:paraId="14C82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458A2A8">
            <w:pPr>
              <w:spacing w:before="0" w:after="0" w:afterAutospacing="0" w:line="460" w:lineRule="exact"/>
              <w:ind w:right="-28"/>
              <w:jc w:val="center"/>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2</w:t>
            </w:r>
          </w:p>
        </w:tc>
        <w:tc>
          <w:tcPr>
            <w:tcW w:w="2040" w:type="pct"/>
            <w:tcBorders>
              <w:top w:val="single" w:color="auto" w:sz="4" w:space="0"/>
              <w:left w:val="single" w:color="auto" w:sz="4" w:space="0"/>
              <w:bottom w:val="single" w:color="auto" w:sz="4" w:space="0"/>
              <w:right w:val="single" w:color="auto" w:sz="4" w:space="0"/>
            </w:tcBorders>
            <w:noWrap/>
            <w:vAlign w:val="center"/>
          </w:tcPr>
          <w:p w14:paraId="3FF85947">
            <w:pPr>
              <w:spacing w:before="0" w:after="0" w:afterAutospacing="0" w:line="460" w:lineRule="exact"/>
              <w:ind w:left="0" w:right="0" w:firstLine="0"/>
              <w:jc w:val="left"/>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南宁供电局《供电方案答复通知书》</w:t>
            </w:r>
          </w:p>
        </w:tc>
        <w:tc>
          <w:tcPr>
            <w:tcW w:w="372" w:type="pct"/>
            <w:tcBorders>
              <w:top w:val="single" w:color="auto" w:sz="4" w:space="0"/>
              <w:left w:val="single" w:color="auto" w:sz="4" w:space="0"/>
              <w:bottom w:val="single" w:color="auto" w:sz="4" w:space="0"/>
              <w:right w:val="single" w:color="auto" w:sz="4" w:space="0"/>
            </w:tcBorders>
            <w:noWrap/>
            <w:vAlign w:val="center"/>
          </w:tcPr>
          <w:p w14:paraId="14568646">
            <w:pPr>
              <w:spacing w:before="0" w:after="0" w:afterAutospacing="0" w:line="460" w:lineRule="exact"/>
              <w:ind w:right="-28"/>
              <w:jc w:val="center"/>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5779D9CC">
            <w:pPr>
              <w:spacing w:before="0" w:after="0" w:afterAutospacing="0" w:line="460" w:lineRule="exact"/>
              <w:ind w:left="0" w:right="-28" w:firstLine="0"/>
              <w:jc w:val="center"/>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设计前提供</w:t>
            </w:r>
          </w:p>
        </w:tc>
        <w:tc>
          <w:tcPr>
            <w:tcW w:w="1024" w:type="pct"/>
            <w:vMerge w:val="continue"/>
            <w:tcBorders>
              <w:top w:val="single" w:color="auto" w:sz="4" w:space="0"/>
              <w:left w:val="single" w:color="auto" w:sz="4" w:space="0"/>
              <w:bottom w:val="single" w:color="auto" w:sz="8" w:space="0"/>
              <w:right w:val="single" w:color="auto" w:sz="8" w:space="0"/>
            </w:tcBorders>
            <w:noWrap/>
            <w:vAlign w:val="center"/>
          </w:tcPr>
          <w:p w14:paraId="52E8EDFE">
            <w:pPr>
              <w:spacing w:before="0" w:after="0" w:afterAutospacing="0" w:line="460" w:lineRule="exact"/>
              <w:ind w:right="-28" w:firstLine="480" w:firstLineChars="200"/>
              <w:rPr>
                <w:rFonts w:ascii="宋体" w:hAnsi="宋体"/>
                <w:color w:val="auto"/>
                <w:sz w:val="24"/>
                <w:szCs w:val="24"/>
                <w:highlight w:val="none"/>
              </w:rPr>
            </w:pPr>
          </w:p>
        </w:tc>
      </w:tr>
      <w:tr w14:paraId="740EB1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76D5C1FE">
            <w:pPr>
              <w:spacing w:before="0" w:after="0" w:afterAutospacing="0" w:line="460" w:lineRule="exact"/>
              <w:ind w:right="-28"/>
              <w:jc w:val="center"/>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3</w:t>
            </w:r>
          </w:p>
        </w:tc>
        <w:tc>
          <w:tcPr>
            <w:tcW w:w="2040" w:type="pct"/>
            <w:tcBorders>
              <w:top w:val="single" w:color="auto" w:sz="4" w:space="0"/>
              <w:left w:val="single" w:color="auto" w:sz="4" w:space="0"/>
              <w:bottom w:val="single" w:color="auto" w:sz="4" w:space="0"/>
              <w:right w:val="single" w:color="auto" w:sz="4" w:space="0"/>
            </w:tcBorders>
            <w:noWrap/>
            <w:vAlign w:val="center"/>
          </w:tcPr>
          <w:p w14:paraId="760B1446">
            <w:pPr>
              <w:spacing w:before="0" w:after="0" w:afterAutospacing="0" w:line="460" w:lineRule="exact"/>
              <w:ind w:left="0" w:right="0" w:firstLine="0"/>
              <w:jc w:val="left"/>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建筑设计院的电施图整套</w:t>
            </w:r>
          </w:p>
        </w:tc>
        <w:tc>
          <w:tcPr>
            <w:tcW w:w="372" w:type="pct"/>
            <w:tcBorders>
              <w:top w:val="single" w:color="auto" w:sz="4" w:space="0"/>
              <w:left w:val="single" w:color="auto" w:sz="4" w:space="0"/>
              <w:bottom w:val="single" w:color="auto" w:sz="4" w:space="0"/>
              <w:right w:val="single" w:color="auto" w:sz="4" w:space="0"/>
            </w:tcBorders>
            <w:noWrap/>
            <w:vAlign w:val="center"/>
          </w:tcPr>
          <w:p w14:paraId="4C416CF5">
            <w:pPr>
              <w:spacing w:before="0" w:after="0" w:afterAutospacing="0" w:line="460" w:lineRule="exact"/>
              <w:ind w:right="-28"/>
              <w:jc w:val="center"/>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3D1F2E4B">
            <w:pPr>
              <w:spacing w:before="0" w:after="0" w:afterAutospacing="0" w:line="460" w:lineRule="exact"/>
              <w:ind w:left="0" w:right="-28" w:firstLine="0"/>
              <w:jc w:val="center"/>
              <w:rPr>
                <w:rFonts w:ascii="仿宋_GB2312" w:hAnsi="仿宋_GB2312" w:eastAsia="仿宋_GB2312" w:cs="仿宋_GB2312"/>
                <w:color w:val="auto"/>
                <w:sz w:val="30"/>
                <w:szCs w:val="30"/>
                <w:highlight w:val="none"/>
                <w:lang w:val="zh-CN"/>
              </w:rPr>
            </w:pPr>
            <w:r>
              <w:rPr>
                <w:rFonts w:hint="eastAsia" w:ascii="仿宋_GB2312" w:hAnsi="仿宋_GB2312" w:eastAsia="仿宋_GB2312" w:cs="仿宋_GB2312"/>
                <w:color w:val="auto"/>
                <w:sz w:val="30"/>
                <w:szCs w:val="30"/>
                <w:highlight w:val="none"/>
                <w:lang w:val="zh-CN"/>
              </w:rPr>
              <w:t>设计前提供</w:t>
            </w:r>
          </w:p>
        </w:tc>
        <w:tc>
          <w:tcPr>
            <w:tcW w:w="1024" w:type="pct"/>
            <w:vMerge w:val="continue"/>
            <w:tcBorders>
              <w:top w:val="single" w:color="auto" w:sz="4" w:space="0"/>
              <w:left w:val="single" w:color="auto" w:sz="4" w:space="0"/>
              <w:bottom w:val="single" w:color="auto" w:sz="8" w:space="0"/>
              <w:right w:val="single" w:color="auto" w:sz="8" w:space="0"/>
            </w:tcBorders>
            <w:noWrap/>
            <w:vAlign w:val="center"/>
          </w:tcPr>
          <w:p w14:paraId="44ADE4E5">
            <w:pPr>
              <w:spacing w:before="0" w:after="0" w:afterAutospacing="0" w:line="460" w:lineRule="exact"/>
              <w:ind w:right="-28" w:firstLine="480" w:firstLineChars="200"/>
              <w:rPr>
                <w:rFonts w:ascii="宋体" w:hAnsi="宋体"/>
                <w:color w:val="auto"/>
                <w:sz w:val="24"/>
                <w:szCs w:val="24"/>
                <w:highlight w:val="none"/>
              </w:rPr>
            </w:pPr>
          </w:p>
        </w:tc>
      </w:tr>
    </w:tbl>
    <w:p w14:paraId="0F7FE451">
      <w:pPr>
        <w:outlineLvl w:val="9"/>
        <w:rPr>
          <w:rFonts w:ascii="仿宋_GB2312" w:hAnsi="仿宋_GB2312" w:eastAsia="仿宋_GB2312" w:cs="仿宋_GB2312"/>
          <w:color w:val="auto"/>
          <w:spacing w:val="-1"/>
          <w:sz w:val="30"/>
          <w:szCs w:val="30"/>
          <w:highlight w:val="none"/>
        </w:rPr>
      </w:pPr>
      <w:bookmarkStart w:id="1404" w:name="_Toc27311"/>
    </w:p>
    <w:p w14:paraId="554697D9">
      <w:pPr>
        <w:rPr>
          <w:rFonts w:ascii="仿宋_GB2312" w:hAnsi="仿宋_GB2312" w:eastAsia="仿宋_GB2312" w:cs="仿宋_GB2312"/>
          <w:color w:val="auto"/>
          <w:spacing w:val="-1"/>
          <w:sz w:val="30"/>
          <w:szCs w:val="30"/>
          <w:highlight w:val="none"/>
        </w:rPr>
      </w:pPr>
    </w:p>
    <w:bookmarkEnd w:id="1404"/>
    <w:p w14:paraId="1C016914">
      <w:pPr>
        <w:rPr>
          <w:rFonts w:ascii="仿宋_GB2312" w:hAnsi="仿宋_GB2312" w:eastAsia="仿宋_GB2312" w:cs="仿宋_GB2312"/>
          <w:b/>
          <w:bCs/>
          <w:color w:val="auto"/>
          <w:spacing w:val="-8"/>
          <w:sz w:val="30"/>
          <w:szCs w:val="30"/>
          <w:highlight w:val="none"/>
        </w:rPr>
      </w:pPr>
      <w:r>
        <w:rPr>
          <w:rFonts w:ascii="仿宋_GB2312" w:hAnsi="仿宋_GB2312" w:eastAsia="仿宋_GB2312" w:cs="仿宋_GB2312"/>
          <w:b/>
          <w:bCs/>
          <w:color w:val="auto"/>
          <w:spacing w:val="-8"/>
          <w:sz w:val="30"/>
          <w:szCs w:val="30"/>
          <w:highlight w:val="none"/>
        </w:rPr>
        <w:br w:type="page"/>
      </w:r>
    </w:p>
    <w:p w14:paraId="20FE039A">
      <w:pPr>
        <w:pStyle w:val="80"/>
        <w:spacing w:before="91" w:line="222" w:lineRule="auto"/>
        <w:ind w:left="811"/>
        <w:rPr>
          <w:rFonts w:ascii="仿宋_GB2312" w:hAnsi="仿宋_GB2312" w:eastAsia="仿宋_GB2312" w:cs="仿宋_GB2312"/>
          <w:b/>
          <w:bCs/>
          <w:color w:val="auto"/>
          <w:spacing w:val="-8"/>
          <w:sz w:val="30"/>
          <w:szCs w:val="30"/>
          <w:highlight w:val="none"/>
        </w:rPr>
      </w:pPr>
    </w:p>
    <w:p w14:paraId="3B07D3E5">
      <w:pPr>
        <w:pStyle w:val="7"/>
        <w:ind w:left="0" w:firstLine="0"/>
        <w:rPr>
          <w:rFonts w:ascii="仿宋_GB2312" w:hAnsi="仿宋_GB2312" w:eastAsia="仿宋_GB2312" w:cs="仿宋_GB2312"/>
          <w:color w:val="auto"/>
          <w:sz w:val="30"/>
          <w:szCs w:val="30"/>
          <w:highlight w:val="none"/>
        </w:rPr>
      </w:pPr>
      <w:bookmarkStart w:id="1405" w:name="_Toc22551"/>
      <w:bookmarkStart w:id="1406" w:name="_Toc20236"/>
      <w:bookmarkStart w:id="1407" w:name="_Toc154"/>
      <w:r>
        <w:rPr>
          <w:rFonts w:hint="eastAsia" w:ascii="仿宋_GB2312" w:hAnsi="仿宋_GB2312" w:eastAsia="仿宋_GB2312" w:cs="仿宋_GB2312"/>
          <w:bCs/>
          <w:color w:val="auto"/>
          <w:spacing w:val="-9"/>
          <w:sz w:val="30"/>
          <w:szCs w:val="30"/>
          <w:highlight w:val="none"/>
        </w:rPr>
        <w:t>附件</w:t>
      </w:r>
      <w:r>
        <w:rPr>
          <w:rFonts w:hint="eastAsia" w:ascii="仿宋_GB2312" w:hAnsi="仿宋_GB2312" w:eastAsia="仿宋_GB2312" w:cs="仿宋_GB2312"/>
          <w:bCs/>
          <w:color w:val="auto"/>
          <w:spacing w:val="-9"/>
          <w:sz w:val="30"/>
          <w:szCs w:val="30"/>
          <w:highlight w:val="none"/>
          <w:lang w:val="en-US" w:eastAsia="zh-CN"/>
        </w:rPr>
        <w:t>3</w:t>
      </w:r>
      <w:r>
        <w:rPr>
          <w:rFonts w:hint="eastAsia" w:ascii="仿宋_GB2312" w:hAnsi="仿宋_GB2312" w:eastAsia="仿宋_GB2312" w:cs="仿宋_GB2312"/>
          <w:bCs/>
          <w:color w:val="auto"/>
          <w:spacing w:val="-9"/>
          <w:sz w:val="30"/>
          <w:szCs w:val="30"/>
          <w:highlight w:val="none"/>
        </w:rPr>
        <w:t>：</w:t>
      </w:r>
      <w:r>
        <w:rPr>
          <w:rFonts w:hint="eastAsia" w:ascii="仿宋_GB2312" w:hAnsi="仿宋_GB2312" w:eastAsia="仿宋_GB2312" w:cs="仿宋_GB2312"/>
          <w:color w:val="auto"/>
          <w:spacing w:val="-1"/>
          <w:sz w:val="30"/>
          <w:szCs w:val="30"/>
          <w:highlight w:val="none"/>
        </w:rPr>
        <w:t>设计人向发包人交付的工程设计文件目录</w:t>
      </w:r>
      <w:bookmarkEnd w:id="1405"/>
      <w:bookmarkEnd w:id="1406"/>
      <w:bookmarkEnd w:id="1407"/>
    </w:p>
    <w:p w14:paraId="283F6B50">
      <w:pPr>
        <w:spacing w:before="50" w:line="360" w:lineRule="auto"/>
        <w:ind w:firstLine="200"/>
        <w:jc w:val="center"/>
        <w:rPr>
          <w:rFonts w:ascii="仿宋_GB2312" w:hAnsi="仿宋_GB2312" w:eastAsia="仿宋_GB2312" w:cs="仿宋_GB2312"/>
          <w:b/>
          <w:bCs/>
          <w:color w:val="auto"/>
          <w:spacing w:val="-1"/>
          <w:sz w:val="30"/>
          <w:szCs w:val="30"/>
          <w:highlight w:val="none"/>
        </w:rPr>
      </w:pPr>
      <w:r>
        <w:rPr>
          <w:rFonts w:hint="eastAsia" w:ascii="仿宋_GB2312" w:hAnsi="仿宋_GB2312" w:eastAsia="仿宋_GB2312" w:cs="仿宋_GB2312"/>
          <w:b/>
          <w:bCs/>
          <w:color w:val="auto"/>
          <w:spacing w:val="-1"/>
          <w:sz w:val="30"/>
          <w:szCs w:val="30"/>
          <w:highlight w:val="none"/>
        </w:rPr>
        <w:t>设计人向发包人交付的工程设计文件目录</w:t>
      </w:r>
    </w:p>
    <w:p w14:paraId="5204130A">
      <w:pPr>
        <w:spacing w:before="50" w:line="360" w:lineRule="auto"/>
        <w:ind w:firstLine="200"/>
        <w:jc w:val="center"/>
        <w:rPr>
          <w:rFonts w:ascii="仿宋_GB2312" w:hAnsi="仿宋_GB2312" w:eastAsia="仿宋_GB2312" w:cs="仿宋_GB2312"/>
          <w:bCs/>
          <w:i/>
          <w:iCs/>
          <w:color w:val="auto"/>
          <w:spacing w:val="-15"/>
          <w:sz w:val="30"/>
          <w:szCs w:val="30"/>
          <w:highlight w:val="none"/>
        </w:rPr>
      </w:pP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供配电设计</w:t>
      </w:r>
    </w:p>
    <w:p w14:paraId="55FAB873">
      <w:pPr>
        <w:spacing w:before="50" w:line="360" w:lineRule="auto"/>
        <w:ind w:firstLine="200"/>
        <w:jc w:val="center"/>
        <w:rPr>
          <w:rFonts w:ascii="仿宋_GB2312" w:hAnsi="仿宋_GB2312" w:eastAsia="仿宋_GB2312" w:cs="仿宋_GB2312"/>
          <w:bCs/>
          <w:i/>
          <w:iCs/>
          <w:color w:val="auto"/>
          <w:spacing w:val="-15"/>
          <w:sz w:val="30"/>
          <w:szCs w:val="30"/>
          <w:highlight w:val="none"/>
        </w:rPr>
      </w:pPr>
    </w:p>
    <w:tbl>
      <w:tblPr>
        <w:tblStyle w:val="35"/>
        <w:tblW w:w="502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01"/>
        <w:gridCol w:w="2849"/>
        <w:gridCol w:w="962"/>
        <w:gridCol w:w="2340"/>
        <w:gridCol w:w="997"/>
      </w:tblGrid>
      <w:tr w14:paraId="55EE7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719" w:type="pct"/>
          </w:tcPr>
          <w:p w14:paraId="4E669018">
            <w:pPr>
              <w:rPr>
                <w:color w:val="auto"/>
                <w:highlight w:val="none"/>
              </w:rPr>
            </w:pPr>
          </w:p>
          <w:p w14:paraId="440B18EC">
            <w:pPr>
              <w:pStyle w:val="88"/>
              <w:spacing w:before="68" w:line="222"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序号</w:t>
            </w:r>
          </w:p>
        </w:tc>
        <w:tc>
          <w:tcPr>
            <w:tcW w:w="1706" w:type="pct"/>
          </w:tcPr>
          <w:p w14:paraId="414D462C">
            <w:pPr>
              <w:rPr>
                <w:color w:val="auto"/>
                <w:highlight w:val="none"/>
              </w:rPr>
            </w:pPr>
          </w:p>
          <w:p w14:paraId="04724EB1">
            <w:pPr>
              <w:pStyle w:val="88"/>
              <w:spacing w:before="69" w:line="221"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资料及文件名称</w:t>
            </w:r>
          </w:p>
        </w:tc>
        <w:tc>
          <w:tcPr>
            <w:tcW w:w="576" w:type="pct"/>
          </w:tcPr>
          <w:p w14:paraId="5480F916">
            <w:pPr>
              <w:rPr>
                <w:color w:val="auto"/>
                <w:highlight w:val="none"/>
              </w:rPr>
            </w:pPr>
          </w:p>
          <w:p w14:paraId="753E93B0">
            <w:pPr>
              <w:pStyle w:val="88"/>
              <w:spacing w:before="69" w:line="221"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份数</w:t>
            </w:r>
          </w:p>
        </w:tc>
        <w:tc>
          <w:tcPr>
            <w:tcW w:w="1401" w:type="pct"/>
          </w:tcPr>
          <w:p w14:paraId="24FAA65B">
            <w:pPr>
              <w:rPr>
                <w:color w:val="auto"/>
                <w:highlight w:val="none"/>
              </w:rPr>
            </w:pPr>
          </w:p>
          <w:p w14:paraId="5FA85253">
            <w:pPr>
              <w:pStyle w:val="88"/>
              <w:spacing w:before="68" w:line="221"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提交日期</w:t>
            </w:r>
          </w:p>
        </w:tc>
        <w:tc>
          <w:tcPr>
            <w:tcW w:w="597" w:type="pct"/>
          </w:tcPr>
          <w:p w14:paraId="733DE1DD">
            <w:pPr>
              <w:rPr>
                <w:color w:val="auto"/>
                <w:highlight w:val="none"/>
              </w:rPr>
            </w:pPr>
          </w:p>
          <w:p w14:paraId="5629B306">
            <w:pPr>
              <w:pStyle w:val="88"/>
              <w:spacing w:before="68" w:line="222"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备注</w:t>
            </w:r>
          </w:p>
        </w:tc>
      </w:tr>
      <w:tr w14:paraId="6B9EC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19" w:type="pct"/>
            <w:vAlign w:val="center"/>
          </w:tcPr>
          <w:p w14:paraId="7ABD5CB7">
            <w:pPr>
              <w:pStyle w:val="88"/>
              <w:spacing w:before="101" w:line="221" w:lineRule="auto"/>
              <w:ind w:firstLine="298" w:firstLineChars="100"/>
              <w:jc w:val="both"/>
              <w:rPr>
                <w:rFonts w:hint="eastAsia" w:ascii="仿宋_GB2312" w:hAnsi="仿宋_GB2312" w:eastAsia="仿宋_GB2312" w:cs="仿宋_GB2312"/>
                <w:color w:val="auto"/>
                <w:spacing w:val="-1"/>
                <w:sz w:val="30"/>
                <w:szCs w:val="30"/>
                <w:highlight w:val="none"/>
                <w:lang w:val="en-US" w:eastAsia="zh-CN"/>
              </w:rPr>
            </w:pPr>
            <w:r>
              <w:rPr>
                <w:rFonts w:hint="eastAsia" w:ascii="仿宋_GB2312" w:hAnsi="仿宋_GB2312" w:eastAsia="仿宋_GB2312" w:cs="仿宋_GB2312"/>
                <w:color w:val="auto"/>
                <w:spacing w:val="-1"/>
                <w:sz w:val="30"/>
                <w:szCs w:val="30"/>
                <w:highlight w:val="none"/>
                <w:lang w:val="en-US" w:eastAsia="zh-CN"/>
              </w:rPr>
              <w:t>1</w:t>
            </w:r>
          </w:p>
        </w:tc>
        <w:tc>
          <w:tcPr>
            <w:tcW w:w="1706" w:type="pct"/>
            <w:shd w:val="clear" w:color="auto" w:fill="auto"/>
            <w:vAlign w:val="center"/>
          </w:tcPr>
          <w:p w14:paraId="5C6751EF">
            <w:pPr>
              <w:pStyle w:val="88"/>
              <w:spacing w:before="101" w:line="221" w:lineRule="auto"/>
              <w:jc w:val="both"/>
              <w:rPr>
                <w:rFonts w:hint="eastAsia" w:ascii="仿宋_GB2312" w:hAnsi="仿宋_GB2312" w:eastAsia="仿宋_GB2312" w:cs="仿宋_GB2312"/>
                <w:color w:val="auto"/>
                <w:spacing w:val="-1"/>
                <w:sz w:val="30"/>
                <w:szCs w:val="30"/>
                <w:highlight w:val="none"/>
                <w:lang w:val="en-US" w:eastAsia="zh-CN"/>
              </w:rPr>
            </w:pPr>
            <w:r>
              <w:rPr>
                <w:rFonts w:hint="eastAsia" w:ascii="仿宋_GB2312" w:hAnsi="仿宋_GB2312" w:eastAsia="仿宋_GB2312" w:cs="仿宋_GB2312"/>
                <w:color w:val="auto"/>
                <w:spacing w:val="-1"/>
                <w:sz w:val="30"/>
                <w:szCs w:val="30"/>
                <w:highlight w:val="none"/>
                <w:lang w:val="en-US" w:eastAsia="zh-CN"/>
              </w:rPr>
              <w:t>本项目工程初步设计</w:t>
            </w:r>
          </w:p>
        </w:tc>
        <w:tc>
          <w:tcPr>
            <w:tcW w:w="576" w:type="pct"/>
            <w:shd w:val="clear" w:color="auto" w:fill="auto"/>
            <w:vAlign w:val="center"/>
          </w:tcPr>
          <w:p w14:paraId="4FECFAD2">
            <w:pPr>
              <w:pStyle w:val="88"/>
              <w:spacing w:before="101" w:line="221" w:lineRule="auto"/>
              <w:ind w:firstLine="298" w:firstLineChars="100"/>
              <w:jc w:val="both"/>
              <w:rPr>
                <w:rFonts w:hint="eastAsia" w:ascii="仿宋_GB2312" w:hAnsi="仿宋_GB2312" w:eastAsia="仿宋_GB2312" w:cs="仿宋_GB2312"/>
                <w:color w:val="auto"/>
                <w:spacing w:val="-1"/>
                <w:sz w:val="30"/>
                <w:szCs w:val="30"/>
                <w:highlight w:val="none"/>
                <w:lang w:val="en-US" w:eastAsia="zh-CN"/>
              </w:rPr>
            </w:pPr>
            <w:r>
              <w:rPr>
                <w:rFonts w:hint="eastAsia" w:ascii="仿宋_GB2312" w:hAnsi="仿宋_GB2312" w:eastAsia="仿宋_GB2312" w:cs="仿宋_GB2312"/>
                <w:color w:val="auto"/>
                <w:spacing w:val="-1"/>
                <w:sz w:val="30"/>
                <w:szCs w:val="30"/>
                <w:highlight w:val="none"/>
                <w:lang w:val="en-US" w:eastAsia="zh-CN"/>
              </w:rPr>
              <w:t>4</w:t>
            </w:r>
          </w:p>
        </w:tc>
        <w:tc>
          <w:tcPr>
            <w:tcW w:w="1401" w:type="pct"/>
            <w:shd w:val="clear" w:color="auto" w:fill="auto"/>
            <w:vAlign w:val="center"/>
          </w:tcPr>
          <w:p w14:paraId="580897F7">
            <w:pPr>
              <w:spacing w:before="0" w:after="0" w:afterAutospacing="0" w:line="460" w:lineRule="exact"/>
              <w:ind w:left="0" w:leftChars="0" w:right="0" w:rightChars="0" w:firstLine="0" w:firstLineChars="0"/>
              <w:jc w:val="center"/>
              <w:rPr>
                <w:rFonts w:hint="eastAsia" w:ascii="宋体" w:hAnsi="宋体" w:eastAsia="宋体" w:cs="Times New Roman"/>
                <w:color w:val="auto"/>
                <w:kern w:val="2"/>
                <w:sz w:val="24"/>
                <w:szCs w:val="24"/>
                <w:highlight w:val="none"/>
                <w:lang w:val="en-US" w:eastAsia="zh-CN" w:bidi="ar-SA"/>
              </w:rPr>
            </w:pPr>
            <w:r>
              <w:rPr>
                <w:rFonts w:hint="eastAsia" w:ascii="仿宋_GB2312" w:hAnsi="仿宋_GB2312" w:eastAsia="仿宋_GB2312" w:cs="仿宋_GB2312"/>
                <w:color w:val="auto"/>
                <w:spacing w:val="-3"/>
                <w:kern w:val="2"/>
                <w:sz w:val="30"/>
                <w:szCs w:val="30"/>
                <w:highlight w:val="none"/>
                <w:u w:val="single"/>
                <w:lang w:val="en-US" w:eastAsia="zh-CN" w:bidi="ar-SA"/>
              </w:rPr>
              <w:t>甲方提供本项目供电答复协议后5个日历</w:t>
            </w:r>
            <w:r>
              <w:rPr>
                <w:rFonts w:hint="eastAsia" w:ascii="仿宋_GB2312" w:hAnsi="仿宋_GB2312" w:eastAsia="仿宋_GB2312" w:cs="仿宋_GB2312"/>
                <w:color w:val="auto"/>
                <w:spacing w:val="-3"/>
                <w:sz w:val="30"/>
                <w:szCs w:val="30"/>
                <w:highlight w:val="none"/>
              </w:rPr>
              <w:t>天</w:t>
            </w:r>
          </w:p>
        </w:tc>
        <w:tc>
          <w:tcPr>
            <w:tcW w:w="597" w:type="pct"/>
            <w:vMerge w:val="restart"/>
            <w:vAlign w:val="center"/>
          </w:tcPr>
          <w:p w14:paraId="35F0879E">
            <w:pPr>
              <w:pStyle w:val="80"/>
              <w:numPr>
                <w:ilvl w:val="0"/>
                <w:numId w:val="0"/>
              </w:numPr>
              <w:jc w:val="left"/>
              <w:rPr>
                <w:rFonts w:hint="eastAsia" w:ascii="仿宋_GB2312" w:hAnsi="仿宋_GB2312" w:eastAsia="仿宋_GB2312" w:cs="仿宋_GB2312"/>
                <w:color w:val="auto"/>
                <w:spacing w:val="-1"/>
                <w:kern w:val="2"/>
                <w:sz w:val="24"/>
                <w:szCs w:val="24"/>
                <w:highlight w:val="none"/>
                <w:lang w:val="en-US" w:eastAsia="zh-CN" w:bidi="ar-SA"/>
              </w:rPr>
            </w:pPr>
            <w:r>
              <w:rPr>
                <w:rFonts w:hint="eastAsia" w:ascii="仿宋_GB2312" w:hAnsi="仿宋_GB2312" w:eastAsia="仿宋_GB2312" w:cs="仿宋_GB2312"/>
                <w:color w:val="auto"/>
                <w:spacing w:val="-1"/>
                <w:kern w:val="2"/>
                <w:sz w:val="24"/>
                <w:szCs w:val="24"/>
                <w:highlight w:val="none"/>
                <w:lang w:val="en-US" w:eastAsia="zh-CN" w:bidi="ar-SA"/>
              </w:rPr>
              <w:t>1.成果要求详见本合同第七部分；</w:t>
            </w:r>
          </w:p>
          <w:p w14:paraId="4A559681">
            <w:pPr>
              <w:pStyle w:val="80"/>
              <w:numPr>
                <w:ilvl w:val="0"/>
                <w:numId w:val="0"/>
              </w:num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kern w:val="2"/>
                <w:sz w:val="24"/>
                <w:szCs w:val="24"/>
                <w:highlight w:val="none"/>
                <w:lang w:val="en-US" w:eastAsia="zh-CN" w:bidi="ar-SA"/>
              </w:rPr>
              <w:t>2.各阶段文件电子版乙方在提交书面设计文件的同时一并提交。</w:t>
            </w:r>
          </w:p>
        </w:tc>
      </w:tr>
      <w:tr w14:paraId="668AA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19" w:type="pct"/>
            <w:vAlign w:val="center"/>
          </w:tcPr>
          <w:p w14:paraId="6DB3C46F">
            <w:pPr>
              <w:pStyle w:val="88"/>
              <w:spacing w:before="135" w:line="183" w:lineRule="auto"/>
              <w:ind w:left="290" w:firstLine="300" w:firstLineChars="100"/>
              <w:jc w:val="center"/>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val="en-US" w:eastAsia="zh-CN"/>
              </w:rPr>
              <w:t>2</w:t>
            </w:r>
          </w:p>
        </w:tc>
        <w:tc>
          <w:tcPr>
            <w:tcW w:w="1706" w:type="pct"/>
            <w:vAlign w:val="center"/>
          </w:tcPr>
          <w:p w14:paraId="59D81C8C">
            <w:pPr>
              <w:pStyle w:val="88"/>
              <w:spacing w:before="101" w:line="221" w:lineRule="auto"/>
              <w:ind w:firstLine="298" w:firstLineChars="100"/>
              <w:jc w:val="both"/>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施工图设计文件</w:t>
            </w:r>
          </w:p>
        </w:tc>
        <w:tc>
          <w:tcPr>
            <w:tcW w:w="576" w:type="pct"/>
            <w:vAlign w:val="center"/>
          </w:tcPr>
          <w:p w14:paraId="217B292D">
            <w:pPr>
              <w:pStyle w:val="80"/>
              <w:jc w:val="center"/>
              <w:rPr>
                <w:rFonts w:hint="default"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12</w:t>
            </w:r>
          </w:p>
        </w:tc>
        <w:tc>
          <w:tcPr>
            <w:tcW w:w="1401" w:type="pct"/>
            <w:vAlign w:val="center"/>
          </w:tcPr>
          <w:p w14:paraId="0575A5BE">
            <w:pPr>
              <w:pStyle w:val="88"/>
              <w:tabs>
                <w:tab w:val="left" w:pos="1643"/>
              </w:tabs>
              <w:spacing w:before="102" w:line="221"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u w:val="single"/>
                <w:lang w:val="en-US" w:eastAsia="zh-CN"/>
              </w:rPr>
              <w:t>本项目工程初步设计通过甲方及南宁市供电局审核后5个日历</w:t>
            </w:r>
            <w:r>
              <w:rPr>
                <w:rFonts w:hint="eastAsia" w:ascii="仿宋_GB2312" w:hAnsi="仿宋_GB2312" w:eastAsia="仿宋_GB2312" w:cs="仿宋_GB2312"/>
                <w:color w:val="auto"/>
                <w:spacing w:val="-3"/>
                <w:sz w:val="30"/>
                <w:szCs w:val="30"/>
                <w:highlight w:val="none"/>
              </w:rPr>
              <w:t>天</w:t>
            </w:r>
          </w:p>
        </w:tc>
        <w:tc>
          <w:tcPr>
            <w:tcW w:w="597" w:type="pct"/>
            <w:vMerge w:val="continue"/>
            <w:vAlign w:val="center"/>
          </w:tcPr>
          <w:p w14:paraId="217D4469">
            <w:pPr>
              <w:pStyle w:val="80"/>
              <w:numPr>
                <w:ilvl w:val="0"/>
                <w:numId w:val="0"/>
              </w:numPr>
              <w:jc w:val="left"/>
              <w:rPr>
                <w:rFonts w:ascii="仿宋_GB2312" w:hAnsi="仿宋_GB2312" w:eastAsia="仿宋_GB2312" w:cs="仿宋_GB2312"/>
                <w:color w:val="auto"/>
                <w:sz w:val="30"/>
                <w:szCs w:val="30"/>
                <w:highlight w:val="none"/>
              </w:rPr>
            </w:pPr>
          </w:p>
        </w:tc>
      </w:tr>
    </w:tbl>
    <w:p w14:paraId="42E9373E">
      <w:pPr>
        <w:pStyle w:val="80"/>
        <w:spacing w:before="91" w:line="222" w:lineRule="auto"/>
        <w:ind w:left="811"/>
        <w:rPr>
          <w:rFonts w:ascii="仿宋_GB2312" w:hAnsi="仿宋_GB2312" w:eastAsia="仿宋_GB2312" w:cs="仿宋_GB2312"/>
          <w:b/>
          <w:bCs/>
          <w:color w:val="auto"/>
          <w:spacing w:val="-8"/>
          <w:sz w:val="30"/>
          <w:szCs w:val="30"/>
          <w:highlight w:val="none"/>
        </w:rPr>
      </w:pPr>
    </w:p>
    <w:p w14:paraId="1AD9D2BD">
      <w:pPr>
        <w:pStyle w:val="84"/>
        <w:spacing w:before="68" w:line="221" w:lineRule="auto"/>
        <w:ind w:left="94"/>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11"/>
          <w:sz w:val="30"/>
          <w:szCs w:val="30"/>
          <w:highlight w:val="none"/>
        </w:rPr>
        <w:t>特别约定：</w:t>
      </w:r>
    </w:p>
    <w:p w14:paraId="7B5F1169">
      <w:pPr>
        <w:pStyle w:val="84"/>
        <w:spacing w:before="157" w:line="345" w:lineRule="auto"/>
        <w:ind w:left="123" w:right="396" w:firstLine="43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1.发包人按照设计人的要求分阶段提供设计资料</w:t>
      </w:r>
      <w:r>
        <w:rPr>
          <w:rFonts w:hint="eastAsia" w:ascii="仿宋_GB2312" w:hAnsi="仿宋_GB2312" w:eastAsia="仿宋_GB2312" w:cs="仿宋_GB2312"/>
          <w:color w:val="auto"/>
          <w:spacing w:val="-1"/>
          <w:sz w:val="30"/>
          <w:szCs w:val="30"/>
          <w:highlight w:val="none"/>
        </w:rPr>
        <w:t>（含设计确认单、规划部门批文、政府各部门批文等</w:t>
      </w:r>
      <w:r>
        <w:rPr>
          <w:rFonts w:hint="eastAsia" w:ascii="仿宋_GB2312" w:hAnsi="仿宋_GB2312" w:eastAsia="仿宋_GB2312" w:cs="仿宋_GB2312"/>
          <w:color w:val="auto"/>
          <w:spacing w:val="-48"/>
          <w:sz w:val="30"/>
          <w:szCs w:val="30"/>
          <w:highlight w:val="none"/>
        </w:rPr>
        <w:t>），</w:t>
      </w:r>
      <w:r>
        <w:rPr>
          <w:rFonts w:hint="eastAsia" w:ascii="仿宋_GB2312" w:hAnsi="仿宋_GB2312" w:eastAsia="仿宋_GB2312" w:cs="仿宋_GB2312"/>
          <w:color w:val="auto"/>
          <w:spacing w:val="-1"/>
          <w:sz w:val="30"/>
          <w:szCs w:val="30"/>
          <w:highlight w:val="none"/>
        </w:rPr>
        <w:t>双方签署设计资料交接单之日开始计算相应阶段的设计时间。</w:t>
      </w:r>
    </w:p>
    <w:p w14:paraId="223C6FF7">
      <w:pPr>
        <w:pStyle w:val="84"/>
        <w:spacing w:before="30" w:line="345" w:lineRule="auto"/>
        <w:ind w:left="123" w:right="339" w:firstLine="419"/>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2.上述设计时间包括休息日和法定的和地方政府决定的公共节假日和项目所在地的特殊假</w:t>
      </w:r>
      <w:r>
        <w:rPr>
          <w:rFonts w:hint="eastAsia" w:ascii="仿宋_GB2312" w:hAnsi="仿宋_GB2312" w:eastAsia="仿宋_GB2312" w:cs="仿宋_GB2312"/>
          <w:color w:val="auto"/>
          <w:spacing w:val="-2"/>
          <w:sz w:val="30"/>
          <w:szCs w:val="30"/>
          <w:highlight w:val="none"/>
        </w:rPr>
        <w:t>期（例如壮族三月三公共假期</w:t>
      </w:r>
      <w:r>
        <w:rPr>
          <w:rFonts w:hint="eastAsia" w:ascii="仿宋_GB2312" w:hAnsi="仿宋_GB2312" w:eastAsia="仿宋_GB2312" w:cs="仿宋_GB2312"/>
          <w:color w:val="auto"/>
          <w:spacing w:val="-18"/>
          <w:sz w:val="30"/>
          <w:szCs w:val="30"/>
          <w:highlight w:val="none"/>
        </w:rPr>
        <w:t>），</w:t>
      </w:r>
      <w:r>
        <w:rPr>
          <w:rFonts w:hint="eastAsia" w:ascii="仿宋_GB2312" w:hAnsi="仿宋_GB2312" w:eastAsia="仿宋_GB2312" w:cs="仿宋_GB2312"/>
          <w:color w:val="auto"/>
          <w:spacing w:val="-2"/>
          <w:sz w:val="30"/>
          <w:szCs w:val="30"/>
          <w:highlight w:val="none"/>
        </w:rPr>
        <w:t>设计人应充分考虑设计期间可能发生的节假日、休息日。</w:t>
      </w:r>
    </w:p>
    <w:p w14:paraId="737C3FA9">
      <w:pPr>
        <w:pStyle w:val="84"/>
        <w:spacing w:before="34" w:line="352" w:lineRule="auto"/>
        <w:ind w:left="121" w:right="338" w:firstLine="423"/>
        <w:rPr>
          <w:rFonts w:hint="eastAsia"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3.图纸交付地点：原则上在发包人公司住所地，特殊情况下经发包人同意可以在设计人工</w:t>
      </w:r>
      <w:r>
        <w:rPr>
          <w:rFonts w:hint="eastAsia" w:ascii="仿宋_GB2312" w:hAnsi="仿宋_GB2312" w:eastAsia="仿宋_GB2312" w:cs="仿宋_GB2312"/>
          <w:color w:val="auto"/>
          <w:spacing w:val="-4"/>
          <w:sz w:val="30"/>
          <w:szCs w:val="30"/>
          <w:highlight w:val="none"/>
        </w:rPr>
        <w:t>作地（或其他发包人同意的地点）。发包人要求设计人提供电子版设计文件时（无需另行增加合</w:t>
      </w:r>
      <w:r>
        <w:rPr>
          <w:rFonts w:hint="eastAsia" w:ascii="仿宋_GB2312" w:hAnsi="仿宋_GB2312" w:eastAsia="仿宋_GB2312" w:cs="仿宋_GB2312"/>
          <w:color w:val="auto"/>
          <w:spacing w:val="-1"/>
          <w:sz w:val="30"/>
          <w:szCs w:val="30"/>
          <w:highlight w:val="none"/>
        </w:rPr>
        <w:t>同费用</w:t>
      </w:r>
      <w:r>
        <w:rPr>
          <w:rFonts w:hint="eastAsia" w:ascii="仿宋_GB2312" w:hAnsi="仿宋_GB2312" w:eastAsia="仿宋_GB2312" w:cs="仿宋_GB2312"/>
          <w:color w:val="auto"/>
          <w:spacing w:val="-53"/>
          <w:sz w:val="30"/>
          <w:szCs w:val="30"/>
          <w:highlight w:val="none"/>
        </w:rPr>
        <w:t>），</w:t>
      </w:r>
      <w:r>
        <w:rPr>
          <w:rFonts w:hint="eastAsia" w:ascii="仿宋_GB2312" w:hAnsi="仿宋_GB2312" w:eastAsia="仿宋_GB2312" w:cs="仿宋_GB2312"/>
          <w:color w:val="auto"/>
          <w:spacing w:val="-1"/>
          <w:sz w:val="30"/>
          <w:szCs w:val="30"/>
          <w:highlight w:val="none"/>
        </w:rPr>
        <w:t>设计人有权对电子版设计文件采取加密、设置访问权限、限期使</w:t>
      </w:r>
      <w:r>
        <w:rPr>
          <w:rFonts w:hint="eastAsia" w:ascii="仿宋_GB2312" w:hAnsi="仿宋_GB2312" w:eastAsia="仿宋_GB2312" w:cs="仿宋_GB2312"/>
          <w:color w:val="auto"/>
          <w:spacing w:val="-2"/>
          <w:sz w:val="30"/>
          <w:szCs w:val="30"/>
          <w:highlight w:val="none"/>
        </w:rPr>
        <w:t>用等保护措施，但不</w:t>
      </w:r>
      <w:r>
        <w:rPr>
          <w:rFonts w:hint="eastAsia" w:ascii="仿宋_GB2312" w:hAnsi="仿宋_GB2312" w:eastAsia="仿宋_GB2312" w:cs="仿宋_GB2312"/>
          <w:color w:val="auto"/>
          <w:sz w:val="30"/>
          <w:szCs w:val="30"/>
          <w:highlight w:val="none"/>
        </w:rPr>
        <w:t>能影响发包人的正常使用。电子版设计文件必须与纸质版内</w:t>
      </w:r>
      <w:r>
        <w:rPr>
          <w:rFonts w:hint="eastAsia" w:ascii="仿宋_GB2312" w:hAnsi="仿宋_GB2312" w:eastAsia="仿宋_GB2312" w:cs="仿宋_GB2312"/>
          <w:color w:val="auto"/>
          <w:spacing w:val="-1"/>
          <w:sz w:val="30"/>
          <w:szCs w:val="30"/>
          <w:highlight w:val="none"/>
        </w:rPr>
        <w:t>容一致。</w:t>
      </w:r>
    </w:p>
    <w:p w14:paraId="741DDEEC">
      <w:pPr>
        <w:pStyle w:val="84"/>
        <w:spacing w:before="34" w:line="352" w:lineRule="auto"/>
        <w:ind w:left="121" w:right="338" w:firstLine="42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4.如发包人要求提供超过合同约定份数的工程设计文件，则设计人仍应按发包人的要求提供，</w:t>
      </w:r>
      <w:r>
        <w:rPr>
          <w:rFonts w:hint="eastAsia" w:ascii="仿宋_GB2312" w:hAnsi="仿宋_GB2312" w:eastAsia="仿宋_GB2312" w:cs="仿宋_GB2312"/>
          <w:color w:val="auto"/>
          <w:spacing w:val="-1"/>
          <w:sz w:val="30"/>
          <w:szCs w:val="30"/>
          <w:highlight w:val="none"/>
        </w:rPr>
        <w:t>但发包人应向设计人支付超出部分的工本费。</w:t>
      </w:r>
    </w:p>
    <w:p w14:paraId="627C3746">
      <w:pP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br w:type="page"/>
      </w:r>
    </w:p>
    <w:p w14:paraId="15EE8073">
      <w:pPr>
        <w:pStyle w:val="7"/>
        <w:ind w:left="0" w:firstLine="0"/>
        <w:rPr>
          <w:rFonts w:ascii="仿宋_GB2312" w:hAnsi="仿宋_GB2312" w:eastAsia="仿宋_GB2312" w:cs="仿宋_GB2312"/>
          <w:color w:val="auto"/>
          <w:sz w:val="30"/>
          <w:szCs w:val="30"/>
          <w:highlight w:val="none"/>
        </w:rPr>
      </w:pPr>
      <w:bookmarkStart w:id="1408" w:name="_Toc2335"/>
      <w:bookmarkStart w:id="1409" w:name="_Toc14829"/>
      <w:bookmarkStart w:id="1410" w:name="_Toc6003"/>
      <w:bookmarkStart w:id="1411" w:name="_Toc3911"/>
      <w:r>
        <w:rPr>
          <w:rFonts w:hint="eastAsia" w:ascii="仿宋_GB2312" w:hAnsi="仿宋_GB2312" w:eastAsia="仿宋_GB2312" w:cs="仿宋_GB2312"/>
          <w:bCs/>
          <w:color w:val="auto"/>
          <w:spacing w:val="-8"/>
          <w:sz w:val="30"/>
          <w:szCs w:val="30"/>
          <w:highlight w:val="none"/>
        </w:rPr>
        <w:t>附件4：</w:t>
      </w:r>
      <w:r>
        <w:rPr>
          <w:rFonts w:hint="eastAsia" w:ascii="仿宋_GB2312" w:hAnsi="仿宋_GB2312" w:eastAsia="仿宋_GB2312" w:cs="仿宋_GB2312"/>
          <w:color w:val="auto"/>
          <w:spacing w:val="-2"/>
          <w:sz w:val="30"/>
          <w:szCs w:val="30"/>
          <w:highlight w:val="none"/>
        </w:rPr>
        <w:t>设计人主要设计人员表</w:t>
      </w:r>
      <w:bookmarkEnd w:id="1408"/>
      <w:bookmarkEnd w:id="1409"/>
      <w:bookmarkEnd w:id="1410"/>
      <w:bookmarkEnd w:id="1411"/>
    </w:p>
    <w:p w14:paraId="23541664">
      <w:pPr>
        <w:pStyle w:val="80"/>
        <w:rPr>
          <w:rFonts w:ascii="仿宋_GB2312" w:hAnsi="仿宋_GB2312" w:eastAsia="仿宋_GB2312" w:cs="仿宋_GB2312"/>
          <w:color w:val="auto"/>
          <w:sz w:val="30"/>
          <w:szCs w:val="30"/>
          <w:highlight w:val="none"/>
        </w:rPr>
      </w:pPr>
    </w:p>
    <w:p w14:paraId="4B1CF93E">
      <w:pPr>
        <w:pStyle w:val="80"/>
        <w:spacing w:line="246" w:lineRule="auto"/>
        <w:rPr>
          <w:rFonts w:ascii="仿宋_GB2312" w:hAnsi="仿宋_GB2312" w:eastAsia="仿宋_GB2312" w:cs="仿宋_GB2312"/>
          <w:color w:val="auto"/>
          <w:sz w:val="30"/>
          <w:szCs w:val="30"/>
          <w:highlight w:val="none"/>
        </w:rPr>
      </w:pPr>
    </w:p>
    <w:p w14:paraId="203A0C39">
      <w:pPr>
        <w:pStyle w:val="80"/>
        <w:spacing w:before="91" w:line="219" w:lineRule="auto"/>
        <w:ind w:left="237"/>
        <w:rPr>
          <w:rFonts w:ascii="仿宋_GB2312" w:hAnsi="仿宋_GB2312" w:eastAsia="仿宋_GB2312" w:cs="仿宋_GB2312"/>
          <w:b/>
          <w:bCs/>
          <w:color w:val="auto"/>
          <w:spacing w:val="-4"/>
          <w:sz w:val="30"/>
          <w:szCs w:val="30"/>
          <w:highlight w:val="none"/>
        </w:rPr>
        <w:sectPr>
          <w:pgSz w:w="11906" w:h="16838"/>
          <w:pgMar w:top="1440" w:right="1800" w:bottom="1440" w:left="1800" w:header="851" w:footer="992" w:gutter="0"/>
          <w:cols w:space="425" w:num="1"/>
          <w:docGrid w:type="lines" w:linePitch="312" w:charSpace="0"/>
        </w:sectPr>
      </w:pPr>
    </w:p>
    <w:p w14:paraId="07C56EFD">
      <w:pPr>
        <w:pStyle w:val="7"/>
        <w:ind w:left="0" w:firstLine="0"/>
        <w:rPr>
          <w:rFonts w:ascii="仿宋_GB2312" w:hAnsi="仿宋_GB2312" w:eastAsia="仿宋_GB2312" w:cs="仿宋_GB2312"/>
          <w:color w:val="auto"/>
          <w:sz w:val="30"/>
          <w:szCs w:val="30"/>
          <w:highlight w:val="none"/>
        </w:rPr>
      </w:pPr>
      <w:bookmarkStart w:id="1412" w:name="_Toc484"/>
      <w:bookmarkStart w:id="1413" w:name="_Toc25382"/>
      <w:bookmarkStart w:id="1414" w:name="_Toc9547"/>
      <w:bookmarkStart w:id="1415" w:name="_Toc12627"/>
      <w:bookmarkStart w:id="1416" w:name="_Toc2213"/>
      <w:r>
        <w:rPr>
          <w:rFonts w:hint="eastAsia" w:ascii="仿宋_GB2312" w:hAnsi="仿宋_GB2312" w:eastAsia="仿宋_GB2312" w:cs="仿宋_GB2312"/>
          <w:bCs/>
          <w:color w:val="auto"/>
          <w:spacing w:val="-4"/>
          <w:sz w:val="30"/>
          <w:szCs w:val="30"/>
          <w:highlight w:val="none"/>
        </w:rPr>
        <w:t>附件5：</w:t>
      </w:r>
      <w:r>
        <w:rPr>
          <w:rFonts w:hint="eastAsia" w:ascii="仿宋_GB2312" w:hAnsi="仿宋_GB2312" w:eastAsia="仿宋_GB2312" w:cs="仿宋_GB2312"/>
          <w:color w:val="auto"/>
          <w:spacing w:val="-4"/>
          <w:sz w:val="30"/>
          <w:szCs w:val="30"/>
          <w:highlight w:val="none"/>
        </w:rPr>
        <w:t>设计进度表</w:t>
      </w:r>
      <w:bookmarkEnd w:id="1412"/>
      <w:bookmarkEnd w:id="1413"/>
      <w:bookmarkEnd w:id="1414"/>
      <w:bookmarkEnd w:id="1415"/>
      <w:bookmarkEnd w:id="1416"/>
    </w:p>
    <w:p w14:paraId="682CFCAD">
      <w:pPr>
        <w:pStyle w:val="80"/>
        <w:spacing w:before="91" w:line="222" w:lineRule="auto"/>
        <w:ind w:left="237"/>
        <w:rPr>
          <w:rFonts w:ascii="仿宋_GB2312" w:hAnsi="仿宋_GB2312" w:eastAsia="仿宋_GB2312" w:cs="仿宋_GB2312"/>
          <w:color w:val="auto"/>
          <w:spacing w:val="-11"/>
          <w:sz w:val="30"/>
          <w:szCs w:val="30"/>
          <w:highlight w:val="none"/>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auto"/>
          <w:sz w:val="30"/>
          <w:szCs w:val="30"/>
          <w:highlight w:val="none"/>
        </w:rPr>
        <w:t>按本专用合同条款/6.工程设计进度与周期及发包人的要求执行。</w:t>
      </w:r>
    </w:p>
    <w:p w14:paraId="1A28CD0F">
      <w:pPr>
        <w:pStyle w:val="7"/>
        <w:ind w:left="0" w:firstLine="0"/>
        <w:rPr>
          <w:rFonts w:ascii="仿宋_GB2312" w:hAnsi="仿宋_GB2312" w:eastAsia="仿宋_GB2312" w:cs="仿宋_GB2312"/>
          <w:color w:val="auto"/>
          <w:sz w:val="30"/>
          <w:szCs w:val="30"/>
          <w:highlight w:val="none"/>
        </w:rPr>
      </w:pPr>
      <w:bookmarkStart w:id="1417" w:name="_Toc4832"/>
      <w:bookmarkStart w:id="1418" w:name="_Toc20417"/>
      <w:bookmarkStart w:id="1419" w:name="_Toc28570"/>
      <w:bookmarkStart w:id="1420" w:name="_Toc4921"/>
      <w:bookmarkStart w:id="1421" w:name="_Toc15721"/>
      <w:r>
        <w:rPr>
          <w:rFonts w:hint="eastAsia" w:ascii="仿宋_GB2312" w:hAnsi="仿宋_GB2312" w:eastAsia="仿宋_GB2312" w:cs="仿宋_GB2312"/>
          <w:bCs/>
          <w:color w:val="auto"/>
          <w:spacing w:val="-11"/>
          <w:sz w:val="30"/>
          <w:szCs w:val="30"/>
          <w:highlight w:val="none"/>
        </w:rPr>
        <w:t>附件</w:t>
      </w:r>
      <w:r>
        <w:rPr>
          <w:rFonts w:hint="eastAsia" w:ascii="仿宋_GB2312" w:hAnsi="仿宋_GB2312" w:eastAsia="仿宋_GB2312" w:cs="仿宋_GB2312"/>
          <w:bCs/>
          <w:color w:val="auto"/>
          <w:spacing w:val="-11"/>
          <w:sz w:val="30"/>
          <w:szCs w:val="30"/>
          <w:highlight w:val="none"/>
          <w:lang w:val="en-US" w:eastAsia="zh-CN"/>
        </w:rPr>
        <w:t>6</w:t>
      </w:r>
      <w:r>
        <w:rPr>
          <w:rFonts w:hint="eastAsia" w:ascii="仿宋_GB2312" w:hAnsi="仿宋_GB2312" w:eastAsia="仿宋_GB2312" w:cs="仿宋_GB2312"/>
          <w:bCs/>
          <w:color w:val="auto"/>
          <w:spacing w:val="-11"/>
          <w:sz w:val="30"/>
          <w:szCs w:val="30"/>
          <w:highlight w:val="none"/>
        </w:rPr>
        <w:t>：</w:t>
      </w:r>
      <w:r>
        <w:rPr>
          <w:rFonts w:hint="eastAsia" w:ascii="仿宋_GB2312" w:hAnsi="仿宋_GB2312" w:eastAsia="仿宋_GB2312" w:cs="仿宋_GB2312"/>
          <w:color w:val="auto"/>
          <w:spacing w:val="-2"/>
          <w:sz w:val="30"/>
          <w:szCs w:val="30"/>
          <w:highlight w:val="none"/>
        </w:rPr>
        <w:t>设计费明细及支付方式</w:t>
      </w:r>
      <w:bookmarkEnd w:id="1417"/>
      <w:bookmarkEnd w:id="1418"/>
      <w:bookmarkEnd w:id="1419"/>
      <w:bookmarkEnd w:id="1420"/>
    </w:p>
    <w:p w14:paraId="5600D0CF">
      <w:pPr>
        <w:ind w:firstLine="900" w:firstLineChars="300"/>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注：适用于供配电设计</w:t>
      </w:r>
    </w:p>
    <w:p w14:paraId="1ADD8C94">
      <w:pPr>
        <w:spacing w:line="460" w:lineRule="exact"/>
        <w:ind w:firstLine="600" w:firstLineChars="200"/>
        <w:rPr>
          <w:rFonts w:ascii="仿宋_GB2312" w:hAnsi="仿宋_GB2312" w:eastAsia="仿宋_GB2312" w:cs="仿宋_GB2312"/>
          <w:color w:val="auto"/>
          <w:sz w:val="30"/>
          <w:szCs w:val="30"/>
          <w:highlight w:val="none"/>
        </w:rPr>
      </w:pPr>
    </w:p>
    <w:p w14:paraId="01305B28">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一、签约合同价：人民币（大写）</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），其中不含税金额（￥</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），税金（￥</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），税率</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），本合同设计综合含税单价为</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元/KVA，暂定</w:t>
      </w:r>
      <w:sdt>
        <w:sdtPr>
          <w:rPr>
            <w:rFonts w:hint="eastAsia" w:ascii="仿宋_GB2312" w:hAnsi="仿宋_GB2312" w:eastAsia="仿宋_GB2312" w:cs="仿宋_GB2312"/>
            <w:color w:val="auto"/>
            <w:sz w:val="30"/>
            <w:szCs w:val="30"/>
            <w:highlight w:val="none"/>
          </w:rPr>
          <w:id w:val="147467075"/>
          <w:placeholder>
            <w:docPart w:val="{5146d68f-96ba-4837-9d51-e5f45e355ad7}"/>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b/>
                <w:bCs/>
                <w:color w:val="auto"/>
                <w:sz w:val="30"/>
                <w:szCs w:val="30"/>
                <w:highlight w:val="none"/>
                <w:lang w:val="zh-CN"/>
              </w:rPr>
              <w:id w:val="147471116"/>
              <w:placeholder>
                <w:docPart w:val="{a848efae-4ceb-43df-aa56-612dee30d6cf}"/>
              </w:placeholder>
            </w:sdtPr>
            <w:sdtEndPr>
              <w:rPr>
                <w:rFonts w:hint="eastAsia" w:ascii="仿宋_GB2312" w:hAnsi="仿宋_GB2312" w:eastAsia="仿宋_GB2312" w:cs="仿宋_GB2312"/>
                <w:b/>
                <w:bCs/>
                <w:color w:val="auto"/>
                <w:sz w:val="30"/>
                <w:szCs w:val="30"/>
                <w:highlight w:val="none"/>
                <w:lang w:val="en-US"/>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hint="eastAsia" w:ascii="仿宋_GB2312" w:hAnsi="仿宋_GB2312" w:eastAsia="仿宋_GB2312" w:cs="仿宋_GB2312"/>
          <w:color w:val="auto"/>
          <w:sz w:val="30"/>
          <w:szCs w:val="30"/>
          <w:highlight w:val="none"/>
        </w:rPr>
        <w:t>（名称以基建变或者永久用电项目具体分期、楼栋号、专变名称或外线名称为准）电容量约</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KVA。</w:t>
      </w:r>
    </w:p>
    <w:p w14:paraId="0E5F990A">
      <w:pPr>
        <w:spacing w:line="360" w:lineRule="auto"/>
        <w:ind w:left="0"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二、设计费支付方式如下：</w:t>
      </w:r>
    </w:p>
    <w:p w14:paraId="1FC60630">
      <w:pPr>
        <w:spacing w:line="360" w:lineRule="auto"/>
        <w:ind w:left="0" w:firstLine="639" w:firstLineChars="213"/>
        <w:rPr>
          <w:rFonts w:hint="eastAsia"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2.1.合同签订生效后，乙方提交项目供电规划方案图经甲方认可，并配合甲方向南宁市供电局报建且得到南宁市供电局批复供电方案后，甲方收到乙方的请款函及按国家税率政策开具全额增值税专用发票后30个工作日内，甲方向乙方支付本项目设计合同暂定含税总金额的10%。</w:t>
      </w:r>
    </w:p>
    <w:p w14:paraId="737CB15E">
      <w:pPr>
        <w:spacing w:line="360" w:lineRule="auto"/>
        <w:ind w:left="0" w:firstLine="639" w:firstLineChars="213"/>
        <w:rPr>
          <w:rFonts w:hint="eastAsia"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2.2本项目供配电工程施工图通过甲方及南宁供电局审批后，甲方收到乙方的请款函及按国家税率政策开具全额增值税专用发票后30个工作日内，向乙方支付本项目设计合同暂定含税总金额的80%。</w:t>
      </w:r>
    </w:p>
    <w:p w14:paraId="20338180">
      <w:pPr>
        <w:spacing w:line="360" w:lineRule="auto"/>
        <w:ind w:left="0" w:firstLine="416" w:firstLineChars="139"/>
        <w:rPr>
          <w:rFonts w:hint="eastAsia"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2.3本项目所设计的供配电工程竣工验收且完成结算，甲、乙双方对本项目工程设计费进行合同结算后（若施工分期分阶段，则按施工分期或标段进行阶段性结算），甲方收到乙方的请款函及按国家税率政策开具全额增值税专用发票后30个工作日内，向乙方支付设计费结算金额的余款。</w:t>
      </w:r>
    </w:p>
    <w:p w14:paraId="4BF82E4C">
      <w:pPr>
        <w:pStyle w:val="14"/>
        <w:ind w:left="63" w:right="63"/>
        <w:rPr>
          <w:rFonts w:ascii="仿宋_GB2312" w:hAnsi="仿宋_GB2312" w:eastAsia="仿宋_GB2312" w:cs="仿宋_GB2312"/>
          <w:color w:val="auto"/>
          <w:sz w:val="30"/>
          <w:szCs w:val="30"/>
          <w:highlight w:val="none"/>
        </w:rPr>
        <w:sectPr>
          <w:pgSz w:w="11906" w:h="16838"/>
          <w:pgMar w:top="1440" w:right="1800" w:bottom="1440" w:left="1800" w:header="851" w:footer="992" w:gutter="0"/>
          <w:cols w:space="425" w:num="1"/>
          <w:docGrid w:type="lines" w:linePitch="312" w:charSpace="0"/>
        </w:sectPr>
      </w:pPr>
    </w:p>
    <w:bookmarkEnd w:id="1421"/>
    <w:p w14:paraId="57A2A834">
      <w:pPr>
        <w:pStyle w:val="7"/>
        <w:ind w:firstLine="0" w:firstLineChars="0"/>
        <w:rPr>
          <w:rFonts w:ascii="仿宋_GB2312" w:hAnsi="仿宋_GB2312" w:eastAsia="仿宋_GB2312" w:cs="仿宋_GB2312"/>
          <w:color w:val="auto"/>
          <w:sz w:val="30"/>
          <w:szCs w:val="30"/>
          <w:highlight w:val="none"/>
        </w:rPr>
      </w:pPr>
      <w:bookmarkStart w:id="1422" w:name="_Toc4788"/>
      <w:bookmarkStart w:id="1423" w:name="_Toc25521"/>
      <w:bookmarkStart w:id="1424" w:name="_Toc30620"/>
      <w:bookmarkStart w:id="1425" w:name="_Toc447373902"/>
      <w:bookmarkStart w:id="1426" w:name="_Toc421068073"/>
      <w:bookmarkStart w:id="1427" w:name="_Toc267261701"/>
      <w:r>
        <w:rPr>
          <w:rFonts w:hint="eastAsia" w:ascii="仿宋_GB2312" w:hAnsi="仿宋_GB2312" w:eastAsia="仿宋_GB2312" w:cs="仿宋_GB2312"/>
          <w:bCs/>
          <w:color w:val="auto"/>
          <w:spacing w:val="-3"/>
          <w:sz w:val="30"/>
          <w:szCs w:val="30"/>
          <w:highlight w:val="none"/>
        </w:rPr>
        <w:t>附件</w:t>
      </w:r>
      <w:r>
        <w:rPr>
          <w:rFonts w:hint="eastAsia" w:ascii="仿宋_GB2312" w:hAnsi="仿宋_GB2312" w:eastAsia="仿宋_GB2312" w:cs="仿宋_GB2312"/>
          <w:bCs/>
          <w:color w:val="auto"/>
          <w:spacing w:val="-3"/>
          <w:sz w:val="30"/>
          <w:szCs w:val="30"/>
          <w:highlight w:val="none"/>
          <w:lang w:val="en-US" w:eastAsia="zh-CN"/>
        </w:rPr>
        <w:t>7</w:t>
      </w:r>
      <w:r>
        <w:rPr>
          <w:rFonts w:hint="eastAsia" w:ascii="仿宋_GB2312" w:hAnsi="仿宋_GB2312" w:eastAsia="仿宋_GB2312" w:cs="仿宋_GB2312"/>
          <w:bCs/>
          <w:color w:val="auto"/>
          <w:spacing w:val="-3"/>
          <w:sz w:val="30"/>
          <w:szCs w:val="30"/>
          <w:highlight w:val="none"/>
        </w:rPr>
        <w:t>：</w:t>
      </w:r>
      <w:r>
        <w:rPr>
          <w:rFonts w:hint="eastAsia" w:ascii="仿宋_GB2312" w:hAnsi="仿宋_GB2312" w:eastAsia="仿宋_GB2312" w:cs="仿宋_GB2312"/>
          <w:color w:val="auto"/>
          <w:spacing w:val="-3"/>
          <w:sz w:val="30"/>
          <w:szCs w:val="30"/>
          <w:highlight w:val="none"/>
        </w:rPr>
        <w:t xml:space="preserve"> 设计变更计费依据和方法</w:t>
      </w:r>
      <w:bookmarkEnd w:id="1422"/>
      <w:bookmarkEnd w:id="1423"/>
      <w:bookmarkEnd w:id="1424"/>
    </w:p>
    <w:p w14:paraId="3F99706A">
      <w:pPr>
        <w:ind w:firstLine="200"/>
        <w:jc w:val="center"/>
        <w:rPr>
          <w:rFonts w:ascii="仿宋_GB2312" w:hAnsi="仿宋_GB2312" w:eastAsia="仿宋_GB2312" w:cs="仿宋_GB2312"/>
          <w:b/>
          <w:color w:val="auto"/>
          <w:sz w:val="30"/>
          <w:szCs w:val="30"/>
          <w:highlight w:val="none"/>
        </w:rPr>
      </w:pPr>
      <w:r>
        <w:rPr>
          <w:rFonts w:ascii="Times New Roman" w:hAnsi="Times New Roman"/>
          <w:color w:val="auto"/>
          <w:szCs w:val="21"/>
          <w:highlight w:val="none"/>
        </w:rPr>
        <w:t xml:space="preserve"> </w:t>
      </w: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供配电</w:t>
      </w:r>
      <w:r>
        <w:rPr>
          <w:rFonts w:ascii="仿宋_GB2312" w:hAnsi="仿宋_GB2312" w:eastAsia="仿宋_GB2312" w:cs="仿宋_GB2312"/>
          <w:bCs/>
          <w:i/>
          <w:iCs/>
          <w:color w:val="auto"/>
          <w:spacing w:val="-15"/>
          <w:sz w:val="30"/>
          <w:szCs w:val="30"/>
          <w:highlight w:val="none"/>
        </w:rPr>
        <w:t>设计</w:t>
      </w:r>
    </w:p>
    <w:p w14:paraId="7EBB3A04">
      <w:pPr>
        <w:pStyle w:val="80"/>
        <w:spacing w:line="360" w:lineRule="auto"/>
        <w:ind w:firstLine="588" w:firstLineChars="195"/>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本合同约定的设计费用已包含设计过程中零星修改的设计费，如非设计人原因造成的设计方案调整，发包人或主管部门要求修改设计、变更、补充等，设计人应遵照执行，总设计修改面积不超过30%（含 30%）的，按合同价格执行不增加费用；如非设计人原因造成的设计方案调整，导致总设计修改量超过30%的，双方可另行协商费用并另行签订补充协议予以确认。</w:t>
      </w:r>
    </w:p>
    <w:p w14:paraId="7D5837EE">
      <w:pPr>
        <w:rPr>
          <w:rFonts w:ascii="仿宋_GB2312" w:hAnsi="仿宋_GB2312" w:eastAsia="仿宋_GB2312" w:cs="仿宋_GB2312"/>
          <w:color w:val="auto"/>
          <w:spacing w:val="1"/>
          <w:sz w:val="30"/>
          <w:szCs w:val="30"/>
          <w:highlight w:val="none"/>
        </w:rPr>
      </w:pPr>
      <w:r>
        <w:rPr>
          <w:rFonts w:ascii="仿宋_GB2312" w:hAnsi="仿宋_GB2312" w:eastAsia="仿宋_GB2312" w:cs="仿宋_GB2312"/>
          <w:color w:val="auto"/>
          <w:spacing w:val="1"/>
          <w:sz w:val="30"/>
          <w:szCs w:val="30"/>
          <w:highlight w:val="none"/>
        </w:rPr>
        <w:br w:type="page"/>
      </w:r>
    </w:p>
    <w:p w14:paraId="44BEFF49">
      <w:pPr>
        <w:pStyle w:val="7"/>
        <w:ind w:left="0" w:firstLine="0"/>
        <w:rPr>
          <w:rFonts w:ascii="仿宋_GB2312" w:hAnsi="仿宋_GB2312" w:eastAsia="仿宋_GB2312" w:cs="仿宋_GB2312"/>
          <w:color w:val="auto"/>
          <w:sz w:val="30"/>
          <w:szCs w:val="30"/>
          <w:highlight w:val="none"/>
        </w:rPr>
      </w:pPr>
      <w:bookmarkStart w:id="1428" w:name="_Toc17471"/>
      <w:bookmarkStart w:id="1429" w:name="_Toc16242"/>
      <w:bookmarkStart w:id="1430" w:name="_Toc10027"/>
      <w:bookmarkStart w:id="1431" w:name="_Toc24831"/>
      <w:bookmarkStart w:id="1432" w:name="_Toc20592"/>
      <w:r>
        <w:rPr>
          <w:rFonts w:hint="eastAsia" w:ascii="仿宋_GB2312" w:hAnsi="仿宋_GB2312" w:eastAsia="仿宋_GB2312" w:cs="仿宋_GB2312"/>
          <w:color w:val="auto"/>
          <w:sz w:val="30"/>
          <w:szCs w:val="30"/>
          <w:highlight w:val="none"/>
        </w:rPr>
        <w:t>附件8：履约</w:t>
      </w:r>
      <w:bookmarkEnd w:id="1425"/>
      <w:bookmarkEnd w:id="1426"/>
      <w:bookmarkEnd w:id="1428"/>
      <w:bookmarkEnd w:id="1429"/>
      <w:bookmarkEnd w:id="1430"/>
      <w:bookmarkEnd w:id="1431"/>
      <w:r>
        <w:rPr>
          <w:rFonts w:hint="eastAsia" w:ascii="仿宋_GB2312" w:hAnsi="仿宋_GB2312" w:eastAsia="仿宋_GB2312" w:cs="仿宋_GB2312"/>
          <w:color w:val="auto"/>
          <w:sz w:val="30"/>
          <w:szCs w:val="30"/>
          <w:highlight w:val="none"/>
        </w:rPr>
        <w:t>担保（参考格式）（如有）</w:t>
      </w:r>
      <w:bookmarkEnd w:id="1432"/>
    </w:p>
    <w:p w14:paraId="6FE702F0">
      <w:pPr>
        <w:rPr>
          <w:rFonts w:ascii="仿宋_GB2312" w:hAnsi="仿宋_GB2312" w:eastAsia="仿宋_GB2312" w:cs="仿宋_GB2312"/>
          <w:color w:val="auto"/>
          <w:sz w:val="30"/>
          <w:szCs w:val="30"/>
          <w:highlight w:val="none"/>
        </w:rPr>
      </w:pPr>
    </w:p>
    <w:p w14:paraId="5A31D982">
      <w:pPr>
        <w:pStyle w:val="80"/>
        <w:spacing w:before="156" w:beforeLines="50" w:after="156" w:afterLines="50" w:line="440" w:lineRule="exact"/>
        <w:jc w:val="center"/>
        <w:rPr>
          <w:color w:val="auto"/>
          <w:sz w:val="30"/>
          <w:szCs w:val="30"/>
          <w:highlight w:val="none"/>
        </w:rPr>
      </w:pPr>
      <w:r>
        <w:rPr>
          <w:b/>
          <w:bCs/>
          <w:color w:val="auto"/>
          <w:sz w:val="30"/>
          <w:szCs w:val="30"/>
          <w:highlight w:val="none"/>
        </w:rPr>
        <w:t>履约担保</w:t>
      </w:r>
    </w:p>
    <w:p w14:paraId="1448AA86">
      <w:pPr>
        <w:pStyle w:val="80"/>
        <w:spacing w:line="360" w:lineRule="auto"/>
        <w:rPr>
          <w:color w:val="auto"/>
          <w:highlight w:val="none"/>
          <w:u w:val="single"/>
        </w:rPr>
      </w:pPr>
    </w:p>
    <w:p w14:paraId="6C1C8329">
      <w:pPr>
        <w:pStyle w:val="80"/>
        <w:spacing w:line="360" w:lineRule="auto"/>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w:t>
      </w:r>
    </w:p>
    <w:p w14:paraId="301D067A">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鉴于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（发包人名称，以下简称“发包人”）</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已于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日发放中标通知书，明确</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（设计人名称）（以下称“设计人”）于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（工程名称）的中标人。我方愿意无条件地、不可撤销地就设计人履行与你方签订的合同，向你方提供连带责任担保。</w:t>
      </w:r>
      <w:r>
        <w:rPr>
          <w:rFonts w:ascii="仿宋_GB2312" w:hAnsi="仿宋_GB2312" w:eastAsia="仿宋_GB2312" w:cs="仿宋_GB2312"/>
          <w:color w:val="auto"/>
          <w:sz w:val="30"/>
          <w:szCs w:val="30"/>
          <w:highlight w:val="none"/>
        </w:rPr>
        <w:t xml:space="preserve"> </w:t>
      </w:r>
    </w:p>
    <w:p w14:paraId="4567A5A3">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1. </w:t>
      </w:r>
      <w:r>
        <w:rPr>
          <w:rFonts w:hint="eastAsia" w:ascii="仿宋_GB2312" w:hAnsi="仿宋_GB2312" w:eastAsia="仿宋_GB2312" w:cs="仿宋_GB2312"/>
          <w:color w:val="auto"/>
          <w:sz w:val="30"/>
          <w:szCs w:val="30"/>
          <w:highlight w:val="none"/>
        </w:rPr>
        <w:t>担保金额人民币（大写）</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42D2C9D">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 </w:t>
      </w:r>
      <w:r>
        <w:rPr>
          <w:rFonts w:hint="eastAsia" w:ascii="仿宋_GB2312" w:hAnsi="仿宋_GB2312" w:eastAsia="仿宋_GB2312" w:cs="仿宋_GB2312"/>
          <w:color w:val="auto"/>
          <w:sz w:val="30"/>
          <w:szCs w:val="30"/>
          <w:highlight w:val="none"/>
        </w:rPr>
        <w:t>担保有效期自你方与设计人签订的合同生效之日起至</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之日止。</w:t>
      </w:r>
    </w:p>
    <w:p w14:paraId="0D3B019D">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3. </w:t>
      </w:r>
      <w:r>
        <w:rPr>
          <w:rFonts w:hint="eastAsia" w:ascii="仿宋_GB2312" w:hAnsi="仿宋_GB2312" w:eastAsia="仿宋_GB2312" w:cs="仿宋_GB2312"/>
          <w:color w:val="auto"/>
          <w:sz w:val="30"/>
          <w:szCs w:val="30"/>
          <w:highlight w:val="none"/>
        </w:rPr>
        <w:t>在本担保有效期内，因设计人违反合同约定的义务给你方造成经济损失时，我方在收到你方以书面形式提出的在担保金额内的赔偿要求后，在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rPr>
        <w:t>天内无条件支付。</w:t>
      </w:r>
    </w:p>
    <w:p w14:paraId="112616EB">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4. </w:t>
      </w:r>
      <w:r>
        <w:rPr>
          <w:rFonts w:hint="eastAsia" w:ascii="仿宋_GB2312" w:hAnsi="仿宋_GB2312" w:eastAsia="仿宋_GB2312" w:cs="仿宋_GB2312"/>
          <w:color w:val="auto"/>
          <w:sz w:val="30"/>
          <w:szCs w:val="30"/>
          <w:highlight w:val="none"/>
        </w:rPr>
        <w:t>你方和设计人按合同约定变更合同时，我方承担本担保规定的义务不变。</w:t>
      </w:r>
    </w:p>
    <w:p w14:paraId="08F9ABCF">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5. </w:t>
      </w:r>
      <w:r>
        <w:rPr>
          <w:rFonts w:hint="eastAsia" w:ascii="仿宋_GB2312" w:hAnsi="仿宋_GB2312" w:eastAsia="仿宋_GB2312" w:cs="仿宋_GB2312"/>
          <w:color w:val="auto"/>
          <w:sz w:val="30"/>
          <w:szCs w:val="30"/>
          <w:highlight w:val="none"/>
        </w:rPr>
        <w:t>因本保函发生的纠纷，可由双方协商解决，协商不成的，任何一方均可向项目所在地人民法院提起诉讼。</w:t>
      </w:r>
    </w:p>
    <w:p w14:paraId="2C5E58AB">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6. </w:t>
      </w:r>
      <w:r>
        <w:rPr>
          <w:rFonts w:hint="eastAsia" w:ascii="仿宋_GB2312" w:hAnsi="仿宋_GB2312" w:eastAsia="仿宋_GB2312" w:cs="仿宋_GB2312"/>
          <w:color w:val="auto"/>
          <w:sz w:val="30"/>
          <w:szCs w:val="30"/>
          <w:highlight w:val="none"/>
        </w:rPr>
        <w:t>本保函自我方法定代表人（或其授权代理人）签字并加盖公章之日起生效。</w:t>
      </w:r>
    </w:p>
    <w:p w14:paraId="2F0F72C1">
      <w:pPr>
        <w:pStyle w:val="80"/>
        <w:spacing w:line="360" w:lineRule="auto"/>
        <w:ind w:firstLine="600" w:firstLineChars="200"/>
        <w:rPr>
          <w:rFonts w:ascii="仿宋_GB2312" w:hAnsi="仿宋_GB2312" w:eastAsia="仿宋_GB2312" w:cs="仿宋_GB2312"/>
          <w:color w:val="auto"/>
          <w:sz w:val="30"/>
          <w:szCs w:val="30"/>
          <w:highlight w:val="none"/>
        </w:rPr>
      </w:pPr>
    </w:p>
    <w:p w14:paraId="7D5742B6">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担</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保</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（盖单位章）</w:t>
      </w:r>
    </w:p>
    <w:p w14:paraId="53A0D8CF">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（签字）</w:t>
      </w:r>
    </w:p>
    <w:p w14:paraId="0263CDDE">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址：</w:t>
      </w:r>
      <w:r>
        <w:rPr>
          <w:rFonts w:ascii="仿宋_GB2312" w:hAnsi="仿宋_GB2312" w:eastAsia="仿宋_GB2312" w:cs="仿宋_GB2312"/>
          <w:color w:val="auto"/>
          <w:sz w:val="30"/>
          <w:szCs w:val="30"/>
          <w:highlight w:val="none"/>
          <w:u w:val="single"/>
        </w:rPr>
        <w:t xml:space="preserve">                                      </w:t>
      </w:r>
    </w:p>
    <w:p w14:paraId="7F84F031">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邮政编码：</w:t>
      </w:r>
      <w:r>
        <w:rPr>
          <w:rFonts w:ascii="仿宋_GB2312" w:hAnsi="仿宋_GB2312" w:eastAsia="仿宋_GB2312" w:cs="仿宋_GB2312"/>
          <w:color w:val="auto"/>
          <w:sz w:val="30"/>
          <w:szCs w:val="30"/>
          <w:highlight w:val="none"/>
          <w:u w:val="single"/>
        </w:rPr>
        <w:t xml:space="preserve">                                      </w:t>
      </w:r>
    </w:p>
    <w:p w14:paraId="3926744F">
      <w:pPr>
        <w:pStyle w:val="80"/>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电</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话：</w:t>
      </w:r>
      <w:r>
        <w:rPr>
          <w:rFonts w:ascii="仿宋_GB2312" w:hAnsi="仿宋_GB2312" w:eastAsia="仿宋_GB2312" w:cs="仿宋_GB2312"/>
          <w:color w:val="auto"/>
          <w:sz w:val="30"/>
          <w:szCs w:val="30"/>
          <w:highlight w:val="none"/>
          <w:u w:val="single"/>
        </w:rPr>
        <w:t xml:space="preserve">                                      </w:t>
      </w:r>
    </w:p>
    <w:p w14:paraId="4AF29FF6">
      <w:pPr>
        <w:pStyle w:val="8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传</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真：</w:t>
      </w:r>
      <w:r>
        <w:rPr>
          <w:rFonts w:ascii="仿宋_GB2312" w:hAnsi="仿宋_GB2312" w:eastAsia="仿宋_GB2312" w:cs="仿宋_GB2312"/>
          <w:color w:val="auto"/>
          <w:sz w:val="30"/>
          <w:szCs w:val="30"/>
          <w:highlight w:val="none"/>
          <w:u w:val="single"/>
        </w:rPr>
        <w:t xml:space="preserve">                                      </w:t>
      </w:r>
    </w:p>
    <w:p w14:paraId="2F91E73C">
      <w:pPr>
        <w:pStyle w:val="80"/>
        <w:spacing w:line="360" w:lineRule="auto"/>
        <w:ind w:firstLine="600" w:firstLineChars="200"/>
        <w:jc w:val="left"/>
        <w:rPr>
          <w:rFonts w:ascii="仿宋_GB2312" w:hAnsi="仿宋_GB2312" w:eastAsia="仿宋_GB2312" w:cs="仿宋_GB2312"/>
          <w:color w:val="auto"/>
          <w:sz w:val="30"/>
          <w:szCs w:val="30"/>
          <w:highlight w:val="none"/>
          <w:u w:val="single"/>
        </w:rPr>
      </w:pPr>
    </w:p>
    <w:p w14:paraId="7C318783">
      <w:pPr>
        <w:pStyle w:val="8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w:t>
      </w:r>
    </w:p>
    <w:p w14:paraId="05F3DD1D">
      <w:pPr>
        <w:pStyle w:val="80"/>
        <w:spacing w:line="360" w:lineRule="auto"/>
        <w:ind w:firstLine="600" w:firstLineChars="200"/>
        <w:rPr>
          <w:rFonts w:ascii="仿宋_GB2312" w:hAnsi="仿宋_GB2312" w:eastAsia="仿宋_GB2312" w:cs="仿宋_GB2312"/>
          <w:color w:val="auto"/>
          <w:sz w:val="30"/>
          <w:szCs w:val="30"/>
          <w:highlight w:val="none"/>
        </w:rPr>
      </w:pPr>
    </w:p>
    <w:p w14:paraId="1072FB04">
      <w:pPr>
        <w:pStyle w:val="80"/>
        <w:spacing w:line="360" w:lineRule="auto"/>
        <w:ind w:firstLine="600" w:firstLineChars="200"/>
        <w:jc w:val="left"/>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（备注：银行、保险公司和担保公司出具的保函格式和文本可以自拟，但是必须包含以上条款所列全部内容）</w:t>
      </w:r>
    </w:p>
    <w:p w14:paraId="0CD5DC7B">
      <w:pPr>
        <w:ind w:left="0" w:firstLine="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br w:type="page"/>
      </w:r>
    </w:p>
    <w:p w14:paraId="7BE64487">
      <w:pPr>
        <w:pStyle w:val="7"/>
        <w:ind w:left="0" w:firstLine="0"/>
        <w:rPr>
          <w:rFonts w:ascii="仿宋_GB2312" w:hAnsi="仿宋_GB2312" w:eastAsia="仿宋_GB2312" w:cs="仿宋_GB2312"/>
          <w:color w:val="auto"/>
          <w:sz w:val="30"/>
          <w:szCs w:val="30"/>
          <w:highlight w:val="none"/>
        </w:rPr>
      </w:pPr>
      <w:bookmarkStart w:id="1433" w:name="_Toc5668"/>
      <w:r>
        <w:rPr>
          <w:rFonts w:hint="eastAsia" w:ascii="仿宋_GB2312" w:hAnsi="仿宋_GB2312" w:eastAsia="仿宋_GB2312" w:cs="仿宋_GB2312"/>
          <w:color w:val="auto"/>
          <w:sz w:val="30"/>
          <w:szCs w:val="30"/>
          <w:highlight w:val="none"/>
        </w:rPr>
        <w:t>附件9：廉政责任书</w:t>
      </w:r>
      <w:bookmarkEnd w:id="1433"/>
    </w:p>
    <w:p w14:paraId="74CA040D">
      <w:pPr>
        <w:rPr>
          <w:color w:val="auto"/>
          <w:highlight w:val="none"/>
        </w:rPr>
      </w:pPr>
    </w:p>
    <w:p w14:paraId="24DBC8EE">
      <w:pPr>
        <w:pStyle w:val="80"/>
        <w:tabs>
          <w:tab w:val="left" w:pos="640"/>
        </w:tabs>
        <w:spacing w:line="50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工程设计廉政责任书</w:t>
      </w:r>
    </w:p>
    <w:p w14:paraId="53C37136">
      <w:pPr>
        <w:pStyle w:val="80"/>
        <w:tabs>
          <w:tab w:val="left" w:pos="640"/>
        </w:tabs>
        <w:rPr>
          <w:rFonts w:ascii="仿宋_GB2312" w:hAnsi="Times New Roman" w:eastAsia="仿宋_GB2312"/>
          <w:color w:val="auto"/>
          <w:szCs w:val="21"/>
          <w:highlight w:val="none"/>
        </w:rPr>
      </w:pPr>
    </w:p>
    <w:p w14:paraId="10AE54BA">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工程项目名称：</w:t>
      </w:r>
      <w:r>
        <w:rPr>
          <w:rFonts w:ascii="仿宋_GB2312" w:hAnsi="仿宋_GB2312" w:eastAsia="仿宋_GB2312" w:cs="仿宋_GB2312"/>
          <w:color w:val="auto"/>
          <w:sz w:val="30"/>
          <w:szCs w:val="30"/>
          <w:highlight w:val="none"/>
        </w:rPr>
        <w:t xml:space="preserve">    </w:t>
      </w:r>
    </w:p>
    <w:p w14:paraId="3915A057">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工程项目地址：</w:t>
      </w:r>
      <w:r>
        <w:rPr>
          <w:rFonts w:ascii="仿宋_GB2312" w:hAnsi="仿宋_GB2312" w:eastAsia="仿宋_GB2312" w:cs="仿宋_GB2312"/>
          <w:color w:val="auto"/>
          <w:sz w:val="30"/>
          <w:szCs w:val="30"/>
          <w:highlight w:val="none"/>
        </w:rPr>
        <w:t xml:space="preserve">    </w:t>
      </w:r>
    </w:p>
    <w:p w14:paraId="318D14B3">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发包人（甲方）：</w:t>
      </w:r>
      <w:r>
        <w:rPr>
          <w:rFonts w:ascii="仿宋_GB2312" w:hAnsi="仿宋_GB2312" w:eastAsia="仿宋_GB2312" w:cs="仿宋_GB2312"/>
          <w:color w:val="auto"/>
          <w:sz w:val="30"/>
          <w:szCs w:val="30"/>
          <w:highlight w:val="none"/>
        </w:rPr>
        <w:t xml:space="preserve">    </w:t>
      </w:r>
    </w:p>
    <w:p w14:paraId="03AB0FFE">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设计人（乙方）：</w:t>
      </w:r>
      <w:r>
        <w:rPr>
          <w:rFonts w:ascii="仿宋_GB2312" w:hAnsi="仿宋_GB2312" w:eastAsia="仿宋_GB2312" w:cs="仿宋_GB2312"/>
          <w:color w:val="auto"/>
          <w:sz w:val="30"/>
          <w:szCs w:val="30"/>
          <w:highlight w:val="none"/>
        </w:rPr>
        <w:t xml:space="preserve">    </w:t>
      </w:r>
    </w:p>
    <w:p w14:paraId="474B16A9">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为加强工程建设中的廉政建设，规范工程建设设计委托与被委托双方的各项活动，防止发生各种谋取不正当利益的违法违纪行为，保护国家、集体和当事人的合法权益，根据国家有关工程建设的法律法规和廉政建设责任制规定，特订立本廉政责任书。</w:t>
      </w:r>
    </w:p>
    <w:p w14:paraId="3D9AAD02">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第一条  甲乙双方的责任</w:t>
      </w:r>
    </w:p>
    <w:p w14:paraId="6531B5ED">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（一）应严格遵守国家关于市场准入、项目招标投标、工程建设、设计和市场活动的有关法律、法规、相关政策、以及廉政建设的各项规定。</w:t>
      </w:r>
    </w:p>
    <w:p w14:paraId="2673E53E">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（二）严格执行建设工程设计合同文件，自觉按合同办事。</w:t>
      </w:r>
    </w:p>
    <w:p w14:paraId="4D295EC4">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（三）业务活动必须坚持公开、公平、公正、诚信、透明的原则（除法律法规另有规定者外），不得损害国家利益、集体利益和对方的合法利益，不得违反工程建设管理、设计的法律法规及规章制度。</w:t>
      </w:r>
    </w:p>
    <w:p w14:paraId="27F4DB60">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（四）发现对方在业务活动中有违规、违纪、违法行为的，应及时提醒对方，并向监管单位报告；情节严重的，应向其上级主管部门或纪检监察、司法等有关机关举报。</w:t>
      </w:r>
    </w:p>
    <w:p w14:paraId="5D3F892F">
      <w:pPr>
        <w:pStyle w:val="80"/>
        <w:numPr>
          <w:ilvl w:val="0"/>
          <w:numId w:val="6"/>
        </w:numPr>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发包人的责任</w:t>
      </w:r>
    </w:p>
    <w:p w14:paraId="03CB2D50">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发包人及发包人相关工作人员，在工程建设的事前、事中、事后应遵守以下规定：</w:t>
      </w:r>
    </w:p>
    <w:p w14:paraId="77B35803">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（一）不准向乙方和相关单位索要或接受回扣、礼金、有价证券、贵重物品和好处费、感谢费等。</w:t>
      </w:r>
    </w:p>
    <w:p w14:paraId="46DABFB0">
      <w:pPr>
        <w:pStyle w:val="80"/>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不准以任何理由向乙方和相关单位无偿或以明显低于市场价格借用房屋、车辆、金钱或其他贵重物品等。</w:t>
      </w:r>
    </w:p>
    <w:p w14:paraId="6A8E9375">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（二）不准在乙方和相关单位报销任何应由发包人或个人支付的费用。</w:t>
      </w:r>
    </w:p>
    <w:p w14:paraId="7CA3B1AA">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（三）不准要求、暗示或接受乙方和相关单位为个人装修住房、婚丧嫁娶、配偶子女的工作安排以及出国（境）、旅游等提供方便。</w:t>
      </w:r>
    </w:p>
    <w:p w14:paraId="18A4B392">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（四）不准参加乙方和相关单位安排的有可能影响公正执行工作任务的宴请、健身、娱乐等活动。</w:t>
      </w:r>
    </w:p>
    <w:p w14:paraId="20770797">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（五）不准向乙方和相关单位介绍或为配偶、子女、亲属介绍参与同发包人工程设计合同有关的设计业务等活动。不得以任何理由要求乙方和相关单位在设计中使用设计合同规定以外的产品、材料和设备等。</w:t>
      </w:r>
    </w:p>
    <w:p w14:paraId="18EB177E">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第三条  乙方的责任</w:t>
      </w:r>
    </w:p>
    <w:p w14:paraId="2058490F">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应与发包人保持正常的业务交往，按照有关法律法规和程序开展业务工作，严格执行工程建设的有关方针、政策，尤其是有关设计的强制性标准和规范，并遵守以下规定：</w:t>
      </w:r>
    </w:p>
    <w:p w14:paraId="542A3A64">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（一）不准以任何理由向发包人、相关单位及其工作人员赠送礼金、有价证券、贵重物品及回扣、好处费、感谢费等。</w:t>
      </w:r>
    </w:p>
    <w:p w14:paraId="1BA8D386">
      <w:pPr>
        <w:pStyle w:val="80"/>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不准以任何理由向发包人、相关单位及其工作人员无偿或以明显低于市场价格出借房屋、车辆、金钱或其他贵重物品等。</w:t>
      </w:r>
    </w:p>
    <w:p w14:paraId="477426DA">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（二）不准以任何理由为发包人和相关单位及其工作人员报销应由发包人或个人支付的费用。</w:t>
      </w:r>
    </w:p>
    <w:p w14:paraId="30417394">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（三）不准明示或暗示为发包人、相关单位或个人装修住房、婚丧嫁娶、配偶子女的工作安排以及出国（境）、旅游等提供方便。</w:t>
      </w:r>
    </w:p>
    <w:p w14:paraId="39B2C518">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（四）不准以任何理由为发包人、相关单位或个人组织安排有可能影响公正执行工作任务的宴请、健身、娱乐等活动。</w:t>
      </w:r>
    </w:p>
    <w:p w14:paraId="1EA1E775">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第四条  违约责任</w:t>
      </w:r>
    </w:p>
    <w:p w14:paraId="7A9D4C72">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（一）发包人工作人员有违反本责任书第一、二条责任行为的，发包人应按照管理权限，依据有关法律法规和规定给予追责处理；涉嫌犯罪的，移交司法机关追究刑事责任；给乙方单位造成损失的，应予以赔偿。</w:t>
      </w:r>
    </w:p>
    <w:p w14:paraId="673F5668">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（二）乙方工作人员有违反责任书第一、三条责任行为的，乙方应按照管理权限，依据有关法律法规和规定给予追责处理；涉嫌犯罪的，移交司法机关追究刑事责任；给发包人单位造成损失的，应予以赔偿。</w:t>
      </w:r>
    </w:p>
    <w:p w14:paraId="252D4F63">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第五条  本责任书经双方法定代表人或授权代表签字并加盖双方单位公章后立即生效。</w:t>
      </w:r>
    </w:p>
    <w:p w14:paraId="6EA3828D">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第六条  本责任书的有效期为双方签署之日起至该工程项目竣工验收合格时止。</w:t>
      </w:r>
    </w:p>
    <w:p w14:paraId="037332B1">
      <w:pPr>
        <w:pStyle w:val="80"/>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第七条  本责任书一式四份，由甲乙双方各执一份，送交甲乙双方的监督单位各一份。</w:t>
      </w:r>
    </w:p>
    <w:p w14:paraId="4C6DF4B3">
      <w:pPr>
        <w:pStyle w:val="80"/>
        <w:tabs>
          <w:tab w:val="left" w:pos="640"/>
        </w:tabs>
        <w:spacing w:line="360" w:lineRule="auto"/>
        <w:ind w:firstLine="645"/>
        <w:rPr>
          <w:rFonts w:ascii="仿宋_GB2312" w:hAnsi="仿宋_GB2312" w:eastAsia="仿宋_GB2312" w:cs="仿宋_GB2312"/>
          <w:color w:val="auto"/>
          <w:sz w:val="30"/>
          <w:szCs w:val="30"/>
          <w:highlight w:val="none"/>
        </w:rPr>
      </w:pPr>
    </w:p>
    <w:p w14:paraId="283C3BF6">
      <w:pPr>
        <w:pStyle w:val="80"/>
        <w:tabs>
          <w:tab w:val="left" w:pos="640"/>
        </w:tabs>
        <w:spacing w:line="360" w:lineRule="auto"/>
        <w:ind w:firstLine="645"/>
        <w:rPr>
          <w:rFonts w:ascii="仿宋_GB2312" w:hAnsi="仿宋_GB2312" w:eastAsia="仿宋_GB2312" w:cs="仿宋_GB2312"/>
          <w:color w:val="auto"/>
          <w:sz w:val="30"/>
          <w:szCs w:val="30"/>
          <w:highlight w:val="none"/>
        </w:rPr>
      </w:pPr>
    </w:p>
    <w:p w14:paraId="36CAEE39">
      <w:pPr>
        <w:pStyle w:val="80"/>
        <w:tabs>
          <w:tab w:val="left" w:pos="640"/>
        </w:tabs>
        <w:spacing w:line="360" w:lineRule="auto"/>
        <w:ind w:firstLine="645"/>
        <w:rPr>
          <w:rFonts w:ascii="仿宋_GB2312" w:hAnsi="仿宋_GB2312" w:eastAsia="仿宋_GB2312" w:cs="仿宋_GB2312"/>
          <w:color w:val="auto"/>
          <w:sz w:val="30"/>
          <w:szCs w:val="30"/>
          <w:highlight w:val="none"/>
        </w:rPr>
      </w:pPr>
    </w:p>
    <w:p w14:paraId="29749058">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           设计人：（盖章）</w:t>
      </w:r>
    </w:p>
    <w:p w14:paraId="2C8AD295">
      <w:pPr>
        <w:pStyle w:val="80"/>
        <w:tabs>
          <w:tab w:val="left" w:pos="640"/>
        </w:tabs>
        <w:spacing w:line="360" w:lineRule="auto"/>
        <w:rPr>
          <w:rFonts w:ascii="仿宋_GB2312" w:hAnsi="仿宋_GB2312" w:eastAsia="仿宋_GB2312" w:cs="仿宋_GB2312"/>
          <w:color w:val="auto"/>
          <w:sz w:val="30"/>
          <w:szCs w:val="30"/>
          <w:highlight w:val="none"/>
        </w:rPr>
      </w:pPr>
    </w:p>
    <w:p w14:paraId="4F3B5DEF">
      <w:pPr>
        <w:pStyle w:val="80"/>
        <w:tabs>
          <w:tab w:val="left" w:pos="640"/>
        </w:tabs>
        <w:spacing w:line="360" w:lineRule="auto"/>
        <w:rPr>
          <w:rFonts w:ascii="仿宋_GB2312" w:hAnsi="仿宋_GB2312" w:eastAsia="仿宋_GB2312" w:cs="仿宋_GB2312"/>
          <w:color w:val="auto"/>
          <w:sz w:val="30"/>
          <w:szCs w:val="30"/>
          <w:highlight w:val="none"/>
        </w:rPr>
      </w:pPr>
    </w:p>
    <w:p w14:paraId="41AD6733">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                  法定代表人或</w:t>
      </w:r>
    </w:p>
    <w:p w14:paraId="46662A0C">
      <w:pPr>
        <w:pStyle w:val="80"/>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授权代表（签字或盖章）：       授权代表（签字或盖章）：</w:t>
      </w:r>
    </w:p>
    <w:p w14:paraId="7DD5EE9E">
      <w:pPr>
        <w:ind w:firstLine="0"/>
        <w:outlineLvl w:val="9"/>
        <w:rPr>
          <w:rFonts w:ascii="仿宋_GB2312" w:hAnsi="仿宋_GB2312" w:eastAsia="仿宋_GB2312" w:cs="仿宋_GB2312"/>
          <w:color w:val="auto"/>
          <w:sz w:val="30"/>
          <w:szCs w:val="30"/>
          <w:highlight w:val="none"/>
        </w:rPr>
      </w:pPr>
      <w:r>
        <w:rPr>
          <w:color w:val="auto"/>
          <w:highlight w:val="none"/>
        </w:rPr>
        <w:br w:type="page"/>
      </w:r>
      <w:bookmarkEnd w:id="1427"/>
      <w:bookmarkStart w:id="1434" w:name="_Toc29907"/>
      <w:bookmarkStart w:id="1435" w:name="_Toc12090"/>
      <w:bookmarkStart w:id="1436" w:name="_Toc2088810164"/>
      <w:bookmarkStart w:id="1437" w:name="_Toc1688768147"/>
    </w:p>
    <w:p w14:paraId="7A0831A5">
      <w:pPr>
        <w:pStyle w:val="7"/>
        <w:ind w:left="0" w:firstLine="0" w:firstLineChars="0"/>
        <w:rPr>
          <w:rFonts w:hint="eastAsia" w:ascii="仿宋_GB2312" w:hAnsi="仿宋_GB2312" w:eastAsia="仿宋_GB2312" w:cs="仿宋_GB2312"/>
          <w:color w:val="auto"/>
          <w:sz w:val="30"/>
          <w:szCs w:val="30"/>
          <w:highlight w:val="none"/>
        </w:rPr>
      </w:pPr>
      <w:bookmarkStart w:id="1438" w:name="_Toc26308"/>
      <w:r>
        <w:rPr>
          <w:rFonts w:hint="eastAsia" w:ascii="仿宋_GB2312" w:hAnsi="仿宋_GB2312" w:eastAsia="仿宋_GB2312" w:cs="仿宋_GB2312"/>
          <w:color w:val="auto"/>
          <w:sz w:val="30"/>
          <w:szCs w:val="30"/>
          <w:highlight w:val="none"/>
        </w:rPr>
        <w:t>附件10：其他要求</w:t>
      </w:r>
      <w:bookmarkEnd w:id="1434"/>
      <w:bookmarkEnd w:id="1435"/>
      <w:bookmarkEnd w:id="1438"/>
    </w:p>
    <w:p w14:paraId="1C087886">
      <w:pPr>
        <w:spacing w:before="0" w:after="0" w:afterAutospacing="0" w:line="460" w:lineRule="exact"/>
        <w:ind w:left="0" w:right="0" w:firstLine="482" w:firstLineChars="200"/>
        <w:rPr>
          <w:rFonts w:ascii="宋体" w:hAnsi="宋体"/>
          <w:b/>
          <w:bCs/>
          <w:color w:val="auto"/>
          <w:sz w:val="24"/>
          <w:szCs w:val="24"/>
          <w:highlight w:val="none"/>
        </w:rPr>
      </w:pPr>
      <w:r>
        <w:rPr>
          <w:rFonts w:hint="eastAsia" w:ascii="宋体" w:hAnsi="宋体"/>
          <w:b/>
          <w:bCs/>
          <w:color w:val="auto"/>
          <w:sz w:val="24"/>
          <w:szCs w:val="24"/>
          <w:highlight w:val="none"/>
          <w:lang w:val="en-US" w:eastAsia="zh-CN"/>
        </w:rPr>
        <w:t>1.甲方对乙方的</w:t>
      </w:r>
      <w:r>
        <w:rPr>
          <w:rFonts w:hint="eastAsia" w:ascii="宋体" w:hAnsi="宋体"/>
          <w:b/>
          <w:bCs/>
          <w:color w:val="auto"/>
          <w:sz w:val="24"/>
          <w:szCs w:val="24"/>
          <w:highlight w:val="none"/>
        </w:rPr>
        <w:t>成果要求</w:t>
      </w:r>
    </w:p>
    <w:tbl>
      <w:tblPr>
        <w:tblStyle w:val="35"/>
        <w:tblW w:w="8477"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3358"/>
        <w:gridCol w:w="4297"/>
      </w:tblGrid>
      <w:tr w14:paraId="0E1A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822" w:type="dxa"/>
            <w:shd w:val="clear" w:color="auto" w:fill="DAEEF3"/>
            <w:noWrap w:val="0"/>
            <w:vAlign w:val="center"/>
          </w:tcPr>
          <w:p w14:paraId="2A4BE1E8">
            <w:pPr>
              <w:pStyle w:val="82"/>
              <w:spacing w:before="0" w:after="0" w:afterAutospacing="0" w:line="360" w:lineRule="auto"/>
              <w:ind w:left="0" w:right="0" w:firstLine="0" w:firstLineChars="0"/>
              <w:jc w:val="center"/>
              <w:rPr>
                <w:rFonts w:ascii="宋体" w:hAnsi="Times New Roman"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bidi="ar-SA"/>
              </w:rPr>
              <w:t>编号</w:t>
            </w:r>
          </w:p>
        </w:tc>
        <w:tc>
          <w:tcPr>
            <w:tcW w:w="3358" w:type="dxa"/>
            <w:shd w:val="clear" w:color="auto" w:fill="DAEEF3"/>
            <w:noWrap w:val="0"/>
            <w:vAlign w:val="center"/>
          </w:tcPr>
          <w:p w14:paraId="7E126919">
            <w:pPr>
              <w:pStyle w:val="82"/>
              <w:spacing w:before="120" w:after="100" w:afterAutospacing="1" w:line="360" w:lineRule="auto"/>
              <w:ind w:left="709" w:right="-27" w:firstLine="0" w:firstLineChars="0"/>
              <w:jc w:val="center"/>
              <w:rPr>
                <w:rFonts w:ascii="宋体" w:hAnsi="Times New Roman"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bidi="ar-SA"/>
              </w:rPr>
              <w:t>设计内容</w:t>
            </w:r>
          </w:p>
        </w:tc>
        <w:tc>
          <w:tcPr>
            <w:tcW w:w="4297" w:type="dxa"/>
            <w:shd w:val="clear" w:color="auto" w:fill="DAEEF3"/>
            <w:noWrap w:val="0"/>
            <w:vAlign w:val="center"/>
          </w:tcPr>
          <w:p w14:paraId="4BB1663F">
            <w:pPr>
              <w:pStyle w:val="82"/>
              <w:spacing w:before="120" w:after="100" w:afterAutospacing="1" w:line="360" w:lineRule="auto"/>
              <w:ind w:left="709" w:right="-27" w:firstLine="0" w:firstLineChars="0"/>
              <w:jc w:val="center"/>
              <w:rPr>
                <w:rFonts w:ascii="宋体" w:hAnsi="Times New Roman"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bidi="ar-SA"/>
              </w:rPr>
              <w:t>备注</w:t>
            </w:r>
          </w:p>
        </w:tc>
      </w:tr>
      <w:tr w14:paraId="7B35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3AC5C504">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1</w:t>
            </w:r>
          </w:p>
        </w:tc>
        <w:tc>
          <w:tcPr>
            <w:tcW w:w="3358" w:type="dxa"/>
            <w:noWrap w:val="0"/>
            <w:vAlign w:val="top"/>
          </w:tcPr>
          <w:p w14:paraId="198C39BB">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室外总体电气系统（含土建部分）</w:t>
            </w:r>
          </w:p>
        </w:tc>
        <w:tc>
          <w:tcPr>
            <w:tcW w:w="4297" w:type="dxa"/>
            <w:noWrap w:val="0"/>
            <w:vAlign w:val="top"/>
          </w:tcPr>
          <w:p w14:paraId="0249F9C5">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需与其它专业综合考虑</w:t>
            </w:r>
          </w:p>
        </w:tc>
      </w:tr>
      <w:tr w14:paraId="771A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5CC992D6">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2</w:t>
            </w:r>
          </w:p>
        </w:tc>
        <w:tc>
          <w:tcPr>
            <w:tcW w:w="3358" w:type="dxa"/>
            <w:noWrap w:val="0"/>
            <w:vAlign w:val="top"/>
          </w:tcPr>
          <w:p w14:paraId="274DF72D">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高压（10kV）供电系统（含二次接线）</w:t>
            </w:r>
          </w:p>
        </w:tc>
        <w:tc>
          <w:tcPr>
            <w:tcW w:w="4297" w:type="dxa"/>
            <w:noWrap w:val="0"/>
            <w:vAlign w:val="top"/>
          </w:tcPr>
          <w:p w14:paraId="45A19280">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设计应符合南宁市供电局审定要求，含开闭站、变配电所高压配电系统图、原理图、平面布置图、电缆沟布置、局部详图、高压母线槽规格型号、设备基础等。</w:t>
            </w:r>
          </w:p>
        </w:tc>
      </w:tr>
      <w:tr w14:paraId="1F68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3E742F01">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3</w:t>
            </w:r>
          </w:p>
        </w:tc>
        <w:tc>
          <w:tcPr>
            <w:tcW w:w="3358" w:type="dxa"/>
            <w:noWrap w:val="0"/>
            <w:vAlign w:val="top"/>
          </w:tcPr>
          <w:p w14:paraId="605C197D">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低压配电系统（含一次、二次控制接线，以及土建部分）</w:t>
            </w:r>
          </w:p>
        </w:tc>
        <w:tc>
          <w:tcPr>
            <w:tcW w:w="4297" w:type="dxa"/>
            <w:noWrap w:val="0"/>
            <w:vAlign w:val="top"/>
          </w:tcPr>
          <w:p w14:paraId="4D783096">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含低压配电及配电箱系统图、原理图、平面布置图、电缆沟布置、局部详图、桥架和低压母线槽规格型号、强弱电竖井、楼层配电间设备布置安装详图、设备基础等；以及配电室内的通风、消防及安全防范措施。</w:t>
            </w:r>
          </w:p>
        </w:tc>
      </w:tr>
      <w:tr w14:paraId="293F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58C1DA81">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4</w:t>
            </w:r>
          </w:p>
        </w:tc>
        <w:tc>
          <w:tcPr>
            <w:tcW w:w="3358" w:type="dxa"/>
            <w:noWrap w:val="0"/>
            <w:vAlign w:val="top"/>
          </w:tcPr>
          <w:p w14:paraId="666D995A">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柴油发电机配电</w:t>
            </w:r>
          </w:p>
        </w:tc>
        <w:tc>
          <w:tcPr>
            <w:tcW w:w="4297" w:type="dxa"/>
            <w:noWrap w:val="0"/>
            <w:vAlign w:val="top"/>
          </w:tcPr>
          <w:p w14:paraId="6CEBBD1C">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含柴油发电机至配电室低压配电柜电缆/母线连接敷设，低压配电室内发电机部分的低压配电系统设计</w:t>
            </w:r>
          </w:p>
        </w:tc>
      </w:tr>
      <w:tr w14:paraId="4E9D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77400B66">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5</w:t>
            </w:r>
          </w:p>
        </w:tc>
        <w:tc>
          <w:tcPr>
            <w:tcW w:w="3358" w:type="dxa"/>
            <w:noWrap w:val="0"/>
            <w:vAlign w:val="top"/>
          </w:tcPr>
          <w:p w14:paraId="0109B24F">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防雷、接地及安全系统</w:t>
            </w:r>
          </w:p>
        </w:tc>
        <w:tc>
          <w:tcPr>
            <w:tcW w:w="4297" w:type="dxa"/>
            <w:noWrap w:val="0"/>
            <w:vAlign w:val="top"/>
          </w:tcPr>
          <w:p w14:paraId="3E51CD53">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p>
        </w:tc>
      </w:tr>
      <w:tr w14:paraId="3A3A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26F1277F">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6</w:t>
            </w:r>
          </w:p>
        </w:tc>
        <w:tc>
          <w:tcPr>
            <w:tcW w:w="3358" w:type="dxa"/>
            <w:noWrap w:val="0"/>
            <w:vAlign w:val="top"/>
          </w:tcPr>
          <w:p w14:paraId="6D1AF43C">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各类大样图、节点图</w:t>
            </w:r>
          </w:p>
        </w:tc>
        <w:tc>
          <w:tcPr>
            <w:tcW w:w="4297" w:type="dxa"/>
            <w:noWrap w:val="0"/>
            <w:vAlign w:val="top"/>
          </w:tcPr>
          <w:p w14:paraId="15F1E51F">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p>
        </w:tc>
      </w:tr>
      <w:tr w14:paraId="17E3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01CE81AA">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7</w:t>
            </w:r>
          </w:p>
        </w:tc>
        <w:tc>
          <w:tcPr>
            <w:tcW w:w="3358" w:type="dxa"/>
            <w:noWrap w:val="0"/>
            <w:vAlign w:val="top"/>
          </w:tcPr>
          <w:p w14:paraId="401C88F6">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配电室一次系统模拟图</w:t>
            </w:r>
          </w:p>
        </w:tc>
        <w:tc>
          <w:tcPr>
            <w:tcW w:w="4297" w:type="dxa"/>
            <w:noWrap w:val="0"/>
            <w:vAlign w:val="top"/>
          </w:tcPr>
          <w:p w14:paraId="468CAECE">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配电室挂墙上的维护标志牌</w:t>
            </w:r>
          </w:p>
        </w:tc>
      </w:tr>
      <w:tr w14:paraId="1633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32B01E0C">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8</w:t>
            </w:r>
          </w:p>
        </w:tc>
        <w:tc>
          <w:tcPr>
            <w:tcW w:w="3358" w:type="dxa"/>
            <w:noWrap w:val="0"/>
            <w:vAlign w:val="top"/>
          </w:tcPr>
          <w:p w14:paraId="5B64D650">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配电室各类标识牌</w:t>
            </w:r>
          </w:p>
        </w:tc>
        <w:tc>
          <w:tcPr>
            <w:tcW w:w="4297" w:type="dxa"/>
            <w:noWrap w:val="0"/>
            <w:vAlign w:val="top"/>
          </w:tcPr>
          <w:p w14:paraId="21761F40">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配电室挂墙上的维护标志牌</w:t>
            </w:r>
          </w:p>
        </w:tc>
      </w:tr>
      <w:tr w14:paraId="5C1B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18078640">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9</w:t>
            </w:r>
          </w:p>
        </w:tc>
        <w:tc>
          <w:tcPr>
            <w:tcW w:w="3358" w:type="dxa"/>
            <w:noWrap w:val="0"/>
            <w:vAlign w:val="top"/>
          </w:tcPr>
          <w:p w14:paraId="700F75B5">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设备材料清册</w:t>
            </w:r>
          </w:p>
        </w:tc>
        <w:tc>
          <w:tcPr>
            <w:tcW w:w="4297" w:type="dxa"/>
            <w:noWrap w:val="0"/>
            <w:vAlign w:val="top"/>
          </w:tcPr>
          <w:p w14:paraId="6D1D62B1">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p>
        </w:tc>
      </w:tr>
      <w:tr w14:paraId="27FC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12DDA6D3">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10</w:t>
            </w:r>
          </w:p>
        </w:tc>
        <w:tc>
          <w:tcPr>
            <w:tcW w:w="3358" w:type="dxa"/>
            <w:noWrap w:val="0"/>
            <w:vAlign w:val="top"/>
          </w:tcPr>
          <w:p w14:paraId="012620BC">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本设计成果的概算书</w:t>
            </w:r>
          </w:p>
        </w:tc>
        <w:tc>
          <w:tcPr>
            <w:tcW w:w="4297" w:type="dxa"/>
            <w:noWrap w:val="0"/>
            <w:vAlign w:val="top"/>
          </w:tcPr>
          <w:p w14:paraId="02F83F96">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p>
        </w:tc>
      </w:tr>
      <w:tr w14:paraId="799A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14:paraId="59EBCD60">
            <w:pPr>
              <w:spacing w:before="0" w:after="0" w:afterAutospacing="0" w:line="460" w:lineRule="exact"/>
              <w:ind w:left="0" w:right="0" w:firstLine="0"/>
              <w:jc w:val="center"/>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11</w:t>
            </w:r>
          </w:p>
        </w:tc>
        <w:tc>
          <w:tcPr>
            <w:tcW w:w="3358" w:type="dxa"/>
            <w:noWrap w:val="0"/>
            <w:vAlign w:val="top"/>
          </w:tcPr>
          <w:p w14:paraId="3535813E">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其它验收所需的盖章文件</w:t>
            </w:r>
          </w:p>
        </w:tc>
        <w:tc>
          <w:tcPr>
            <w:tcW w:w="4297" w:type="dxa"/>
            <w:noWrap w:val="0"/>
            <w:vAlign w:val="top"/>
          </w:tcPr>
          <w:p w14:paraId="31E7AF83">
            <w:pPr>
              <w:spacing w:before="0" w:after="0" w:afterAutospacing="0" w:line="460" w:lineRule="exact"/>
              <w:ind w:left="0" w:right="0" w:firstLine="0"/>
              <w:jc w:val="both"/>
              <w:rPr>
                <w:rFonts w:ascii="宋体" w:hAnsi="宋体" w:eastAsia="宋体" w:cs="Times New Roman"/>
                <w:color w:val="auto"/>
                <w:sz w:val="22"/>
                <w:szCs w:val="22"/>
                <w:highlight w:val="none"/>
                <w:lang w:val="en-US" w:eastAsia="zh-CN" w:bidi="ar-SA"/>
              </w:rPr>
            </w:pPr>
            <w:r>
              <w:rPr>
                <w:rFonts w:hint="eastAsia" w:ascii="宋体" w:hAnsi="宋体" w:eastAsia="宋体" w:cs="Times New Roman"/>
                <w:color w:val="auto"/>
                <w:sz w:val="22"/>
                <w:szCs w:val="22"/>
                <w:highlight w:val="none"/>
                <w:lang w:val="en-US" w:eastAsia="zh-CN" w:bidi="ar-SA"/>
              </w:rPr>
              <w:t>设计相关类</w:t>
            </w:r>
          </w:p>
        </w:tc>
      </w:tr>
    </w:tbl>
    <w:p w14:paraId="609D05D2">
      <w:pPr>
        <w:spacing w:before="0" w:after="0" w:afterAutospacing="0" w:line="460" w:lineRule="exact"/>
        <w:ind w:left="0" w:right="0" w:firstLine="482" w:firstLineChars="200"/>
        <w:rPr>
          <w:rFonts w:hint="eastAsia" w:ascii="宋体" w:hAnsi="宋体"/>
          <w:b/>
          <w:bCs/>
          <w:color w:val="auto"/>
          <w:sz w:val="24"/>
          <w:szCs w:val="24"/>
          <w:highlight w:val="none"/>
          <w:lang w:val="en-US" w:eastAsia="zh-CN"/>
        </w:rPr>
      </w:pPr>
    </w:p>
    <w:p w14:paraId="76899B07">
      <w:pPr>
        <w:spacing w:before="0" w:after="0" w:afterAutospacing="0" w:line="460" w:lineRule="exact"/>
        <w:ind w:left="0" w:right="0" w:firstLine="482" w:firstLineChars="200"/>
        <w:rPr>
          <w:rFonts w:hint="eastAsia" w:ascii="宋体" w:hAnsi="宋体"/>
          <w:b/>
          <w:bCs/>
          <w:color w:val="auto"/>
          <w:sz w:val="24"/>
          <w:szCs w:val="24"/>
          <w:highlight w:val="none"/>
          <w:lang w:val="en-US" w:eastAsia="zh-CN"/>
        </w:rPr>
      </w:pPr>
    </w:p>
    <w:p w14:paraId="07339A3B">
      <w:pPr>
        <w:spacing w:before="0" w:after="0" w:afterAutospacing="0" w:line="460" w:lineRule="exact"/>
        <w:ind w:left="0" w:right="0" w:firstLine="482" w:firstLineChars="200"/>
        <w:rPr>
          <w:rFonts w:hint="eastAsia" w:ascii="宋体" w:hAnsi="宋体"/>
          <w:b/>
          <w:bCs/>
          <w:color w:val="auto"/>
          <w:sz w:val="24"/>
          <w:szCs w:val="24"/>
          <w:highlight w:val="none"/>
        </w:rPr>
      </w:pPr>
      <w:r>
        <w:rPr>
          <w:rFonts w:hint="eastAsia" w:ascii="宋体" w:hAnsi="宋体"/>
          <w:b/>
          <w:bCs/>
          <w:color w:val="auto"/>
          <w:sz w:val="24"/>
          <w:szCs w:val="24"/>
          <w:highlight w:val="none"/>
          <w:lang w:val="en-US" w:eastAsia="zh-CN"/>
        </w:rPr>
        <w:t>2.</w:t>
      </w:r>
      <w:r>
        <w:rPr>
          <w:rFonts w:hint="eastAsia" w:ascii="宋体" w:hAnsi="宋体"/>
          <w:b/>
          <w:bCs/>
          <w:color w:val="auto"/>
          <w:sz w:val="24"/>
          <w:szCs w:val="24"/>
          <w:highlight w:val="none"/>
        </w:rPr>
        <w:t>后期服务要求</w:t>
      </w:r>
    </w:p>
    <w:p w14:paraId="5BF0B370">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1乙方应积极配合甲方解决工程施工过程中的相关技术问题及现场问题，并在接到甲方要求之日起2个工作日内做出回应，同时按照以下时限要求出具设计变更：</w:t>
      </w:r>
    </w:p>
    <w:p w14:paraId="3C4B9E42">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（1）工程量10万元以下的，必须在2日内出图；</w:t>
      </w:r>
    </w:p>
    <w:p w14:paraId="0E49FF42">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（2）工程量50万元以下的，必须在5日内出图；</w:t>
      </w:r>
    </w:p>
    <w:p w14:paraId="2A2203A7">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（3）工程量50万元以上的，必须在7日内出图；</w:t>
      </w:r>
    </w:p>
    <w:p w14:paraId="5CD84CE3">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以上图纸要求打印蓝图出图（含dwg版本电子文件）。</w:t>
      </w:r>
    </w:p>
    <w:p w14:paraId="52758E5F">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2招投标配合服务包括并不限于：</w:t>
      </w:r>
    </w:p>
    <w:p w14:paraId="0A2D6E4A">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2.1提供照明设备造价估算；</w:t>
      </w:r>
    </w:p>
    <w:p w14:paraId="1E674C32">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2.2协助甲方完成招标文件技术部分；</w:t>
      </w:r>
    </w:p>
    <w:p w14:paraId="01CF6EF0">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2.3协助甲方为投标单位讲解设计方案和技术要求。</w:t>
      </w:r>
    </w:p>
    <w:p w14:paraId="1E549017">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2.4协助甲方评估选定照明及控制设备。</w:t>
      </w:r>
    </w:p>
    <w:p w14:paraId="0820AE64">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3施工配合服务包括并不限于：</w:t>
      </w:r>
    </w:p>
    <w:p w14:paraId="2AE1F37E">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3.1提供指导施工用的材料样板</w:t>
      </w:r>
    </w:p>
    <w:p w14:paraId="3DCACB50">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3.2施工图完成后进行设计交底和施工图会审</w:t>
      </w:r>
    </w:p>
    <w:p w14:paraId="6CA204A5">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3.3配合施工材料定板</w:t>
      </w:r>
    </w:p>
    <w:p w14:paraId="117179B9">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3.4在甲方要求下至现场视察灯具的安装情形，并就现场的问题向甲方提交视察报告</w:t>
      </w:r>
    </w:p>
    <w:p w14:paraId="301E3112">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3.5向甲方建议对需要做样板段确认工作的区域进行样板段确认工作，现场试灯的所有费用不包含在本合同约定的设计费内，并负责对现场试灯的审核及确认工作。</w:t>
      </w:r>
    </w:p>
    <w:p w14:paraId="13F628E0">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3.6项目现场调试工作的指导</w:t>
      </w:r>
    </w:p>
    <w:p w14:paraId="0607E360">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3.7在项目验收中，协助甲方解决现场与设计不符合之处</w:t>
      </w:r>
    </w:p>
    <w:p w14:paraId="5AA307B9">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3.8出席现场技术协调会议</w:t>
      </w:r>
    </w:p>
    <w:p w14:paraId="3518C3F4">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3.9为保证设计与施工效果相符，在工程施工过程中，根据现场需要到现场进行技术指导工作，包括施工图图纸会审、材料定板、施工过程处理有关设计问题、参加竣工验收等。</w:t>
      </w:r>
    </w:p>
    <w:p w14:paraId="35AA7FF4">
      <w:pPr>
        <w:spacing w:before="0" w:after="0" w:afterAutospacing="0" w:line="460" w:lineRule="exact"/>
        <w:ind w:left="0" w:right="0" w:firstLine="440" w:firstLineChars="200"/>
        <w:rPr>
          <w:rFonts w:ascii="宋体" w:hAnsi="宋体"/>
          <w:color w:val="auto"/>
          <w:sz w:val="22"/>
          <w:szCs w:val="22"/>
          <w:highlight w:val="none"/>
        </w:rPr>
      </w:pPr>
      <w:r>
        <w:rPr>
          <w:rFonts w:hint="eastAsia" w:ascii="宋体" w:hAnsi="宋体"/>
          <w:color w:val="auto"/>
          <w:sz w:val="22"/>
          <w:szCs w:val="22"/>
          <w:highlight w:val="none"/>
        </w:rPr>
        <w:t>4招标施工图必须达到招投标与现场施工的深度，如达不到，则须做出设计修改。</w:t>
      </w:r>
    </w:p>
    <w:p w14:paraId="4E7703AF">
      <w:pPr>
        <w:spacing w:before="0" w:after="0" w:afterAutospacing="0" w:line="460" w:lineRule="exact"/>
        <w:ind w:left="0" w:right="0"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5本合同约定的总设计费包含乙方在本合同范围内到甲方公司进行设计沟通、汇报的服务及差旅费，以及10次现场技术指导的服务及差旅费。超过10次现场技术指导工资的差旅费（住宿及交通费用）由甲方承担，具体费用由双方协商确定。</w:t>
      </w:r>
    </w:p>
    <w:p w14:paraId="59E440E5">
      <w:pPr>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br w:type="page"/>
      </w:r>
    </w:p>
    <w:bookmarkEnd w:id="1436"/>
    <w:bookmarkEnd w:id="1437"/>
    <w:p w14:paraId="2DB5BA6C">
      <w:pPr>
        <w:pStyle w:val="6"/>
        <w:rPr>
          <w:highlight w:val="none"/>
        </w:rPr>
      </w:pPr>
      <w:bookmarkStart w:id="1439" w:name="_Toc2085"/>
      <w:bookmarkStart w:id="1440" w:name="_Toc18701"/>
      <w:bookmarkStart w:id="1441" w:name="_Toc8181"/>
      <w:bookmarkStart w:id="1442" w:name="_Toc17170"/>
      <w:bookmarkStart w:id="1443" w:name="_Toc9928"/>
      <w:r>
        <w:rPr>
          <w:rFonts w:hint="eastAsia"/>
          <w:color w:val="auto"/>
          <w:highlight w:val="none"/>
        </w:rPr>
        <w:t>第七部分  发包人（甲方）要求</w:t>
      </w:r>
      <w:bookmarkEnd w:id="1439"/>
      <w:bookmarkEnd w:id="1440"/>
      <w:bookmarkEnd w:id="1441"/>
      <w:bookmarkEnd w:id="1442"/>
      <w:bookmarkEnd w:id="1443"/>
      <w:r>
        <w:rPr>
          <w:rFonts w:hint="eastAsia"/>
          <w:color w:val="auto"/>
          <w:highlight w:val="none"/>
          <w:lang w:eastAsia="zh-CN"/>
        </w:rPr>
        <w:t>（</w:t>
      </w:r>
      <w:r>
        <w:rPr>
          <w:rFonts w:hint="eastAsia"/>
          <w:color w:val="auto"/>
          <w:highlight w:val="none"/>
          <w:lang w:val="en-US" w:eastAsia="zh-CN"/>
        </w:rPr>
        <w:t>如有</w:t>
      </w:r>
      <w:r>
        <w:rPr>
          <w:rFonts w:hint="eastAsia"/>
          <w:color w:val="auto"/>
          <w:highlight w:val="none"/>
          <w:lang w:eastAsia="zh-CN"/>
        </w:rPr>
        <w:t>）</w:t>
      </w:r>
    </w:p>
    <w:p w14:paraId="00725ACB">
      <w:pPr>
        <w:pStyle w:val="2"/>
        <w:ind w:firstLine="480"/>
        <w:rPr>
          <w:rFonts w:hint="default" w:ascii="宋体" w:hAnsi="宋体"/>
          <w:color w:val="auto"/>
          <w:highlight w:val="none"/>
          <w:lang w:val="en-US"/>
        </w:rPr>
      </w:pPr>
      <w:r>
        <w:rPr>
          <w:rFonts w:hint="eastAsia" w:ascii="宋体" w:hAnsi="宋体"/>
          <w:b/>
          <w:bCs/>
          <w:color w:val="auto"/>
          <w:sz w:val="24"/>
          <w:szCs w:val="24"/>
          <w:highlight w:val="none"/>
          <w:lang w:val="en-US" w:eastAsia="zh-CN"/>
        </w:rPr>
        <w:t>详见合同附件10</w:t>
      </w:r>
    </w:p>
    <w:p w14:paraId="1C8A47CE">
      <w:pPr>
        <w:pStyle w:val="2"/>
        <w:rPr>
          <w:highlight w:val="none"/>
        </w:rPr>
        <w:sectPr>
          <w:pgSz w:w="11906" w:h="16838"/>
          <w:pgMar w:top="1440" w:right="1531" w:bottom="1440" w:left="1531" w:header="851" w:footer="992" w:gutter="0"/>
          <w:cols w:space="425" w:num="1"/>
          <w:docGrid w:type="lines" w:linePitch="312" w:charSpace="0"/>
        </w:sectPr>
      </w:pPr>
    </w:p>
    <w:p w14:paraId="744528E1">
      <w:pPr>
        <w:pStyle w:val="6"/>
        <w:numPr>
          <w:ilvl w:val="0"/>
          <w:numId w:val="7"/>
        </w:numPr>
        <w:rPr>
          <w:rFonts w:hint="eastAsia"/>
          <w:color w:val="auto"/>
          <w:highlight w:val="none"/>
        </w:rPr>
      </w:pPr>
      <w:bookmarkStart w:id="1444" w:name="_Toc24099"/>
      <w:bookmarkStart w:id="1445" w:name="_Toc16020"/>
      <w:bookmarkStart w:id="1446" w:name="_Toc4005"/>
      <w:bookmarkStart w:id="1447" w:name="_Toc15541"/>
      <w:bookmarkStart w:id="1448" w:name="_Toc25643"/>
      <w:r>
        <w:rPr>
          <w:rFonts w:hint="eastAsia"/>
          <w:color w:val="auto"/>
          <w:highlight w:val="none"/>
        </w:rPr>
        <w:t xml:space="preserve"> 技术标准</w:t>
      </w:r>
      <w:bookmarkEnd w:id="1444"/>
      <w:bookmarkEnd w:id="1445"/>
      <w:bookmarkEnd w:id="1446"/>
      <w:bookmarkEnd w:id="1447"/>
      <w:bookmarkEnd w:id="1448"/>
    </w:p>
    <w:p w14:paraId="0E784257">
      <w:pPr>
        <w:numPr>
          <w:ilvl w:val="0"/>
          <w:numId w:val="0"/>
        </w:numPr>
        <w:ind w:firstLine="960" w:firstLineChars="400"/>
        <w:rPr>
          <w:rFonts w:hint="default" w:ascii="宋体" w:hAnsi="宋体" w:eastAsia="Times New Roman" w:cs="Times New Roman"/>
          <w:b/>
          <w:bCs/>
          <w:color w:val="auto"/>
          <w:kern w:val="2"/>
          <w:sz w:val="24"/>
          <w:szCs w:val="24"/>
          <w:highlight w:val="none"/>
          <w:lang w:val="en-US" w:eastAsia="zh-CN" w:bidi="ar-SA"/>
        </w:rPr>
      </w:pPr>
      <w:r>
        <w:rPr>
          <w:rFonts w:hint="eastAsia" w:ascii="宋体" w:hAnsi="宋体" w:eastAsia="Times New Roman" w:cs="Times New Roman"/>
          <w:b/>
          <w:bCs/>
          <w:color w:val="auto"/>
          <w:kern w:val="2"/>
          <w:sz w:val="24"/>
          <w:szCs w:val="24"/>
          <w:highlight w:val="none"/>
          <w:lang w:val="en-US" w:eastAsia="zh-CN" w:bidi="ar-SA"/>
        </w:rPr>
        <w:t>详见合同协议书</w:t>
      </w:r>
    </w:p>
    <w:p w14:paraId="337CADD7">
      <w:pPr>
        <w:pStyle w:val="2"/>
        <w:rPr>
          <w:highlight w:val="none"/>
        </w:rPr>
      </w:pPr>
    </w:p>
    <w:p w14:paraId="3639CE21">
      <w:pPr>
        <w:pStyle w:val="4"/>
        <w:rPr>
          <w:highlight w:val="none"/>
        </w:rPr>
        <w:sectPr>
          <w:pgSz w:w="11906" w:h="16838"/>
          <w:pgMar w:top="1440" w:right="1531" w:bottom="1440" w:left="1531" w:header="851" w:footer="992" w:gutter="0"/>
          <w:cols w:space="425" w:num="1"/>
          <w:docGrid w:type="lines" w:linePitch="312" w:charSpace="0"/>
        </w:sectPr>
      </w:pPr>
    </w:p>
    <w:p w14:paraId="294FBB86">
      <w:pPr>
        <w:pStyle w:val="6"/>
        <w:rPr>
          <w:color w:val="auto"/>
          <w:highlight w:val="none"/>
        </w:rPr>
      </w:pPr>
      <w:bookmarkStart w:id="1449" w:name="_Toc25152"/>
      <w:bookmarkStart w:id="1450" w:name="_Toc30435"/>
      <w:bookmarkStart w:id="1451" w:name="_Toc27992"/>
      <w:bookmarkStart w:id="1452" w:name="_Toc3824"/>
      <w:bookmarkStart w:id="1453" w:name="_Toc9367"/>
      <w:r>
        <w:rPr>
          <w:rFonts w:hint="eastAsia"/>
          <w:color w:val="auto"/>
          <w:highlight w:val="none"/>
        </w:rPr>
        <w:t>第九部分  设计费用清单</w:t>
      </w:r>
      <w:bookmarkEnd w:id="1449"/>
      <w:bookmarkEnd w:id="1450"/>
      <w:bookmarkEnd w:id="1451"/>
      <w:bookmarkEnd w:id="1452"/>
      <w:bookmarkEnd w:id="1453"/>
    </w:p>
    <w:p w14:paraId="41C6CB2E">
      <w:pPr>
        <w:pStyle w:val="6"/>
        <w:spacing w:before="0" w:after="0" w:line="360" w:lineRule="auto"/>
        <w:jc w:val="both"/>
        <w:rPr>
          <w:rFonts w:ascii="Times New Roman" w:hAnsi="Times New Roman" w:eastAsia="黑体"/>
          <w:bCs/>
          <w:color w:val="auto"/>
          <w:sz w:val="32"/>
          <w:szCs w:val="44"/>
          <w:highlight w:val="none"/>
        </w:rPr>
        <w:sectPr>
          <w:pgSz w:w="11906" w:h="16838"/>
          <w:pgMar w:top="1440" w:right="1531" w:bottom="1440" w:left="1531" w:header="851" w:footer="992" w:gutter="0"/>
          <w:cols w:space="425" w:num="1"/>
          <w:docGrid w:type="lines" w:linePitch="312" w:charSpace="0"/>
        </w:sectPr>
      </w:pPr>
    </w:p>
    <w:p w14:paraId="70DA0577">
      <w:pPr>
        <w:pStyle w:val="6"/>
        <w:numPr>
          <w:ilvl w:val="0"/>
          <w:numId w:val="7"/>
        </w:numPr>
        <w:rPr>
          <w:rFonts w:hint="eastAsia"/>
          <w:color w:val="auto"/>
          <w:highlight w:val="none"/>
        </w:rPr>
      </w:pPr>
      <w:bookmarkStart w:id="1454" w:name="_Toc23323"/>
      <w:bookmarkStart w:id="1455" w:name="_Toc14500"/>
      <w:bookmarkStart w:id="1456" w:name="_Toc2107"/>
      <w:bookmarkStart w:id="1457" w:name="_Toc13169"/>
      <w:bookmarkStart w:id="1458" w:name="_Toc26510"/>
      <w:r>
        <w:rPr>
          <w:rFonts w:hint="eastAsia"/>
          <w:color w:val="auto"/>
          <w:highlight w:val="none"/>
        </w:rPr>
        <w:t xml:space="preserve"> 发包人提供的上一阶段图纸（如有）</w:t>
      </w:r>
      <w:bookmarkEnd w:id="1454"/>
      <w:bookmarkEnd w:id="1455"/>
      <w:bookmarkEnd w:id="1456"/>
      <w:bookmarkEnd w:id="1457"/>
      <w:bookmarkEnd w:id="1458"/>
    </w:p>
    <w:p w14:paraId="1274104B">
      <w:pPr>
        <w:numPr>
          <w:ilvl w:val="0"/>
          <w:numId w:val="0"/>
        </w:numPr>
        <w:rPr>
          <w:highlight w:val="none"/>
        </w:rPr>
      </w:pPr>
    </w:p>
    <w:p w14:paraId="4DC79215">
      <w:pPr>
        <w:numPr>
          <w:ilvl w:val="0"/>
          <w:numId w:val="0"/>
        </w:numPr>
        <w:rPr>
          <w:highlight w:val="none"/>
        </w:rPr>
        <w:sectPr>
          <w:pgSz w:w="11906" w:h="16838"/>
          <w:pgMar w:top="1440" w:right="1531" w:bottom="1440" w:left="1531" w:header="851" w:footer="992" w:gutter="0"/>
          <w:cols w:space="425" w:num="1"/>
          <w:docGrid w:type="lines" w:linePitch="312" w:charSpace="0"/>
        </w:sectPr>
      </w:pPr>
    </w:p>
    <w:p w14:paraId="68EAF8CD">
      <w:pPr>
        <w:pStyle w:val="6"/>
        <w:rPr>
          <w:color w:val="auto"/>
          <w:highlight w:val="none"/>
        </w:rPr>
      </w:pPr>
      <w:bookmarkStart w:id="1459" w:name="_Toc29905"/>
      <w:bookmarkStart w:id="1460" w:name="_Toc9550"/>
      <w:r>
        <w:rPr>
          <w:rFonts w:hint="eastAsia"/>
          <w:color w:val="auto"/>
          <w:highlight w:val="none"/>
        </w:rPr>
        <w:t>第十一部分 招标文件及附件（如有）</w:t>
      </w:r>
      <w:bookmarkEnd w:id="1459"/>
      <w:bookmarkEnd w:id="1460"/>
    </w:p>
    <w:p w14:paraId="13719557">
      <w:pPr>
        <w:rPr>
          <w:color w:val="auto"/>
          <w:highlight w:val="none"/>
        </w:rPr>
      </w:pPr>
    </w:p>
    <w:p w14:paraId="3B1596D6">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50BBDBAD">
      <w:pPr>
        <w:ind w:left="0" w:firstLine="0"/>
        <w:rPr>
          <w:color w:val="auto"/>
          <w:highlight w:val="none"/>
        </w:rPr>
      </w:pPr>
      <w:r>
        <w:rPr>
          <w:color w:val="auto"/>
          <w:highlight w:val="none"/>
        </w:rPr>
        <w:br w:type="page"/>
      </w:r>
    </w:p>
    <w:p w14:paraId="7AC4DADE">
      <w:pPr>
        <w:pStyle w:val="6"/>
        <w:rPr>
          <w:color w:val="auto"/>
          <w:highlight w:val="none"/>
        </w:rPr>
      </w:pPr>
      <w:bookmarkStart w:id="1461" w:name="_Toc10781"/>
      <w:bookmarkStart w:id="1462" w:name="_Toc16513"/>
      <w:r>
        <w:rPr>
          <w:rFonts w:hint="eastAsia"/>
          <w:color w:val="auto"/>
          <w:highlight w:val="none"/>
        </w:rPr>
        <w:t>第十二部分 投标文件（如有）</w:t>
      </w:r>
      <w:bookmarkEnd w:id="1461"/>
      <w:bookmarkEnd w:id="1462"/>
    </w:p>
    <w:p w14:paraId="220C60EE">
      <w:pPr>
        <w:rPr>
          <w:color w:val="auto"/>
          <w:highlight w:val="none"/>
        </w:rPr>
      </w:pPr>
    </w:p>
    <w:p w14:paraId="753C16F5">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16D93413">
      <w:pPr>
        <w:rPr>
          <w:color w:val="auto"/>
          <w:highlight w:val="none"/>
        </w:rPr>
        <w:sectPr>
          <w:footerReference r:id="rId13" w:type="default"/>
          <w:pgSz w:w="11850" w:h="16783"/>
          <w:pgMar w:top="1440" w:right="1531" w:bottom="1440" w:left="1531" w:header="851" w:footer="992" w:gutter="0"/>
          <w:cols w:space="425" w:num="1"/>
          <w:docGrid w:type="lines" w:linePitch="312" w:charSpace="0"/>
        </w:sectPr>
      </w:pPr>
    </w:p>
    <w:p w14:paraId="078C4969">
      <w:pPr>
        <w:pStyle w:val="6"/>
        <w:numPr>
          <w:ilvl w:val="0"/>
          <w:numId w:val="8"/>
        </w:numPr>
        <w:rPr>
          <w:rFonts w:hint="eastAsia"/>
          <w:color w:val="auto"/>
          <w:highlight w:val="none"/>
        </w:rPr>
      </w:pPr>
      <w:bookmarkStart w:id="1463" w:name="_Toc31042"/>
      <w:bookmarkStart w:id="1464" w:name="_Toc15157"/>
      <w:bookmarkStart w:id="1465" w:name="_Toc11257"/>
      <w:bookmarkStart w:id="1466" w:name="_Toc19435"/>
      <w:bookmarkStart w:id="1467" w:name="_Toc10994"/>
      <w:r>
        <w:rPr>
          <w:rFonts w:hint="eastAsia"/>
          <w:color w:val="auto"/>
          <w:highlight w:val="none"/>
        </w:rPr>
        <w:t>其他合同</w:t>
      </w:r>
      <w:bookmarkEnd w:id="1463"/>
      <w:bookmarkEnd w:id="1464"/>
      <w:bookmarkEnd w:id="1465"/>
      <w:bookmarkEnd w:id="1466"/>
      <w:bookmarkEnd w:id="1467"/>
    </w:p>
    <w:p w14:paraId="3D93319E">
      <w:pPr>
        <w:numPr>
          <w:ilvl w:val="0"/>
          <w:numId w:val="0"/>
        </w:numPr>
        <w:rPr>
          <w:highlight w:val="none"/>
        </w:rPr>
      </w:pPr>
    </w:p>
    <w:p w14:paraId="1BACDF92">
      <w:pPr>
        <w:numPr>
          <w:ilvl w:val="0"/>
          <w:numId w:val="0"/>
        </w:numPr>
        <w:rPr>
          <w:highlight w:val="none"/>
        </w:rPr>
      </w:pPr>
    </w:p>
    <w:p w14:paraId="113D4460">
      <w:pPr>
        <w:numPr>
          <w:ilvl w:val="0"/>
          <w:numId w:val="0"/>
        </w:numPr>
        <w:rPr>
          <w:highlight w:val="none"/>
        </w:rPr>
        <w:sectPr>
          <w:pgSz w:w="11906" w:h="16838"/>
          <w:pgMar w:top="1440" w:right="1800" w:bottom="1440" w:left="1800" w:header="851" w:footer="992" w:gutter="0"/>
          <w:cols w:space="425" w:num="1"/>
          <w:docGrid w:type="lines" w:linePitch="312" w:charSpace="0"/>
        </w:sectPr>
      </w:pPr>
    </w:p>
    <w:p w14:paraId="31C4396D">
      <w:pPr>
        <w:pStyle w:val="6"/>
        <w:pageBreakBefore/>
        <w:ind w:right="-57" w:firstLine="0"/>
        <w:jc w:val="center"/>
        <w:rPr>
          <w:rStyle w:val="54"/>
          <w:rFonts w:ascii="宋体" w:hAnsi="宋体" w:eastAsia="宋体"/>
          <w:b w:val="0"/>
          <w:color w:val="auto"/>
          <w:highlight w:val="none"/>
        </w:rPr>
      </w:pPr>
      <w:bookmarkStart w:id="1468" w:name="_Toc13167"/>
      <w:bookmarkStart w:id="1469" w:name="_Toc6151"/>
      <w:bookmarkStart w:id="1470" w:name="_Toc30920"/>
      <w:bookmarkStart w:id="1471" w:name="_Toc25306"/>
      <w:bookmarkStart w:id="1472" w:name="_Toc17261"/>
      <w:bookmarkStart w:id="1473" w:name="_Toc32011"/>
      <w:bookmarkStart w:id="1474" w:name="_Toc4374"/>
      <w:bookmarkStart w:id="1475" w:name="_Toc27263"/>
      <w:bookmarkStart w:id="1476" w:name="_Toc21689"/>
      <w:bookmarkStart w:id="1477" w:name="_Toc29546"/>
      <w:bookmarkStart w:id="1478" w:name="_Toc26465"/>
      <w:bookmarkStart w:id="1479" w:name="_Toc11320"/>
      <w:bookmarkStart w:id="1480" w:name="_Toc28285"/>
      <w:bookmarkStart w:id="1481" w:name="_Toc28677"/>
      <w:bookmarkStart w:id="1482" w:name="_Toc31574"/>
      <w:bookmarkStart w:id="1483" w:name="_Toc17396"/>
      <w:bookmarkStart w:id="1484" w:name="_Toc14790"/>
      <w:bookmarkStart w:id="1485" w:name="_Toc31873"/>
      <w:r>
        <w:rPr>
          <w:rStyle w:val="54"/>
          <w:rFonts w:hint="eastAsia" w:ascii="宋体" w:hAnsi="宋体" w:eastAsia="宋体"/>
          <w:b w:val="0"/>
          <w:color w:val="auto"/>
          <w:highlight w:val="none"/>
        </w:rPr>
        <w:t>第四章比选申请文件格式</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34DB4109">
      <w:pPr>
        <w:pStyle w:val="6"/>
        <w:spacing w:after="100"/>
        <w:ind w:right="-57" w:firstLine="0"/>
        <w:jc w:val="center"/>
        <w:rPr>
          <w:rFonts w:ascii="宋体" w:hAnsi="宋体" w:cs="宋体"/>
          <w:color w:val="auto"/>
          <w:sz w:val="24"/>
          <w:szCs w:val="24"/>
          <w:highlight w:val="none"/>
        </w:rPr>
      </w:pPr>
      <w:bookmarkStart w:id="1486" w:name="_Toc26189"/>
      <w:bookmarkStart w:id="1487" w:name="_Toc114134662"/>
      <w:bookmarkStart w:id="1488" w:name="_Toc22678"/>
      <w:bookmarkStart w:id="1489" w:name="_Toc31535"/>
      <w:bookmarkStart w:id="1490" w:name="_Toc4027"/>
      <w:bookmarkStart w:id="1491" w:name="_Toc30705"/>
      <w:bookmarkStart w:id="1492" w:name="_Toc24453"/>
      <w:bookmarkStart w:id="1493" w:name="_Toc361"/>
      <w:bookmarkStart w:id="1494" w:name="_Toc492478802"/>
      <w:bookmarkStart w:id="1495" w:name="_Toc32185"/>
      <w:bookmarkStart w:id="1496" w:name="_Toc12983549"/>
      <w:bookmarkStart w:id="1497" w:name="_Toc23261"/>
      <w:bookmarkStart w:id="1498" w:name="_Toc24824"/>
      <w:bookmarkStart w:id="1499" w:name="_Toc31624"/>
      <w:bookmarkStart w:id="1500" w:name="_Toc414290520"/>
      <w:bookmarkStart w:id="1501" w:name="_Toc22709"/>
      <w:bookmarkStart w:id="1502" w:name="_Toc12984805"/>
      <w:bookmarkStart w:id="1503" w:name="_Toc21274"/>
      <w:bookmarkStart w:id="1504" w:name="_Toc6941"/>
      <w:bookmarkStart w:id="1505" w:name="_Toc25325"/>
      <w:bookmarkStart w:id="1506" w:name="_Toc19412"/>
      <w:bookmarkStart w:id="1507" w:name="_Toc3396"/>
      <w:bookmarkStart w:id="1508" w:name="_Toc16671"/>
      <w:bookmarkStart w:id="1509" w:name="_Toc4873"/>
      <w:r>
        <w:rPr>
          <w:rFonts w:hint="eastAsia" w:ascii="宋体" w:hAnsi="宋体" w:cs="宋体"/>
          <w:color w:val="auto"/>
          <w:sz w:val="24"/>
          <w:szCs w:val="24"/>
          <w:highlight w:val="none"/>
        </w:rPr>
        <w:t>A资格审查文件</w:t>
      </w:r>
      <w:bookmarkEnd w:id="1486"/>
      <w:bookmarkEnd w:id="1487"/>
      <w:bookmarkEnd w:id="1488"/>
    </w:p>
    <w:p w14:paraId="4E6B4ACD">
      <w:pPr>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资格审查文件格式</w:t>
      </w:r>
    </w:p>
    <w:p w14:paraId="362FCFAA">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（1）法定代表人授权书（格式见A1）及法定代表人资格证明书（如无授权时，只需提供法定代表人资格证明书，格式见A2），法定代表人及被授权人身份证复印件</w:t>
      </w:r>
      <w:r>
        <w:rPr>
          <w:rFonts w:hint="eastAsia" w:ascii="宋体" w:hAnsi="宋体" w:cs="宋体"/>
          <w:color w:val="auto"/>
          <w:highlight w:val="none"/>
          <w:lang w:val="en-US" w:eastAsia="zh-CN"/>
        </w:rPr>
        <w:t>加盖公章</w:t>
      </w:r>
      <w:r>
        <w:rPr>
          <w:rFonts w:hint="eastAsia" w:ascii="宋体" w:hAnsi="宋体" w:cs="宋体"/>
          <w:color w:val="auto"/>
          <w:highlight w:val="none"/>
        </w:rPr>
        <w:t>；</w:t>
      </w:r>
    </w:p>
    <w:p w14:paraId="197151D0">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（2）比选申请人有效的营业执照复印件</w:t>
      </w:r>
      <w:r>
        <w:rPr>
          <w:rFonts w:hint="eastAsia" w:ascii="宋体" w:hAnsi="宋体" w:cs="宋体"/>
          <w:color w:val="auto"/>
          <w:highlight w:val="none"/>
          <w:lang w:val="en-US" w:eastAsia="zh-CN"/>
        </w:rPr>
        <w:t>加盖公章</w:t>
      </w:r>
      <w:r>
        <w:rPr>
          <w:rFonts w:hint="eastAsia" w:ascii="宋体" w:hAnsi="宋体" w:cs="宋体"/>
          <w:color w:val="auto"/>
          <w:highlight w:val="none"/>
        </w:rPr>
        <w:t>（格式见A3）；</w:t>
      </w:r>
    </w:p>
    <w:p w14:paraId="2CCAB321">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（3）比选申请人拟派的</w:t>
      </w:r>
      <w:r>
        <w:rPr>
          <w:rFonts w:hint="eastAsia" w:ascii="宋体" w:hAnsi="宋体" w:cs="宋体"/>
          <w:color w:val="auto"/>
          <w:highlight w:val="none"/>
          <w:lang w:val="en-US" w:eastAsia="zh-CN"/>
        </w:rPr>
        <w:t>团队中主要设计人员</w:t>
      </w:r>
      <w:r>
        <w:rPr>
          <w:rFonts w:hint="eastAsia" w:ascii="宋体" w:hAnsi="宋体" w:cs="宋体"/>
          <w:color w:val="auto"/>
          <w:highlight w:val="none"/>
        </w:rPr>
        <w:t>的职称证书、</w:t>
      </w:r>
      <w:r>
        <w:rPr>
          <w:rFonts w:hint="eastAsia" w:ascii="宋体" w:hAnsi="宋体" w:cs="宋体"/>
          <w:color w:val="auto"/>
          <w:highlight w:val="none"/>
          <w:lang w:val="en-US" w:eastAsia="zh-CN"/>
        </w:rPr>
        <w:t>业绩</w:t>
      </w:r>
      <w:r>
        <w:rPr>
          <w:rFonts w:hint="eastAsia" w:ascii="宋体" w:hAnsi="宋体" w:cs="宋体"/>
          <w:color w:val="auto"/>
          <w:highlight w:val="none"/>
        </w:rPr>
        <w:t>文件复印件</w:t>
      </w:r>
      <w:r>
        <w:rPr>
          <w:rFonts w:hint="eastAsia" w:ascii="宋体" w:hAnsi="宋体" w:cs="宋体"/>
          <w:color w:val="auto"/>
          <w:highlight w:val="none"/>
          <w:lang w:val="en-US" w:eastAsia="zh-CN"/>
        </w:rPr>
        <w:t>加盖公章</w:t>
      </w:r>
      <w:r>
        <w:rPr>
          <w:rFonts w:hint="eastAsia" w:ascii="宋体" w:hAnsi="宋体" w:cs="宋体"/>
          <w:color w:val="auto"/>
          <w:highlight w:val="none"/>
        </w:rPr>
        <w:t>（格式见A4）；</w:t>
      </w:r>
    </w:p>
    <w:p w14:paraId="5D9329AE">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（4）承诺书（格式见A5）；</w:t>
      </w:r>
    </w:p>
    <w:p w14:paraId="5E1F934E">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（5）类似项目业绩表（A6）；</w:t>
      </w:r>
    </w:p>
    <w:p w14:paraId="39E8D3BC">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（6）比选申请人认为应提交的其他比选申请资料（如有）。</w:t>
      </w:r>
    </w:p>
    <w:p w14:paraId="335D320B">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注：以上提供的复印件必须加盖比选申请人公章。</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E08FD4">
      <w:pPr>
        <w:spacing w:before="0" w:after="0" w:afterAutospacing="0"/>
        <w:ind w:left="0" w:right="0" w:firstLine="420" w:firstLineChars="200"/>
        <w:rPr>
          <w:rFonts w:hAnsi="宋体"/>
          <w:color w:val="auto"/>
          <w:highlight w:val="none"/>
        </w:rPr>
        <w:sectPr>
          <w:footerReference r:id="rId14" w:type="default"/>
          <w:pgSz w:w="11905" w:h="16838"/>
          <w:pgMar w:top="1417" w:right="1417" w:bottom="1417" w:left="1417" w:header="454" w:footer="567" w:gutter="0"/>
          <w:cols w:space="720" w:num="1"/>
          <w:docGrid w:linePitch="312" w:charSpace="0"/>
        </w:sectPr>
      </w:pPr>
    </w:p>
    <w:p w14:paraId="08A5D04B">
      <w:pPr>
        <w:numPr>
          <w:ilvl w:val="1"/>
          <w:numId w:val="9"/>
        </w:numPr>
        <w:snapToGrid w:val="0"/>
        <w:spacing w:before="0" w:line="240" w:lineRule="auto"/>
        <w:ind w:right="0" w:firstLine="0"/>
        <w:jc w:val="left"/>
        <w:outlineLvl w:val="0"/>
        <w:rPr>
          <w:rFonts w:ascii="宋体" w:hAnsi="宋体"/>
          <w:b/>
          <w:color w:val="auto"/>
          <w:highlight w:val="none"/>
        </w:rPr>
      </w:pPr>
      <w:bookmarkStart w:id="1510" w:name="_Toc20283"/>
      <w:bookmarkStart w:id="1511" w:name="_Toc25750675"/>
      <w:bookmarkStart w:id="1512" w:name="_Toc10238"/>
      <w:bookmarkStart w:id="1513" w:name="_Toc10433"/>
      <w:bookmarkStart w:id="1514" w:name="_Toc20029"/>
      <w:bookmarkStart w:id="1515" w:name="_Toc7057"/>
      <w:bookmarkStart w:id="1516" w:name="_Toc13389"/>
      <w:bookmarkStart w:id="1517" w:name="_Toc15696"/>
      <w:bookmarkStart w:id="1518" w:name="_Toc32455"/>
      <w:bookmarkStart w:id="1519" w:name="_Toc492478804"/>
      <w:bookmarkStart w:id="1520" w:name="_Toc22533"/>
      <w:bookmarkStart w:id="1521" w:name="_Toc20671"/>
      <w:bookmarkStart w:id="1522" w:name="_Toc16089"/>
      <w:bookmarkStart w:id="1523" w:name="_Toc10789"/>
      <w:bookmarkStart w:id="1524" w:name="_Toc8868"/>
      <w:bookmarkStart w:id="1525" w:name="_Toc4125"/>
      <w:bookmarkStart w:id="1526" w:name="_Toc414290522"/>
      <w:bookmarkStart w:id="1527" w:name="_Toc114134663"/>
      <w:bookmarkStart w:id="1528" w:name="_Toc29312"/>
      <w:bookmarkStart w:id="1529" w:name="_Toc18243"/>
      <w:bookmarkStart w:id="1530" w:name="_Toc9658"/>
      <w:bookmarkStart w:id="1531" w:name="_Toc3499"/>
      <w:bookmarkStart w:id="1532" w:name="_Toc375564351"/>
      <w:bookmarkStart w:id="1533" w:name="_Toc24436"/>
      <w:bookmarkStart w:id="1534" w:name="_Toc12984807"/>
      <w:bookmarkStart w:id="1535" w:name="_Toc956"/>
      <w:r>
        <w:rPr>
          <w:rFonts w:ascii="宋体" w:hAnsi="宋体"/>
          <w:b/>
          <w:color w:val="auto"/>
          <w:highlight w:val="none"/>
        </w:rPr>
        <w:t>法定代表人授权书格式</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9CF7539">
      <w:pPr>
        <w:spacing w:before="240" w:after="240"/>
        <w:ind w:right="0" w:firstLine="0"/>
        <w:jc w:val="center"/>
        <w:rPr>
          <w:rFonts w:ascii="宋体" w:hAnsi="宋体"/>
          <w:b/>
          <w:color w:val="auto"/>
          <w:sz w:val="32"/>
          <w:szCs w:val="32"/>
          <w:highlight w:val="none"/>
        </w:rPr>
      </w:pPr>
    </w:p>
    <w:p w14:paraId="7BF27E43">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453C45CA">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0A1D0E2A">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2F2A9201">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本授权书于年月日签字生效，特此声明。</w:t>
      </w:r>
    </w:p>
    <w:p w14:paraId="51D66228">
      <w:pPr>
        <w:tabs>
          <w:tab w:val="left" w:pos="8364"/>
        </w:tabs>
        <w:snapToGrid w:val="0"/>
        <w:ind w:right="0" w:firstLine="200"/>
        <w:rPr>
          <w:rFonts w:ascii="宋体" w:hAnsi="宋体"/>
          <w:color w:val="auto"/>
          <w:highlight w:val="none"/>
        </w:rPr>
      </w:pPr>
    </w:p>
    <w:p w14:paraId="0CC9C5B5">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42F16A0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607A34B">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F505C7D">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21FDED29">
      <w:pPr>
        <w:tabs>
          <w:tab w:val="left" w:pos="8364"/>
        </w:tabs>
        <w:snapToGrid w:val="0"/>
        <w:ind w:right="0" w:firstLine="200"/>
        <w:rPr>
          <w:rFonts w:ascii="宋体" w:hAnsi="宋体"/>
          <w:color w:val="auto"/>
          <w:highlight w:val="none"/>
        </w:rPr>
      </w:pPr>
    </w:p>
    <w:p w14:paraId="1DDE987F">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7C726F7E">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306AD965">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6D0FA22">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69B41BCD">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464483CF">
      <w:pPr>
        <w:tabs>
          <w:tab w:val="left" w:pos="8364"/>
        </w:tabs>
        <w:snapToGrid w:val="0"/>
        <w:ind w:right="0" w:firstLine="200"/>
        <w:rPr>
          <w:rFonts w:ascii="宋体" w:hAnsi="宋体"/>
          <w:color w:val="auto"/>
          <w:highlight w:val="none"/>
          <w:u w:val="single"/>
        </w:rPr>
      </w:pPr>
    </w:p>
    <w:p w14:paraId="1DFCF691">
      <w:pPr>
        <w:numPr>
          <w:ilvl w:val="1"/>
          <w:numId w:val="9"/>
        </w:numPr>
        <w:snapToGrid w:val="0"/>
        <w:spacing w:before="0" w:line="240" w:lineRule="auto"/>
        <w:ind w:right="0" w:firstLine="0"/>
        <w:jc w:val="left"/>
        <w:outlineLvl w:val="0"/>
        <w:rPr>
          <w:rFonts w:ascii="宋体" w:hAnsi="宋体"/>
          <w:b/>
          <w:color w:val="auto"/>
          <w:highlight w:val="none"/>
        </w:rPr>
      </w:pPr>
      <w:bookmarkStart w:id="1536" w:name="_Toc20436"/>
      <w:bookmarkStart w:id="1537" w:name="_Toc15572"/>
      <w:bookmarkStart w:id="1538" w:name="_Toc7273"/>
      <w:bookmarkStart w:id="1539" w:name="_Toc375564352"/>
      <w:bookmarkStart w:id="1540" w:name="_Toc27657"/>
      <w:bookmarkStart w:id="1541" w:name="_Toc19744"/>
      <w:bookmarkStart w:id="1542" w:name="_Toc114134664"/>
      <w:bookmarkStart w:id="1543" w:name="_Toc9757"/>
      <w:bookmarkStart w:id="1544" w:name="_Toc492478805"/>
      <w:bookmarkStart w:id="1545" w:name="_Toc31808"/>
      <w:bookmarkStart w:id="1546" w:name="_Toc13606"/>
      <w:bookmarkStart w:id="1547" w:name="_Toc13634"/>
      <w:bookmarkStart w:id="1548" w:name="_Toc414290523"/>
      <w:bookmarkStart w:id="1549" w:name="_Toc12984808"/>
      <w:bookmarkStart w:id="1550" w:name="_Toc24322"/>
      <w:bookmarkStart w:id="1551" w:name="_Toc8405"/>
      <w:bookmarkStart w:id="1552" w:name="_Toc17964"/>
      <w:bookmarkStart w:id="1553" w:name="_Toc25750676"/>
      <w:bookmarkStart w:id="1554" w:name="_Toc26713"/>
      <w:bookmarkStart w:id="1555" w:name="_Toc15980"/>
      <w:bookmarkStart w:id="1556" w:name="_Toc9583"/>
      <w:bookmarkStart w:id="1557" w:name="_Toc3938"/>
      <w:bookmarkStart w:id="1558" w:name="_Toc8654"/>
      <w:bookmarkStart w:id="1559" w:name="_Toc13798"/>
      <w:bookmarkStart w:id="1560" w:name="_Toc27722"/>
      <w:bookmarkStart w:id="1561" w:name="_Toc7753"/>
      <w:r>
        <w:rPr>
          <w:rFonts w:ascii="宋体" w:hAnsi="宋体"/>
          <w:b/>
          <w:color w:val="auto"/>
          <w:highlight w:val="none"/>
        </w:rPr>
        <w:t>法定代表人资格证明书格式</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92AD131">
      <w:pPr>
        <w:ind w:right="0" w:firstLine="200"/>
        <w:rPr>
          <w:rFonts w:ascii="宋体" w:hAnsi="宋体"/>
          <w:color w:val="auto"/>
          <w:highlight w:val="none"/>
        </w:rPr>
      </w:pPr>
    </w:p>
    <w:p w14:paraId="0E9CF45E">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27F80317">
      <w:pPr>
        <w:ind w:right="0" w:firstLine="200"/>
        <w:rPr>
          <w:rFonts w:ascii="宋体" w:hAnsi="宋体"/>
          <w:color w:val="auto"/>
          <w:highlight w:val="none"/>
          <w:u w:val="single"/>
        </w:rPr>
      </w:pPr>
      <w:r>
        <w:rPr>
          <w:rFonts w:ascii="宋体" w:hAnsi="宋体"/>
          <w:color w:val="auto"/>
          <w:highlight w:val="none"/>
        </w:rPr>
        <w:t>单位名称：</w:t>
      </w:r>
    </w:p>
    <w:p w14:paraId="30E5AF47">
      <w:pPr>
        <w:ind w:right="0" w:firstLine="200"/>
        <w:rPr>
          <w:rFonts w:ascii="宋体" w:hAnsi="宋体"/>
          <w:color w:val="auto"/>
          <w:highlight w:val="none"/>
          <w:u w:val="single"/>
        </w:rPr>
      </w:pPr>
      <w:r>
        <w:rPr>
          <w:rFonts w:ascii="宋体" w:hAnsi="宋体"/>
          <w:color w:val="auto"/>
          <w:highlight w:val="none"/>
        </w:rPr>
        <w:t>地址：</w:t>
      </w:r>
    </w:p>
    <w:p w14:paraId="4E3B369F">
      <w:pPr>
        <w:ind w:right="0" w:firstLine="200"/>
        <w:rPr>
          <w:rFonts w:ascii="宋体" w:hAnsi="宋体"/>
          <w:color w:val="auto"/>
          <w:highlight w:val="none"/>
          <w:u w:val="single"/>
        </w:rPr>
      </w:pPr>
      <w:r>
        <w:rPr>
          <w:rFonts w:ascii="宋体" w:hAnsi="宋体"/>
          <w:color w:val="auto"/>
          <w:highlight w:val="none"/>
        </w:rPr>
        <w:t>姓名：性别：年龄：职务：</w:t>
      </w:r>
    </w:p>
    <w:p w14:paraId="0ECAAA2A">
      <w:pPr>
        <w:ind w:right="0" w:firstLine="200"/>
        <w:rPr>
          <w:rFonts w:ascii="宋体" w:hAnsi="宋体"/>
          <w:color w:val="auto"/>
          <w:highlight w:val="none"/>
        </w:rPr>
      </w:pPr>
      <w:r>
        <w:rPr>
          <w:rFonts w:ascii="宋体" w:hAnsi="宋体"/>
          <w:color w:val="auto"/>
          <w:highlight w:val="none"/>
        </w:rPr>
        <w:t>系的法定代表人。</w:t>
      </w:r>
    </w:p>
    <w:p w14:paraId="57E1D306">
      <w:pPr>
        <w:ind w:right="0" w:firstLine="200"/>
        <w:rPr>
          <w:rFonts w:ascii="宋体" w:hAnsi="宋体"/>
          <w:color w:val="auto"/>
          <w:highlight w:val="none"/>
        </w:rPr>
      </w:pPr>
      <w:r>
        <w:rPr>
          <w:rFonts w:ascii="宋体" w:hAnsi="宋体"/>
          <w:color w:val="auto"/>
          <w:highlight w:val="none"/>
        </w:rPr>
        <w:t>特此证明。</w:t>
      </w:r>
    </w:p>
    <w:p w14:paraId="46E1598C">
      <w:pPr>
        <w:ind w:right="0" w:firstLine="200"/>
        <w:rPr>
          <w:rFonts w:ascii="宋体" w:hAnsi="宋体"/>
          <w:color w:val="auto"/>
          <w:highlight w:val="none"/>
        </w:rPr>
      </w:pPr>
    </w:p>
    <w:p w14:paraId="5565277E">
      <w:pPr>
        <w:ind w:right="0" w:firstLine="200"/>
        <w:rPr>
          <w:rFonts w:ascii="宋体" w:hAnsi="宋体"/>
          <w:color w:val="auto"/>
          <w:highlight w:val="none"/>
          <w:u w:val="single"/>
        </w:rPr>
      </w:pPr>
      <w:r>
        <w:rPr>
          <w:rFonts w:ascii="宋体" w:hAnsi="宋体"/>
          <w:color w:val="auto"/>
          <w:highlight w:val="none"/>
        </w:rPr>
        <w:t>比选申请人：（盖章）</w:t>
      </w:r>
    </w:p>
    <w:p w14:paraId="2096531D">
      <w:pPr>
        <w:ind w:right="0" w:firstLine="200"/>
        <w:rPr>
          <w:rFonts w:ascii="宋体" w:hAnsi="宋体"/>
          <w:color w:val="auto"/>
          <w:highlight w:val="none"/>
        </w:rPr>
      </w:pPr>
      <w:r>
        <w:rPr>
          <w:rFonts w:ascii="宋体" w:hAnsi="宋体"/>
          <w:color w:val="auto"/>
          <w:highlight w:val="none"/>
        </w:rPr>
        <w:t>日期：年月日</w:t>
      </w:r>
    </w:p>
    <w:p w14:paraId="546FAE1B">
      <w:pPr>
        <w:ind w:left="808" w:leftChars="385" w:firstLine="133" w:firstLineChars="63"/>
        <w:rPr>
          <w:rFonts w:ascii="宋体" w:hAnsi="宋体"/>
          <w:b/>
          <w:color w:val="auto"/>
          <w:highlight w:val="none"/>
        </w:rPr>
      </w:pPr>
      <w:bookmarkStart w:id="1562" w:name="_Toc12984809"/>
      <w:r>
        <w:rPr>
          <w:rFonts w:hint="eastAsia" w:ascii="宋体" w:hAnsi="宋体"/>
          <w:b/>
          <w:color w:val="auto"/>
          <w:highlight w:val="none"/>
        </w:rPr>
        <w:t>附</w:t>
      </w:r>
      <w:r>
        <w:rPr>
          <w:rFonts w:ascii="宋体" w:hAnsi="宋体"/>
          <w:b/>
          <w:color w:val="auto"/>
          <w:highlight w:val="none"/>
        </w:rPr>
        <w:t>:</w:t>
      </w:r>
      <w:r>
        <w:rPr>
          <w:rFonts w:hint="eastAsia" w:ascii="宋体" w:hAnsi="宋体"/>
          <w:b/>
          <w:color w:val="auto"/>
          <w:highlight w:val="none"/>
        </w:rPr>
        <w:t>法定代表人身份证复印件</w:t>
      </w:r>
    </w:p>
    <w:p w14:paraId="3CD61F54">
      <w:pPr>
        <w:numPr>
          <w:ilvl w:val="1"/>
          <w:numId w:val="9"/>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cols w:space="720" w:num="1"/>
          <w:docGrid w:linePitch="312" w:charSpace="0"/>
        </w:sectPr>
      </w:pPr>
      <w:bookmarkStart w:id="1563" w:name="_Toc31448"/>
      <w:bookmarkStart w:id="1564" w:name="_Toc4894"/>
      <w:bookmarkStart w:id="1565" w:name="_Toc17745"/>
      <w:bookmarkStart w:id="1566" w:name="_Toc375564353"/>
      <w:bookmarkStart w:id="1567" w:name="_Toc15609"/>
      <w:bookmarkStart w:id="1568" w:name="_Toc114134665"/>
      <w:bookmarkStart w:id="1569" w:name="_Toc1932"/>
      <w:bookmarkStart w:id="1570" w:name="_Toc32062"/>
      <w:bookmarkStart w:id="1571" w:name="_Toc26907"/>
      <w:bookmarkStart w:id="1572" w:name="_Toc3426"/>
      <w:bookmarkStart w:id="1573" w:name="_Toc7712"/>
      <w:bookmarkStart w:id="1574" w:name="_Toc29246"/>
      <w:bookmarkStart w:id="1575" w:name="_Toc26097"/>
      <w:bookmarkStart w:id="1576" w:name="_Toc3504"/>
      <w:bookmarkStart w:id="1577" w:name="_Toc15394"/>
      <w:bookmarkStart w:id="1578" w:name="_Toc492478806"/>
      <w:bookmarkStart w:id="1579" w:name="_Toc11425"/>
      <w:bookmarkStart w:id="1580" w:name="_Toc6033"/>
      <w:bookmarkStart w:id="1581" w:name="_Toc21307"/>
      <w:bookmarkStart w:id="1582" w:name="_Toc16467"/>
      <w:bookmarkStart w:id="1583" w:name="_Toc5002"/>
      <w:bookmarkStart w:id="1584" w:name="_Toc19721"/>
      <w:bookmarkStart w:id="1585" w:name="_Toc24848"/>
      <w:bookmarkStart w:id="1586" w:name="_Toc414290524"/>
      <w:bookmarkStart w:id="1587" w:name="_Toc25750677"/>
    </w:p>
    <w:p w14:paraId="6F28557A">
      <w:pPr>
        <w:numPr>
          <w:ilvl w:val="1"/>
          <w:numId w:val="9"/>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比选申请人有效的营业执照复印件加盖公章</w:t>
      </w:r>
    </w:p>
    <w:p w14:paraId="78D35CF6">
      <w:pPr>
        <w:pageBreakBefore w:val="0"/>
        <w:numPr>
          <w:ilvl w:val="1"/>
          <w:numId w:val="9"/>
        </w:numPr>
        <w:snapToGrid w:val="0"/>
        <w:ind w:right="0" w:firstLine="0"/>
        <w:jc w:val="left"/>
        <w:outlineLvl w:val="0"/>
        <w:rPr>
          <w:rFonts w:ascii="宋体" w:hAnsi="宋体"/>
          <w:b/>
          <w:color w:val="auto"/>
          <w:highlight w:val="none"/>
        </w:rPr>
        <w:sectPr>
          <w:headerReference r:id="rId16" w:type="first"/>
          <w:headerReference r:id="rId15" w:type="default"/>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比选申请人拟派的</w:t>
      </w:r>
      <w:r>
        <w:rPr>
          <w:rFonts w:hint="eastAsia" w:ascii="宋体" w:hAnsi="宋体"/>
          <w:b/>
          <w:color w:val="auto"/>
          <w:highlight w:val="none"/>
          <w:lang w:val="en-US" w:eastAsia="zh-CN"/>
        </w:rPr>
        <w:t>团队设计人员</w:t>
      </w:r>
      <w:r>
        <w:rPr>
          <w:rFonts w:hint="eastAsia" w:ascii="宋体" w:hAnsi="宋体"/>
          <w:b/>
          <w:color w:val="auto"/>
          <w:highlight w:val="none"/>
        </w:rPr>
        <w:t>的职称证书</w:t>
      </w:r>
      <w:r>
        <w:rPr>
          <w:rFonts w:hint="eastAsia" w:ascii="宋体" w:hAnsi="宋体"/>
          <w:b/>
          <w:color w:val="auto"/>
          <w:highlight w:val="none"/>
          <w:lang w:eastAsia="zh-CN"/>
        </w:rPr>
        <w:t>、</w:t>
      </w:r>
      <w:r>
        <w:rPr>
          <w:rFonts w:hint="eastAsia" w:ascii="宋体" w:hAnsi="宋体"/>
          <w:b/>
          <w:color w:val="auto"/>
          <w:highlight w:val="none"/>
          <w:lang w:val="en-US" w:eastAsia="zh-CN"/>
        </w:rPr>
        <w:t>业绩</w:t>
      </w:r>
      <w:r>
        <w:rPr>
          <w:rFonts w:hint="eastAsia" w:ascii="宋体" w:hAnsi="宋体"/>
          <w:b/>
          <w:color w:val="auto"/>
          <w:highlight w:val="none"/>
        </w:rPr>
        <w:t>复印件（加盖公章）</w:t>
      </w:r>
    </w:p>
    <w:p w14:paraId="5105175A">
      <w:pPr>
        <w:pageBreakBefore w:val="0"/>
        <w:numPr>
          <w:ilvl w:val="1"/>
          <w:numId w:val="9"/>
        </w:numPr>
        <w:snapToGrid w:val="0"/>
        <w:ind w:right="0" w:firstLine="0"/>
        <w:jc w:val="left"/>
        <w:outlineLvl w:val="0"/>
        <w:rPr>
          <w:rFonts w:ascii="宋体" w:hAnsi="宋体"/>
          <w:b/>
          <w:color w:val="auto"/>
          <w:highlight w:val="none"/>
        </w:rPr>
      </w:pPr>
      <w:r>
        <w:rPr>
          <w:rFonts w:ascii="宋体" w:hAnsi="宋体"/>
          <w:b/>
          <w:color w:val="auto"/>
          <w:highlight w:val="none"/>
        </w:rPr>
        <w:t>承诺书格式</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4EB0D919">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6F64C30D">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南宁轨道地产集团有限责任公司</w:t>
      </w:r>
    </w:p>
    <w:p w14:paraId="6C8DC580">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2FF34E42">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2984C6F1">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5F7DF059">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0B981C5D">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2C46FD7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02100F1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D0F5976">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6C157D46">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6C9685E7">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3F519E35">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16B4654B">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6DB306E">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62A006D0">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6A0C18B1">
      <w:pPr>
        <w:spacing w:before="0" w:after="0" w:afterAutospacing="0" w:line="480" w:lineRule="auto"/>
        <w:ind w:left="0" w:right="0" w:firstLine="200"/>
        <w:rPr>
          <w:color w:val="auto"/>
          <w:highlight w:val="none"/>
        </w:rPr>
      </w:pPr>
      <w:r>
        <w:rPr>
          <w:rFonts w:ascii="宋体" w:hAnsi="宋体"/>
          <w:color w:val="auto"/>
          <w:highlight w:val="none"/>
        </w:rPr>
        <w:t>日期：</w:t>
      </w:r>
      <w:r>
        <w:rPr>
          <w:rFonts w:hint="eastAsia" w:ascii="宋体" w:hAnsi="宋体"/>
          <w:color w:val="auto"/>
          <w:highlight w:val="none"/>
          <w:lang w:val="en-US" w:eastAsia="zh-CN"/>
        </w:rPr>
        <w:t xml:space="preserve">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w:t>
      </w:r>
    </w:p>
    <w:p w14:paraId="59657FB1">
      <w:pPr>
        <w:pageBreakBefore/>
        <w:snapToGrid w:val="0"/>
        <w:ind w:right="0" w:firstLine="0"/>
        <w:jc w:val="left"/>
        <w:outlineLvl w:val="0"/>
        <w:rPr>
          <w:rFonts w:ascii="宋体" w:hAnsi="宋体"/>
          <w:b/>
          <w:color w:val="auto"/>
          <w:highlight w:val="none"/>
        </w:rPr>
      </w:pPr>
      <w:bookmarkStart w:id="1588" w:name="_Toc25750678"/>
      <w:bookmarkStart w:id="1589" w:name="_Toc114134666"/>
      <w:bookmarkStart w:id="1590" w:name="_Toc11390"/>
      <w:bookmarkStart w:id="1591" w:name="_Toc1976"/>
      <w:r>
        <w:rPr>
          <w:rFonts w:ascii="宋体" w:hAnsi="宋体"/>
          <w:b/>
          <w:color w:val="auto"/>
          <w:highlight w:val="none"/>
        </w:rPr>
        <w:t>A</w:t>
      </w:r>
      <w:r>
        <w:rPr>
          <w:rFonts w:hint="eastAsia" w:ascii="宋体" w:hAnsi="宋体"/>
          <w:b/>
          <w:color w:val="auto"/>
          <w:highlight w:val="none"/>
          <w:lang w:val="en-US" w:eastAsia="zh-CN"/>
        </w:rPr>
        <w:t>6</w:t>
      </w:r>
      <w:r>
        <w:rPr>
          <w:rFonts w:hint="eastAsia" w:ascii="宋体" w:hAnsi="宋体"/>
          <w:b/>
          <w:color w:val="auto"/>
          <w:highlight w:val="none"/>
        </w:rPr>
        <w:t>类似项目</w:t>
      </w:r>
      <w:r>
        <w:rPr>
          <w:rFonts w:ascii="宋体" w:hAnsi="宋体"/>
          <w:b/>
          <w:color w:val="auto"/>
          <w:highlight w:val="none"/>
        </w:rPr>
        <w:t>业绩表格式</w:t>
      </w:r>
      <w:bookmarkEnd w:id="1588"/>
      <w:bookmarkEnd w:id="1589"/>
      <w:bookmarkEnd w:id="1590"/>
      <w:bookmarkEnd w:id="1591"/>
    </w:p>
    <w:p w14:paraId="1D44DE5F">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14:paraId="5E60CC4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E6E1ADE">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6AB9BB5E">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48B8156">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14:paraId="03E3EAA9">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14:paraId="5E2105F9">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49896C4D">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2B99F874">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7FB1164A">
            <w:pPr>
              <w:ind w:left="0" w:firstLine="0"/>
              <w:rPr>
                <w:rFonts w:ascii="宋体" w:hAnsi="宋体"/>
                <w:color w:val="auto"/>
                <w:highlight w:val="none"/>
              </w:rPr>
            </w:pPr>
            <w:r>
              <w:rPr>
                <w:rFonts w:hint="eastAsia" w:ascii="宋体" w:hAnsi="宋体"/>
                <w:color w:val="auto"/>
                <w:highlight w:val="none"/>
                <w:lang w:val="en-US" w:eastAsia="zh-CN"/>
              </w:rPr>
              <w:t>甲方</w:t>
            </w:r>
            <w:r>
              <w:rPr>
                <w:rFonts w:hint="eastAsia" w:ascii="宋体" w:hAnsi="宋体"/>
                <w:color w:val="auto"/>
                <w:highlight w:val="none"/>
              </w:rPr>
              <w:t>单位</w:t>
            </w:r>
          </w:p>
        </w:tc>
        <w:tc>
          <w:tcPr>
            <w:tcW w:w="1043" w:type="dxa"/>
            <w:tcBorders>
              <w:top w:val="double" w:color="auto" w:sz="4" w:space="0"/>
            </w:tcBorders>
            <w:vAlign w:val="center"/>
          </w:tcPr>
          <w:p w14:paraId="7F2645C6">
            <w:pPr>
              <w:ind w:left="0" w:firstLine="0"/>
              <w:rPr>
                <w:rFonts w:ascii="宋体" w:hAnsi="宋体"/>
                <w:color w:val="auto"/>
                <w:highlight w:val="none"/>
              </w:rPr>
            </w:pPr>
            <w:r>
              <w:rPr>
                <w:rFonts w:hint="eastAsia" w:ascii="宋体" w:hAnsi="宋体"/>
                <w:color w:val="auto"/>
                <w:highlight w:val="none"/>
              </w:rPr>
              <w:t>联系电话</w:t>
            </w:r>
          </w:p>
        </w:tc>
      </w:tr>
      <w:tr w14:paraId="3B2F489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1E28386">
            <w:pPr>
              <w:ind w:left="0" w:firstLine="0"/>
              <w:rPr>
                <w:rFonts w:ascii="宋体" w:hAnsi="宋体"/>
                <w:color w:val="auto"/>
                <w:highlight w:val="none"/>
              </w:rPr>
            </w:pPr>
          </w:p>
        </w:tc>
        <w:tc>
          <w:tcPr>
            <w:tcW w:w="1092" w:type="dxa"/>
          </w:tcPr>
          <w:p w14:paraId="40F364FD">
            <w:pPr>
              <w:ind w:left="0" w:firstLine="0"/>
              <w:rPr>
                <w:rFonts w:ascii="宋体" w:hAnsi="宋体"/>
                <w:color w:val="auto"/>
                <w:highlight w:val="none"/>
              </w:rPr>
            </w:pPr>
          </w:p>
        </w:tc>
        <w:tc>
          <w:tcPr>
            <w:tcW w:w="1789" w:type="dxa"/>
          </w:tcPr>
          <w:p w14:paraId="36E46615">
            <w:pPr>
              <w:ind w:left="0" w:firstLine="0"/>
              <w:rPr>
                <w:rFonts w:ascii="宋体" w:hAnsi="宋体"/>
                <w:color w:val="auto"/>
                <w:highlight w:val="none"/>
              </w:rPr>
            </w:pPr>
          </w:p>
        </w:tc>
        <w:tc>
          <w:tcPr>
            <w:tcW w:w="992" w:type="dxa"/>
          </w:tcPr>
          <w:p w14:paraId="10E633EE">
            <w:pPr>
              <w:ind w:left="0" w:firstLine="0"/>
              <w:rPr>
                <w:rFonts w:ascii="宋体" w:hAnsi="宋体"/>
                <w:color w:val="auto"/>
                <w:highlight w:val="none"/>
              </w:rPr>
            </w:pPr>
          </w:p>
        </w:tc>
        <w:tc>
          <w:tcPr>
            <w:tcW w:w="992" w:type="dxa"/>
          </w:tcPr>
          <w:p w14:paraId="5DA00750">
            <w:pPr>
              <w:ind w:left="0" w:firstLine="0"/>
              <w:rPr>
                <w:rFonts w:ascii="宋体" w:hAnsi="宋体"/>
                <w:color w:val="auto"/>
                <w:highlight w:val="none"/>
              </w:rPr>
            </w:pPr>
          </w:p>
        </w:tc>
        <w:tc>
          <w:tcPr>
            <w:tcW w:w="993" w:type="dxa"/>
          </w:tcPr>
          <w:p w14:paraId="46136A51">
            <w:pPr>
              <w:ind w:left="0" w:firstLine="0"/>
              <w:rPr>
                <w:rFonts w:ascii="宋体" w:hAnsi="宋体"/>
                <w:color w:val="auto"/>
                <w:highlight w:val="none"/>
              </w:rPr>
            </w:pPr>
          </w:p>
        </w:tc>
        <w:tc>
          <w:tcPr>
            <w:tcW w:w="1388" w:type="dxa"/>
          </w:tcPr>
          <w:p w14:paraId="56B62807">
            <w:pPr>
              <w:ind w:left="0" w:firstLine="0"/>
              <w:rPr>
                <w:rFonts w:ascii="宋体" w:hAnsi="宋体"/>
                <w:color w:val="auto"/>
                <w:highlight w:val="none"/>
              </w:rPr>
            </w:pPr>
          </w:p>
        </w:tc>
        <w:tc>
          <w:tcPr>
            <w:tcW w:w="1044" w:type="dxa"/>
          </w:tcPr>
          <w:p w14:paraId="1D0CE1A3">
            <w:pPr>
              <w:ind w:left="0" w:firstLine="0"/>
              <w:rPr>
                <w:rFonts w:ascii="宋体" w:hAnsi="宋体"/>
                <w:color w:val="auto"/>
                <w:highlight w:val="none"/>
              </w:rPr>
            </w:pPr>
          </w:p>
        </w:tc>
        <w:tc>
          <w:tcPr>
            <w:tcW w:w="1043" w:type="dxa"/>
          </w:tcPr>
          <w:p w14:paraId="74D53CC6">
            <w:pPr>
              <w:ind w:left="0" w:firstLine="0"/>
              <w:rPr>
                <w:rFonts w:ascii="宋体" w:hAnsi="宋体"/>
                <w:color w:val="auto"/>
                <w:highlight w:val="none"/>
              </w:rPr>
            </w:pPr>
          </w:p>
        </w:tc>
      </w:tr>
      <w:tr w14:paraId="5707AB8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2C7E77">
            <w:pPr>
              <w:ind w:left="0" w:firstLine="0"/>
              <w:rPr>
                <w:rFonts w:ascii="宋体" w:hAnsi="宋体"/>
                <w:color w:val="auto"/>
                <w:highlight w:val="none"/>
              </w:rPr>
            </w:pPr>
          </w:p>
        </w:tc>
        <w:tc>
          <w:tcPr>
            <w:tcW w:w="1092" w:type="dxa"/>
            <w:vAlign w:val="center"/>
          </w:tcPr>
          <w:p w14:paraId="4BEAC89C">
            <w:pPr>
              <w:ind w:left="0" w:firstLine="0"/>
              <w:rPr>
                <w:rFonts w:ascii="宋体" w:hAnsi="宋体"/>
                <w:color w:val="auto"/>
                <w:highlight w:val="none"/>
              </w:rPr>
            </w:pPr>
          </w:p>
        </w:tc>
        <w:tc>
          <w:tcPr>
            <w:tcW w:w="1789" w:type="dxa"/>
            <w:vAlign w:val="center"/>
          </w:tcPr>
          <w:p w14:paraId="713D6D20">
            <w:pPr>
              <w:ind w:left="0" w:firstLine="0"/>
              <w:rPr>
                <w:rFonts w:ascii="宋体" w:hAnsi="宋体"/>
                <w:color w:val="auto"/>
                <w:highlight w:val="none"/>
              </w:rPr>
            </w:pPr>
          </w:p>
        </w:tc>
        <w:tc>
          <w:tcPr>
            <w:tcW w:w="992" w:type="dxa"/>
          </w:tcPr>
          <w:p w14:paraId="7F9A6912">
            <w:pPr>
              <w:ind w:left="0" w:firstLine="0"/>
              <w:rPr>
                <w:rFonts w:ascii="宋体" w:hAnsi="宋体"/>
                <w:color w:val="auto"/>
                <w:highlight w:val="none"/>
              </w:rPr>
            </w:pPr>
          </w:p>
        </w:tc>
        <w:tc>
          <w:tcPr>
            <w:tcW w:w="992" w:type="dxa"/>
            <w:vAlign w:val="center"/>
          </w:tcPr>
          <w:p w14:paraId="7E9AC8AF">
            <w:pPr>
              <w:ind w:left="0" w:firstLine="0"/>
              <w:rPr>
                <w:rFonts w:ascii="宋体" w:hAnsi="宋体"/>
                <w:color w:val="auto"/>
                <w:highlight w:val="none"/>
              </w:rPr>
            </w:pPr>
          </w:p>
        </w:tc>
        <w:tc>
          <w:tcPr>
            <w:tcW w:w="993" w:type="dxa"/>
            <w:vAlign w:val="center"/>
          </w:tcPr>
          <w:p w14:paraId="550E16DB">
            <w:pPr>
              <w:ind w:left="0" w:firstLine="0"/>
              <w:rPr>
                <w:rFonts w:ascii="宋体" w:hAnsi="宋体"/>
                <w:color w:val="auto"/>
                <w:highlight w:val="none"/>
              </w:rPr>
            </w:pPr>
          </w:p>
        </w:tc>
        <w:tc>
          <w:tcPr>
            <w:tcW w:w="1388" w:type="dxa"/>
          </w:tcPr>
          <w:p w14:paraId="37B00A4A">
            <w:pPr>
              <w:ind w:left="0" w:firstLine="0"/>
              <w:rPr>
                <w:rFonts w:ascii="宋体" w:hAnsi="宋体"/>
                <w:color w:val="auto"/>
                <w:highlight w:val="none"/>
              </w:rPr>
            </w:pPr>
          </w:p>
        </w:tc>
        <w:tc>
          <w:tcPr>
            <w:tcW w:w="1044" w:type="dxa"/>
            <w:vAlign w:val="center"/>
          </w:tcPr>
          <w:p w14:paraId="155FD9A3">
            <w:pPr>
              <w:ind w:left="0" w:firstLine="0"/>
              <w:rPr>
                <w:rFonts w:ascii="宋体" w:hAnsi="宋体"/>
                <w:color w:val="auto"/>
                <w:highlight w:val="none"/>
              </w:rPr>
            </w:pPr>
          </w:p>
        </w:tc>
        <w:tc>
          <w:tcPr>
            <w:tcW w:w="1043" w:type="dxa"/>
            <w:vAlign w:val="center"/>
          </w:tcPr>
          <w:p w14:paraId="02896F1E">
            <w:pPr>
              <w:ind w:left="0" w:firstLine="0"/>
              <w:rPr>
                <w:rFonts w:ascii="宋体" w:hAnsi="宋体"/>
                <w:color w:val="auto"/>
                <w:highlight w:val="none"/>
              </w:rPr>
            </w:pPr>
          </w:p>
        </w:tc>
      </w:tr>
      <w:tr w14:paraId="2D346D0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C9089AB">
            <w:pPr>
              <w:ind w:left="0" w:firstLine="0"/>
              <w:rPr>
                <w:rFonts w:ascii="宋体" w:hAnsi="宋体"/>
                <w:color w:val="auto"/>
                <w:highlight w:val="none"/>
              </w:rPr>
            </w:pPr>
          </w:p>
        </w:tc>
        <w:tc>
          <w:tcPr>
            <w:tcW w:w="1092" w:type="dxa"/>
            <w:vAlign w:val="center"/>
          </w:tcPr>
          <w:p w14:paraId="1107DE0B">
            <w:pPr>
              <w:ind w:left="0" w:firstLine="0"/>
              <w:rPr>
                <w:rFonts w:ascii="宋体" w:hAnsi="宋体"/>
                <w:color w:val="auto"/>
                <w:highlight w:val="none"/>
              </w:rPr>
            </w:pPr>
          </w:p>
        </w:tc>
        <w:tc>
          <w:tcPr>
            <w:tcW w:w="1789" w:type="dxa"/>
            <w:vAlign w:val="center"/>
          </w:tcPr>
          <w:p w14:paraId="4108C55B">
            <w:pPr>
              <w:ind w:left="0" w:firstLine="0"/>
              <w:rPr>
                <w:rFonts w:ascii="宋体" w:hAnsi="宋体"/>
                <w:color w:val="auto"/>
                <w:highlight w:val="none"/>
              </w:rPr>
            </w:pPr>
          </w:p>
        </w:tc>
        <w:tc>
          <w:tcPr>
            <w:tcW w:w="992" w:type="dxa"/>
          </w:tcPr>
          <w:p w14:paraId="47E5E990">
            <w:pPr>
              <w:ind w:left="0" w:firstLine="0"/>
              <w:rPr>
                <w:rFonts w:ascii="宋体" w:hAnsi="宋体"/>
                <w:color w:val="auto"/>
                <w:highlight w:val="none"/>
              </w:rPr>
            </w:pPr>
          </w:p>
        </w:tc>
        <w:tc>
          <w:tcPr>
            <w:tcW w:w="992" w:type="dxa"/>
            <w:vAlign w:val="center"/>
          </w:tcPr>
          <w:p w14:paraId="61543AD9">
            <w:pPr>
              <w:ind w:left="0" w:firstLine="0"/>
              <w:rPr>
                <w:rFonts w:ascii="宋体" w:hAnsi="宋体"/>
                <w:color w:val="auto"/>
                <w:highlight w:val="none"/>
              </w:rPr>
            </w:pPr>
          </w:p>
        </w:tc>
        <w:tc>
          <w:tcPr>
            <w:tcW w:w="993" w:type="dxa"/>
            <w:vAlign w:val="center"/>
          </w:tcPr>
          <w:p w14:paraId="300EDB41">
            <w:pPr>
              <w:ind w:left="0" w:firstLine="0"/>
              <w:rPr>
                <w:rFonts w:ascii="宋体" w:hAnsi="宋体"/>
                <w:color w:val="auto"/>
                <w:highlight w:val="none"/>
              </w:rPr>
            </w:pPr>
          </w:p>
        </w:tc>
        <w:tc>
          <w:tcPr>
            <w:tcW w:w="1388" w:type="dxa"/>
          </w:tcPr>
          <w:p w14:paraId="1D30F39E">
            <w:pPr>
              <w:ind w:left="0" w:firstLine="0"/>
              <w:rPr>
                <w:rFonts w:ascii="宋体" w:hAnsi="宋体"/>
                <w:color w:val="auto"/>
                <w:highlight w:val="none"/>
              </w:rPr>
            </w:pPr>
          </w:p>
        </w:tc>
        <w:tc>
          <w:tcPr>
            <w:tcW w:w="1044" w:type="dxa"/>
            <w:vAlign w:val="center"/>
          </w:tcPr>
          <w:p w14:paraId="336F3658">
            <w:pPr>
              <w:ind w:left="0" w:firstLine="0"/>
              <w:rPr>
                <w:rFonts w:ascii="宋体" w:hAnsi="宋体"/>
                <w:color w:val="auto"/>
                <w:highlight w:val="none"/>
              </w:rPr>
            </w:pPr>
          </w:p>
        </w:tc>
        <w:tc>
          <w:tcPr>
            <w:tcW w:w="1043" w:type="dxa"/>
            <w:vAlign w:val="center"/>
          </w:tcPr>
          <w:p w14:paraId="2086F7A5">
            <w:pPr>
              <w:ind w:left="0" w:firstLine="0"/>
              <w:rPr>
                <w:rFonts w:ascii="宋体" w:hAnsi="宋体"/>
                <w:color w:val="auto"/>
                <w:highlight w:val="none"/>
              </w:rPr>
            </w:pPr>
          </w:p>
        </w:tc>
      </w:tr>
      <w:tr w14:paraId="497D1C3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8C94F1C">
            <w:pPr>
              <w:ind w:left="0" w:firstLine="0"/>
              <w:rPr>
                <w:rFonts w:ascii="宋体" w:hAnsi="宋体"/>
                <w:color w:val="auto"/>
                <w:highlight w:val="none"/>
              </w:rPr>
            </w:pPr>
          </w:p>
        </w:tc>
        <w:tc>
          <w:tcPr>
            <w:tcW w:w="1092" w:type="dxa"/>
            <w:vAlign w:val="center"/>
          </w:tcPr>
          <w:p w14:paraId="4AB3D49F">
            <w:pPr>
              <w:ind w:left="0" w:firstLine="0"/>
              <w:rPr>
                <w:rFonts w:ascii="宋体" w:hAnsi="宋体"/>
                <w:color w:val="auto"/>
                <w:highlight w:val="none"/>
              </w:rPr>
            </w:pPr>
          </w:p>
        </w:tc>
        <w:tc>
          <w:tcPr>
            <w:tcW w:w="1789" w:type="dxa"/>
            <w:vAlign w:val="center"/>
          </w:tcPr>
          <w:p w14:paraId="4BCB7504">
            <w:pPr>
              <w:ind w:left="0" w:firstLine="0"/>
              <w:rPr>
                <w:rFonts w:ascii="宋体" w:hAnsi="宋体"/>
                <w:color w:val="auto"/>
                <w:highlight w:val="none"/>
              </w:rPr>
            </w:pPr>
          </w:p>
        </w:tc>
        <w:tc>
          <w:tcPr>
            <w:tcW w:w="992" w:type="dxa"/>
          </w:tcPr>
          <w:p w14:paraId="0E1FE0CE">
            <w:pPr>
              <w:ind w:left="0" w:firstLine="0"/>
              <w:rPr>
                <w:rFonts w:ascii="宋体" w:hAnsi="宋体"/>
                <w:color w:val="auto"/>
                <w:highlight w:val="none"/>
              </w:rPr>
            </w:pPr>
          </w:p>
        </w:tc>
        <w:tc>
          <w:tcPr>
            <w:tcW w:w="992" w:type="dxa"/>
            <w:vAlign w:val="center"/>
          </w:tcPr>
          <w:p w14:paraId="1CFE251E">
            <w:pPr>
              <w:ind w:left="0" w:firstLine="0"/>
              <w:rPr>
                <w:rFonts w:ascii="宋体" w:hAnsi="宋体"/>
                <w:color w:val="auto"/>
                <w:highlight w:val="none"/>
              </w:rPr>
            </w:pPr>
          </w:p>
        </w:tc>
        <w:tc>
          <w:tcPr>
            <w:tcW w:w="993" w:type="dxa"/>
            <w:vAlign w:val="center"/>
          </w:tcPr>
          <w:p w14:paraId="2FEF1AE1">
            <w:pPr>
              <w:ind w:left="0" w:firstLine="0"/>
              <w:rPr>
                <w:rFonts w:ascii="宋体" w:hAnsi="宋体"/>
                <w:color w:val="auto"/>
                <w:highlight w:val="none"/>
              </w:rPr>
            </w:pPr>
          </w:p>
        </w:tc>
        <w:tc>
          <w:tcPr>
            <w:tcW w:w="1388" w:type="dxa"/>
          </w:tcPr>
          <w:p w14:paraId="1002CD48">
            <w:pPr>
              <w:ind w:left="0" w:firstLine="0"/>
              <w:rPr>
                <w:rFonts w:ascii="宋体" w:hAnsi="宋体"/>
                <w:color w:val="auto"/>
                <w:highlight w:val="none"/>
              </w:rPr>
            </w:pPr>
          </w:p>
        </w:tc>
        <w:tc>
          <w:tcPr>
            <w:tcW w:w="1044" w:type="dxa"/>
            <w:vAlign w:val="center"/>
          </w:tcPr>
          <w:p w14:paraId="16827D41">
            <w:pPr>
              <w:ind w:left="0" w:firstLine="0"/>
              <w:rPr>
                <w:rFonts w:ascii="宋体" w:hAnsi="宋体"/>
                <w:color w:val="auto"/>
                <w:highlight w:val="none"/>
              </w:rPr>
            </w:pPr>
          </w:p>
        </w:tc>
        <w:tc>
          <w:tcPr>
            <w:tcW w:w="1043" w:type="dxa"/>
            <w:vAlign w:val="center"/>
          </w:tcPr>
          <w:p w14:paraId="1AFF1022">
            <w:pPr>
              <w:ind w:left="0" w:firstLine="0"/>
              <w:rPr>
                <w:rFonts w:ascii="宋体" w:hAnsi="宋体"/>
                <w:color w:val="auto"/>
                <w:highlight w:val="none"/>
              </w:rPr>
            </w:pPr>
          </w:p>
        </w:tc>
      </w:tr>
      <w:tr w14:paraId="4C165B2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D3ED242">
            <w:pPr>
              <w:ind w:left="0" w:firstLine="0"/>
              <w:rPr>
                <w:rFonts w:ascii="宋体" w:hAnsi="宋体"/>
                <w:color w:val="auto"/>
                <w:highlight w:val="none"/>
              </w:rPr>
            </w:pPr>
          </w:p>
        </w:tc>
        <w:tc>
          <w:tcPr>
            <w:tcW w:w="1092" w:type="dxa"/>
            <w:vAlign w:val="center"/>
          </w:tcPr>
          <w:p w14:paraId="46190852">
            <w:pPr>
              <w:ind w:left="0" w:firstLine="0"/>
              <w:rPr>
                <w:rFonts w:ascii="宋体" w:hAnsi="宋体"/>
                <w:color w:val="auto"/>
                <w:highlight w:val="none"/>
              </w:rPr>
            </w:pPr>
          </w:p>
        </w:tc>
        <w:tc>
          <w:tcPr>
            <w:tcW w:w="1789" w:type="dxa"/>
            <w:vAlign w:val="center"/>
          </w:tcPr>
          <w:p w14:paraId="2BBB2565">
            <w:pPr>
              <w:ind w:left="0" w:firstLine="0"/>
              <w:rPr>
                <w:rFonts w:ascii="宋体" w:hAnsi="宋体"/>
                <w:color w:val="auto"/>
                <w:highlight w:val="none"/>
              </w:rPr>
            </w:pPr>
          </w:p>
        </w:tc>
        <w:tc>
          <w:tcPr>
            <w:tcW w:w="992" w:type="dxa"/>
          </w:tcPr>
          <w:p w14:paraId="793971BA">
            <w:pPr>
              <w:ind w:left="0" w:firstLine="0"/>
              <w:rPr>
                <w:rFonts w:ascii="宋体" w:hAnsi="宋体"/>
                <w:color w:val="auto"/>
                <w:highlight w:val="none"/>
              </w:rPr>
            </w:pPr>
          </w:p>
        </w:tc>
        <w:tc>
          <w:tcPr>
            <w:tcW w:w="992" w:type="dxa"/>
            <w:vAlign w:val="center"/>
          </w:tcPr>
          <w:p w14:paraId="27089FF6">
            <w:pPr>
              <w:ind w:left="0" w:firstLine="0"/>
              <w:rPr>
                <w:rFonts w:ascii="宋体" w:hAnsi="宋体"/>
                <w:color w:val="auto"/>
                <w:highlight w:val="none"/>
              </w:rPr>
            </w:pPr>
          </w:p>
        </w:tc>
        <w:tc>
          <w:tcPr>
            <w:tcW w:w="993" w:type="dxa"/>
            <w:vAlign w:val="center"/>
          </w:tcPr>
          <w:p w14:paraId="064FE7CA">
            <w:pPr>
              <w:ind w:left="0" w:firstLine="0"/>
              <w:rPr>
                <w:rFonts w:ascii="宋体" w:hAnsi="宋体"/>
                <w:color w:val="auto"/>
                <w:highlight w:val="none"/>
              </w:rPr>
            </w:pPr>
          </w:p>
        </w:tc>
        <w:tc>
          <w:tcPr>
            <w:tcW w:w="1388" w:type="dxa"/>
          </w:tcPr>
          <w:p w14:paraId="519173BB">
            <w:pPr>
              <w:ind w:left="0" w:firstLine="0"/>
              <w:rPr>
                <w:rFonts w:ascii="宋体" w:hAnsi="宋体"/>
                <w:color w:val="auto"/>
                <w:highlight w:val="none"/>
              </w:rPr>
            </w:pPr>
          </w:p>
        </w:tc>
        <w:tc>
          <w:tcPr>
            <w:tcW w:w="1044" w:type="dxa"/>
            <w:vAlign w:val="center"/>
          </w:tcPr>
          <w:p w14:paraId="4A15906B">
            <w:pPr>
              <w:ind w:left="0" w:firstLine="0"/>
              <w:rPr>
                <w:rFonts w:ascii="宋体" w:hAnsi="宋体"/>
                <w:color w:val="auto"/>
                <w:highlight w:val="none"/>
              </w:rPr>
            </w:pPr>
          </w:p>
        </w:tc>
        <w:tc>
          <w:tcPr>
            <w:tcW w:w="1043" w:type="dxa"/>
            <w:vAlign w:val="center"/>
          </w:tcPr>
          <w:p w14:paraId="0AAFC648">
            <w:pPr>
              <w:ind w:left="0" w:firstLine="0"/>
              <w:rPr>
                <w:rFonts w:ascii="宋体" w:hAnsi="宋体"/>
                <w:color w:val="auto"/>
                <w:highlight w:val="none"/>
              </w:rPr>
            </w:pPr>
          </w:p>
        </w:tc>
      </w:tr>
      <w:tr w14:paraId="381C8D4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25F0F91">
            <w:pPr>
              <w:ind w:left="0" w:firstLine="0"/>
              <w:rPr>
                <w:rFonts w:ascii="宋体" w:hAnsi="宋体"/>
                <w:color w:val="auto"/>
                <w:highlight w:val="none"/>
              </w:rPr>
            </w:pPr>
          </w:p>
        </w:tc>
        <w:tc>
          <w:tcPr>
            <w:tcW w:w="1092" w:type="dxa"/>
            <w:vAlign w:val="center"/>
          </w:tcPr>
          <w:p w14:paraId="1A6E9132">
            <w:pPr>
              <w:ind w:left="0" w:firstLine="0"/>
              <w:rPr>
                <w:rFonts w:ascii="宋体" w:hAnsi="宋体"/>
                <w:color w:val="auto"/>
                <w:highlight w:val="none"/>
              </w:rPr>
            </w:pPr>
          </w:p>
        </w:tc>
        <w:tc>
          <w:tcPr>
            <w:tcW w:w="1789" w:type="dxa"/>
            <w:vAlign w:val="center"/>
          </w:tcPr>
          <w:p w14:paraId="0ADA5835">
            <w:pPr>
              <w:ind w:left="0" w:firstLine="0"/>
              <w:rPr>
                <w:rFonts w:ascii="宋体" w:hAnsi="宋体"/>
                <w:color w:val="auto"/>
                <w:highlight w:val="none"/>
              </w:rPr>
            </w:pPr>
          </w:p>
        </w:tc>
        <w:tc>
          <w:tcPr>
            <w:tcW w:w="992" w:type="dxa"/>
          </w:tcPr>
          <w:p w14:paraId="2A04B973">
            <w:pPr>
              <w:ind w:left="0" w:firstLine="0"/>
              <w:rPr>
                <w:rFonts w:ascii="宋体" w:hAnsi="宋体"/>
                <w:color w:val="auto"/>
                <w:highlight w:val="none"/>
              </w:rPr>
            </w:pPr>
          </w:p>
        </w:tc>
        <w:tc>
          <w:tcPr>
            <w:tcW w:w="992" w:type="dxa"/>
            <w:vAlign w:val="center"/>
          </w:tcPr>
          <w:p w14:paraId="45FDAF5D">
            <w:pPr>
              <w:ind w:left="0" w:firstLine="0"/>
              <w:rPr>
                <w:rFonts w:ascii="宋体" w:hAnsi="宋体"/>
                <w:color w:val="auto"/>
                <w:highlight w:val="none"/>
              </w:rPr>
            </w:pPr>
          </w:p>
        </w:tc>
        <w:tc>
          <w:tcPr>
            <w:tcW w:w="993" w:type="dxa"/>
            <w:vAlign w:val="center"/>
          </w:tcPr>
          <w:p w14:paraId="4A632A2E">
            <w:pPr>
              <w:ind w:left="0" w:firstLine="0"/>
              <w:rPr>
                <w:rFonts w:ascii="宋体" w:hAnsi="宋体"/>
                <w:color w:val="auto"/>
                <w:highlight w:val="none"/>
              </w:rPr>
            </w:pPr>
          </w:p>
        </w:tc>
        <w:tc>
          <w:tcPr>
            <w:tcW w:w="1388" w:type="dxa"/>
          </w:tcPr>
          <w:p w14:paraId="776B3973">
            <w:pPr>
              <w:ind w:left="0" w:firstLine="0"/>
              <w:rPr>
                <w:rFonts w:ascii="宋体" w:hAnsi="宋体"/>
                <w:color w:val="auto"/>
                <w:highlight w:val="none"/>
              </w:rPr>
            </w:pPr>
          </w:p>
        </w:tc>
        <w:tc>
          <w:tcPr>
            <w:tcW w:w="1044" w:type="dxa"/>
            <w:vAlign w:val="center"/>
          </w:tcPr>
          <w:p w14:paraId="6B60B998">
            <w:pPr>
              <w:ind w:left="0" w:firstLine="0"/>
              <w:rPr>
                <w:rFonts w:ascii="宋体" w:hAnsi="宋体"/>
                <w:color w:val="auto"/>
                <w:highlight w:val="none"/>
              </w:rPr>
            </w:pPr>
          </w:p>
        </w:tc>
        <w:tc>
          <w:tcPr>
            <w:tcW w:w="1043" w:type="dxa"/>
            <w:vAlign w:val="center"/>
          </w:tcPr>
          <w:p w14:paraId="0908DB8F">
            <w:pPr>
              <w:ind w:left="0" w:firstLine="0"/>
              <w:rPr>
                <w:rFonts w:ascii="宋体" w:hAnsi="宋体"/>
                <w:color w:val="auto"/>
                <w:highlight w:val="none"/>
              </w:rPr>
            </w:pPr>
          </w:p>
        </w:tc>
      </w:tr>
      <w:tr w14:paraId="0123053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F92408">
            <w:pPr>
              <w:ind w:left="0" w:firstLine="0"/>
              <w:rPr>
                <w:rFonts w:ascii="宋体" w:hAnsi="宋体"/>
                <w:color w:val="auto"/>
                <w:highlight w:val="none"/>
              </w:rPr>
            </w:pPr>
          </w:p>
        </w:tc>
        <w:tc>
          <w:tcPr>
            <w:tcW w:w="1092" w:type="dxa"/>
            <w:vAlign w:val="center"/>
          </w:tcPr>
          <w:p w14:paraId="317153B8">
            <w:pPr>
              <w:ind w:left="0" w:firstLine="0"/>
              <w:rPr>
                <w:rFonts w:ascii="宋体" w:hAnsi="宋体"/>
                <w:color w:val="auto"/>
                <w:highlight w:val="none"/>
              </w:rPr>
            </w:pPr>
          </w:p>
        </w:tc>
        <w:tc>
          <w:tcPr>
            <w:tcW w:w="1789" w:type="dxa"/>
            <w:vAlign w:val="center"/>
          </w:tcPr>
          <w:p w14:paraId="1BBD602E">
            <w:pPr>
              <w:ind w:left="0" w:firstLine="0"/>
              <w:rPr>
                <w:rFonts w:ascii="宋体" w:hAnsi="宋体"/>
                <w:color w:val="auto"/>
                <w:highlight w:val="none"/>
              </w:rPr>
            </w:pPr>
          </w:p>
        </w:tc>
        <w:tc>
          <w:tcPr>
            <w:tcW w:w="992" w:type="dxa"/>
          </w:tcPr>
          <w:p w14:paraId="526BE33A">
            <w:pPr>
              <w:ind w:left="0" w:firstLine="0"/>
              <w:rPr>
                <w:rFonts w:ascii="宋体" w:hAnsi="宋体"/>
                <w:color w:val="auto"/>
                <w:highlight w:val="none"/>
              </w:rPr>
            </w:pPr>
          </w:p>
        </w:tc>
        <w:tc>
          <w:tcPr>
            <w:tcW w:w="992" w:type="dxa"/>
            <w:vAlign w:val="center"/>
          </w:tcPr>
          <w:p w14:paraId="7B5B9809">
            <w:pPr>
              <w:ind w:left="0" w:firstLine="0"/>
              <w:rPr>
                <w:rFonts w:ascii="宋体" w:hAnsi="宋体"/>
                <w:color w:val="auto"/>
                <w:highlight w:val="none"/>
              </w:rPr>
            </w:pPr>
          </w:p>
        </w:tc>
        <w:tc>
          <w:tcPr>
            <w:tcW w:w="993" w:type="dxa"/>
            <w:vAlign w:val="center"/>
          </w:tcPr>
          <w:p w14:paraId="290481E1">
            <w:pPr>
              <w:ind w:left="0" w:firstLine="0"/>
              <w:rPr>
                <w:rFonts w:ascii="宋体" w:hAnsi="宋体"/>
                <w:color w:val="auto"/>
                <w:highlight w:val="none"/>
              </w:rPr>
            </w:pPr>
          </w:p>
        </w:tc>
        <w:tc>
          <w:tcPr>
            <w:tcW w:w="1388" w:type="dxa"/>
          </w:tcPr>
          <w:p w14:paraId="26B73982">
            <w:pPr>
              <w:ind w:left="0" w:firstLine="0"/>
              <w:rPr>
                <w:rFonts w:ascii="宋体" w:hAnsi="宋体"/>
                <w:color w:val="auto"/>
                <w:highlight w:val="none"/>
              </w:rPr>
            </w:pPr>
          </w:p>
        </w:tc>
        <w:tc>
          <w:tcPr>
            <w:tcW w:w="1044" w:type="dxa"/>
            <w:vAlign w:val="center"/>
          </w:tcPr>
          <w:p w14:paraId="4310BACD">
            <w:pPr>
              <w:ind w:left="0" w:firstLine="0"/>
              <w:rPr>
                <w:rFonts w:ascii="宋体" w:hAnsi="宋体"/>
                <w:color w:val="auto"/>
                <w:highlight w:val="none"/>
              </w:rPr>
            </w:pPr>
          </w:p>
        </w:tc>
        <w:tc>
          <w:tcPr>
            <w:tcW w:w="1043" w:type="dxa"/>
            <w:vAlign w:val="center"/>
          </w:tcPr>
          <w:p w14:paraId="09309804">
            <w:pPr>
              <w:ind w:left="0" w:firstLine="0"/>
              <w:rPr>
                <w:rFonts w:ascii="宋体" w:hAnsi="宋体"/>
                <w:color w:val="auto"/>
                <w:highlight w:val="none"/>
              </w:rPr>
            </w:pPr>
          </w:p>
        </w:tc>
      </w:tr>
      <w:tr w14:paraId="44C3610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C46E7DF">
            <w:pPr>
              <w:ind w:left="0" w:firstLine="0"/>
              <w:rPr>
                <w:rFonts w:ascii="宋体" w:hAnsi="宋体"/>
                <w:color w:val="auto"/>
                <w:highlight w:val="none"/>
              </w:rPr>
            </w:pPr>
          </w:p>
        </w:tc>
        <w:tc>
          <w:tcPr>
            <w:tcW w:w="1092" w:type="dxa"/>
            <w:vAlign w:val="center"/>
          </w:tcPr>
          <w:p w14:paraId="7EE43C34">
            <w:pPr>
              <w:ind w:left="0" w:firstLine="0"/>
              <w:rPr>
                <w:rFonts w:ascii="宋体" w:hAnsi="宋体"/>
                <w:color w:val="auto"/>
                <w:highlight w:val="none"/>
              </w:rPr>
            </w:pPr>
          </w:p>
        </w:tc>
        <w:tc>
          <w:tcPr>
            <w:tcW w:w="1789" w:type="dxa"/>
            <w:vAlign w:val="center"/>
          </w:tcPr>
          <w:p w14:paraId="06C6064C">
            <w:pPr>
              <w:ind w:left="0" w:firstLine="0"/>
              <w:rPr>
                <w:rFonts w:ascii="宋体" w:hAnsi="宋体"/>
                <w:color w:val="auto"/>
                <w:highlight w:val="none"/>
              </w:rPr>
            </w:pPr>
          </w:p>
        </w:tc>
        <w:tc>
          <w:tcPr>
            <w:tcW w:w="992" w:type="dxa"/>
          </w:tcPr>
          <w:p w14:paraId="182F15A2">
            <w:pPr>
              <w:ind w:left="0" w:firstLine="0"/>
              <w:rPr>
                <w:rFonts w:ascii="宋体" w:hAnsi="宋体"/>
                <w:color w:val="auto"/>
                <w:highlight w:val="none"/>
              </w:rPr>
            </w:pPr>
          </w:p>
        </w:tc>
        <w:tc>
          <w:tcPr>
            <w:tcW w:w="992" w:type="dxa"/>
            <w:vAlign w:val="center"/>
          </w:tcPr>
          <w:p w14:paraId="289AFF91">
            <w:pPr>
              <w:ind w:left="0" w:firstLine="0"/>
              <w:rPr>
                <w:rFonts w:ascii="宋体" w:hAnsi="宋体"/>
                <w:color w:val="auto"/>
                <w:highlight w:val="none"/>
              </w:rPr>
            </w:pPr>
          </w:p>
        </w:tc>
        <w:tc>
          <w:tcPr>
            <w:tcW w:w="993" w:type="dxa"/>
            <w:vAlign w:val="center"/>
          </w:tcPr>
          <w:p w14:paraId="6D42A278">
            <w:pPr>
              <w:ind w:left="0" w:firstLine="0"/>
              <w:rPr>
                <w:rFonts w:ascii="宋体" w:hAnsi="宋体"/>
                <w:color w:val="auto"/>
                <w:highlight w:val="none"/>
              </w:rPr>
            </w:pPr>
          </w:p>
        </w:tc>
        <w:tc>
          <w:tcPr>
            <w:tcW w:w="1388" w:type="dxa"/>
          </w:tcPr>
          <w:p w14:paraId="6C2ECAFC">
            <w:pPr>
              <w:ind w:left="0" w:firstLine="0"/>
              <w:rPr>
                <w:rFonts w:ascii="宋体" w:hAnsi="宋体"/>
                <w:color w:val="auto"/>
                <w:highlight w:val="none"/>
              </w:rPr>
            </w:pPr>
          </w:p>
        </w:tc>
        <w:tc>
          <w:tcPr>
            <w:tcW w:w="1044" w:type="dxa"/>
            <w:vAlign w:val="center"/>
          </w:tcPr>
          <w:p w14:paraId="7EE18FF0">
            <w:pPr>
              <w:ind w:left="0" w:firstLine="0"/>
              <w:rPr>
                <w:rFonts w:ascii="宋体" w:hAnsi="宋体"/>
                <w:color w:val="auto"/>
                <w:highlight w:val="none"/>
              </w:rPr>
            </w:pPr>
          </w:p>
        </w:tc>
        <w:tc>
          <w:tcPr>
            <w:tcW w:w="1043" w:type="dxa"/>
            <w:vAlign w:val="center"/>
          </w:tcPr>
          <w:p w14:paraId="4870C227">
            <w:pPr>
              <w:ind w:left="0" w:firstLine="0"/>
              <w:rPr>
                <w:rFonts w:ascii="宋体" w:hAnsi="宋体"/>
                <w:color w:val="auto"/>
                <w:highlight w:val="none"/>
              </w:rPr>
            </w:pPr>
          </w:p>
        </w:tc>
      </w:tr>
      <w:tr w14:paraId="3767885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1CFC99D9">
            <w:pPr>
              <w:ind w:left="0" w:firstLine="0"/>
              <w:rPr>
                <w:rFonts w:ascii="宋体" w:hAnsi="宋体"/>
                <w:color w:val="auto"/>
                <w:highlight w:val="none"/>
              </w:rPr>
            </w:pPr>
          </w:p>
        </w:tc>
        <w:tc>
          <w:tcPr>
            <w:tcW w:w="1092" w:type="dxa"/>
            <w:vAlign w:val="center"/>
          </w:tcPr>
          <w:p w14:paraId="0AFD1296">
            <w:pPr>
              <w:ind w:left="0" w:firstLine="0"/>
              <w:rPr>
                <w:rFonts w:ascii="宋体" w:hAnsi="宋体"/>
                <w:color w:val="auto"/>
                <w:highlight w:val="none"/>
              </w:rPr>
            </w:pPr>
          </w:p>
        </w:tc>
        <w:tc>
          <w:tcPr>
            <w:tcW w:w="1789" w:type="dxa"/>
            <w:vAlign w:val="center"/>
          </w:tcPr>
          <w:p w14:paraId="6F7077DE">
            <w:pPr>
              <w:ind w:left="0" w:firstLine="0"/>
              <w:rPr>
                <w:rFonts w:ascii="宋体" w:hAnsi="宋体"/>
                <w:color w:val="auto"/>
                <w:highlight w:val="none"/>
              </w:rPr>
            </w:pPr>
          </w:p>
        </w:tc>
        <w:tc>
          <w:tcPr>
            <w:tcW w:w="992" w:type="dxa"/>
          </w:tcPr>
          <w:p w14:paraId="6E8136A8">
            <w:pPr>
              <w:ind w:left="0" w:firstLine="0"/>
              <w:rPr>
                <w:rFonts w:ascii="宋体" w:hAnsi="宋体"/>
                <w:color w:val="auto"/>
                <w:highlight w:val="none"/>
              </w:rPr>
            </w:pPr>
          </w:p>
        </w:tc>
        <w:tc>
          <w:tcPr>
            <w:tcW w:w="992" w:type="dxa"/>
            <w:vAlign w:val="center"/>
          </w:tcPr>
          <w:p w14:paraId="0977ED70">
            <w:pPr>
              <w:ind w:left="0" w:firstLine="0"/>
              <w:rPr>
                <w:rFonts w:ascii="宋体" w:hAnsi="宋体"/>
                <w:color w:val="auto"/>
                <w:highlight w:val="none"/>
              </w:rPr>
            </w:pPr>
          </w:p>
        </w:tc>
        <w:tc>
          <w:tcPr>
            <w:tcW w:w="993" w:type="dxa"/>
            <w:vAlign w:val="center"/>
          </w:tcPr>
          <w:p w14:paraId="5EB5C40A">
            <w:pPr>
              <w:ind w:left="0" w:firstLine="0"/>
              <w:rPr>
                <w:rFonts w:ascii="宋体" w:hAnsi="宋体"/>
                <w:color w:val="auto"/>
                <w:highlight w:val="none"/>
              </w:rPr>
            </w:pPr>
          </w:p>
        </w:tc>
        <w:tc>
          <w:tcPr>
            <w:tcW w:w="1388" w:type="dxa"/>
          </w:tcPr>
          <w:p w14:paraId="6E05CC80">
            <w:pPr>
              <w:ind w:left="0" w:firstLine="0"/>
              <w:rPr>
                <w:rFonts w:ascii="宋体" w:hAnsi="宋体"/>
                <w:color w:val="auto"/>
                <w:highlight w:val="none"/>
              </w:rPr>
            </w:pPr>
          </w:p>
        </w:tc>
        <w:tc>
          <w:tcPr>
            <w:tcW w:w="1044" w:type="dxa"/>
            <w:vAlign w:val="center"/>
          </w:tcPr>
          <w:p w14:paraId="068D59B8">
            <w:pPr>
              <w:ind w:left="0" w:firstLine="0"/>
              <w:rPr>
                <w:rFonts w:ascii="宋体" w:hAnsi="宋体"/>
                <w:color w:val="auto"/>
                <w:highlight w:val="none"/>
              </w:rPr>
            </w:pPr>
          </w:p>
        </w:tc>
        <w:tc>
          <w:tcPr>
            <w:tcW w:w="1043" w:type="dxa"/>
            <w:vAlign w:val="center"/>
          </w:tcPr>
          <w:p w14:paraId="0378DEB9">
            <w:pPr>
              <w:ind w:left="0" w:firstLine="0"/>
              <w:rPr>
                <w:rFonts w:ascii="宋体" w:hAnsi="宋体"/>
                <w:color w:val="auto"/>
                <w:highlight w:val="none"/>
              </w:rPr>
            </w:pPr>
          </w:p>
        </w:tc>
      </w:tr>
    </w:tbl>
    <w:p w14:paraId="1F0DFE57">
      <w:pPr>
        <w:spacing w:before="0"/>
        <w:ind w:left="567" w:right="-57" w:hanging="567"/>
        <w:jc w:val="left"/>
        <w:rPr>
          <w:rFonts w:ascii="宋体" w:hAnsi="宋体"/>
          <w:color w:val="auto"/>
          <w:highlight w:val="none"/>
        </w:rPr>
      </w:pPr>
    </w:p>
    <w:p w14:paraId="3972F5BD">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比选申请人自2023年1月1日至比选申请截止时间前，承接过（完工/在建项目）3个及以上15000kVA以上房地产项目相关供配电设计业绩。</w:t>
      </w:r>
    </w:p>
    <w:p w14:paraId="57231D05">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2B744A83">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3.</w:t>
      </w:r>
      <w:r>
        <w:rPr>
          <w:rFonts w:hint="eastAsia" w:ascii="宋体" w:hAnsi="宋体"/>
          <w:color w:val="auto"/>
          <w:highlight w:val="none"/>
        </w:rPr>
        <w:t>比选申请人须提供相应的业绩证明材料：</w:t>
      </w:r>
      <w:r>
        <w:rPr>
          <w:rFonts w:hint="eastAsia" w:ascii="宋体" w:hAnsi="宋体"/>
          <w:color w:val="auto"/>
          <w:highlight w:val="none"/>
          <w:lang w:eastAsia="zh-CN"/>
        </w:rPr>
        <w:t>提供下述材料之一即可：①合同文件；②中标通知书；③业主证明材料。所提供材料需能证明符合业绩内容，否则视为无效证明文件，提供复印件加盖比选申请人公章，原件备查。</w:t>
      </w:r>
    </w:p>
    <w:p w14:paraId="7C7A1ED4">
      <w:pPr>
        <w:snapToGrid w:val="0"/>
        <w:spacing w:after="50" w:line="280" w:lineRule="exact"/>
        <w:ind w:left="955" w:right="-817" w:firstLine="2520" w:firstLineChars="1200"/>
        <w:rPr>
          <w:rFonts w:ascii="宋体" w:hAnsi="宋体"/>
          <w:color w:val="auto"/>
          <w:highlight w:val="none"/>
        </w:rPr>
      </w:pPr>
    </w:p>
    <w:p w14:paraId="57EC3966">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52892239">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14:paraId="2C98001C">
      <w:pPr>
        <w:ind w:left="710" w:leftChars="338" w:right="-57" w:firstLine="3234" w:firstLineChars="1540"/>
        <w:jc w:val="left"/>
        <w:rPr>
          <w:rFonts w:ascii="宋体" w:hAnsi="宋体"/>
          <w:color w:val="auto"/>
          <w:highlight w:val="none"/>
        </w:rPr>
      </w:pPr>
      <w:r>
        <w:rPr>
          <w:rFonts w:hint="eastAsia" w:ascii="宋体" w:hAnsi="宋体"/>
          <w:color w:val="auto"/>
          <w:highlight w:val="none"/>
        </w:rPr>
        <w:t>日期：</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p>
    <w:p w14:paraId="16D09D63">
      <w:pPr>
        <w:pStyle w:val="6"/>
        <w:pageBreakBefore/>
        <w:spacing w:after="100"/>
        <w:ind w:left="0" w:right="-57" w:firstLine="0"/>
        <w:jc w:val="center"/>
        <w:rPr>
          <w:rFonts w:ascii="宋体" w:hAnsi="宋体"/>
          <w:color w:val="auto"/>
          <w:sz w:val="24"/>
          <w:szCs w:val="24"/>
          <w:highlight w:val="none"/>
        </w:rPr>
      </w:pPr>
      <w:bookmarkStart w:id="1592" w:name="_Toc14586"/>
      <w:bookmarkStart w:id="1593" w:name="_Toc14988"/>
      <w:bookmarkStart w:id="1594" w:name="_Toc18876"/>
      <w:bookmarkStart w:id="1595" w:name="_Toc8914"/>
      <w:bookmarkStart w:id="1596" w:name="_Toc12983551"/>
      <w:bookmarkStart w:id="1597" w:name="_Toc10812"/>
      <w:bookmarkStart w:id="1598" w:name="_Toc29358"/>
      <w:bookmarkStart w:id="1599" w:name="_Toc492478807"/>
      <w:bookmarkStart w:id="1600" w:name="_Toc12984811"/>
      <w:bookmarkStart w:id="1601" w:name="_Toc12677"/>
      <w:bookmarkStart w:id="1602" w:name="_Toc13328"/>
      <w:bookmarkStart w:id="1603" w:name="_Toc17687"/>
      <w:bookmarkStart w:id="1604" w:name="_Toc8451"/>
      <w:bookmarkStart w:id="1605" w:name="_Toc28662"/>
      <w:bookmarkStart w:id="1606" w:name="_Toc8874"/>
      <w:bookmarkStart w:id="1607" w:name="_Toc414290525"/>
      <w:bookmarkStart w:id="1608" w:name="_Toc16676"/>
      <w:bookmarkStart w:id="1609" w:name="_Toc11582"/>
      <w:bookmarkStart w:id="1610" w:name="_Toc24971"/>
      <w:bookmarkStart w:id="1611" w:name="_Toc27820"/>
      <w:bookmarkStart w:id="1612" w:name="_Toc23770"/>
      <w:bookmarkStart w:id="1613" w:name="_Toc114134667"/>
      <w:bookmarkStart w:id="1614" w:name="_Toc4087"/>
      <w:bookmarkStart w:id="1615" w:name="_Toc4061"/>
      <w:r>
        <w:rPr>
          <w:rFonts w:ascii="宋体" w:hAnsi="宋体"/>
          <w:color w:val="auto"/>
          <w:sz w:val="24"/>
          <w:szCs w:val="24"/>
          <w:highlight w:val="none"/>
        </w:rPr>
        <w:t>B</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Pr>
          <w:rFonts w:hint="eastAsia" w:ascii="宋体" w:hAnsi="宋体"/>
          <w:color w:val="auto"/>
          <w:sz w:val="24"/>
          <w:szCs w:val="24"/>
          <w:highlight w:val="none"/>
        </w:rPr>
        <w:t>价格文件</w:t>
      </w:r>
      <w:bookmarkEnd w:id="1613"/>
      <w:bookmarkEnd w:id="1614"/>
      <w:bookmarkEnd w:id="1615"/>
    </w:p>
    <w:p w14:paraId="3FAE4E0D">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211301FD">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27CFD1A0">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118F00A5">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774762CE">
      <w:pPr>
        <w:pStyle w:val="7"/>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616" w:name="_Toc414290526"/>
      <w:bookmarkStart w:id="1617" w:name="_Toc7004"/>
      <w:bookmarkStart w:id="1618" w:name="_Toc12983552"/>
      <w:bookmarkStart w:id="1619" w:name="_Toc16489"/>
      <w:bookmarkStart w:id="1620" w:name="_Toc13980"/>
      <w:bookmarkStart w:id="1621" w:name="_Toc21674"/>
      <w:bookmarkStart w:id="1622" w:name="_Toc24326"/>
      <w:bookmarkStart w:id="1623" w:name="_Toc18340"/>
      <w:bookmarkStart w:id="1624" w:name="_Toc5823"/>
      <w:bookmarkStart w:id="1625" w:name="_Toc23615"/>
      <w:bookmarkStart w:id="1626" w:name="_Toc18516"/>
      <w:bookmarkStart w:id="1627" w:name="_Toc375564355"/>
      <w:bookmarkStart w:id="1628" w:name="_Toc25750680"/>
      <w:bookmarkStart w:id="1629" w:name="_Toc12951"/>
      <w:bookmarkStart w:id="1630" w:name="_Toc6992"/>
      <w:bookmarkStart w:id="1631" w:name="_Toc10991"/>
      <w:bookmarkStart w:id="1632" w:name="_Toc492478808"/>
      <w:bookmarkStart w:id="1633" w:name="_Toc29231"/>
      <w:bookmarkStart w:id="1634" w:name="_Toc9861"/>
      <w:bookmarkStart w:id="1635" w:name="_Toc27610"/>
      <w:bookmarkStart w:id="1636" w:name="_Toc1158"/>
      <w:bookmarkStart w:id="1637" w:name="_Toc25419"/>
      <w:bookmarkStart w:id="1638" w:name="_Toc114134668"/>
      <w:bookmarkStart w:id="1639" w:name="_Toc24487"/>
      <w:bookmarkStart w:id="1640" w:name="_Toc9560"/>
      <w:bookmarkStart w:id="1641" w:name="_Toc29688"/>
      <w:bookmarkStart w:id="1642" w:name="_Toc12984812"/>
      <w:r>
        <w:rPr>
          <w:rFonts w:ascii="宋体" w:hAnsi="宋体" w:eastAsia="宋体"/>
          <w:color w:val="auto"/>
          <w:sz w:val="21"/>
          <w:szCs w:val="21"/>
          <w:highlight w:val="none"/>
        </w:rPr>
        <w:t>B1比选申请报价一览表</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6A97EA82">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36"/>
        <w:tblpPr w:leftFromText="180" w:rightFromText="180" w:vertAnchor="text" w:horzAnchor="page" w:tblpX="1833" w:tblpY="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1882"/>
        <w:gridCol w:w="3443"/>
        <w:gridCol w:w="2332"/>
      </w:tblGrid>
      <w:tr w14:paraId="0EF4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6" w:type="dxa"/>
            <w:gridSpan w:val="4"/>
            <w:vAlign w:val="center"/>
          </w:tcPr>
          <w:p w14:paraId="54EA4531">
            <w:pPr>
              <w:pStyle w:val="17"/>
              <w:ind w:left="0" w:firstLine="0"/>
              <w:jc w:val="center"/>
              <w:rPr>
                <w:rFonts w:hAnsi="宋体"/>
                <w:b/>
                <w:bCs/>
                <w:color w:val="auto"/>
                <w:kern w:val="2"/>
                <w:sz w:val="18"/>
                <w:szCs w:val="18"/>
                <w:highlight w:val="none"/>
              </w:rPr>
            </w:pPr>
            <w:r>
              <w:rPr>
                <w:rFonts w:hint="eastAsia" w:hAnsi="宋体"/>
                <w:b/>
                <w:bCs/>
                <w:color w:val="auto"/>
                <w:kern w:val="2"/>
                <w:sz w:val="18"/>
                <w:szCs w:val="18"/>
                <w:highlight w:val="none"/>
              </w:rPr>
              <w:t>比选申请报价</w:t>
            </w:r>
          </w:p>
        </w:tc>
      </w:tr>
      <w:tr w14:paraId="3A66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19" w:type="dxa"/>
          </w:tcPr>
          <w:p w14:paraId="7CE4B47C">
            <w:pPr>
              <w:pStyle w:val="17"/>
              <w:ind w:left="0" w:firstLine="0"/>
              <w:rPr>
                <w:rFonts w:hAnsi="宋体"/>
                <w:b/>
                <w:color w:val="auto"/>
                <w:kern w:val="2"/>
                <w:sz w:val="18"/>
                <w:szCs w:val="18"/>
                <w:highlight w:val="none"/>
              </w:rPr>
            </w:pPr>
            <w:r>
              <w:rPr>
                <w:rFonts w:hint="eastAsia" w:hAnsi="宋体"/>
                <w:b/>
                <w:color w:val="auto"/>
                <w:kern w:val="2"/>
                <w:sz w:val="18"/>
                <w:szCs w:val="18"/>
                <w:highlight w:val="none"/>
              </w:rPr>
              <w:t>序号</w:t>
            </w:r>
          </w:p>
        </w:tc>
        <w:tc>
          <w:tcPr>
            <w:tcW w:w="1882" w:type="dxa"/>
          </w:tcPr>
          <w:p w14:paraId="443301A1">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暂定总供电容量（KVA）</w:t>
            </w:r>
          </w:p>
        </w:tc>
        <w:tc>
          <w:tcPr>
            <w:tcW w:w="3443" w:type="dxa"/>
          </w:tcPr>
          <w:p w14:paraId="01BB5DD0">
            <w:pPr>
              <w:pStyle w:val="17"/>
              <w:ind w:left="0" w:firstLine="0"/>
              <w:jc w:val="center"/>
              <w:rPr>
                <w:color w:val="auto"/>
                <w:sz w:val="21"/>
                <w:szCs w:val="21"/>
                <w:highlight w:val="none"/>
              </w:rPr>
            </w:pPr>
            <w:r>
              <w:rPr>
                <w:rFonts w:hint="eastAsia" w:hAnsi="宋体"/>
                <w:b/>
                <w:color w:val="auto"/>
                <w:kern w:val="2"/>
                <w:sz w:val="18"/>
                <w:szCs w:val="18"/>
                <w:highlight w:val="none"/>
              </w:rPr>
              <w:t>不含税</w:t>
            </w:r>
            <w:r>
              <w:rPr>
                <w:rFonts w:hint="eastAsia" w:hAnsi="宋体"/>
                <w:b/>
                <w:color w:val="auto"/>
                <w:kern w:val="2"/>
                <w:sz w:val="18"/>
                <w:szCs w:val="18"/>
                <w:highlight w:val="none"/>
                <w:lang w:val="en-US" w:eastAsia="zh-CN"/>
              </w:rPr>
              <w:t>单价</w:t>
            </w:r>
            <w:r>
              <w:rPr>
                <w:rFonts w:hint="eastAsia" w:hAnsi="宋体"/>
                <w:b/>
                <w:color w:val="auto"/>
                <w:kern w:val="2"/>
                <w:sz w:val="18"/>
                <w:szCs w:val="18"/>
                <w:highlight w:val="none"/>
              </w:rPr>
              <w:t>金额（元/KVA）</w:t>
            </w:r>
          </w:p>
        </w:tc>
        <w:tc>
          <w:tcPr>
            <w:tcW w:w="2332" w:type="dxa"/>
          </w:tcPr>
          <w:p w14:paraId="051C0098">
            <w:pPr>
              <w:pStyle w:val="17"/>
              <w:ind w:left="0" w:firstLine="0"/>
              <w:rPr>
                <w:rFonts w:hAnsi="宋体"/>
                <w:b/>
                <w:color w:val="auto"/>
                <w:kern w:val="2"/>
                <w:sz w:val="18"/>
                <w:szCs w:val="18"/>
                <w:highlight w:val="none"/>
              </w:rPr>
            </w:pPr>
            <w:r>
              <w:rPr>
                <w:rFonts w:hint="eastAsia" w:hAnsi="宋体"/>
                <w:b/>
                <w:color w:val="auto"/>
                <w:kern w:val="2"/>
                <w:sz w:val="18"/>
                <w:szCs w:val="18"/>
                <w:highlight w:val="none"/>
              </w:rPr>
              <w:t>备注</w:t>
            </w:r>
          </w:p>
        </w:tc>
      </w:tr>
      <w:tr w14:paraId="14C0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307CAFFA">
            <w:pPr>
              <w:pStyle w:val="17"/>
              <w:spacing w:line="240" w:lineRule="auto"/>
              <w:ind w:left="0" w:firstLine="0"/>
              <w:jc w:val="center"/>
              <w:rPr>
                <w:color w:val="auto"/>
                <w:sz w:val="21"/>
                <w:szCs w:val="21"/>
                <w:highlight w:val="none"/>
              </w:rPr>
            </w:pPr>
            <w:r>
              <w:rPr>
                <w:rFonts w:hint="eastAsia"/>
                <w:color w:val="auto"/>
                <w:sz w:val="21"/>
                <w:szCs w:val="21"/>
                <w:highlight w:val="none"/>
              </w:rPr>
              <w:t>1</w:t>
            </w:r>
          </w:p>
        </w:tc>
        <w:tc>
          <w:tcPr>
            <w:tcW w:w="1882" w:type="dxa"/>
            <w:vAlign w:val="center"/>
          </w:tcPr>
          <w:p w14:paraId="2B86CFE2">
            <w:pPr>
              <w:pStyle w:val="17"/>
              <w:ind w:left="0" w:firstLine="0"/>
              <w:jc w:val="center"/>
              <w:rPr>
                <w:bCs/>
                <w:color w:val="auto"/>
                <w:sz w:val="21"/>
                <w:szCs w:val="21"/>
                <w:highlight w:val="none"/>
              </w:rPr>
            </w:pPr>
            <w:r>
              <w:rPr>
                <w:rFonts w:hint="eastAsia" w:hAnsi="宋体"/>
                <w:b/>
                <w:bCs/>
                <w:color w:val="auto"/>
                <w:sz w:val="24"/>
                <w:szCs w:val="24"/>
                <w:highlight w:val="none"/>
                <w:lang w:val="en-US" w:eastAsia="zh-CN"/>
              </w:rPr>
              <w:t>20000</w:t>
            </w:r>
            <w:r>
              <w:rPr>
                <w:rFonts w:hint="eastAsia" w:ascii="宋体" w:hAnsi="宋体"/>
                <w:color w:val="auto"/>
                <w:highlight w:val="none"/>
                <w:lang w:val="en-US" w:eastAsia="zh-CN"/>
              </w:rPr>
              <w:t>kVA</w:t>
            </w:r>
          </w:p>
        </w:tc>
        <w:tc>
          <w:tcPr>
            <w:tcW w:w="3443" w:type="dxa"/>
            <w:vAlign w:val="center"/>
          </w:tcPr>
          <w:p w14:paraId="35B041E2">
            <w:pPr>
              <w:pStyle w:val="17"/>
              <w:ind w:left="0" w:firstLine="0"/>
              <w:jc w:val="center"/>
              <w:rPr>
                <w:rFonts w:hint="default" w:hAnsi="宋体"/>
                <w:b/>
                <w:bCs/>
                <w:color w:val="auto"/>
                <w:sz w:val="24"/>
                <w:szCs w:val="24"/>
                <w:highlight w:val="none"/>
                <w:lang w:val="en-US" w:eastAsia="zh-CN"/>
              </w:rPr>
            </w:pPr>
          </w:p>
        </w:tc>
        <w:tc>
          <w:tcPr>
            <w:tcW w:w="2332" w:type="dxa"/>
          </w:tcPr>
          <w:p w14:paraId="272B1BFB">
            <w:pPr>
              <w:pStyle w:val="17"/>
              <w:ind w:left="0" w:firstLine="0"/>
              <w:rPr>
                <w:color w:val="auto"/>
                <w:sz w:val="21"/>
                <w:szCs w:val="21"/>
                <w:highlight w:val="none"/>
              </w:rPr>
            </w:pPr>
            <w:r>
              <w:rPr>
                <w:rFonts w:hint="eastAsia" w:hAnsi="宋体"/>
                <w:color w:val="auto"/>
                <w:highlight w:val="none"/>
                <w:lang w:val="en-US" w:eastAsia="zh-CN"/>
              </w:rPr>
              <w:t>结算以</w:t>
            </w:r>
            <w:r>
              <w:rPr>
                <w:rFonts w:hint="eastAsia" w:ascii="宋体" w:hAnsi="宋体"/>
                <w:color w:val="auto"/>
                <w:highlight w:val="none"/>
                <w:lang w:val="en-US" w:eastAsia="zh-CN"/>
              </w:rPr>
              <w:t>供电局批复</w:t>
            </w:r>
            <w:r>
              <w:rPr>
                <w:rFonts w:hint="eastAsia" w:hAnsi="宋体"/>
                <w:color w:val="auto"/>
                <w:highlight w:val="none"/>
                <w:lang w:val="en-US" w:eastAsia="zh-CN"/>
              </w:rPr>
              <w:t>的实际容量</w:t>
            </w:r>
            <w:r>
              <w:rPr>
                <w:rFonts w:hint="eastAsia" w:ascii="宋体" w:hAnsi="宋体"/>
                <w:color w:val="auto"/>
                <w:highlight w:val="none"/>
                <w:lang w:val="en-US" w:eastAsia="zh-CN"/>
              </w:rPr>
              <w:t>为准。</w:t>
            </w:r>
          </w:p>
        </w:tc>
      </w:tr>
      <w:tr w14:paraId="1315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919" w:type="dxa"/>
            <w:vAlign w:val="center"/>
          </w:tcPr>
          <w:p w14:paraId="6D33B522">
            <w:pPr>
              <w:pStyle w:val="17"/>
              <w:ind w:left="0" w:firstLine="0"/>
              <w:jc w:val="center"/>
              <w:rPr>
                <w:color w:val="auto"/>
                <w:sz w:val="21"/>
                <w:szCs w:val="21"/>
                <w:highlight w:val="none"/>
              </w:rPr>
            </w:pPr>
            <w:r>
              <w:rPr>
                <w:rFonts w:hint="eastAsia"/>
                <w:color w:val="auto"/>
                <w:sz w:val="21"/>
                <w:szCs w:val="21"/>
                <w:highlight w:val="none"/>
              </w:rPr>
              <w:t>2</w:t>
            </w:r>
          </w:p>
        </w:tc>
        <w:tc>
          <w:tcPr>
            <w:tcW w:w="1882" w:type="dxa"/>
          </w:tcPr>
          <w:p w14:paraId="6E515B7C">
            <w:pPr>
              <w:pStyle w:val="17"/>
              <w:ind w:left="0" w:firstLine="0"/>
              <w:jc w:val="right"/>
              <w:rPr>
                <w:color w:val="auto"/>
                <w:sz w:val="21"/>
                <w:szCs w:val="21"/>
                <w:highlight w:val="none"/>
              </w:rPr>
            </w:pPr>
            <w:r>
              <w:rPr>
                <w:rFonts w:hint="eastAsia" w:hAnsi="宋体"/>
                <w:b/>
                <w:color w:val="auto"/>
                <w:kern w:val="2"/>
                <w:sz w:val="18"/>
                <w:szCs w:val="18"/>
                <w:highlight w:val="none"/>
              </w:rPr>
              <w:t>不含税报价合计/元</w:t>
            </w:r>
          </w:p>
        </w:tc>
        <w:tc>
          <w:tcPr>
            <w:tcW w:w="3443" w:type="dxa"/>
          </w:tcPr>
          <w:p w14:paraId="41F8A548">
            <w:pPr>
              <w:pStyle w:val="17"/>
              <w:spacing w:line="240" w:lineRule="auto"/>
              <w:ind w:left="0" w:firstLine="0"/>
              <w:rPr>
                <w:rFonts w:hint="eastAsia"/>
                <w:color w:val="auto"/>
                <w:highlight w:val="none"/>
              </w:rPr>
            </w:pPr>
            <w:r>
              <w:rPr>
                <w:rFonts w:hint="eastAsia"/>
                <w:color w:val="auto"/>
                <w:highlight w:val="none"/>
              </w:rPr>
              <w:t>小写：</w:t>
            </w:r>
          </w:p>
          <w:p w14:paraId="1F9F0E98">
            <w:pPr>
              <w:pStyle w:val="17"/>
              <w:spacing w:line="240" w:lineRule="auto"/>
              <w:ind w:left="0" w:firstLine="0"/>
              <w:rPr>
                <w:color w:val="auto"/>
                <w:sz w:val="21"/>
                <w:szCs w:val="21"/>
                <w:highlight w:val="none"/>
              </w:rPr>
            </w:pPr>
            <w:r>
              <w:rPr>
                <w:rFonts w:hint="eastAsia"/>
                <w:color w:val="auto"/>
                <w:highlight w:val="none"/>
              </w:rPr>
              <w:t>大写：</w:t>
            </w:r>
          </w:p>
        </w:tc>
        <w:tc>
          <w:tcPr>
            <w:tcW w:w="2332" w:type="dxa"/>
          </w:tcPr>
          <w:p w14:paraId="1FD2897C">
            <w:pPr>
              <w:pStyle w:val="17"/>
              <w:ind w:left="0" w:firstLine="0"/>
              <w:rPr>
                <w:color w:val="auto"/>
                <w:sz w:val="21"/>
                <w:szCs w:val="21"/>
                <w:highlight w:val="none"/>
              </w:rPr>
            </w:pPr>
          </w:p>
        </w:tc>
      </w:tr>
      <w:tr w14:paraId="09A1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64534FDE">
            <w:pPr>
              <w:pStyle w:val="17"/>
              <w:ind w:left="0" w:firstLine="0"/>
              <w:jc w:val="center"/>
              <w:rPr>
                <w:color w:val="auto"/>
                <w:sz w:val="21"/>
                <w:szCs w:val="21"/>
                <w:highlight w:val="none"/>
              </w:rPr>
            </w:pPr>
            <w:r>
              <w:rPr>
                <w:rFonts w:hint="eastAsia"/>
                <w:color w:val="auto"/>
                <w:sz w:val="21"/>
                <w:szCs w:val="21"/>
                <w:highlight w:val="none"/>
              </w:rPr>
              <w:t>3</w:t>
            </w:r>
          </w:p>
        </w:tc>
        <w:tc>
          <w:tcPr>
            <w:tcW w:w="1882" w:type="dxa"/>
          </w:tcPr>
          <w:p w14:paraId="668C9271">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税率</w:t>
            </w:r>
          </w:p>
        </w:tc>
        <w:tc>
          <w:tcPr>
            <w:tcW w:w="3443" w:type="dxa"/>
          </w:tcPr>
          <w:p w14:paraId="59D86D8C">
            <w:pPr>
              <w:pStyle w:val="17"/>
              <w:ind w:left="0" w:firstLine="420" w:firstLineChars="200"/>
              <w:rPr>
                <w:color w:val="auto"/>
                <w:sz w:val="21"/>
                <w:szCs w:val="21"/>
                <w:highlight w:val="none"/>
                <w:u w:val="single"/>
              </w:rPr>
            </w:pPr>
            <w:r>
              <w:rPr>
                <w:rFonts w:hint="eastAsia"/>
                <w:color w:val="auto"/>
                <w:sz w:val="21"/>
                <w:szCs w:val="21"/>
                <w:highlight w:val="none"/>
                <w:u w:val="single"/>
              </w:rPr>
              <w:t>%</w:t>
            </w:r>
          </w:p>
        </w:tc>
        <w:tc>
          <w:tcPr>
            <w:tcW w:w="2332" w:type="dxa"/>
          </w:tcPr>
          <w:p w14:paraId="3314CA24">
            <w:pPr>
              <w:pStyle w:val="17"/>
              <w:ind w:left="0" w:firstLine="0"/>
              <w:rPr>
                <w:color w:val="auto"/>
                <w:sz w:val="21"/>
                <w:szCs w:val="21"/>
                <w:highlight w:val="none"/>
              </w:rPr>
            </w:pPr>
          </w:p>
        </w:tc>
      </w:tr>
      <w:tr w14:paraId="12F1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4E04375B">
            <w:pPr>
              <w:pStyle w:val="17"/>
              <w:ind w:left="0" w:firstLine="0"/>
              <w:jc w:val="center"/>
              <w:rPr>
                <w:color w:val="auto"/>
                <w:sz w:val="21"/>
                <w:szCs w:val="21"/>
                <w:highlight w:val="none"/>
              </w:rPr>
            </w:pPr>
            <w:r>
              <w:rPr>
                <w:rFonts w:hint="eastAsia"/>
                <w:color w:val="auto"/>
                <w:sz w:val="21"/>
                <w:szCs w:val="21"/>
                <w:highlight w:val="none"/>
              </w:rPr>
              <w:t>4</w:t>
            </w:r>
          </w:p>
        </w:tc>
        <w:tc>
          <w:tcPr>
            <w:tcW w:w="1882" w:type="dxa"/>
          </w:tcPr>
          <w:p w14:paraId="48A9C22C">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税金</w:t>
            </w:r>
          </w:p>
        </w:tc>
        <w:tc>
          <w:tcPr>
            <w:tcW w:w="3443" w:type="dxa"/>
          </w:tcPr>
          <w:p w14:paraId="2F470FAD">
            <w:pPr>
              <w:pStyle w:val="17"/>
              <w:spacing w:line="240" w:lineRule="auto"/>
              <w:ind w:left="0" w:firstLine="0"/>
              <w:rPr>
                <w:rFonts w:hint="eastAsia"/>
                <w:color w:val="auto"/>
                <w:highlight w:val="none"/>
              </w:rPr>
            </w:pPr>
            <w:r>
              <w:rPr>
                <w:rFonts w:hint="eastAsia"/>
                <w:color w:val="auto"/>
                <w:highlight w:val="none"/>
              </w:rPr>
              <w:t>小写：</w:t>
            </w:r>
          </w:p>
          <w:p w14:paraId="637B6558">
            <w:pPr>
              <w:pStyle w:val="17"/>
              <w:spacing w:line="240" w:lineRule="auto"/>
              <w:ind w:left="0" w:firstLine="0"/>
              <w:rPr>
                <w:color w:val="auto"/>
                <w:sz w:val="21"/>
                <w:szCs w:val="21"/>
                <w:highlight w:val="none"/>
              </w:rPr>
            </w:pPr>
            <w:r>
              <w:rPr>
                <w:rFonts w:hint="eastAsia"/>
                <w:color w:val="auto"/>
                <w:highlight w:val="none"/>
              </w:rPr>
              <w:t>大写：</w:t>
            </w:r>
          </w:p>
        </w:tc>
        <w:tc>
          <w:tcPr>
            <w:tcW w:w="2332" w:type="dxa"/>
          </w:tcPr>
          <w:p w14:paraId="10057783">
            <w:pPr>
              <w:pStyle w:val="17"/>
              <w:ind w:left="0" w:firstLine="0"/>
              <w:rPr>
                <w:color w:val="auto"/>
                <w:sz w:val="21"/>
                <w:szCs w:val="21"/>
                <w:highlight w:val="none"/>
              </w:rPr>
            </w:pPr>
          </w:p>
        </w:tc>
      </w:tr>
      <w:tr w14:paraId="4CB14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34649D42">
            <w:pPr>
              <w:pStyle w:val="17"/>
              <w:ind w:left="0" w:firstLine="0"/>
              <w:jc w:val="center"/>
              <w:rPr>
                <w:color w:val="auto"/>
                <w:sz w:val="21"/>
                <w:szCs w:val="21"/>
                <w:highlight w:val="none"/>
              </w:rPr>
            </w:pPr>
            <w:r>
              <w:rPr>
                <w:rFonts w:hint="eastAsia"/>
                <w:color w:val="auto"/>
                <w:sz w:val="21"/>
                <w:szCs w:val="21"/>
                <w:highlight w:val="none"/>
              </w:rPr>
              <w:t>5</w:t>
            </w:r>
          </w:p>
        </w:tc>
        <w:tc>
          <w:tcPr>
            <w:tcW w:w="1882" w:type="dxa"/>
          </w:tcPr>
          <w:p w14:paraId="0E64E132">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含税报价合计</w:t>
            </w:r>
          </w:p>
        </w:tc>
        <w:tc>
          <w:tcPr>
            <w:tcW w:w="3443" w:type="dxa"/>
          </w:tcPr>
          <w:p w14:paraId="28BC7A3B">
            <w:pPr>
              <w:pStyle w:val="17"/>
              <w:spacing w:line="240" w:lineRule="auto"/>
              <w:ind w:left="0" w:firstLine="0"/>
              <w:rPr>
                <w:rFonts w:hint="eastAsia"/>
                <w:color w:val="auto"/>
                <w:highlight w:val="none"/>
              </w:rPr>
            </w:pPr>
            <w:r>
              <w:rPr>
                <w:rFonts w:hint="eastAsia"/>
                <w:color w:val="auto"/>
                <w:highlight w:val="none"/>
              </w:rPr>
              <w:t>小写：</w:t>
            </w:r>
          </w:p>
          <w:p w14:paraId="20025DFF">
            <w:pPr>
              <w:pStyle w:val="17"/>
              <w:spacing w:line="240" w:lineRule="auto"/>
              <w:ind w:left="0" w:firstLine="0"/>
              <w:rPr>
                <w:color w:val="auto"/>
                <w:sz w:val="21"/>
                <w:szCs w:val="21"/>
                <w:highlight w:val="none"/>
              </w:rPr>
            </w:pPr>
            <w:r>
              <w:rPr>
                <w:rFonts w:hint="eastAsia"/>
                <w:color w:val="auto"/>
                <w:highlight w:val="none"/>
              </w:rPr>
              <w:t>大写：</w:t>
            </w:r>
          </w:p>
        </w:tc>
        <w:tc>
          <w:tcPr>
            <w:tcW w:w="2332" w:type="dxa"/>
          </w:tcPr>
          <w:p w14:paraId="66604DDF">
            <w:pPr>
              <w:pStyle w:val="17"/>
              <w:ind w:left="0" w:firstLine="0"/>
              <w:rPr>
                <w:color w:val="auto"/>
                <w:sz w:val="21"/>
                <w:szCs w:val="21"/>
                <w:highlight w:val="none"/>
              </w:rPr>
            </w:pPr>
          </w:p>
        </w:tc>
      </w:tr>
    </w:tbl>
    <w:p w14:paraId="311C4B62">
      <w:pPr>
        <w:numPr>
          <w:ilvl w:val="255"/>
          <w:numId w:val="0"/>
        </w:numPr>
        <w:spacing w:before="0" w:after="0" w:afterAutospacing="0" w:line="240" w:lineRule="auto"/>
        <w:ind w:right="0" w:firstLine="424" w:firstLineChars="202"/>
        <w:rPr>
          <w:rFonts w:hint="eastAsia" w:ascii="宋体" w:hAnsi="宋体"/>
          <w:color w:val="auto"/>
          <w:highlight w:val="none"/>
        </w:rPr>
      </w:pPr>
    </w:p>
    <w:p w14:paraId="43EF3FD2">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注</w:t>
      </w:r>
      <w:r>
        <w:rPr>
          <w:rFonts w:ascii="宋体" w:hAnsi="宋体"/>
          <w:color w:val="auto"/>
          <w:highlight w:val="none"/>
        </w:rPr>
        <w:t>:</w:t>
      </w:r>
    </w:p>
    <w:p w14:paraId="1AAB33A3">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（1）比选申请报价需价税分离。</w:t>
      </w:r>
    </w:p>
    <w:p w14:paraId="10D0F23A">
      <w:pPr>
        <w:numPr>
          <w:ilvl w:val="255"/>
          <w:numId w:val="0"/>
        </w:numPr>
        <w:spacing w:before="0" w:after="0" w:afterAutospacing="0" w:line="240" w:lineRule="auto"/>
        <w:ind w:right="0" w:firstLine="424" w:firstLineChars="202"/>
        <w:rPr>
          <w:rFonts w:hint="eastAsia"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包含设计费、交通费、</w:t>
      </w:r>
      <w:r>
        <w:rPr>
          <w:rFonts w:hint="eastAsia" w:ascii="宋体" w:hAnsi="宋体"/>
          <w:color w:val="auto"/>
          <w:highlight w:val="none"/>
        </w:rPr>
        <w:t>人工成本、管理费、利润、保险</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14:paraId="508122B3">
      <w:pPr>
        <w:numPr>
          <w:ilvl w:val="255"/>
          <w:numId w:val="0"/>
        </w:numPr>
        <w:spacing w:before="0" w:after="0" w:afterAutospacing="0" w:line="240" w:lineRule="auto"/>
        <w:ind w:left="0" w:right="0" w:firstLine="424" w:firstLineChars="202"/>
        <w:rPr>
          <w:rFonts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14:paraId="776601EF">
      <w:pPr>
        <w:spacing w:before="0" w:after="0" w:afterAutospacing="0"/>
        <w:ind w:left="0" w:right="0" w:firstLine="420" w:firstLineChars="200"/>
        <w:rPr>
          <w:rFonts w:hAnsi="宋体"/>
          <w:color w:val="auto"/>
          <w:highlight w:val="none"/>
        </w:rPr>
      </w:pPr>
    </w:p>
    <w:p w14:paraId="2157B1D2">
      <w:pPr>
        <w:snapToGrid w:val="0"/>
        <w:spacing w:before="0" w:after="0" w:afterAutospacing="0" w:line="400" w:lineRule="exact"/>
        <w:ind w:left="0" w:right="0" w:firstLine="426"/>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14:paraId="263BF068">
      <w:pPr>
        <w:snapToGrid w:val="0"/>
        <w:spacing w:before="0" w:after="0" w:afterAutospacing="0" w:line="400" w:lineRule="exact"/>
        <w:ind w:left="0" w:right="0" w:firstLine="426"/>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E7873E6">
      <w:pPr>
        <w:rPr>
          <w:color w:val="auto"/>
          <w:highlight w:val="none"/>
        </w:rPr>
      </w:pPr>
      <w:r>
        <w:rPr>
          <w:rFonts w:ascii="宋体" w:hAnsi="宋体"/>
          <w:b/>
          <w:color w:val="auto"/>
          <w:szCs w:val="24"/>
          <w:highlight w:val="none"/>
        </w:rPr>
        <w:br w:type="page"/>
      </w:r>
    </w:p>
    <w:p w14:paraId="6BE869A7">
      <w:pPr>
        <w:pStyle w:val="7"/>
        <w:tabs>
          <w:tab w:val="left" w:pos="567"/>
          <w:tab w:val="left" w:pos="720"/>
        </w:tabs>
        <w:snapToGrid w:val="0"/>
        <w:spacing w:after="0" w:line="360" w:lineRule="auto"/>
        <w:ind w:left="0" w:right="0" w:firstLine="0"/>
        <w:jc w:val="left"/>
        <w:rPr>
          <w:rFonts w:ascii="宋体" w:hAnsi="宋体" w:eastAsia="宋体" w:cs="Arial"/>
          <w:color w:val="auto"/>
          <w:highlight w:val="none"/>
        </w:rPr>
      </w:pPr>
      <w:bookmarkStart w:id="1643" w:name="_Toc68859063"/>
      <w:bookmarkStart w:id="1644" w:name="_Toc58124833"/>
      <w:bookmarkStart w:id="1645" w:name="_Toc110413986"/>
      <w:bookmarkStart w:id="1646" w:name="_Toc61680485"/>
      <w:bookmarkStart w:id="1647" w:name="_Toc29702"/>
      <w:bookmarkStart w:id="1648" w:name="_Toc30580"/>
      <w:bookmarkStart w:id="1649" w:name="_Toc2257"/>
      <w:bookmarkStart w:id="1650" w:name="_Toc241920153"/>
      <w:bookmarkStart w:id="1651" w:name="_Toc20737"/>
      <w:bookmarkStart w:id="1652" w:name="_Toc375564356"/>
      <w:bookmarkStart w:id="1653" w:name="_Toc414290527"/>
      <w:bookmarkStart w:id="1654" w:name="_Toc6833"/>
      <w:bookmarkStart w:id="1655" w:name="_Toc27888"/>
      <w:bookmarkStart w:id="1656" w:name="_Toc21109"/>
      <w:bookmarkStart w:id="1657" w:name="_Toc2585"/>
      <w:bookmarkStart w:id="1658" w:name="_Toc20864"/>
      <w:bookmarkStart w:id="1659" w:name="_Toc14503"/>
      <w:bookmarkStart w:id="1660" w:name="_Toc6270"/>
      <w:bookmarkStart w:id="1661" w:name="_Toc8713"/>
      <w:bookmarkStart w:id="1662" w:name="_Toc25869"/>
      <w:bookmarkStart w:id="1663" w:name="_Toc32224"/>
      <w:bookmarkStart w:id="1664" w:name="_Toc14859"/>
      <w:bookmarkStart w:id="1665" w:name="_Toc12983553"/>
      <w:bookmarkStart w:id="1666" w:name="_Toc12984813"/>
      <w:bookmarkStart w:id="1667" w:name="_Toc114134669"/>
      <w:bookmarkStart w:id="1668" w:name="_Toc17112"/>
      <w:bookmarkStart w:id="1669" w:name="_Toc4976"/>
      <w:bookmarkStart w:id="1670" w:name="_Toc492478809"/>
      <w:bookmarkStart w:id="1671" w:name="_Toc10260"/>
      <w:bookmarkStart w:id="1672" w:name="_Toc25750681"/>
      <w:bookmarkStart w:id="1673" w:name="_Toc11065"/>
      <w:bookmarkStart w:id="1674" w:name="_Toc15419"/>
      <w:r>
        <w:rPr>
          <w:rFonts w:ascii="宋体" w:hAnsi="宋体" w:eastAsia="宋体"/>
          <w:color w:val="auto"/>
          <w:sz w:val="21"/>
          <w:szCs w:val="21"/>
          <w:highlight w:val="none"/>
        </w:rPr>
        <w:t>B2比选申请</w:t>
      </w:r>
      <w:bookmarkEnd w:id="1643"/>
      <w:bookmarkEnd w:id="1644"/>
      <w:bookmarkEnd w:id="1645"/>
      <w:bookmarkEnd w:id="1646"/>
      <w:r>
        <w:rPr>
          <w:rFonts w:ascii="宋体" w:hAnsi="宋体" w:eastAsia="宋体"/>
          <w:color w:val="auto"/>
          <w:sz w:val="21"/>
          <w:szCs w:val="21"/>
          <w:highlight w:val="none"/>
        </w:rPr>
        <w:t>函格式</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33EF81B2">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360C9314">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4C6E3689">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hint="eastAsia" w:ascii="宋体" w:hAnsi="宋体"/>
          <w:color w:val="auto"/>
          <w:highlight w:val="none"/>
          <w:u w:val="single"/>
          <w:lang w:val="en-US" w:eastAsia="zh-CN"/>
        </w:rPr>
        <w:t>2</w:t>
      </w:r>
      <w:r>
        <w:rPr>
          <w:rFonts w:ascii="宋体" w:hAnsi="宋体"/>
          <w:color w:val="auto"/>
          <w:highlight w:val="none"/>
        </w:rPr>
        <w:t>份及电子文件</w:t>
      </w:r>
      <w:r>
        <w:rPr>
          <w:rFonts w:hint="eastAsia" w:ascii="宋体" w:hAnsi="宋体"/>
          <w:color w:val="auto"/>
          <w:highlight w:val="none"/>
          <w:u w:val="single"/>
          <w:lang w:val="en-US" w:eastAsia="zh-CN"/>
        </w:rPr>
        <w:t>1</w:t>
      </w:r>
      <w:r>
        <w:rPr>
          <w:rFonts w:ascii="宋体" w:hAnsi="宋体"/>
          <w:color w:val="auto"/>
          <w:highlight w:val="none"/>
        </w:rPr>
        <w:t>份（U盘）。</w:t>
      </w:r>
    </w:p>
    <w:p w14:paraId="106B016F">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3C19AE8D">
      <w:pPr>
        <w:spacing w:before="0" w:after="0" w:afterAutospacing="0"/>
        <w:ind w:left="0" w:right="0" w:firstLine="420" w:firstLineChars="200"/>
        <w:rPr>
          <w:rFonts w:ascii="宋体" w:hAnsi="宋体"/>
          <w:color w:val="auto"/>
          <w:highlight w:val="none"/>
        </w:rPr>
      </w:pPr>
      <w:bookmarkStart w:id="1675" w:name="_Toc375564357"/>
      <w:r>
        <w:rPr>
          <w:rFonts w:ascii="宋体" w:hAnsi="宋体"/>
          <w:color w:val="auto"/>
          <w:highlight w:val="none"/>
        </w:rPr>
        <w:t>1.按比选文件要求规定的应提交和交付的服务并履行全部合同义务的比选申请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675"/>
    </w:p>
    <w:p w14:paraId="7A48901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3BC2BED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31FD97F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546302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我方</w:t>
      </w:r>
      <w:r>
        <w:rPr>
          <w:rFonts w:ascii="宋体" w:hAnsi="宋体"/>
          <w:color w:val="auto"/>
          <w:highlight w:val="none"/>
        </w:rPr>
        <w:t>在比选申请有效期内撤销比选申请，</w:t>
      </w:r>
      <w:r>
        <w:rPr>
          <w:rFonts w:hint="eastAsia" w:ascii="宋体" w:hAnsi="宋体"/>
          <w:color w:val="auto"/>
          <w:highlight w:val="none"/>
        </w:rPr>
        <w:t>所造成的损失我方承担</w:t>
      </w:r>
      <w:r>
        <w:rPr>
          <w:rFonts w:ascii="宋体" w:hAnsi="宋体"/>
          <w:color w:val="auto"/>
          <w:highlight w:val="none"/>
        </w:rPr>
        <w:t>。</w:t>
      </w:r>
    </w:p>
    <w:p w14:paraId="54AB22E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14:paraId="50C4477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14:paraId="042E283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CFE6F25">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4FFB6DB3">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w:t>
      </w:r>
    </w:p>
    <w:p w14:paraId="165C103A">
      <w:pPr>
        <w:spacing w:before="0" w:after="0" w:afterAutospacing="0"/>
        <w:ind w:left="0" w:right="0" w:firstLine="420" w:firstLineChars="200"/>
        <w:rPr>
          <w:rFonts w:ascii="宋体" w:hAnsi="宋体"/>
          <w:color w:val="auto"/>
          <w:highlight w:val="none"/>
        </w:rPr>
      </w:pPr>
      <w:r>
        <w:rPr>
          <w:rFonts w:ascii="宋体" w:hAnsi="宋体"/>
          <w:color w:val="auto"/>
          <w:highlight w:val="none"/>
        </w:rPr>
        <w:t>传真：</w:t>
      </w:r>
    </w:p>
    <w:p w14:paraId="49259888">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2EBDF088">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0B9AFE4">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15DFB23D">
      <w:pPr>
        <w:spacing w:before="0" w:after="0" w:afterAutospacing="0"/>
        <w:ind w:left="0" w:right="0" w:firstLine="420" w:firstLineChars="200"/>
        <w:rPr>
          <w:rFonts w:ascii="宋体" w:hAnsi="宋体"/>
          <w:color w:val="auto"/>
          <w:highlight w:val="none"/>
        </w:rPr>
        <w:sectPr>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日期：</w:t>
      </w:r>
      <w:r>
        <w:rPr>
          <w:rFonts w:ascii="宋体" w:hAnsi="宋体"/>
          <w:color w:val="auto"/>
          <w:highlight w:val="none"/>
        </w:rPr>
        <w:t>年月日</w:t>
      </w:r>
    </w:p>
    <w:p w14:paraId="35BECEB5">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3比选申请人认为应提交的其他比选申请资料（如有）。</w:t>
      </w:r>
    </w:p>
    <w:p w14:paraId="03CEDAEC">
      <w:pPr>
        <w:pStyle w:val="6"/>
        <w:pageBreakBefore/>
        <w:spacing w:after="100"/>
        <w:ind w:right="-57" w:firstLine="0"/>
        <w:jc w:val="center"/>
        <w:rPr>
          <w:rFonts w:hAnsi="宋体"/>
          <w:b w:val="0"/>
          <w:color w:val="auto"/>
          <w:sz w:val="24"/>
          <w:szCs w:val="24"/>
          <w:highlight w:val="none"/>
        </w:rPr>
      </w:pPr>
      <w:bookmarkStart w:id="1676" w:name="_Toc19107"/>
      <w:bookmarkStart w:id="1677" w:name="_Toc414290562"/>
      <w:bookmarkStart w:id="1678" w:name="_Toc492478827"/>
      <w:bookmarkStart w:id="1679" w:name="_Toc14091"/>
      <w:bookmarkStart w:id="1680" w:name="_Toc29577"/>
      <w:bookmarkStart w:id="1681" w:name="_Toc13870"/>
      <w:bookmarkStart w:id="1682" w:name="_Toc19413"/>
      <w:bookmarkStart w:id="1683" w:name="_Toc13548"/>
      <w:bookmarkStart w:id="1684" w:name="_Toc22423"/>
      <w:bookmarkStart w:id="1685" w:name="_Toc25635"/>
      <w:bookmarkStart w:id="1686" w:name="_Toc15451"/>
      <w:bookmarkStart w:id="1687" w:name="_Toc30812"/>
      <w:bookmarkStart w:id="1688" w:name="_Toc6034"/>
      <w:bookmarkStart w:id="1689" w:name="_Toc17664"/>
      <w:bookmarkStart w:id="1690" w:name="_Toc114134670"/>
      <w:bookmarkStart w:id="1691" w:name="_Toc30649"/>
      <w:bookmarkStart w:id="1692" w:name="_Toc2327"/>
      <w:bookmarkStart w:id="1693" w:name="_Toc25220"/>
      <w:bookmarkStart w:id="1694" w:name="_Toc8563"/>
      <w:bookmarkStart w:id="1695" w:name="_Toc3307"/>
      <w:bookmarkStart w:id="1696" w:name="_Toc32381"/>
      <w:bookmarkStart w:id="1697" w:name="_Toc9876"/>
      <w:r>
        <w:rPr>
          <w:rFonts w:hint="eastAsia"/>
          <w:color w:val="auto"/>
          <w:sz w:val="24"/>
          <w:szCs w:val="24"/>
          <w:highlight w:val="none"/>
        </w:rPr>
        <w:t>C</w:t>
      </w:r>
      <w:r>
        <w:rPr>
          <w:rFonts w:hAnsi="宋体"/>
          <w:color w:val="auto"/>
          <w:sz w:val="24"/>
          <w:szCs w:val="24"/>
          <w:highlight w:val="none"/>
        </w:rPr>
        <w:t>技术</w:t>
      </w:r>
      <w:bookmarkEnd w:id="1676"/>
      <w:bookmarkEnd w:id="1677"/>
      <w:bookmarkEnd w:id="1678"/>
      <w:bookmarkStart w:id="1698" w:name="_Toc18770050"/>
      <w:bookmarkStart w:id="1699" w:name="_Toc224010320"/>
      <w:bookmarkStart w:id="1700" w:name="_Toc74938308"/>
      <w:bookmarkStart w:id="1701" w:name="_Toc99697927"/>
      <w:bookmarkStart w:id="1702" w:name="_Toc17887241"/>
      <w:r>
        <w:rPr>
          <w:rFonts w:hint="eastAsia" w:hAnsi="宋体"/>
          <w:color w:val="auto"/>
          <w:sz w:val="24"/>
          <w:szCs w:val="24"/>
          <w:highlight w:val="none"/>
        </w:rPr>
        <w:t>文件</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69C5607">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68C9B6C8">
      <w:pPr>
        <w:spacing w:before="0" w:after="0" w:afterAutospacing="0"/>
        <w:ind w:left="0" w:right="0" w:firstLine="315" w:firstLineChars="150"/>
        <w:rPr>
          <w:color w:val="auto"/>
          <w:highlight w:val="none"/>
        </w:rPr>
      </w:pPr>
      <w:r>
        <w:rPr>
          <w:rFonts w:hint="eastAsia"/>
          <w:color w:val="auto"/>
          <w:highlight w:val="none"/>
          <w:lang w:eastAsia="zh-CN"/>
        </w:rPr>
        <w:t>（</w:t>
      </w:r>
      <w:r>
        <w:rPr>
          <w:rFonts w:hint="eastAsia"/>
          <w:color w:val="auto"/>
          <w:highlight w:val="none"/>
        </w:rPr>
        <w:t>1</w:t>
      </w:r>
      <w:r>
        <w:rPr>
          <w:rFonts w:hint="eastAsia"/>
          <w:color w:val="auto"/>
          <w:highlight w:val="none"/>
          <w:lang w:eastAsia="zh-CN"/>
        </w:rPr>
        <w:t>）</w:t>
      </w:r>
      <w:r>
        <w:rPr>
          <w:rFonts w:hint="eastAsia"/>
          <w:color w:val="auto"/>
          <w:highlight w:val="none"/>
        </w:rPr>
        <w:t>技术响应表（格式见C1）；</w:t>
      </w:r>
    </w:p>
    <w:p w14:paraId="074DB3EA">
      <w:pPr>
        <w:spacing w:before="0" w:after="0" w:afterAutospacing="0"/>
        <w:ind w:left="0" w:right="0" w:firstLine="315" w:firstLineChars="150"/>
        <w:rPr>
          <w:color w:val="auto"/>
          <w:highlight w:val="none"/>
        </w:rPr>
      </w:pPr>
      <w:r>
        <w:rPr>
          <w:rFonts w:hint="eastAsia"/>
          <w:color w:val="auto"/>
          <w:highlight w:val="none"/>
        </w:rPr>
        <w:t>（2）商务响应表（格式见C2）；</w:t>
      </w:r>
    </w:p>
    <w:p w14:paraId="2F3CC0EB">
      <w:pPr>
        <w:spacing w:before="0" w:after="0" w:afterAutospacing="0"/>
        <w:ind w:left="0" w:right="0" w:firstLine="315" w:firstLineChars="150"/>
        <w:rPr>
          <w:color w:val="auto"/>
          <w:highlight w:val="none"/>
        </w:rPr>
      </w:pPr>
      <w:r>
        <w:rPr>
          <w:rFonts w:hint="eastAsia"/>
          <w:color w:val="auto"/>
          <w:highlight w:val="none"/>
        </w:rPr>
        <w:t>（3）比选申请人的工程设计资质证书（电力行业工程）（格式见C3）；</w:t>
      </w:r>
    </w:p>
    <w:p w14:paraId="396BA30C">
      <w:pPr>
        <w:spacing w:before="0" w:after="0" w:afterAutospacing="0"/>
        <w:ind w:left="0" w:right="0" w:firstLine="315" w:firstLineChars="150"/>
        <w:rPr>
          <w:color w:val="auto"/>
          <w:highlight w:val="none"/>
        </w:rPr>
      </w:pPr>
      <w:r>
        <w:rPr>
          <w:rFonts w:hint="eastAsia"/>
          <w:color w:val="auto"/>
          <w:highlight w:val="none"/>
        </w:rPr>
        <w:t>（4）项目人员配置（格式见C4）</w:t>
      </w:r>
    </w:p>
    <w:p w14:paraId="12B7740D">
      <w:pPr>
        <w:spacing w:before="0" w:after="0" w:afterAutospacing="0"/>
        <w:ind w:left="0" w:right="0" w:firstLine="315" w:firstLineChars="150"/>
        <w:rPr>
          <w:color w:val="auto"/>
          <w:highlight w:val="none"/>
        </w:rPr>
      </w:pPr>
      <w:r>
        <w:rPr>
          <w:rFonts w:hint="eastAsia"/>
          <w:color w:val="auto"/>
          <w:highlight w:val="none"/>
        </w:rPr>
        <w:t>（5）服务承诺书（格式见C5）</w:t>
      </w:r>
    </w:p>
    <w:p w14:paraId="5D51A20E">
      <w:pPr>
        <w:spacing w:before="0" w:after="0" w:afterAutospacing="0"/>
        <w:ind w:left="0" w:right="0" w:firstLine="315" w:firstLineChars="150"/>
        <w:rPr>
          <w:color w:val="auto"/>
          <w:highlight w:val="none"/>
        </w:rPr>
      </w:pPr>
      <w:r>
        <w:rPr>
          <w:rFonts w:hint="eastAsia"/>
          <w:color w:val="auto"/>
          <w:highlight w:val="none"/>
        </w:rPr>
        <w:t>（6）业绩：</w:t>
      </w:r>
      <w:r>
        <w:rPr>
          <w:rFonts w:hint="eastAsia" w:ascii="宋体" w:hAnsi="宋体"/>
          <w:color w:val="auto"/>
          <w:highlight w:val="none"/>
          <w:lang w:eastAsia="zh-CN"/>
        </w:rPr>
        <w:t>比选申请人自2023年1月1日至比选申请截止时间前，承接过（完工/在建项目）3个及以上15000kVA以上房地产项目相关供配电设计业绩。</w:t>
      </w:r>
      <w:r>
        <w:rPr>
          <w:rFonts w:hint="eastAsia" w:ascii="宋体" w:hAnsi="宋体" w:cs="宋体"/>
          <w:color w:val="auto"/>
          <w:highlight w:val="none"/>
          <w:lang w:eastAsia="zh-CN" w:bidi="ar"/>
        </w:rPr>
        <w:t>提供下述材料之一即可：①合同文件；②中标通知书；③业主证明材料。所提供材料需能证明符合业绩内容，否则视为无效证明文件，提供复印件加盖比选申请人公章，原件备查。</w:t>
      </w:r>
      <w:r>
        <w:rPr>
          <w:rFonts w:hint="eastAsia"/>
          <w:color w:val="auto"/>
          <w:highlight w:val="none"/>
        </w:rPr>
        <w:t>（格式见C6）。</w:t>
      </w:r>
    </w:p>
    <w:p w14:paraId="7AD467A1">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1698"/>
      <w:bookmarkEnd w:id="1699"/>
      <w:bookmarkEnd w:id="1700"/>
      <w:bookmarkEnd w:id="1701"/>
      <w:bookmarkEnd w:id="1702"/>
      <w:bookmarkStart w:id="1703" w:name="_Toc25750684"/>
    </w:p>
    <w:p w14:paraId="5739EB0B">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98B5002">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222C05B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424D50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0497A00B">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5AD0CA1">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0B389CC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FF9B7B9">
      <w:pPr>
        <w:pStyle w:val="14"/>
        <w:rPr>
          <w:rFonts w:ascii="宋体" w:hAnsi="宋体"/>
          <w:color w:val="auto"/>
          <w:highlight w:val="none"/>
        </w:rPr>
      </w:pPr>
    </w:p>
    <w:p w14:paraId="15B2B8C0">
      <w:pPr>
        <w:pStyle w:val="14"/>
        <w:rPr>
          <w:rFonts w:ascii="宋体" w:hAnsi="宋体"/>
          <w:color w:val="auto"/>
          <w:highlight w:val="none"/>
        </w:rPr>
      </w:pPr>
    </w:p>
    <w:p w14:paraId="3D5FBDF7">
      <w:pPr>
        <w:pStyle w:val="14"/>
        <w:rPr>
          <w:rFonts w:ascii="宋体" w:hAnsi="宋体"/>
          <w:color w:val="auto"/>
          <w:highlight w:val="none"/>
        </w:rPr>
      </w:pPr>
    </w:p>
    <w:p w14:paraId="5163123C">
      <w:pPr>
        <w:pStyle w:val="14"/>
        <w:rPr>
          <w:rFonts w:ascii="宋体" w:hAnsi="宋体"/>
          <w:color w:val="auto"/>
          <w:highlight w:val="none"/>
        </w:rPr>
      </w:pPr>
    </w:p>
    <w:p w14:paraId="2F59659D">
      <w:pPr>
        <w:pStyle w:val="14"/>
        <w:ind w:left="0" w:firstLine="0"/>
        <w:rPr>
          <w:color w:val="auto"/>
          <w:highlight w:val="none"/>
        </w:rPr>
      </w:pPr>
    </w:p>
    <w:p w14:paraId="2FDEBA79">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bookmarkStart w:id="1704" w:name="_Toc559"/>
      <w:bookmarkStart w:id="1705" w:name="_Toc7867"/>
      <w:bookmarkStart w:id="1706" w:name="_Toc114134671"/>
      <w:r>
        <w:rPr>
          <w:rFonts w:hint="eastAsia" w:ascii="宋体" w:hAnsi="宋体" w:eastAsia="宋体"/>
          <w:color w:val="auto"/>
          <w:sz w:val="21"/>
          <w:szCs w:val="21"/>
          <w:highlight w:val="none"/>
        </w:rPr>
        <w:t>C1</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703"/>
      <w:bookmarkEnd w:id="1704"/>
      <w:bookmarkEnd w:id="1705"/>
      <w:bookmarkEnd w:id="1706"/>
    </w:p>
    <w:p w14:paraId="2922F89B">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5A8E7919">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3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D43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2643A98F">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1D03F316">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4A8C0B8D">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775DFDE7">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0B8EBB30">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7DF3BCE5">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5879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5A009E4">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5ADB281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69ED771">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40A2B3A3">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00181D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0DE26BF">
            <w:pPr>
              <w:widowControl w:val="0"/>
              <w:adjustRightInd w:val="0"/>
              <w:jc w:val="center"/>
              <w:rPr>
                <w:rFonts w:cs="Arial"/>
                <w:color w:val="auto"/>
                <w:kern w:val="2"/>
                <w:highlight w:val="none"/>
                <w:u w:val="single"/>
              </w:rPr>
            </w:pPr>
          </w:p>
        </w:tc>
      </w:tr>
      <w:tr w14:paraId="1A1C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63EB96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4A403F3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924799A">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63A93DC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0637156">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E121A2E">
            <w:pPr>
              <w:widowControl w:val="0"/>
              <w:adjustRightInd w:val="0"/>
              <w:jc w:val="center"/>
              <w:rPr>
                <w:rFonts w:cs="Arial"/>
                <w:color w:val="auto"/>
                <w:kern w:val="2"/>
                <w:highlight w:val="none"/>
                <w:u w:val="single"/>
              </w:rPr>
            </w:pPr>
          </w:p>
        </w:tc>
      </w:tr>
      <w:tr w14:paraId="6392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1482DB9">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DD1E292">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79E1718">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244EBF9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B41FF1D">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E40AC42">
            <w:pPr>
              <w:widowControl w:val="0"/>
              <w:adjustRightInd w:val="0"/>
              <w:jc w:val="center"/>
              <w:rPr>
                <w:rFonts w:cs="Arial"/>
                <w:color w:val="auto"/>
                <w:kern w:val="2"/>
                <w:highlight w:val="none"/>
                <w:u w:val="single"/>
              </w:rPr>
            </w:pPr>
          </w:p>
        </w:tc>
      </w:tr>
      <w:tr w14:paraId="5914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0EFD620">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6210141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8AACAB0">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125586B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0C10904">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270DD74">
            <w:pPr>
              <w:widowControl w:val="0"/>
              <w:adjustRightInd w:val="0"/>
              <w:jc w:val="center"/>
              <w:rPr>
                <w:rFonts w:cs="Arial"/>
                <w:color w:val="auto"/>
                <w:kern w:val="2"/>
                <w:highlight w:val="none"/>
                <w:u w:val="single"/>
              </w:rPr>
            </w:pPr>
          </w:p>
        </w:tc>
      </w:tr>
      <w:tr w14:paraId="6A28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816FCAE">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14:paraId="2EF511D6">
      <w:pPr>
        <w:snapToGrid w:val="0"/>
        <w:spacing w:after="50" w:line="280" w:lineRule="exact"/>
        <w:ind w:left="955" w:leftChars="455" w:right="-817" w:firstLine="2832" w:firstLineChars="1349"/>
        <w:rPr>
          <w:rFonts w:ascii="宋体" w:hAnsi="宋体"/>
          <w:color w:val="auto"/>
          <w:highlight w:val="none"/>
        </w:rPr>
      </w:pPr>
    </w:p>
    <w:p w14:paraId="55F8FE6E">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64966EDE">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法定代表人或被授权人（签字）：</w:t>
      </w:r>
    </w:p>
    <w:p w14:paraId="6DDB90E6">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77AED22E">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4BBECFF0">
      <w:pPr>
        <w:pStyle w:val="49"/>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1.对完全响应的条目在本表“比选申请文件响应”列中选注“完全响应”。对有偏离的条目在本表“偏离”列中选注“正偏离”或“负偏离”，并对“正偏离”或“负偏离”加以说明。</w:t>
      </w:r>
    </w:p>
    <w:p w14:paraId="124F0F13">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5DD89187">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w:t>
      </w:r>
    </w:p>
    <w:p w14:paraId="424730AD">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1C47B299">
      <w:pPr>
        <w:pStyle w:val="7"/>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1707" w:name="_Toc25750685"/>
    </w:p>
    <w:bookmarkEnd w:id="1707"/>
    <w:p w14:paraId="1BA6FD0E">
      <w:pPr>
        <w:pStyle w:val="7"/>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1708" w:name="_Toc32633"/>
      <w:bookmarkStart w:id="1709" w:name="_Toc114134672"/>
      <w:bookmarkStart w:id="1710" w:name="_Toc22766"/>
      <w:bookmarkStart w:id="1711" w:name="_Toc25750687"/>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708"/>
      <w:bookmarkEnd w:id="1709"/>
      <w:bookmarkEnd w:id="1710"/>
      <w:bookmarkEnd w:id="1711"/>
    </w:p>
    <w:p w14:paraId="58753594">
      <w:pPr>
        <w:ind w:right="-57" w:firstLine="0"/>
        <w:jc w:val="center"/>
        <w:rPr>
          <w:rFonts w:ascii="宋体" w:hAnsi="宋体"/>
          <w:b/>
          <w:color w:val="auto"/>
          <w:highlight w:val="none"/>
        </w:rPr>
      </w:pPr>
      <w:r>
        <w:rPr>
          <w:rFonts w:hint="eastAsia" w:ascii="宋体" w:hAnsi="宋体"/>
          <w:b/>
          <w:color w:val="auto"/>
          <w:highlight w:val="none"/>
        </w:rPr>
        <w:t>商务响应表</w:t>
      </w:r>
    </w:p>
    <w:p w14:paraId="3DF92097">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3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14:paraId="5855221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F29B3B4">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6F56F6CE">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2EED56A">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AAA9A27">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14:paraId="1386711B">
            <w:pPr>
              <w:ind w:left="0" w:firstLine="0"/>
              <w:rPr>
                <w:rFonts w:ascii="宋体" w:hAnsi="宋体"/>
                <w:color w:val="auto"/>
                <w:highlight w:val="none"/>
              </w:rPr>
            </w:pPr>
            <w:r>
              <w:rPr>
                <w:rFonts w:hint="eastAsia" w:ascii="宋体" w:hAnsi="宋体"/>
                <w:color w:val="auto"/>
                <w:highlight w:val="none"/>
              </w:rPr>
              <w:t>备注</w:t>
            </w:r>
          </w:p>
        </w:tc>
      </w:tr>
      <w:tr w14:paraId="0D2D3F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14:paraId="57D699A5">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5416B6E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5FFC00B">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48B1146E">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9033C8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E1AB1A6">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733C42EF">
            <w:pPr>
              <w:ind w:left="0" w:firstLine="0"/>
              <w:rPr>
                <w:rFonts w:ascii="宋体" w:hAnsi="宋体"/>
                <w:color w:val="auto"/>
                <w:highlight w:val="none"/>
              </w:rPr>
            </w:pPr>
          </w:p>
        </w:tc>
      </w:tr>
      <w:tr w14:paraId="0CEC3F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468D80F">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5D8FB2A9">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6A251B5B">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E24D422">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15080499">
            <w:pPr>
              <w:ind w:left="0" w:firstLine="0"/>
              <w:rPr>
                <w:rFonts w:ascii="宋体" w:hAnsi="宋体"/>
                <w:color w:val="auto"/>
                <w:highlight w:val="none"/>
              </w:rPr>
            </w:pPr>
          </w:p>
        </w:tc>
      </w:tr>
      <w:tr w14:paraId="782A22F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14:paraId="6D92131C">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D3A6D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E26369A">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7EA4D7E">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4C0856DF">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E313232">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2DE08E10">
            <w:pPr>
              <w:ind w:left="0" w:firstLine="0"/>
              <w:rPr>
                <w:rFonts w:ascii="宋体" w:hAnsi="宋体"/>
                <w:color w:val="auto"/>
                <w:highlight w:val="none"/>
              </w:rPr>
            </w:pPr>
          </w:p>
        </w:tc>
      </w:tr>
      <w:tr w14:paraId="4620217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7897B2D">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6B52FBE2">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018580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0FDBF8F">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0EF0D392">
            <w:pPr>
              <w:ind w:left="0" w:firstLine="0"/>
              <w:rPr>
                <w:rFonts w:ascii="宋体" w:hAnsi="宋体"/>
                <w:color w:val="auto"/>
                <w:highlight w:val="none"/>
              </w:rPr>
            </w:pPr>
          </w:p>
        </w:tc>
      </w:tr>
    </w:tbl>
    <w:p w14:paraId="00BC0530">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1B74FBC9">
      <w:pPr>
        <w:snapToGrid w:val="0"/>
        <w:spacing w:after="50"/>
        <w:ind w:right="-57" w:firstLine="0"/>
        <w:rPr>
          <w:rFonts w:ascii="宋体" w:hAnsi="宋体"/>
          <w:color w:val="auto"/>
          <w:spacing w:val="20"/>
          <w:sz w:val="24"/>
          <w:szCs w:val="24"/>
          <w:highlight w:val="none"/>
        </w:rPr>
      </w:pPr>
    </w:p>
    <w:p w14:paraId="4D4457A0">
      <w:pPr>
        <w:snapToGrid w:val="0"/>
        <w:spacing w:after="50" w:line="280" w:lineRule="exact"/>
        <w:ind w:left="953" w:right="-817" w:firstLine="1443"/>
        <w:rPr>
          <w:rFonts w:ascii="宋体" w:hAnsi="宋体"/>
          <w:color w:val="auto"/>
          <w:sz w:val="24"/>
          <w:szCs w:val="24"/>
          <w:highlight w:val="none"/>
        </w:rPr>
      </w:pPr>
    </w:p>
    <w:p w14:paraId="0130FFE7">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63A33D68">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法定代表人或被授权人（签字）：</w:t>
      </w:r>
    </w:p>
    <w:p w14:paraId="26EFA1EB">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453CF290">
      <w:pPr>
        <w:spacing w:before="0"/>
        <w:ind w:left="105" w:leftChars="50" w:right="-57" w:firstLine="316" w:firstLineChars="150"/>
        <w:rPr>
          <w:rFonts w:ascii="宋体" w:hAnsi="宋体"/>
          <w:b/>
          <w:color w:val="auto"/>
          <w:highlight w:val="none"/>
        </w:rPr>
      </w:pPr>
    </w:p>
    <w:p w14:paraId="293DD3E0">
      <w:pPr>
        <w:spacing w:before="0" w:after="0" w:afterAutospacing="0" w:line="240" w:lineRule="auto"/>
        <w:ind w:left="0" w:right="0" w:firstLine="0"/>
        <w:jc w:val="left"/>
        <w:rPr>
          <w:rStyle w:val="54"/>
          <w:rFonts w:ascii="宋体" w:hAnsi="宋体" w:eastAsia="宋体" w:cs="宋体"/>
          <w:color w:val="auto"/>
          <w:highlight w:val="none"/>
        </w:rPr>
      </w:pPr>
      <w:bookmarkStart w:id="1712" w:name="_Toc9597"/>
      <w:bookmarkStart w:id="1713" w:name="_Toc28135"/>
      <w:bookmarkStart w:id="1714" w:name="_Toc25750688"/>
      <w:bookmarkStart w:id="1715" w:name="_Toc14566"/>
      <w:bookmarkStart w:id="1716" w:name="_Toc31681"/>
      <w:bookmarkStart w:id="1717" w:name="_Toc5010"/>
      <w:bookmarkStart w:id="1718" w:name="_Toc26409"/>
      <w:bookmarkStart w:id="1719" w:name="_Toc30897"/>
      <w:bookmarkStart w:id="1720" w:name="_Toc328"/>
      <w:bookmarkStart w:id="1721" w:name="_Toc25061"/>
      <w:bookmarkStart w:id="1722" w:name="_Toc492478835"/>
      <w:bookmarkStart w:id="1723" w:name="_Toc12695"/>
      <w:bookmarkStart w:id="1724" w:name="_Toc16754"/>
      <w:bookmarkStart w:id="1725" w:name="_Toc13941"/>
      <w:bookmarkStart w:id="1726" w:name="_Toc21321"/>
      <w:bookmarkStart w:id="1727" w:name="_Toc28535"/>
      <w:bookmarkStart w:id="1728" w:name="_Toc6454"/>
      <w:bookmarkStart w:id="1729" w:name="_Toc20298"/>
      <w:bookmarkStart w:id="1730" w:name="_Toc6337"/>
      <w:r>
        <w:rPr>
          <w:rStyle w:val="54"/>
          <w:rFonts w:ascii="宋体" w:hAnsi="宋体" w:eastAsia="宋体"/>
          <w:color w:val="auto"/>
          <w:highlight w:val="none"/>
        </w:rPr>
        <w:br w:type="page"/>
      </w:r>
    </w:p>
    <w:p w14:paraId="4B228DE1">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2240" w:h="15840"/>
          <w:pgMar w:top="1440" w:right="1800" w:bottom="1440" w:left="1800" w:header="720" w:footer="720" w:gutter="0"/>
          <w:cols w:space="720" w:num="1"/>
        </w:sectPr>
      </w:pPr>
      <w:bookmarkStart w:id="1731" w:name="_Toc114134673"/>
    </w:p>
    <w:p w14:paraId="357F9B4D">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732" w:name="_Toc19408"/>
      <w:bookmarkStart w:id="1733" w:name="_Toc6256"/>
      <w:r>
        <w:rPr>
          <w:rFonts w:hint="eastAsia" w:ascii="宋体" w:hAnsi="宋体" w:eastAsia="宋体"/>
          <w:color w:val="auto"/>
          <w:sz w:val="21"/>
          <w:szCs w:val="21"/>
          <w:highlight w:val="none"/>
        </w:rPr>
        <w:t>C3比选申请人的工程设计资质证书（电力行业工程）</w:t>
      </w:r>
      <w:bookmarkEnd w:id="1732"/>
      <w:bookmarkEnd w:id="1733"/>
    </w:p>
    <w:p w14:paraId="0FFA809E">
      <w:pPr>
        <w:spacing w:before="0" w:after="0" w:afterAutospacing="0"/>
        <w:ind w:left="0" w:right="0" w:firstLine="315" w:firstLineChars="150"/>
        <w:rPr>
          <w:color w:val="auto"/>
          <w:highlight w:val="none"/>
        </w:rPr>
      </w:pPr>
      <w:r>
        <w:rPr>
          <w:rFonts w:hint="eastAsia"/>
          <w:color w:val="auto"/>
          <w:highlight w:val="none"/>
        </w:rPr>
        <w:t>（提供复印件加盖公章）</w:t>
      </w:r>
    </w:p>
    <w:p w14:paraId="0FC726CA">
      <w:pPr>
        <w:pStyle w:val="14"/>
        <w:rPr>
          <w:color w:val="auto"/>
          <w:highlight w:val="none"/>
        </w:rPr>
        <w:sectPr>
          <w:pgSz w:w="12240" w:h="15840"/>
          <w:pgMar w:top="1440" w:right="1800" w:bottom="1440" w:left="1800" w:header="720" w:footer="720" w:gutter="0"/>
          <w:cols w:space="720" w:num="1"/>
        </w:sectPr>
      </w:pPr>
    </w:p>
    <w:p w14:paraId="52D53504">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734" w:name="_Toc6884"/>
      <w:bookmarkStart w:id="1735" w:name="_Toc8068"/>
      <w:r>
        <w:rPr>
          <w:rFonts w:hint="eastAsia" w:ascii="宋体" w:hAnsi="宋体" w:eastAsia="宋体"/>
          <w:color w:val="auto"/>
          <w:sz w:val="21"/>
          <w:szCs w:val="21"/>
          <w:highlight w:val="none"/>
        </w:rPr>
        <w:t>C4项目人员配置</w:t>
      </w:r>
      <w:bookmarkEnd w:id="1731"/>
      <w:bookmarkEnd w:id="1734"/>
      <w:bookmarkEnd w:id="1735"/>
      <w:bookmarkStart w:id="1736" w:name="_Toc100643473"/>
      <w:bookmarkStart w:id="1737" w:name="_Toc115251132"/>
      <w:bookmarkStart w:id="1738" w:name="_Toc21515"/>
      <w:bookmarkStart w:id="1739" w:name="_Toc30537"/>
    </w:p>
    <w:p w14:paraId="74FB86D6">
      <w:pPr>
        <w:numPr>
          <w:ilvl w:val="255"/>
          <w:numId w:val="0"/>
        </w:numPr>
        <w:rPr>
          <w:b/>
          <w:bCs/>
          <w:color w:val="auto"/>
          <w:sz w:val="24"/>
          <w:szCs w:val="24"/>
          <w:highlight w:val="none"/>
        </w:rPr>
      </w:pPr>
      <w:r>
        <w:rPr>
          <w:rFonts w:hint="eastAsia"/>
          <w:b/>
          <w:bCs/>
          <w:color w:val="auto"/>
          <w:sz w:val="24"/>
          <w:szCs w:val="24"/>
          <w:highlight w:val="none"/>
        </w:rPr>
        <w:t>C4-</w:t>
      </w:r>
      <w:r>
        <w:rPr>
          <w:b/>
          <w:bCs/>
          <w:color w:val="auto"/>
          <w:sz w:val="24"/>
          <w:szCs w:val="24"/>
          <w:highlight w:val="none"/>
        </w:rPr>
        <w:t>1</w:t>
      </w:r>
      <w:bookmarkEnd w:id="1736"/>
      <w:bookmarkEnd w:id="1737"/>
      <w:bookmarkEnd w:id="1738"/>
      <w:bookmarkEnd w:id="1739"/>
      <w:r>
        <w:rPr>
          <w:rFonts w:hint="eastAsia"/>
          <w:b/>
          <w:bCs/>
          <w:color w:val="auto"/>
          <w:sz w:val="24"/>
          <w:szCs w:val="24"/>
          <w:highlight w:val="none"/>
        </w:rPr>
        <w:t>拟投入人员配置表（格式）</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14:paraId="7CAD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7DE158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0CEFA3FE">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1D32F798">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5F42C110">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17678861">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4501E51E">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职称</w:t>
            </w:r>
          </w:p>
        </w:tc>
        <w:tc>
          <w:tcPr>
            <w:tcW w:w="1050" w:type="dxa"/>
          </w:tcPr>
          <w:p w14:paraId="4766C63D">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36A0CD3D">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13C3F5A8">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97C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0920A1D">
            <w:pPr>
              <w:pStyle w:val="2"/>
              <w:ind w:firstLine="482"/>
              <w:rPr>
                <w:b/>
                <w:bCs/>
                <w:color w:val="auto"/>
                <w:szCs w:val="24"/>
                <w:highlight w:val="none"/>
              </w:rPr>
            </w:pPr>
          </w:p>
        </w:tc>
        <w:tc>
          <w:tcPr>
            <w:tcW w:w="1088" w:type="dxa"/>
          </w:tcPr>
          <w:p w14:paraId="73BDF2BA">
            <w:pPr>
              <w:pStyle w:val="2"/>
              <w:ind w:firstLine="482"/>
              <w:rPr>
                <w:b/>
                <w:bCs/>
                <w:color w:val="auto"/>
                <w:szCs w:val="24"/>
                <w:highlight w:val="none"/>
              </w:rPr>
            </w:pPr>
          </w:p>
        </w:tc>
        <w:tc>
          <w:tcPr>
            <w:tcW w:w="962" w:type="dxa"/>
          </w:tcPr>
          <w:p w14:paraId="541E48AE">
            <w:pPr>
              <w:pStyle w:val="2"/>
              <w:ind w:firstLine="482"/>
              <w:rPr>
                <w:b/>
                <w:bCs/>
                <w:color w:val="auto"/>
                <w:szCs w:val="24"/>
                <w:highlight w:val="none"/>
              </w:rPr>
            </w:pPr>
          </w:p>
        </w:tc>
        <w:tc>
          <w:tcPr>
            <w:tcW w:w="1000" w:type="dxa"/>
          </w:tcPr>
          <w:p w14:paraId="2CD5B181">
            <w:pPr>
              <w:pStyle w:val="2"/>
              <w:ind w:firstLine="482"/>
              <w:rPr>
                <w:b/>
                <w:bCs/>
                <w:color w:val="auto"/>
                <w:szCs w:val="24"/>
                <w:highlight w:val="none"/>
              </w:rPr>
            </w:pPr>
          </w:p>
        </w:tc>
        <w:tc>
          <w:tcPr>
            <w:tcW w:w="1050" w:type="dxa"/>
          </w:tcPr>
          <w:p w14:paraId="7C9E91C6">
            <w:pPr>
              <w:pStyle w:val="2"/>
              <w:ind w:firstLine="482"/>
              <w:rPr>
                <w:b/>
                <w:bCs/>
                <w:color w:val="auto"/>
                <w:szCs w:val="24"/>
                <w:highlight w:val="none"/>
              </w:rPr>
            </w:pPr>
          </w:p>
        </w:tc>
        <w:tc>
          <w:tcPr>
            <w:tcW w:w="1063" w:type="dxa"/>
          </w:tcPr>
          <w:p w14:paraId="5D8F2E9F">
            <w:pPr>
              <w:pStyle w:val="2"/>
              <w:ind w:firstLine="482"/>
              <w:rPr>
                <w:b/>
                <w:bCs/>
                <w:color w:val="auto"/>
                <w:szCs w:val="24"/>
                <w:highlight w:val="none"/>
              </w:rPr>
            </w:pPr>
          </w:p>
        </w:tc>
        <w:tc>
          <w:tcPr>
            <w:tcW w:w="1050" w:type="dxa"/>
          </w:tcPr>
          <w:p w14:paraId="06C4BD49">
            <w:pPr>
              <w:pStyle w:val="2"/>
              <w:ind w:firstLine="482"/>
              <w:rPr>
                <w:b/>
                <w:bCs/>
                <w:color w:val="auto"/>
                <w:szCs w:val="24"/>
                <w:highlight w:val="none"/>
              </w:rPr>
            </w:pPr>
          </w:p>
        </w:tc>
        <w:tc>
          <w:tcPr>
            <w:tcW w:w="1200" w:type="dxa"/>
          </w:tcPr>
          <w:p w14:paraId="00BBFB46">
            <w:pPr>
              <w:pStyle w:val="2"/>
              <w:ind w:firstLine="482"/>
              <w:rPr>
                <w:b/>
                <w:bCs/>
                <w:color w:val="auto"/>
                <w:szCs w:val="24"/>
                <w:highlight w:val="none"/>
              </w:rPr>
            </w:pPr>
          </w:p>
        </w:tc>
        <w:tc>
          <w:tcPr>
            <w:tcW w:w="1243" w:type="dxa"/>
          </w:tcPr>
          <w:p w14:paraId="032ADC75">
            <w:pPr>
              <w:pStyle w:val="2"/>
              <w:ind w:firstLine="482"/>
              <w:rPr>
                <w:b/>
                <w:bCs/>
                <w:color w:val="auto"/>
                <w:szCs w:val="24"/>
                <w:highlight w:val="none"/>
              </w:rPr>
            </w:pPr>
          </w:p>
        </w:tc>
      </w:tr>
      <w:tr w14:paraId="26EB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437EAAA4">
            <w:pPr>
              <w:pStyle w:val="2"/>
              <w:ind w:firstLine="482"/>
              <w:rPr>
                <w:b/>
                <w:bCs/>
                <w:color w:val="auto"/>
                <w:szCs w:val="24"/>
                <w:highlight w:val="none"/>
              </w:rPr>
            </w:pPr>
          </w:p>
        </w:tc>
        <w:tc>
          <w:tcPr>
            <w:tcW w:w="1088" w:type="dxa"/>
          </w:tcPr>
          <w:p w14:paraId="24CB28BA">
            <w:pPr>
              <w:pStyle w:val="2"/>
              <w:ind w:firstLine="482"/>
              <w:rPr>
                <w:b/>
                <w:bCs/>
                <w:color w:val="auto"/>
                <w:szCs w:val="24"/>
                <w:highlight w:val="none"/>
              </w:rPr>
            </w:pPr>
          </w:p>
        </w:tc>
        <w:tc>
          <w:tcPr>
            <w:tcW w:w="962" w:type="dxa"/>
          </w:tcPr>
          <w:p w14:paraId="79F55219">
            <w:pPr>
              <w:pStyle w:val="2"/>
              <w:ind w:firstLine="482"/>
              <w:rPr>
                <w:b/>
                <w:bCs/>
                <w:color w:val="auto"/>
                <w:szCs w:val="24"/>
                <w:highlight w:val="none"/>
              </w:rPr>
            </w:pPr>
          </w:p>
        </w:tc>
        <w:tc>
          <w:tcPr>
            <w:tcW w:w="1000" w:type="dxa"/>
          </w:tcPr>
          <w:p w14:paraId="72E96B23">
            <w:pPr>
              <w:pStyle w:val="2"/>
              <w:ind w:firstLine="482"/>
              <w:rPr>
                <w:b/>
                <w:bCs/>
                <w:color w:val="auto"/>
                <w:szCs w:val="24"/>
                <w:highlight w:val="none"/>
              </w:rPr>
            </w:pPr>
          </w:p>
        </w:tc>
        <w:tc>
          <w:tcPr>
            <w:tcW w:w="1050" w:type="dxa"/>
          </w:tcPr>
          <w:p w14:paraId="7851FBD1">
            <w:pPr>
              <w:pStyle w:val="2"/>
              <w:ind w:firstLine="482"/>
              <w:rPr>
                <w:b/>
                <w:bCs/>
                <w:color w:val="auto"/>
                <w:szCs w:val="24"/>
                <w:highlight w:val="none"/>
              </w:rPr>
            </w:pPr>
          </w:p>
        </w:tc>
        <w:tc>
          <w:tcPr>
            <w:tcW w:w="1063" w:type="dxa"/>
          </w:tcPr>
          <w:p w14:paraId="7CEC012F">
            <w:pPr>
              <w:pStyle w:val="2"/>
              <w:ind w:firstLine="482"/>
              <w:rPr>
                <w:b/>
                <w:bCs/>
                <w:color w:val="auto"/>
                <w:szCs w:val="24"/>
                <w:highlight w:val="none"/>
              </w:rPr>
            </w:pPr>
          </w:p>
        </w:tc>
        <w:tc>
          <w:tcPr>
            <w:tcW w:w="1050" w:type="dxa"/>
          </w:tcPr>
          <w:p w14:paraId="0A4EBF63">
            <w:pPr>
              <w:pStyle w:val="2"/>
              <w:ind w:firstLine="482"/>
              <w:rPr>
                <w:b/>
                <w:bCs/>
                <w:color w:val="auto"/>
                <w:szCs w:val="24"/>
                <w:highlight w:val="none"/>
              </w:rPr>
            </w:pPr>
          </w:p>
        </w:tc>
        <w:tc>
          <w:tcPr>
            <w:tcW w:w="1200" w:type="dxa"/>
          </w:tcPr>
          <w:p w14:paraId="12C5607B">
            <w:pPr>
              <w:pStyle w:val="2"/>
              <w:ind w:firstLine="482"/>
              <w:rPr>
                <w:b/>
                <w:bCs/>
                <w:color w:val="auto"/>
                <w:szCs w:val="24"/>
                <w:highlight w:val="none"/>
              </w:rPr>
            </w:pPr>
          </w:p>
        </w:tc>
        <w:tc>
          <w:tcPr>
            <w:tcW w:w="1243" w:type="dxa"/>
          </w:tcPr>
          <w:p w14:paraId="541DB293">
            <w:pPr>
              <w:pStyle w:val="2"/>
              <w:ind w:firstLine="482"/>
              <w:rPr>
                <w:b/>
                <w:bCs/>
                <w:color w:val="auto"/>
                <w:szCs w:val="24"/>
                <w:highlight w:val="none"/>
              </w:rPr>
            </w:pPr>
          </w:p>
        </w:tc>
      </w:tr>
      <w:tr w14:paraId="244E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FB8056F">
            <w:pPr>
              <w:pStyle w:val="2"/>
              <w:ind w:firstLine="482"/>
              <w:rPr>
                <w:b/>
                <w:bCs/>
                <w:color w:val="auto"/>
                <w:szCs w:val="24"/>
                <w:highlight w:val="none"/>
              </w:rPr>
            </w:pPr>
          </w:p>
        </w:tc>
        <w:tc>
          <w:tcPr>
            <w:tcW w:w="1088" w:type="dxa"/>
          </w:tcPr>
          <w:p w14:paraId="1EC4BEE9">
            <w:pPr>
              <w:pStyle w:val="2"/>
              <w:ind w:firstLine="482"/>
              <w:rPr>
                <w:b/>
                <w:bCs/>
                <w:color w:val="auto"/>
                <w:szCs w:val="24"/>
                <w:highlight w:val="none"/>
              </w:rPr>
            </w:pPr>
          </w:p>
        </w:tc>
        <w:tc>
          <w:tcPr>
            <w:tcW w:w="962" w:type="dxa"/>
          </w:tcPr>
          <w:p w14:paraId="26DD4CD0">
            <w:pPr>
              <w:pStyle w:val="2"/>
              <w:ind w:firstLine="482"/>
              <w:rPr>
                <w:b/>
                <w:bCs/>
                <w:color w:val="auto"/>
                <w:szCs w:val="24"/>
                <w:highlight w:val="none"/>
              </w:rPr>
            </w:pPr>
          </w:p>
        </w:tc>
        <w:tc>
          <w:tcPr>
            <w:tcW w:w="1000" w:type="dxa"/>
          </w:tcPr>
          <w:p w14:paraId="7BB70079">
            <w:pPr>
              <w:pStyle w:val="2"/>
              <w:ind w:firstLine="482"/>
              <w:rPr>
                <w:b/>
                <w:bCs/>
                <w:color w:val="auto"/>
                <w:szCs w:val="24"/>
                <w:highlight w:val="none"/>
              </w:rPr>
            </w:pPr>
          </w:p>
        </w:tc>
        <w:tc>
          <w:tcPr>
            <w:tcW w:w="1050" w:type="dxa"/>
          </w:tcPr>
          <w:p w14:paraId="0DFB521B">
            <w:pPr>
              <w:pStyle w:val="2"/>
              <w:ind w:firstLine="482"/>
              <w:rPr>
                <w:b/>
                <w:bCs/>
                <w:color w:val="auto"/>
                <w:szCs w:val="24"/>
                <w:highlight w:val="none"/>
              </w:rPr>
            </w:pPr>
          </w:p>
        </w:tc>
        <w:tc>
          <w:tcPr>
            <w:tcW w:w="1063" w:type="dxa"/>
          </w:tcPr>
          <w:p w14:paraId="32668A97">
            <w:pPr>
              <w:pStyle w:val="2"/>
              <w:ind w:firstLine="482"/>
              <w:rPr>
                <w:b/>
                <w:bCs/>
                <w:color w:val="auto"/>
                <w:szCs w:val="24"/>
                <w:highlight w:val="none"/>
              </w:rPr>
            </w:pPr>
          </w:p>
        </w:tc>
        <w:tc>
          <w:tcPr>
            <w:tcW w:w="1050" w:type="dxa"/>
          </w:tcPr>
          <w:p w14:paraId="7BA9836C">
            <w:pPr>
              <w:pStyle w:val="2"/>
              <w:ind w:firstLine="482"/>
              <w:rPr>
                <w:b/>
                <w:bCs/>
                <w:color w:val="auto"/>
                <w:szCs w:val="24"/>
                <w:highlight w:val="none"/>
              </w:rPr>
            </w:pPr>
          </w:p>
        </w:tc>
        <w:tc>
          <w:tcPr>
            <w:tcW w:w="1200" w:type="dxa"/>
          </w:tcPr>
          <w:p w14:paraId="634992B7">
            <w:pPr>
              <w:pStyle w:val="2"/>
              <w:ind w:firstLine="482"/>
              <w:rPr>
                <w:b/>
                <w:bCs/>
                <w:color w:val="auto"/>
                <w:szCs w:val="24"/>
                <w:highlight w:val="none"/>
              </w:rPr>
            </w:pPr>
          </w:p>
        </w:tc>
        <w:tc>
          <w:tcPr>
            <w:tcW w:w="1243" w:type="dxa"/>
          </w:tcPr>
          <w:p w14:paraId="287201B7">
            <w:pPr>
              <w:pStyle w:val="2"/>
              <w:ind w:firstLine="482"/>
              <w:rPr>
                <w:b/>
                <w:bCs/>
                <w:color w:val="auto"/>
                <w:szCs w:val="24"/>
                <w:highlight w:val="none"/>
              </w:rPr>
            </w:pPr>
          </w:p>
        </w:tc>
      </w:tr>
      <w:tr w14:paraId="796D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0339D3B">
            <w:pPr>
              <w:pStyle w:val="2"/>
              <w:ind w:firstLine="482"/>
              <w:rPr>
                <w:b/>
                <w:bCs/>
                <w:color w:val="auto"/>
                <w:szCs w:val="24"/>
                <w:highlight w:val="none"/>
              </w:rPr>
            </w:pPr>
          </w:p>
        </w:tc>
        <w:tc>
          <w:tcPr>
            <w:tcW w:w="1088" w:type="dxa"/>
          </w:tcPr>
          <w:p w14:paraId="4C523809">
            <w:pPr>
              <w:pStyle w:val="2"/>
              <w:ind w:firstLine="482"/>
              <w:rPr>
                <w:b/>
                <w:bCs/>
                <w:color w:val="auto"/>
                <w:szCs w:val="24"/>
                <w:highlight w:val="none"/>
              </w:rPr>
            </w:pPr>
          </w:p>
        </w:tc>
        <w:tc>
          <w:tcPr>
            <w:tcW w:w="962" w:type="dxa"/>
          </w:tcPr>
          <w:p w14:paraId="318C629B">
            <w:pPr>
              <w:pStyle w:val="2"/>
              <w:ind w:firstLine="482"/>
              <w:rPr>
                <w:b/>
                <w:bCs/>
                <w:color w:val="auto"/>
                <w:szCs w:val="24"/>
                <w:highlight w:val="none"/>
              </w:rPr>
            </w:pPr>
          </w:p>
        </w:tc>
        <w:tc>
          <w:tcPr>
            <w:tcW w:w="1000" w:type="dxa"/>
          </w:tcPr>
          <w:p w14:paraId="024BE832">
            <w:pPr>
              <w:pStyle w:val="2"/>
              <w:ind w:firstLine="482"/>
              <w:rPr>
                <w:b/>
                <w:bCs/>
                <w:color w:val="auto"/>
                <w:szCs w:val="24"/>
                <w:highlight w:val="none"/>
              </w:rPr>
            </w:pPr>
          </w:p>
        </w:tc>
        <w:tc>
          <w:tcPr>
            <w:tcW w:w="1050" w:type="dxa"/>
          </w:tcPr>
          <w:p w14:paraId="0D45BE91">
            <w:pPr>
              <w:pStyle w:val="2"/>
              <w:ind w:firstLine="482"/>
              <w:rPr>
                <w:b/>
                <w:bCs/>
                <w:color w:val="auto"/>
                <w:szCs w:val="24"/>
                <w:highlight w:val="none"/>
              </w:rPr>
            </w:pPr>
          </w:p>
        </w:tc>
        <w:tc>
          <w:tcPr>
            <w:tcW w:w="1063" w:type="dxa"/>
          </w:tcPr>
          <w:p w14:paraId="3DB08517">
            <w:pPr>
              <w:pStyle w:val="2"/>
              <w:ind w:firstLine="482"/>
              <w:rPr>
                <w:b/>
                <w:bCs/>
                <w:color w:val="auto"/>
                <w:szCs w:val="24"/>
                <w:highlight w:val="none"/>
              </w:rPr>
            </w:pPr>
          </w:p>
        </w:tc>
        <w:tc>
          <w:tcPr>
            <w:tcW w:w="1050" w:type="dxa"/>
          </w:tcPr>
          <w:p w14:paraId="216CDC0A">
            <w:pPr>
              <w:pStyle w:val="2"/>
              <w:ind w:firstLine="482"/>
              <w:rPr>
                <w:b/>
                <w:bCs/>
                <w:color w:val="auto"/>
                <w:szCs w:val="24"/>
                <w:highlight w:val="none"/>
              </w:rPr>
            </w:pPr>
          </w:p>
        </w:tc>
        <w:tc>
          <w:tcPr>
            <w:tcW w:w="1200" w:type="dxa"/>
          </w:tcPr>
          <w:p w14:paraId="20E2C572">
            <w:pPr>
              <w:pStyle w:val="2"/>
              <w:ind w:firstLine="482"/>
              <w:rPr>
                <w:b/>
                <w:bCs/>
                <w:color w:val="auto"/>
                <w:szCs w:val="24"/>
                <w:highlight w:val="none"/>
              </w:rPr>
            </w:pPr>
          </w:p>
        </w:tc>
        <w:tc>
          <w:tcPr>
            <w:tcW w:w="1243" w:type="dxa"/>
          </w:tcPr>
          <w:p w14:paraId="309625DF">
            <w:pPr>
              <w:pStyle w:val="2"/>
              <w:ind w:firstLine="482"/>
              <w:rPr>
                <w:b/>
                <w:bCs/>
                <w:color w:val="auto"/>
                <w:szCs w:val="24"/>
                <w:highlight w:val="none"/>
              </w:rPr>
            </w:pPr>
          </w:p>
        </w:tc>
      </w:tr>
    </w:tbl>
    <w:p w14:paraId="00101A16">
      <w:pPr>
        <w:pStyle w:val="2"/>
        <w:ind w:firstLine="482"/>
        <w:rPr>
          <w:b/>
          <w:bCs/>
          <w:color w:val="auto"/>
          <w:szCs w:val="24"/>
          <w:highlight w:val="none"/>
        </w:rPr>
      </w:pPr>
    </w:p>
    <w:p w14:paraId="13964C15">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14:paraId="4E8C5D63">
      <w:pPr>
        <w:pStyle w:val="2"/>
        <w:ind w:firstLine="482"/>
        <w:rPr>
          <w:b/>
          <w:bCs/>
          <w:color w:val="auto"/>
          <w:szCs w:val="24"/>
          <w:highlight w:val="none"/>
        </w:rPr>
      </w:pPr>
    </w:p>
    <w:p w14:paraId="77F05797">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14:paraId="549953BD">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EEF20C9">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日期：年月日</w:t>
      </w:r>
    </w:p>
    <w:p w14:paraId="28B178EF">
      <w:pPr>
        <w:numPr>
          <w:ilvl w:val="255"/>
          <w:numId w:val="0"/>
        </w:numPr>
        <w:rPr>
          <w:b/>
          <w:bCs/>
          <w:color w:val="auto"/>
          <w:sz w:val="24"/>
          <w:szCs w:val="24"/>
          <w:highlight w:val="none"/>
        </w:rPr>
      </w:pPr>
      <w:r>
        <w:rPr>
          <w:color w:val="auto"/>
          <w:highlight w:val="none"/>
        </w:rPr>
        <w:br w:type="page"/>
      </w:r>
      <w:bookmarkStart w:id="1740" w:name="_Toc114134674"/>
      <w:r>
        <w:rPr>
          <w:rFonts w:hint="eastAsia"/>
          <w:b/>
          <w:bCs/>
          <w:color w:val="auto"/>
          <w:sz w:val="24"/>
          <w:szCs w:val="24"/>
          <w:highlight w:val="none"/>
        </w:rPr>
        <w:t>C4-2拟投入人员配置表（格式）</w:t>
      </w:r>
    </w:p>
    <w:p w14:paraId="776E30FA">
      <w:pPr>
        <w:spacing w:line="480" w:lineRule="auto"/>
        <w:jc w:val="center"/>
        <w:rPr>
          <w:rFonts w:ascii="宋体" w:hAnsi="宋体" w:cs="宋体"/>
          <w:b/>
          <w:color w:val="auto"/>
          <w:sz w:val="32"/>
          <w:highlight w:val="none"/>
        </w:rPr>
      </w:pPr>
      <w:r>
        <w:rPr>
          <w:rFonts w:hint="eastAsia" w:ascii="宋体" w:hAnsi="宋体" w:cs="宋体"/>
          <w:b/>
          <w:color w:val="auto"/>
          <w:sz w:val="32"/>
          <w:highlight w:val="none"/>
          <w:lang w:bidi="ar"/>
        </w:rPr>
        <w:t>拟派项目成员履历表</w:t>
      </w:r>
    </w:p>
    <w:tbl>
      <w:tblPr>
        <w:tblStyle w:val="35"/>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26CDAD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8A3379A">
            <w:pPr>
              <w:adjustRightInd w:val="0"/>
              <w:snapToGrid w:val="0"/>
              <w:jc w:val="center"/>
              <w:rPr>
                <w:rFonts w:ascii="Calibri" w:hAnsi="Calibri"/>
                <w:caps/>
                <w:color w:val="auto"/>
                <w:sz w:val="28"/>
                <w:highlight w:val="none"/>
              </w:rPr>
            </w:pPr>
            <w:r>
              <w:rPr>
                <w:rFonts w:hint="eastAsia" w:cs="宋体"/>
                <w:caps/>
                <w:color w:val="auto"/>
                <w:sz w:val="28"/>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14:paraId="73565D0D">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07EE4EE0">
            <w:pPr>
              <w:adjustRightInd w:val="0"/>
              <w:snapToGrid w:val="0"/>
              <w:jc w:val="center"/>
              <w:rPr>
                <w:rFonts w:ascii="Calibri" w:hAnsi="Calibri"/>
                <w:caps/>
                <w:color w:val="auto"/>
                <w:sz w:val="28"/>
                <w:highlight w:val="none"/>
              </w:rPr>
            </w:pPr>
            <w:r>
              <w:rPr>
                <w:rFonts w:hint="eastAsia" w:cs="宋体"/>
                <w:caps/>
                <w:color w:val="auto"/>
                <w:sz w:val="28"/>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14:paraId="73CDAABC">
            <w:pPr>
              <w:ind w:left="230"/>
              <w:jc w:val="center"/>
              <w:rPr>
                <w:rFonts w:ascii="Calibri" w:hAnsi="Calibri"/>
                <w:caps/>
                <w:color w:val="auto"/>
                <w:sz w:val="28"/>
                <w:highlight w:val="none"/>
              </w:rPr>
            </w:pPr>
          </w:p>
        </w:tc>
      </w:tr>
      <w:tr w14:paraId="25939F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09FCA99">
            <w:pPr>
              <w:adjustRightInd w:val="0"/>
              <w:snapToGrid w:val="0"/>
              <w:jc w:val="center"/>
              <w:rPr>
                <w:rFonts w:ascii="Calibri" w:hAnsi="Calibri"/>
                <w:color w:val="auto"/>
                <w:sz w:val="28"/>
                <w:highlight w:val="none"/>
              </w:rPr>
            </w:pPr>
            <w:r>
              <w:rPr>
                <w:rFonts w:hint="eastAsia" w:cs="宋体"/>
                <w:color w:val="auto"/>
                <w:sz w:val="28"/>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14:paraId="56F682C6">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4E4D8D2">
            <w:pPr>
              <w:adjustRightInd w:val="0"/>
              <w:snapToGrid w:val="0"/>
              <w:jc w:val="center"/>
              <w:rPr>
                <w:rFonts w:ascii="Calibri" w:hAnsi="Calibri"/>
                <w:color w:val="auto"/>
                <w:sz w:val="28"/>
                <w:highlight w:val="none"/>
              </w:rPr>
            </w:pPr>
            <w:r>
              <w:rPr>
                <w:rFonts w:hint="eastAsia" w:cs="宋体"/>
                <w:caps/>
                <w:color w:val="auto"/>
                <w:sz w:val="28"/>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14:paraId="09C17C89">
            <w:pPr>
              <w:ind w:left="230"/>
              <w:jc w:val="center"/>
              <w:rPr>
                <w:rFonts w:ascii="Calibri" w:hAnsi="Calibri"/>
                <w:caps/>
                <w:color w:val="auto"/>
                <w:sz w:val="28"/>
                <w:highlight w:val="none"/>
              </w:rPr>
            </w:pPr>
          </w:p>
        </w:tc>
      </w:tr>
      <w:tr w14:paraId="4B2550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5603DEA2">
            <w:pPr>
              <w:adjustRightInd w:val="0"/>
              <w:snapToGrid w:val="0"/>
              <w:jc w:val="center"/>
              <w:rPr>
                <w:rFonts w:ascii="Calibri" w:hAnsi="Calibri"/>
                <w:color w:val="auto"/>
                <w:sz w:val="28"/>
                <w:highlight w:val="none"/>
              </w:rPr>
            </w:pPr>
            <w:r>
              <w:rPr>
                <w:rFonts w:hint="eastAsia" w:cs="宋体"/>
                <w:color w:val="auto"/>
                <w:sz w:val="28"/>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14:paraId="4535F85F">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19AEDD38">
            <w:pPr>
              <w:adjustRightInd w:val="0"/>
              <w:snapToGrid w:val="0"/>
              <w:jc w:val="center"/>
              <w:rPr>
                <w:rFonts w:ascii="Calibri" w:hAnsi="Calibri"/>
                <w:color w:val="auto"/>
                <w:sz w:val="28"/>
                <w:highlight w:val="none"/>
              </w:rPr>
            </w:pPr>
            <w:r>
              <w:rPr>
                <w:rFonts w:hint="eastAsia" w:cs="宋体"/>
                <w:color w:val="auto"/>
                <w:sz w:val="28"/>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14:paraId="2778941E">
            <w:pPr>
              <w:ind w:left="230"/>
              <w:jc w:val="center"/>
              <w:rPr>
                <w:rFonts w:ascii="Calibri" w:hAnsi="Calibri"/>
                <w:caps/>
                <w:color w:val="auto"/>
                <w:sz w:val="28"/>
                <w:highlight w:val="none"/>
              </w:rPr>
            </w:pPr>
          </w:p>
        </w:tc>
      </w:tr>
      <w:tr w14:paraId="076191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22D889E">
            <w:pPr>
              <w:adjustRightInd w:val="0"/>
              <w:snapToGrid w:val="0"/>
              <w:jc w:val="center"/>
              <w:rPr>
                <w:rFonts w:ascii="Calibri" w:hAnsi="Calibri"/>
                <w:color w:val="auto"/>
                <w:sz w:val="28"/>
                <w:highlight w:val="none"/>
              </w:rPr>
            </w:pPr>
            <w:r>
              <w:rPr>
                <w:rFonts w:hint="eastAsia" w:cs="宋体"/>
                <w:color w:val="auto"/>
                <w:sz w:val="28"/>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14:paraId="3C2CCCA0">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66255063">
            <w:pPr>
              <w:adjustRightInd w:val="0"/>
              <w:snapToGrid w:val="0"/>
              <w:jc w:val="center"/>
              <w:rPr>
                <w:rFonts w:ascii="Calibri" w:hAnsi="Calibri"/>
                <w:color w:val="auto"/>
                <w:sz w:val="28"/>
                <w:highlight w:val="none"/>
              </w:rPr>
            </w:pPr>
            <w:r>
              <w:rPr>
                <w:rFonts w:hint="eastAsia" w:cs="宋体"/>
                <w:caps/>
                <w:color w:val="auto"/>
                <w:sz w:val="28"/>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14:paraId="330A708C">
            <w:pPr>
              <w:ind w:left="230"/>
              <w:jc w:val="center"/>
              <w:rPr>
                <w:rFonts w:ascii="Calibri" w:hAnsi="Calibri"/>
                <w:caps/>
                <w:color w:val="auto"/>
                <w:sz w:val="28"/>
                <w:highlight w:val="none"/>
              </w:rPr>
            </w:pPr>
          </w:p>
        </w:tc>
      </w:tr>
      <w:tr w14:paraId="058C1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543B079">
            <w:pPr>
              <w:adjustRightInd w:val="0"/>
              <w:snapToGrid w:val="0"/>
              <w:jc w:val="center"/>
              <w:rPr>
                <w:rFonts w:ascii="Calibri" w:hAnsi="Calibri"/>
                <w:color w:val="auto"/>
                <w:sz w:val="28"/>
                <w:highlight w:val="none"/>
              </w:rPr>
            </w:pPr>
            <w:r>
              <w:rPr>
                <w:rFonts w:hint="eastAsia" w:cs="宋体"/>
                <w:color w:val="auto"/>
                <w:sz w:val="28"/>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14:paraId="536D75E3">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2B7BAB2B">
            <w:pPr>
              <w:adjustRightInd w:val="0"/>
              <w:snapToGrid w:val="0"/>
              <w:jc w:val="center"/>
              <w:rPr>
                <w:rFonts w:ascii="Calibri" w:hAnsi="Calibri"/>
                <w:caps/>
                <w:color w:val="auto"/>
                <w:sz w:val="28"/>
                <w:highlight w:val="none"/>
              </w:rPr>
            </w:pPr>
            <w:r>
              <w:rPr>
                <w:rFonts w:hint="eastAsia" w:cs="宋体"/>
                <w:caps/>
                <w:color w:val="auto"/>
                <w:sz w:val="28"/>
                <w:highlight w:val="none"/>
                <w:lang w:bidi="ar"/>
              </w:rPr>
              <w:t>拟在本项目</w:t>
            </w:r>
          </w:p>
          <w:p w14:paraId="4EB04E0B">
            <w:pPr>
              <w:adjustRightInd w:val="0"/>
              <w:snapToGrid w:val="0"/>
              <w:jc w:val="center"/>
              <w:rPr>
                <w:rFonts w:ascii="Calibri" w:hAnsi="Calibri"/>
                <w:color w:val="auto"/>
                <w:sz w:val="28"/>
                <w:highlight w:val="none"/>
              </w:rPr>
            </w:pPr>
            <w:r>
              <w:rPr>
                <w:rFonts w:hint="eastAsia" w:cs="宋体"/>
                <w:caps/>
                <w:color w:val="auto"/>
                <w:sz w:val="28"/>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14:paraId="2940514F">
            <w:pPr>
              <w:ind w:left="230"/>
              <w:jc w:val="center"/>
              <w:rPr>
                <w:rFonts w:ascii="Calibri" w:hAnsi="Calibri"/>
                <w:caps/>
                <w:color w:val="auto"/>
                <w:sz w:val="28"/>
                <w:highlight w:val="none"/>
              </w:rPr>
            </w:pPr>
          </w:p>
        </w:tc>
      </w:tr>
      <w:tr w14:paraId="27659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1832BF5F">
            <w:pPr>
              <w:jc w:val="center"/>
              <w:rPr>
                <w:rFonts w:ascii="Calibri" w:hAnsi="Calibri"/>
                <w:color w:val="auto"/>
                <w:sz w:val="28"/>
                <w:highlight w:val="none"/>
              </w:rPr>
            </w:pPr>
            <w:r>
              <w:rPr>
                <w:rFonts w:hint="eastAsia" w:cs="宋体"/>
                <w:caps/>
                <w:color w:val="auto"/>
                <w:sz w:val="28"/>
                <w:highlight w:val="none"/>
              </w:rPr>
              <w:t>专业工作简历概述</w:t>
            </w:r>
          </w:p>
        </w:tc>
      </w:tr>
      <w:tr w14:paraId="7FD84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304C62A3">
            <w:pPr>
              <w:ind w:left="0" w:firstLine="0"/>
              <w:jc w:val="left"/>
              <w:rPr>
                <w:rFonts w:ascii="宋体" w:hAnsi="宋体" w:cs="宋体"/>
                <w:color w:val="auto"/>
                <w:sz w:val="28"/>
                <w:highlight w:val="none"/>
              </w:rPr>
            </w:pPr>
          </w:p>
          <w:p w14:paraId="2BB33BB6">
            <w:pPr>
              <w:jc w:val="left"/>
              <w:rPr>
                <w:rFonts w:ascii="宋体" w:hAnsi="宋体" w:cs="宋体"/>
                <w:color w:val="auto"/>
                <w:sz w:val="28"/>
                <w:highlight w:val="none"/>
              </w:rPr>
            </w:pPr>
          </w:p>
          <w:p w14:paraId="6C0A8DDD">
            <w:pPr>
              <w:jc w:val="left"/>
              <w:rPr>
                <w:rFonts w:ascii="宋体" w:hAnsi="宋体" w:cs="宋体"/>
                <w:color w:val="auto"/>
                <w:sz w:val="28"/>
                <w:highlight w:val="none"/>
              </w:rPr>
            </w:pPr>
          </w:p>
          <w:p w14:paraId="40D594EE">
            <w:pPr>
              <w:rPr>
                <w:rFonts w:ascii="宋体" w:hAnsi="宋体" w:cs="宋体"/>
                <w:color w:val="auto"/>
                <w:sz w:val="28"/>
                <w:highlight w:val="none"/>
              </w:rPr>
            </w:pPr>
          </w:p>
        </w:tc>
      </w:tr>
    </w:tbl>
    <w:p w14:paraId="35D8B869">
      <w:pPr>
        <w:spacing w:beforeLines="50"/>
        <w:ind w:left="856" w:leftChars="23" w:right="-57" w:rightChars="-27" w:hanging="808" w:hangingChars="337"/>
        <w:jc w:val="left"/>
        <w:rPr>
          <w:rFonts w:eastAsia="Times New Roman"/>
          <w:color w:val="auto"/>
          <w:sz w:val="24"/>
          <w:highlight w:val="none"/>
        </w:rPr>
      </w:pPr>
      <w:r>
        <w:rPr>
          <w:rFonts w:hint="eastAsia" w:cs="宋体"/>
          <w:color w:val="auto"/>
          <w:sz w:val="24"/>
          <w:highlight w:val="none"/>
          <w:lang w:bidi="ar"/>
        </w:rPr>
        <w:t>注：每人一页。</w:t>
      </w:r>
      <w:r>
        <w:rPr>
          <w:rFonts w:hint="eastAsia" w:cs="宋体"/>
          <w:color w:val="auto"/>
          <w:highlight w:val="none"/>
          <w:lang w:bidi="ar"/>
        </w:rPr>
        <w:t>此表应后附比选文件要求提供的相应人员资质及业绩证明文件。</w:t>
      </w:r>
    </w:p>
    <w:p w14:paraId="1781FBB2">
      <w:pPr>
        <w:spacing w:line="460" w:lineRule="exact"/>
        <w:rPr>
          <w:rFonts w:cs="宋体"/>
          <w:color w:val="auto"/>
          <w:sz w:val="24"/>
          <w:highlight w:val="none"/>
          <w:lang w:bidi="ar"/>
        </w:rPr>
      </w:pPr>
    </w:p>
    <w:p w14:paraId="201266F6">
      <w:pPr>
        <w:pStyle w:val="2"/>
        <w:ind w:firstLine="480"/>
        <w:rPr>
          <w:color w:val="auto"/>
          <w:highlight w:val="none"/>
        </w:rPr>
      </w:pPr>
    </w:p>
    <w:p w14:paraId="5D45EE1D">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14:paraId="64B69A8B">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AFDBDAB">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日期：年月日</w:t>
      </w:r>
    </w:p>
    <w:p w14:paraId="0BF2CD48">
      <w:pPr>
        <w:pStyle w:val="2"/>
        <w:ind w:firstLine="480"/>
        <w:rPr>
          <w:color w:val="auto"/>
          <w:highlight w:val="none"/>
        </w:rPr>
      </w:pPr>
    </w:p>
    <w:p w14:paraId="02C33606">
      <w:pPr>
        <w:pStyle w:val="7"/>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1741" w:name="_Toc20577"/>
      <w:bookmarkStart w:id="1742" w:name="_Toc28339"/>
      <w:r>
        <w:rPr>
          <w:rFonts w:hint="eastAsia" w:ascii="宋体" w:hAnsi="宋体" w:eastAsia="宋体"/>
          <w:color w:val="auto"/>
          <w:sz w:val="21"/>
          <w:szCs w:val="21"/>
          <w:highlight w:val="none"/>
        </w:rPr>
        <w:t>C5服务承诺书（格式自拟）</w:t>
      </w:r>
      <w:bookmarkEnd w:id="1741"/>
      <w:bookmarkEnd w:id="1742"/>
    </w:p>
    <w:p w14:paraId="189B0F67">
      <w:pPr>
        <w:pStyle w:val="2"/>
        <w:ind w:left="0" w:leftChars="0" w:firstLine="0" w:firstLineChars="0"/>
        <w:rPr>
          <w:rFonts w:eastAsia="宋体"/>
          <w:color w:val="auto"/>
          <w:highlight w:val="none"/>
        </w:rPr>
      </w:pPr>
      <w:r>
        <w:rPr>
          <w:rFonts w:hint="eastAsia" w:eastAsia="宋体"/>
          <w:color w:val="auto"/>
          <w:highlight w:val="none"/>
        </w:rPr>
        <w:t>（包含但不限于服务反应时间、修改时间等）</w:t>
      </w:r>
    </w:p>
    <w:p w14:paraId="1DC3DEF9">
      <w:pPr>
        <w:rPr>
          <w:color w:val="auto"/>
          <w:highlight w:val="none"/>
        </w:rPr>
      </w:pPr>
      <w:r>
        <w:rPr>
          <w:color w:val="auto"/>
          <w:highlight w:val="none"/>
        </w:rPr>
        <w:br w:type="page"/>
      </w:r>
    </w:p>
    <w:p w14:paraId="5E003C0C">
      <w:pPr>
        <w:pStyle w:val="2"/>
        <w:ind w:firstLine="480"/>
        <w:jc w:val="center"/>
        <w:rPr>
          <w:color w:val="auto"/>
          <w:highlight w:val="none"/>
        </w:rPr>
      </w:pPr>
    </w:p>
    <w:p w14:paraId="54521E4D">
      <w:pPr>
        <w:pStyle w:val="7"/>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1743" w:name="_Toc16657"/>
      <w:r>
        <w:rPr>
          <w:rFonts w:hint="eastAsia" w:ascii="宋体" w:hAnsi="宋体" w:eastAsia="宋体"/>
          <w:color w:val="auto"/>
          <w:sz w:val="21"/>
          <w:szCs w:val="21"/>
          <w:highlight w:val="none"/>
        </w:rPr>
        <w:t>C6业绩表</w:t>
      </w:r>
      <w:bookmarkEnd w:id="1740"/>
      <w:bookmarkEnd w:id="1743"/>
    </w:p>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14:paraId="1B4D1B90">
      <w:pPr>
        <w:spacing w:before="0"/>
        <w:ind w:right="-57" w:firstLine="0"/>
        <w:jc w:val="center"/>
        <w:rPr>
          <w:rFonts w:ascii="宋体" w:hAnsi="宋体"/>
          <w:b/>
          <w:color w:val="auto"/>
          <w:spacing w:val="20"/>
          <w:highlight w:val="none"/>
        </w:rPr>
      </w:pPr>
      <w:bookmarkStart w:id="1744" w:name="_Toc26286"/>
      <w:bookmarkStart w:id="1745" w:name="_Toc25908"/>
      <w:bookmarkStart w:id="1746" w:name="_Toc531"/>
      <w:bookmarkStart w:id="1747" w:name="_Toc1777"/>
      <w:bookmarkStart w:id="1748" w:name="_Toc14738"/>
      <w:bookmarkStart w:id="1749" w:name="_Toc17186"/>
      <w:bookmarkStart w:id="1750" w:name="_Toc3174"/>
      <w:bookmarkStart w:id="1751" w:name="_Toc6090"/>
      <w:bookmarkStart w:id="1752" w:name="_Toc1104"/>
      <w:bookmarkStart w:id="1753" w:name="_Toc14104"/>
      <w:bookmarkStart w:id="1754" w:name="_Toc5008"/>
      <w:bookmarkStart w:id="1755" w:name="_Toc21231"/>
      <w:bookmarkStart w:id="1756" w:name="_Toc9329"/>
      <w:bookmarkStart w:id="1757" w:name="_Toc4284"/>
      <w:bookmarkStart w:id="1758" w:name="_Toc22547"/>
      <w:bookmarkStart w:id="1759" w:name="_Toc147"/>
      <w:bookmarkStart w:id="1760" w:name="_Toc3551"/>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14:paraId="01886B4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2215DEC">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5D082C9F">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9F7B443">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14:paraId="44859D12">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14:paraId="74183678">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5B2F5C67">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79DC67B3">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38706304">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6EE7CBF">
            <w:pPr>
              <w:ind w:left="0" w:firstLine="0"/>
              <w:rPr>
                <w:rFonts w:ascii="宋体" w:hAnsi="宋体"/>
                <w:color w:val="auto"/>
                <w:highlight w:val="none"/>
              </w:rPr>
            </w:pPr>
            <w:r>
              <w:rPr>
                <w:rFonts w:hint="eastAsia" w:ascii="宋体" w:hAnsi="宋体"/>
                <w:color w:val="auto"/>
                <w:highlight w:val="none"/>
              </w:rPr>
              <w:t>联系电话</w:t>
            </w:r>
          </w:p>
        </w:tc>
      </w:tr>
      <w:tr w14:paraId="186239D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6178E9C4">
            <w:pPr>
              <w:ind w:left="0" w:firstLine="0"/>
              <w:rPr>
                <w:rFonts w:ascii="宋体" w:hAnsi="宋体"/>
                <w:color w:val="auto"/>
                <w:highlight w:val="none"/>
              </w:rPr>
            </w:pPr>
          </w:p>
        </w:tc>
        <w:tc>
          <w:tcPr>
            <w:tcW w:w="1092" w:type="dxa"/>
          </w:tcPr>
          <w:p w14:paraId="612F3D86">
            <w:pPr>
              <w:ind w:left="0" w:firstLine="0"/>
              <w:rPr>
                <w:rFonts w:ascii="宋体" w:hAnsi="宋体"/>
                <w:color w:val="auto"/>
                <w:highlight w:val="none"/>
              </w:rPr>
            </w:pPr>
          </w:p>
        </w:tc>
        <w:tc>
          <w:tcPr>
            <w:tcW w:w="1789" w:type="dxa"/>
          </w:tcPr>
          <w:p w14:paraId="2638AB4F">
            <w:pPr>
              <w:ind w:left="0" w:firstLine="0"/>
              <w:rPr>
                <w:rFonts w:ascii="宋体" w:hAnsi="宋体"/>
                <w:color w:val="auto"/>
                <w:highlight w:val="none"/>
              </w:rPr>
            </w:pPr>
          </w:p>
        </w:tc>
        <w:tc>
          <w:tcPr>
            <w:tcW w:w="992" w:type="dxa"/>
          </w:tcPr>
          <w:p w14:paraId="25099F94">
            <w:pPr>
              <w:ind w:left="0" w:firstLine="0"/>
              <w:rPr>
                <w:rFonts w:ascii="宋体" w:hAnsi="宋体"/>
                <w:color w:val="auto"/>
                <w:highlight w:val="none"/>
              </w:rPr>
            </w:pPr>
          </w:p>
        </w:tc>
        <w:tc>
          <w:tcPr>
            <w:tcW w:w="992" w:type="dxa"/>
          </w:tcPr>
          <w:p w14:paraId="73FE6BFA">
            <w:pPr>
              <w:ind w:left="0" w:firstLine="0"/>
              <w:rPr>
                <w:rFonts w:ascii="宋体" w:hAnsi="宋体"/>
                <w:color w:val="auto"/>
                <w:highlight w:val="none"/>
              </w:rPr>
            </w:pPr>
          </w:p>
        </w:tc>
        <w:tc>
          <w:tcPr>
            <w:tcW w:w="993" w:type="dxa"/>
          </w:tcPr>
          <w:p w14:paraId="6A26E057">
            <w:pPr>
              <w:ind w:left="0" w:firstLine="0"/>
              <w:rPr>
                <w:rFonts w:ascii="宋体" w:hAnsi="宋体"/>
                <w:color w:val="auto"/>
                <w:highlight w:val="none"/>
              </w:rPr>
            </w:pPr>
          </w:p>
        </w:tc>
        <w:tc>
          <w:tcPr>
            <w:tcW w:w="1388" w:type="dxa"/>
          </w:tcPr>
          <w:p w14:paraId="279179E1">
            <w:pPr>
              <w:ind w:left="0" w:firstLine="0"/>
              <w:rPr>
                <w:rFonts w:ascii="宋体" w:hAnsi="宋体"/>
                <w:color w:val="auto"/>
                <w:highlight w:val="none"/>
              </w:rPr>
            </w:pPr>
          </w:p>
        </w:tc>
        <w:tc>
          <w:tcPr>
            <w:tcW w:w="1044" w:type="dxa"/>
          </w:tcPr>
          <w:p w14:paraId="2F74FCB0">
            <w:pPr>
              <w:ind w:left="0" w:firstLine="0"/>
              <w:rPr>
                <w:rFonts w:ascii="宋体" w:hAnsi="宋体"/>
                <w:color w:val="auto"/>
                <w:highlight w:val="none"/>
              </w:rPr>
            </w:pPr>
          </w:p>
        </w:tc>
        <w:tc>
          <w:tcPr>
            <w:tcW w:w="1043" w:type="dxa"/>
          </w:tcPr>
          <w:p w14:paraId="600F1C76">
            <w:pPr>
              <w:ind w:left="0" w:firstLine="0"/>
              <w:rPr>
                <w:rFonts w:ascii="宋体" w:hAnsi="宋体"/>
                <w:color w:val="auto"/>
                <w:highlight w:val="none"/>
              </w:rPr>
            </w:pPr>
          </w:p>
        </w:tc>
      </w:tr>
      <w:tr w14:paraId="4C42693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CC16F53">
            <w:pPr>
              <w:ind w:left="0" w:firstLine="0"/>
              <w:rPr>
                <w:rFonts w:ascii="宋体" w:hAnsi="宋体"/>
                <w:color w:val="auto"/>
                <w:highlight w:val="none"/>
              </w:rPr>
            </w:pPr>
          </w:p>
        </w:tc>
        <w:tc>
          <w:tcPr>
            <w:tcW w:w="1092" w:type="dxa"/>
            <w:vAlign w:val="center"/>
          </w:tcPr>
          <w:p w14:paraId="6D9B6BAB">
            <w:pPr>
              <w:ind w:left="0" w:firstLine="0"/>
              <w:rPr>
                <w:rFonts w:ascii="宋体" w:hAnsi="宋体"/>
                <w:color w:val="auto"/>
                <w:highlight w:val="none"/>
              </w:rPr>
            </w:pPr>
          </w:p>
        </w:tc>
        <w:tc>
          <w:tcPr>
            <w:tcW w:w="1789" w:type="dxa"/>
            <w:vAlign w:val="center"/>
          </w:tcPr>
          <w:p w14:paraId="3D379774">
            <w:pPr>
              <w:ind w:left="0" w:firstLine="0"/>
              <w:rPr>
                <w:rFonts w:ascii="宋体" w:hAnsi="宋体"/>
                <w:color w:val="auto"/>
                <w:highlight w:val="none"/>
              </w:rPr>
            </w:pPr>
          </w:p>
        </w:tc>
        <w:tc>
          <w:tcPr>
            <w:tcW w:w="992" w:type="dxa"/>
          </w:tcPr>
          <w:p w14:paraId="7AE1D41B">
            <w:pPr>
              <w:ind w:left="0" w:firstLine="0"/>
              <w:rPr>
                <w:rFonts w:ascii="宋体" w:hAnsi="宋体"/>
                <w:color w:val="auto"/>
                <w:highlight w:val="none"/>
              </w:rPr>
            </w:pPr>
          </w:p>
        </w:tc>
        <w:tc>
          <w:tcPr>
            <w:tcW w:w="992" w:type="dxa"/>
            <w:vAlign w:val="center"/>
          </w:tcPr>
          <w:p w14:paraId="3470B493">
            <w:pPr>
              <w:ind w:left="0" w:firstLine="0"/>
              <w:rPr>
                <w:rFonts w:ascii="宋体" w:hAnsi="宋体"/>
                <w:color w:val="auto"/>
                <w:highlight w:val="none"/>
              </w:rPr>
            </w:pPr>
          </w:p>
        </w:tc>
        <w:tc>
          <w:tcPr>
            <w:tcW w:w="993" w:type="dxa"/>
            <w:vAlign w:val="center"/>
          </w:tcPr>
          <w:p w14:paraId="492BFBAC">
            <w:pPr>
              <w:ind w:left="0" w:firstLine="0"/>
              <w:rPr>
                <w:rFonts w:ascii="宋体" w:hAnsi="宋体"/>
                <w:color w:val="auto"/>
                <w:highlight w:val="none"/>
              </w:rPr>
            </w:pPr>
          </w:p>
        </w:tc>
        <w:tc>
          <w:tcPr>
            <w:tcW w:w="1388" w:type="dxa"/>
          </w:tcPr>
          <w:p w14:paraId="3885E09F">
            <w:pPr>
              <w:ind w:left="0" w:firstLine="0"/>
              <w:rPr>
                <w:rFonts w:ascii="宋体" w:hAnsi="宋体"/>
                <w:color w:val="auto"/>
                <w:highlight w:val="none"/>
              </w:rPr>
            </w:pPr>
          </w:p>
        </w:tc>
        <w:tc>
          <w:tcPr>
            <w:tcW w:w="1044" w:type="dxa"/>
            <w:vAlign w:val="center"/>
          </w:tcPr>
          <w:p w14:paraId="105C58E0">
            <w:pPr>
              <w:ind w:left="0" w:firstLine="0"/>
              <w:rPr>
                <w:rFonts w:ascii="宋体" w:hAnsi="宋体"/>
                <w:color w:val="auto"/>
                <w:highlight w:val="none"/>
              </w:rPr>
            </w:pPr>
          </w:p>
        </w:tc>
        <w:tc>
          <w:tcPr>
            <w:tcW w:w="1043" w:type="dxa"/>
            <w:vAlign w:val="center"/>
          </w:tcPr>
          <w:p w14:paraId="01DDF4D7">
            <w:pPr>
              <w:ind w:left="0" w:firstLine="0"/>
              <w:rPr>
                <w:rFonts w:ascii="宋体" w:hAnsi="宋体"/>
                <w:color w:val="auto"/>
                <w:highlight w:val="none"/>
              </w:rPr>
            </w:pPr>
          </w:p>
        </w:tc>
      </w:tr>
      <w:tr w14:paraId="08141A5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0CBA40A">
            <w:pPr>
              <w:ind w:left="0" w:firstLine="0"/>
              <w:rPr>
                <w:rFonts w:ascii="宋体" w:hAnsi="宋体"/>
                <w:color w:val="auto"/>
                <w:highlight w:val="none"/>
              </w:rPr>
            </w:pPr>
          </w:p>
        </w:tc>
        <w:tc>
          <w:tcPr>
            <w:tcW w:w="1092" w:type="dxa"/>
            <w:vAlign w:val="center"/>
          </w:tcPr>
          <w:p w14:paraId="28AEB282">
            <w:pPr>
              <w:ind w:left="0" w:firstLine="0"/>
              <w:rPr>
                <w:rFonts w:ascii="宋体" w:hAnsi="宋体"/>
                <w:color w:val="auto"/>
                <w:highlight w:val="none"/>
              </w:rPr>
            </w:pPr>
          </w:p>
        </w:tc>
        <w:tc>
          <w:tcPr>
            <w:tcW w:w="1789" w:type="dxa"/>
            <w:vAlign w:val="center"/>
          </w:tcPr>
          <w:p w14:paraId="61ADFBD1">
            <w:pPr>
              <w:ind w:left="0" w:firstLine="0"/>
              <w:rPr>
                <w:rFonts w:ascii="宋体" w:hAnsi="宋体"/>
                <w:color w:val="auto"/>
                <w:highlight w:val="none"/>
              </w:rPr>
            </w:pPr>
          </w:p>
        </w:tc>
        <w:tc>
          <w:tcPr>
            <w:tcW w:w="992" w:type="dxa"/>
          </w:tcPr>
          <w:p w14:paraId="3AFC7F1D">
            <w:pPr>
              <w:ind w:left="0" w:firstLine="0"/>
              <w:rPr>
                <w:rFonts w:ascii="宋体" w:hAnsi="宋体"/>
                <w:color w:val="auto"/>
                <w:highlight w:val="none"/>
              </w:rPr>
            </w:pPr>
          </w:p>
        </w:tc>
        <w:tc>
          <w:tcPr>
            <w:tcW w:w="992" w:type="dxa"/>
            <w:vAlign w:val="center"/>
          </w:tcPr>
          <w:p w14:paraId="589F79A1">
            <w:pPr>
              <w:ind w:left="0" w:firstLine="0"/>
              <w:rPr>
                <w:rFonts w:ascii="宋体" w:hAnsi="宋体"/>
                <w:color w:val="auto"/>
                <w:highlight w:val="none"/>
              </w:rPr>
            </w:pPr>
          </w:p>
        </w:tc>
        <w:tc>
          <w:tcPr>
            <w:tcW w:w="993" w:type="dxa"/>
            <w:vAlign w:val="center"/>
          </w:tcPr>
          <w:p w14:paraId="2DF8DF3A">
            <w:pPr>
              <w:ind w:left="0" w:firstLine="0"/>
              <w:rPr>
                <w:rFonts w:ascii="宋体" w:hAnsi="宋体"/>
                <w:color w:val="auto"/>
                <w:highlight w:val="none"/>
              </w:rPr>
            </w:pPr>
          </w:p>
        </w:tc>
        <w:tc>
          <w:tcPr>
            <w:tcW w:w="1388" w:type="dxa"/>
          </w:tcPr>
          <w:p w14:paraId="25C026EB">
            <w:pPr>
              <w:ind w:left="0" w:firstLine="0"/>
              <w:rPr>
                <w:rFonts w:ascii="宋体" w:hAnsi="宋体"/>
                <w:color w:val="auto"/>
                <w:highlight w:val="none"/>
              </w:rPr>
            </w:pPr>
          </w:p>
        </w:tc>
        <w:tc>
          <w:tcPr>
            <w:tcW w:w="1044" w:type="dxa"/>
            <w:vAlign w:val="center"/>
          </w:tcPr>
          <w:p w14:paraId="5D672208">
            <w:pPr>
              <w:ind w:left="0" w:firstLine="0"/>
              <w:rPr>
                <w:rFonts w:ascii="宋体" w:hAnsi="宋体"/>
                <w:color w:val="auto"/>
                <w:highlight w:val="none"/>
              </w:rPr>
            </w:pPr>
          </w:p>
        </w:tc>
        <w:tc>
          <w:tcPr>
            <w:tcW w:w="1043" w:type="dxa"/>
            <w:vAlign w:val="center"/>
          </w:tcPr>
          <w:p w14:paraId="304A4BD6">
            <w:pPr>
              <w:ind w:left="0" w:firstLine="0"/>
              <w:rPr>
                <w:rFonts w:ascii="宋体" w:hAnsi="宋体"/>
                <w:color w:val="auto"/>
                <w:highlight w:val="none"/>
              </w:rPr>
            </w:pPr>
          </w:p>
        </w:tc>
      </w:tr>
      <w:tr w14:paraId="2EA51A9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31BC096">
            <w:pPr>
              <w:ind w:left="0" w:firstLine="0"/>
              <w:rPr>
                <w:rFonts w:ascii="宋体" w:hAnsi="宋体"/>
                <w:color w:val="auto"/>
                <w:highlight w:val="none"/>
              </w:rPr>
            </w:pPr>
          </w:p>
        </w:tc>
        <w:tc>
          <w:tcPr>
            <w:tcW w:w="1092" w:type="dxa"/>
            <w:vAlign w:val="center"/>
          </w:tcPr>
          <w:p w14:paraId="6E01FFAF">
            <w:pPr>
              <w:ind w:left="0" w:firstLine="0"/>
              <w:rPr>
                <w:rFonts w:ascii="宋体" w:hAnsi="宋体"/>
                <w:color w:val="auto"/>
                <w:highlight w:val="none"/>
              </w:rPr>
            </w:pPr>
          </w:p>
        </w:tc>
        <w:tc>
          <w:tcPr>
            <w:tcW w:w="1789" w:type="dxa"/>
            <w:vAlign w:val="center"/>
          </w:tcPr>
          <w:p w14:paraId="0E044D42">
            <w:pPr>
              <w:ind w:left="0" w:firstLine="0"/>
              <w:rPr>
                <w:rFonts w:ascii="宋体" w:hAnsi="宋体"/>
                <w:color w:val="auto"/>
                <w:highlight w:val="none"/>
              </w:rPr>
            </w:pPr>
          </w:p>
        </w:tc>
        <w:tc>
          <w:tcPr>
            <w:tcW w:w="992" w:type="dxa"/>
          </w:tcPr>
          <w:p w14:paraId="4CA2E88C">
            <w:pPr>
              <w:ind w:left="0" w:firstLine="0"/>
              <w:rPr>
                <w:rFonts w:ascii="宋体" w:hAnsi="宋体"/>
                <w:color w:val="auto"/>
                <w:highlight w:val="none"/>
              </w:rPr>
            </w:pPr>
          </w:p>
        </w:tc>
        <w:tc>
          <w:tcPr>
            <w:tcW w:w="992" w:type="dxa"/>
            <w:vAlign w:val="center"/>
          </w:tcPr>
          <w:p w14:paraId="39C3CEC1">
            <w:pPr>
              <w:ind w:left="0" w:firstLine="0"/>
              <w:rPr>
                <w:rFonts w:ascii="宋体" w:hAnsi="宋体"/>
                <w:color w:val="auto"/>
                <w:highlight w:val="none"/>
              </w:rPr>
            </w:pPr>
          </w:p>
        </w:tc>
        <w:tc>
          <w:tcPr>
            <w:tcW w:w="993" w:type="dxa"/>
            <w:vAlign w:val="center"/>
          </w:tcPr>
          <w:p w14:paraId="3487AD9E">
            <w:pPr>
              <w:ind w:left="0" w:firstLine="0"/>
              <w:rPr>
                <w:rFonts w:ascii="宋体" w:hAnsi="宋体"/>
                <w:color w:val="auto"/>
                <w:highlight w:val="none"/>
              </w:rPr>
            </w:pPr>
          </w:p>
        </w:tc>
        <w:tc>
          <w:tcPr>
            <w:tcW w:w="1388" w:type="dxa"/>
          </w:tcPr>
          <w:p w14:paraId="28825194">
            <w:pPr>
              <w:ind w:left="0" w:firstLine="0"/>
              <w:rPr>
                <w:rFonts w:ascii="宋体" w:hAnsi="宋体"/>
                <w:color w:val="auto"/>
                <w:highlight w:val="none"/>
              </w:rPr>
            </w:pPr>
          </w:p>
        </w:tc>
        <w:tc>
          <w:tcPr>
            <w:tcW w:w="1044" w:type="dxa"/>
            <w:vAlign w:val="center"/>
          </w:tcPr>
          <w:p w14:paraId="063C95C0">
            <w:pPr>
              <w:ind w:left="0" w:firstLine="0"/>
              <w:rPr>
                <w:rFonts w:ascii="宋体" w:hAnsi="宋体"/>
                <w:color w:val="auto"/>
                <w:highlight w:val="none"/>
              </w:rPr>
            </w:pPr>
          </w:p>
        </w:tc>
        <w:tc>
          <w:tcPr>
            <w:tcW w:w="1043" w:type="dxa"/>
            <w:vAlign w:val="center"/>
          </w:tcPr>
          <w:p w14:paraId="03FFD1C5">
            <w:pPr>
              <w:ind w:left="0" w:firstLine="0"/>
              <w:rPr>
                <w:rFonts w:ascii="宋体" w:hAnsi="宋体"/>
                <w:color w:val="auto"/>
                <w:highlight w:val="none"/>
              </w:rPr>
            </w:pPr>
          </w:p>
        </w:tc>
      </w:tr>
      <w:tr w14:paraId="09A6E89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C574E57">
            <w:pPr>
              <w:ind w:left="0" w:firstLine="0"/>
              <w:rPr>
                <w:rFonts w:ascii="宋体" w:hAnsi="宋体"/>
                <w:color w:val="auto"/>
                <w:highlight w:val="none"/>
              </w:rPr>
            </w:pPr>
          </w:p>
        </w:tc>
        <w:tc>
          <w:tcPr>
            <w:tcW w:w="1092" w:type="dxa"/>
            <w:vAlign w:val="center"/>
          </w:tcPr>
          <w:p w14:paraId="6F925CD5">
            <w:pPr>
              <w:ind w:left="0" w:firstLine="0"/>
              <w:rPr>
                <w:rFonts w:ascii="宋体" w:hAnsi="宋体"/>
                <w:color w:val="auto"/>
                <w:highlight w:val="none"/>
              </w:rPr>
            </w:pPr>
          </w:p>
        </w:tc>
        <w:tc>
          <w:tcPr>
            <w:tcW w:w="1789" w:type="dxa"/>
            <w:vAlign w:val="center"/>
          </w:tcPr>
          <w:p w14:paraId="224CDA1A">
            <w:pPr>
              <w:ind w:left="0" w:firstLine="0"/>
              <w:rPr>
                <w:rFonts w:ascii="宋体" w:hAnsi="宋体"/>
                <w:color w:val="auto"/>
                <w:highlight w:val="none"/>
              </w:rPr>
            </w:pPr>
          </w:p>
        </w:tc>
        <w:tc>
          <w:tcPr>
            <w:tcW w:w="992" w:type="dxa"/>
          </w:tcPr>
          <w:p w14:paraId="1648A74B">
            <w:pPr>
              <w:ind w:left="0" w:firstLine="0"/>
              <w:rPr>
                <w:rFonts w:ascii="宋体" w:hAnsi="宋体"/>
                <w:color w:val="auto"/>
                <w:highlight w:val="none"/>
              </w:rPr>
            </w:pPr>
          </w:p>
        </w:tc>
        <w:tc>
          <w:tcPr>
            <w:tcW w:w="992" w:type="dxa"/>
            <w:vAlign w:val="center"/>
          </w:tcPr>
          <w:p w14:paraId="3DD14509">
            <w:pPr>
              <w:ind w:left="0" w:firstLine="0"/>
              <w:rPr>
                <w:rFonts w:ascii="宋体" w:hAnsi="宋体"/>
                <w:color w:val="auto"/>
                <w:highlight w:val="none"/>
              </w:rPr>
            </w:pPr>
          </w:p>
        </w:tc>
        <w:tc>
          <w:tcPr>
            <w:tcW w:w="993" w:type="dxa"/>
            <w:vAlign w:val="center"/>
          </w:tcPr>
          <w:p w14:paraId="7CC5DE6F">
            <w:pPr>
              <w:ind w:left="0" w:firstLine="0"/>
              <w:rPr>
                <w:rFonts w:ascii="宋体" w:hAnsi="宋体"/>
                <w:color w:val="auto"/>
                <w:highlight w:val="none"/>
              </w:rPr>
            </w:pPr>
          </w:p>
        </w:tc>
        <w:tc>
          <w:tcPr>
            <w:tcW w:w="1388" w:type="dxa"/>
          </w:tcPr>
          <w:p w14:paraId="600F4356">
            <w:pPr>
              <w:ind w:left="0" w:firstLine="0"/>
              <w:rPr>
                <w:rFonts w:ascii="宋体" w:hAnsi="宋体"/>
                <w:color w:val="auto"/>
                <w:highlight w:val="none"/>
              </w:rPr>
            </w:pPr>
          </w:p>
        </w:tc>
        <w:tc>
          <w:tcPr>
            <w:tcW w:w="1044" w:type="dxa"/>
            <w:vAlign w:val="center"/>
          </w:tcPr>
          <w:p w14:paraId="26C8E03A">
            <w:pPr>
              <w:ind w:left="0" w:firstLine="0"/>
              <w:rPr>
                <w:rFonts w:ascii="宋体" w:hAnsi="宋体"/>
                <w:color w:val="auto"/>
                <w:highlight w:val="none"/>
              </w:rPr>
            </w:pPr>
          </w:p>
        </w:tc>
        <w:tc>
          <w:tcPr>
            <w:tcW w:w="1043" w:type="dxa"/>
            <w:vAlign w:val="center"/>
          </w:tcPr>
          <w:p w14:paraId="4ABC3771">
            <w:pPr>
              <w:ind w:left="0" w:firstLine="0"/>
              <w:rPr>
                <w:rFonts w:ascii="宋体" w:hAnsi="宋体"/>
                <w:color w:val="auto"/>
                <w:highlight w:val="none"/>
              </w:rPr>
            </w:pPr>
          </w:p>
        </w:tc>
      </w:tr>
      <w:tr w14:paraId="1287714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1D5F921">
            <w:pPr>
              <w:ind w:left="0" w:firstLine="0"/>
              <w:rPr>
                <w:rFonts w:ascii="宋体" w:hAnsi="宋体"/>
                <w:color w:val="auto"/>
                <w:highlight w:val="none"/>
              </w:rPr>
            </w:pPr>
          </w:p>
        </w:tc>
        <w:tc>
          <w:tcPr>
            <w:tcW w:w="1092" w:type="dxa"/>
            <w:vAlign w:val="center"/>
          </w:tcPr>
          <w:p w14:paraId="050DF565">
            <w:pPr>
              <w:ind w:left="0" w:firstLine="0"/>
              <w:rPr>
                <w:rFonts w:ascii="宋体" w:hAnsi="宋体"/>
                <w:color w:val="auto"/>
                <w:highlight w:val="none"/>
              </w:rPr>
            </w:pPr>
          </w:p>
        </w:tc>
        <w:tc>
          <w:tcPr>
            <w:tcW w:w="1789" w:type="dxa"/>
            <w:vAlign w:val="center"/>
          </w:tcPr>
          <w:p w14:paraId="669A640D">
            <w:pPr>
              <w:ind w:left="0" w:firstLine="0"/>
              <w:rPr>
                <w:rFonts w:ascii="宋体" w:hAnsi="宋体"/>
                <w:color w:val="auto"/>
                <w:highlight w:val="none"/>
              </w:rPr>
            </w:pPr>
          </w:p>
        </w:tc>
        <w:tc>
          <w:tcPr>
            <w:tcW w:w="992" w:type="dxa"/>
          </w:tcPr>
          <w:p w14:paraId="784E4B5C">
            <w:pPr>
              <w:ind w:left="0" w:firstLine="0"/>
              <w:rPr>
                <w:rFonts w:ascii="宋体" w:hAnsi="宋体"/>
                <w:color w:val="auto"/>
                <w:highlight w:val="none"/>
              </w:rPr>
            </w:pPr>
          </w:p>
        </w:tc>
        <w:tc>
          <w:tcPr>
            <w:tcW w:w="992" w:type="dxa"/>
            <w:vAlign w:val="center"/>
          </w:tcPr>
          <w:p w14:paraId="626443EA">
            <w:pPr>
              <w:ind w:left="0" w:firstLine="0"/>
              <w:rPr>
                <w:rFonts w:ascii="宋体" w:hAnsi="宋体"/>
                <w:color w:val="auto"/>
                <w:highlight w:val="none"/>
              </w:rPr>
            </w:pPr>
          </w:p>
        </w:tc>
        <w:tc>
          <w:tcPr>
            <w:tcW w:w="993" w:type="dxa"/>
            <w:vAlign w:val="center"/>
          </w:tcPr>
          <w:p w14:paraId="6581283E">
            <w:pPr>
              <w:ind w:left="0" w:firstLine="0"/>
              <w:rPr>
                <w:rFonts w:ascii="宋体" w:hAnsi="宋体"/>
                <w:color w:val="auto"/>
                <w:highlight w:val="none"/>
              </w:rPr>
            </w:pPr>
          </w:p>
        </w:tc>
        <w:tc>
          <w:tcPr>
            <w:tcW w:w="1388" w:type="dxa"/>
          </w:tcPr>
          <w:p w14:paraId="1C43228A">
            <w:pPr>
              <w:ind w:left="0" w:firstLine="0"/>
              <w:rPr>
                <w:rFonts w:ascii="宋体" w:hAnsi="宋体"/>
                <w:color w:val="auto"/>
                <w:highlight w:val="none"/>
              </w:rPr>
            </w:pPr>
          </w:p>
        </w:tc>
        <w:tc>
          <w:tcPr>
            <w:tcW w:w="1044" w:type="dxa"/>
            <w:vAlign w:val="center"/>
          </w:tcPr>
          <w:p w14:paraId="555A887B">
            <w:pPr>
              <w:ind w:left="0" w:firstLine="0"/>
              <w:rPr>
                <w:rFonts w:ascii="宋体" w:hAnsi="宋体"/>
                <w:color w:val="auto"/>
                <w:highlight w:val="none"/>
              </w:rPr>
            </w:pPr>
          </w:p>
        </w:tc>
        <w:tc>
          <w:tcPr>
            <w:tcW w:w="1043" w:type="dxa"/>
            <w:vAlign w:val="center"/>
          </w:tcPr>
          <w:p w14:paraId="4F3BAED1">
            <w:pPr>
              <w:ind w:left="0" w:firstLine="0"/>
              <w:rPr>
                <w:rFonts w:ascii="宋体" w:hAnsi="宋体"/>
                <w:color w:val="auto"/>
                <w:highlight w:val="none"/>
              </w:rPr>
            </w:pPr>
          </w:p>
        </w:tc>
      </w:tr>
      <w:tr w14:paraId="4FD9494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2974B7">
            <w:pPr>
              <w:ind w:left="0" w:firstLine="0"/>
              <w:rPr>
                <w:rFonts w:ascii="宋体" w:hAnsi="宋体"/>
                <w:color w:val="auto"/>
                <w:highlight w:val="none"/>
              </w:rPr>
            </w:pPr>
          </w:p>
        </w:tc>
        <w:tc>
          <w:tcPr>
            <w:tcW w:w="1092" w:type="dxa"/>
            <w:vAlign w:val="center"/>
          </w:tcPr>
          <w:p w14:paraId="3383B96D">
            <w:pPr>
              <w:ind w:left="0" w:firstLine="0"/>
              <w:rPr>
                <w:rFonts w:ascii="宋体" w:hAnsi="宋体"/>
                <w:color w:val="auto"/>
                <w:highlight w:val="none"/>
              </w:rPr>
            </w:pPr>
          </w:p>
        </w:tc>
        <w:tc>
          <w:tcPr>
            <w:tcW w:w="1789" w:type="dxa"/>
            <w:vAlign w:val="center"/>
          </w:tcPr>
          <w:p w14:paraId="4A0149A7">
            <w:pPr>
              <w:ind w:left="0" w:firstLine="0"/>
              <w:rPr>
                <w:rFonts w:ascii="宋体" w:hAnsi="宋体"/>
                <w:color w:val="auto"/>
                <w:highlight w:val="none"/>
              </w:rPr>
            </w:pPr>
          </w:p>
        </w:tc>
        <w:tc>
          <w:tcPr>
            <w:tcW w:w="992" w:type="dxa"/>
          </w:tcPr>
          <w:p w14:paraId="74519567">
            <w:pPr>
              <w:ind w:left="0" w:firstLine="0"/>
              <w:rPr>
                <w:rFonts w:ascii="宋体" w:hAnsi="宋体"/>
                <w:color w:val="auto"/>
                <w:highlight w:val="none"/>
              </w:rPr>
            </w:pPr>
          </w:p>
        </w:tc>
        <w:tc>
          <w:tcPr>
            <w:tcW w:w="992" w:type="dxa"/>
            <w:vAlign w:val="center"/>
          </w:tcPr>
          <w:p w14:paraId="1E50D33F">
            <w:pPr>
              <w:ind w:left="0" w:firstLine="0"/>
              <w:rPr>
                <w:rFonts w:ascii="宋体" w:hAnsi="宋体"/>
                <w:color w:val="auto"/>
                <w:highlight w:val="none"/>
              </w:rPr>
            </w:pPr>
          </w:p>
        </w:tc>
        <w:tc>
          <w:tcPr>
            <w:tcW w:w="993" w:type="dxa"/>
            <w:vAlign w:val="center"/>
          </w:tcPr>
          <w:p w14:paraId="0040C5AA">
            <w:pPr>
              <w:ind w:left="0" w:firstLine="0"/>
              <w:rPr>
                <w:rFonts w:ascii="宋体" w:hAnsi="宋体"/>
                <w:color w:val="auto"/>
                <w:highlight w:val="none"/>
              </w:rPr>
            </w:pPr>
          </w:p>
        </w:tc>
        <w:tc>
          <w:tcPr>
            <w:tcW w:w="1388" w:type="dxa"/>
          </w:tcPr>
          <w:p w14:paraId="79B6AFA0">
            <w:pPr>
              <w:ind w:left="0" w:firstLine="0"/>
              <w:rPr>
                <w:rFonts w:ascii="宋体" w:hAnsi="宋体"/>
                <w:color w:val="auto"/>
                <w:highlight w:val="none"/>
              </w:rPr>
            </w:pPr>
          </w:p>
        </w:tc>
        <w:tc>
          <w:tcPr>
            <w:tcW w:w="1044" w:type="dxa"/>
            <w:vAlign w:val="center"/>
          </w:tcPr>
          <w:p w14:paraId="6FB82D29">
            <w:pPr>
              <w:ind w:left="0" w:firstLine="0"/>
              <w:rPr>
                <w:rFonts w:ascii="宋体" w:hAnsi="宋体"/>
                <w:color w:val="auto"/>
                <w:highlight w:val="none"/>
              </w:rPr>
            </w:pPr>
          </w:p>
        </w:tc>
        <w:tc>
          <w:tcPr>
            <w:tcW w:w="1043" w:type="dxa"/>
            <w:vAlign w:val="center"/>
          </w:tcPr>
          <w:p w14:paraId="5EFFF34E">
            <w:pPr>
              <w:ind w:left="0" w:firstLine="0"/>
              <w:rPr>
                <w:rFonts w:ascii="宋体" w:hAnsi="宋体"/>
                <w:color w:val="auto"/>
                <w:highlight w:val="none"/>
              </w:rPr>
            </w:pPr>
          </w:p>
        </w:tc>
      </w:tr>
      <w:tr w14:paraId="7FECD16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A78EFD4">
            <w:pPr>
              <w:ind w:left="0" w:firstLine="0"/>
              <w:rPr>
                <w:rFonts w:ascii="宋体" w:hAnsi="宋体"/>
                <w:color w:val="auto"/>
                <w:highlight w:val="none"/>
              </w:rPr>
            </w:pPr>
          </w:p>
        </w:tc>
        <w:tc>
          <w:tcPr>
            <w:tcW w:w="1092" w:type="dxa"/>
            <w:vAlign w:val="center"/>
          </w:tcPr>
          <w:p w14:paraId="108FD1F1">
            <w:pPr>
              <w:ind w:left="0" w:firstLine="0"/>
              <w:rPr>
                <w:rFonts w:ascii="宋体" w:hAnsi="宋体"/>
                <w:color w:val="auto"/>
                <w:highlight w:val="none"/>
              </w:rPr>
            </w:pPr>
          </w:p>
        </w:tc>
        <w:tc>
          <w:tcPr>
            <w:tcW w:w="1789" w:type="dxa"/>
            <w:vAlign w:val="center"/>
          </w:tcPr>
          <w:p w14:paraId="45EBA514">
            <w:pPr>
              <w:ind w:left="0" w:firstLine="0"/>
              <w:rPr>
                <w:rFonts w:ascii="宋体" w:hAnsi="宋体"/>
                <w:color w:val="auto"/>
                <w:highlight w:val="none"/>
              </w:rPr>
            </w:pPr>
          </w:p>
        </w:tc>
        <w:tc>
          <w:tcPr>
            <w:tcW w:w="992" w:type="dxa"/>
          </w:tcPr>
          <w:p w14:paraId="60572654">
            <w:pPr>
              <w:ind w:left="0" w:firstLine="0"/>
              <w:rPr>
                <w:rFonts w:ascii="宋体" w:hAnsi="宋体"/>
                <w:color w:val="auto"/>
                <w:highlight w:val="none"/>
              </w:rPr>
            </w:pPr>
          </w:p>
        </w:tc>
        <w:tc>
          <w:tcPr>
            <w:tcW w:w="992" w:type="dxa"/>
            <w:vAlign w:val="center"/>
          </w:tcPr>
          <w:p w14:paraId="239E4EBA">
            <w:pPr>
              <w:ind w:left="0" w:firstLine="0"/>
              <w:rPr>
                <w:rFonts w:ascii="宋体" w:hAnsi="宋体"/>
                <w:color w:val="auto"/>
                <w:highlight w:val="none"/>
              </w:rPr>
            </w:pPr>
          </w:p>
        </w:tc>
        <w:tc>
          <w:tcPr>
            <w:tcW w:w="993" w:type="dxa"/>
            <w:vAlign w:val="center"/>
          </w:tcPr>
          <w:p w14:paraId="72B03B05">
            <w:pPr>
              <w:ind w:left="0" w:firstLine="0"/>
              <w:rPr>
                <w:rFonts w:ascii="宋体" w:hAnsi="宋体"/>
                <w:color w:val="auto"/>
                <w:highlight w:val="none"/>
              </w:rPr>
            </w:pPr>
          </w:p>
        </w:tc>
        <w:tc>
          <w:tcPr>
            <w:tcW w:w="1388" w:type="dxa"/>
          </w:tcPr>
          <w:p w14:paraId="486456AA">
            <w:pPr>
              <w:ind w:left="0" w:firstLine="0"/>
              <w:rPr>
                <w:rFonts w:ascii="宋体" w:hAnsi="宋体"/>
                <w:color w:val="auto"/>
                <w:highlight w:val="none"/>
              </w:rPr>
            </w:pPr>
          </w:p>
        </w:tc>
        <w:tc>
          <w:tcPr>
            <w:tcW w:w="1044" w:type="dxa"/>
            <w:vAlign w:val="center"/>
          </w:tcPr>
          <w:p w14:paraId="56909F49">
            <w:pPr>
              <w:ind w:left="0" w:firstLine="0"/>
              <w:rPr>
                <w:rFonts w:ascii="宋体" w:hAnsi="宋体"/>
                <w:color w:val="auto"/>
                <w:highlight w:val="none"/>
              </w:rPr>
            </w:pPr>
          </w:p>
        </w:tc>
        <w:tc>
          <w:tcPr>
            <w:tcW w:w="1043" w:type="dxa"/>
            <w:vAlign w:val="center"/>
          </w:tcPr>
          <w:p w14:paraId="0F1AD2FB">
            <w:pPr>
              <w:ind w:left="0" w:firstLine="0"/>
              <w:rPr>
                <w:rFonts w:ascii="宋体" w:hAnsi="宋体"/>
                <w:color w:val="auto"/>
                <w:highlight w:val="none"/>
              </w:rPr>
            </w:pPr>
          </w:p>
        </w:tc>
      </w:tr>
      <w:tr w14:paraId="274C533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7C0F4E3B">
            <w:pPr>
              <w:ind w:left="0" w:firstLine="0"/>
              <w:rPr>
                <w:rFonts w:ascii="宋体" w:hAnsi="宋体"/>
                <w:color w:val="auto"/>
                <w:highlight w:val="none"/>
              </w:rPr>
            </w:pPr>
          </w:p>
        </w:tc>
        <w:tc>
          <w:tcPr>
            <w:tcW w:w="1092" w:type="dxa"/>
            <w:vAlign w:val="center"/>
          </w:tcPr>
          <w:p w14:paraId="5EAA365D">
            <w:pPr>
              <w:ind w:left="0" w:firstLine="0"/>
              <w:rPr>
                <w:rFonts w:ascii="宋体" w:hAnsi="宋体"/>
                <w:color w:val="auto"/>
                <w:highlight w:val="none"/>
              </w:rPr>
            </w:pPr>
          </w:p>
        </w:tc>
        <w:tc>
          <w:tcPr>
            <w:tcW w:w="1789" w:type="dxa"/>
            <w:vAlign w:val="center"/>
          </w:tcPr>
          <w:p w14:paraId="25474EE7">
            <w:pPr>
              <w:ind w:left="0" w:firstLine="0"/>
              <w:rPr>
                <w:rFonts w:ascii="宋体" w:hAnsi="宋体"/>
                <w:color w:val="auto"/>
                <w:highlight w:val="none"/>
              </w:rPr>
            </w:pPr>
          </w:p>
        </w:tc>
        <w:tc>
          <w:tcPr>
            <w:tcW w:w="992" w:type="dxa"/>
          </w:tcPr>
          <w:p w14:paraId="5A905C22">
            <w:pPr>
              <w:ind w:left="0" w:firstLine="0"/>
              <w:rPr>
                <w:rFonts w:ascii="宋体" w:hAnsi="宋体"/>
                <w:color w:val="auto"/>
                <w:highlight w:val="none"/>
              </w:rPr>
            </w:pPr>
          </w:p>
        </w:tc>
        <w:tc>
          <w:tcPr>
            <w:tcW w:w="992" w:type="dxa"/>
            <w:vAlign w:val="center"/>
          </w:tcPr>
          <w:p w14:paraId="21626EF2">
            <w:pPr>
              <w:ind w:left="0" w:firstLine="0"/>
              <w:rPr>
                <w:rFonts w:ascii="宋体" w:hAnsi="宋体"/>
                <w:color w:val="auto"/>
                <w:highlight w:val="none"/>
              </w:rPr>
            </w:pPr>
          </w:p>
        </w:tc>
        <w:tc>
          <w:tcPr>
            <w:tcW w:w="993" w:type="dxa"/>
            <w:vAlign w:val="center"/>
          </w:tcPr>
          <w:p w14:paraId="6C91D28A">
            <w:pPr>
              <w:ind w:left="0" w:firstLine="0"/>
              <w:rPr>
                <w:rFonts w:ascii="宋体" w:hAnsi="宋体"/>
                <w:color w:val="auto"/>
                <w:highlight w:val="none"/>
              </w:rPr>
            </w:pPr>
          </w:p>
        </w:tc>
        <w:tc>
          <w:tcPr>
            <w:tcW w:w="1388" w:type="dxa"/>
          </w:tcPr>
          <w:p w14:paraId="6033AA0A">
            <w:pPr>
              <w:ind w:left="0" w:firstLine="0"/>
              <w:rPr>
                <w:rFonts w:ascii="宋体" w:hAnsi="宋体"/>
                <w:color w:val="auto"/>
                <w:highlight w:val="none"/>
              </w:rPr>
            </w:pPr>
          </w:p>
        </w:tc>
        <w:tc>
          <w:tcPr>
            <w:tcW w:w="1044" w:type="dxa"/>
            <w:vAlign w:val="center"/>
          </w:tcPr>
          <w:p w14:paraId="44FCC8C6">
            <w:pPr>
              <w:ind w:left="0" w:firstLine="0"/>
              <w:rPr>
                <w:rFonts w:ascii="宋体" w:hAnsi="宋体"/>
                <w:color w:val="auto"/>
                <w:highlight w:val="none"/>
              </w:rPr>
            </w:pPr>
          </w:p>
        </w:tc>
        <w:tc>
          <w:tcPr>
            <w:tcW w:w="1043" w:type="dxa"/>
            <w:vAlign w:val="center"/>
          </w:tcPr>
          <w:p w14:paraId="65E22C98">
            <w:pPr>
              <w:ind w:left="0" w:firstLine="0"/>
              <w:rPr>
                <w:rFonts w:ascii="宋体" w:hAnsi="宋体"/>
                <w:color w:val="auto"/>
                <w:highlight w:val="none"/>
              </w:rPr>
            </w:pPr>
          </w:p>
        </w:tc>
      </w:tr>
    </w:tbl>
    <w:p w14:paraId="08EA1F77">
      <w:pPr>
        <w:spacing w:before="0"/>
        <w:ind w:left="567" w:right="-57" w:hanging="567"/>
        <w:jc w:val="left"/>
        <w:rPr>
          <w:rFonts w:ascii="宋体" w:hAnsi="宋体"/>
          <w:color w:val="auto"/>
          <w:highlight w:val="none"/>
        </w:rPr>
      </w:pPr>
    </w:p>
    <w:p w14:paraId="775BCB99">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比选申请人自2023年1月1日至比选申请截止时间前，承接过（完工/在建项目）3个及以上15000kVA以上房地产项目相关供配电设计业绩。</w:t>
      </w:r>
    </w:p>
    <w:p w14:paraId="7DE8C628">
      <w:pPr>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3B6E0A22">
      <w:pPr>
        <w:spacing w:before="0" w:after="0" w:afterAutospacing="0"/>
        <w:ind w:left="0" w:right="0" w:firstLine="420" w:firstLineChars="200"/>
        <w:rPr>
          <w:rFonts w:hint="eastAsia" w:ascii="宋体" w:hAnsi="宋体" w:eastAsia="宋体"/>
          <w:color w:val="auto"/>
          <w:highlight w:val="none"/>
          <w:lang w:eastAsia="zh-CN"/>
        </w:rPr>
      </w:pPr>
      <w:r>
        <w:rPr>
          <w:rFonts w:ascii="宋体" w:hAnsi="宋体"/>
          <w:color w:val="auto"/>
          <w:highlight w:val="none"/>
        </w:rPr>
        <w:t>3.</w:t>
      </w:r>
      <w:r>
        <w:rPr>
          <w:rFonts w:hint="eastAsia" w:ascii="宋体" w:hAnsi="宋体"/>
          <w:color w:val="auto"/>
          <w:highlight w:val="none"/>
        </w:rPr>
        <w:t>比选申请人须提供相应的业绩证明材料：</w:t>
      </w:r>
      <w:r>
        <w:rPr>
          <w:rFonts w:hint="eastAsia" w:ascii="宋体" w:hAnsi="宋体"/>
          <w:color w:val="auto"/>
          <w:highlight w:val="none"/>
          <w:lang w:eastAsia="zh-CN"/>
        </w:rPr>
        <w:t>提供下述材料之一即可：①合同文件；②中标通知书；③业主证明材料。所提供材料需能证明符合业绩内容，否则视为无效证明文件，提供复印件加盖比选申请人公章，原件备查。</w:t>
      </w:r>
    </w:p>
    <w:p w14:paraId="30730541">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0BA86AB6">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14:paraId="6D12D7C2">
      <w:pPr>
        <w:ind w:left="710" w:leftChars="338" w:right="-57" w:firstLine="3234" w:firstLineChars="1540"/>
        <w:jc w:val="left"/>
        <w:rPr>
          <w:color w:val="auto"/>
          <w:highlight w:val="none"/>
        </w:rPr>
      </w:pPr>
      <w:r>
        <w:rPr>
          <w:rFonts w:hint="eastAsia" w:ascii="宋体" w:hAnsi="宋体"/>
          <w:color w:val="auto"/>
          <w:highlight w:val="none"/>
        </w:rPr>
        <w:t>日期：年月日</w:t>
      </w:r>
    </w:p>
    <w:p w14:paraId="44437201">
      <w:pPr>
        <w:ind w:left="803" w:leftChars="250" w:hanging="278" w:hangingChars="87"/>
        <w:rPr>
          <w:rStyle w:val="54"/>
          <w:rFonts w:ascii="宋体" w:hAnsi="宋体" w:eastAsia="宋体"/>
          <w:color w:val="auto"/>
          <w:highlight w:val="none"/>
        </w:rPr>
      </w:pPr>
      <w:r>
        <w:rPr>
          <w:rStyle w:val="54"/>
          <w:rFonts w:ascii="宋体" w:hAnsi="宋体" w:eastAsia="宋体"/>
          <w:b w:val="0"/>
          <w:color w:val="auto"/>
          <w:highlight w:val="none"/>
        </w:rPr>
        <w:br w:type="page"/>
      </w:r>
    </w:p>
    <w:p w14:paraId="3CF6F9E0">
      <w:pPr>
        <w:pStyle w:val="17"/>
        <w:pageBreakBefore/>
        <w:ind w:right="-57" w:firstLine="0"/>
        <w:jc w:val="center"/>
        <w:outlineLvl w:val="0"/>
        <w:rPr>
          <w:rStyle w:val="54"/>
          <w:rFonts w:ascii="宋体" w:hAnsi="宋体" w:eastAsia="宋体" w:cs="Times New Roman"/>
          <w:color w:val="auto"/>
          <w:highlight w:val="none"/>
        </w:rPr>
      </w:pPr>
      <w:bookmarkStart w:id="1761" w:name="_Toc114134675"/>
      <w:bookmarkStart w:id="1762" w:name="_Toc3992"/>
      <w:r>
        <w:rPr>
          <w:rStyle w:val="54"/>
          <w:rFonts w:hint="eastAsia" w:ascii="宋体" w:hAnsi="宋体" w:eastAsia="宋体" w:cs="Times New Roman"/>
          <w:color w:val="auto"/>
          <w:highlight w:val="none"/>
        </w:rPr>
        <w:t>第五章</w:t>
      </w:r>
      <w:bookmarkEnd w:id="1761"/>
      <w:r>
        <w:rPr>
          <w:rStyle w:val="54"/>
          <w:rFonts w:hint="eastAsia" w:ascii="宋体" w:hAnsi="宋体" w:eastAsia="宋体" w:cs="Times New Roman"/>
          <w:color w:val="auto"/>
          <w:highlight w:val="none"/>
        </w:rPr>
        <w:t xml:space="preserve"> 采购需求书</w:t>
      </w:r>
      <w:bookmarkEnd w:id="1762"/>
    </w:p>
    <w:p w14:paraId="5D50A39F">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比选人要求通常包括但不限于以下内容：</w:t>
      </w:r>
    </w:p>
    <w:p w14:paraId="43C20A3F">
      <w:pPr>
        <w:spacing w:before="0" w:after="0" w:afterAutospacing="0"/>
        <w:ind w:left="0" w:right="0" w:firstLine="562" w:firstLineChars="200"/>
        <w:rPr>
          <w:rFonts w:ascii="宋体" w:hAnsi="宋体" w:cs="宋体"/>
          <w:b/>
          <w:color w:val="auto"/>
          <w:sz w:val="28"/>
          <w:szCs w:val="28"/>
          <w:highlight w:val="none"/>
        </w:rPr>
      </w:pPr>
      <w:r>
        <w:rPr>
          <w:rFonts w:hint="eastAsia" w:ascii="宋体" w:hAnsi="宋体" w:cs="宋体"/>
          <w:b/>
          <w:color w:val="auto"/>
          <w:sz w:val="28"/>
          <w:szCs w:val="28"/>
          <w:highlight w:val="none"/>
        </w:rPr>
        <w:t>一、后期服务</w:t>
      </w:r>
    </w:p>
    <w:p w14:paraId="401DD072">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1乙方应积极配合甲方解决工程施工过程中的相关技术问题及现场问题，并在接到甲方要求之日起2个工作日内做出回应，同时按照以下时限要求出具设计变更：</w:t>
      </w:r>
    </w:p>
    <w:p w14:paraId="09A35E62">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（1）工程量10万元以下的，必须在2日内出图；</w:t>
      </w:r>
    </w:p>
    <w:p w14:paraId="6CC0EB92">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（2）工程量50万元以下的，必须在5日内出图；</w:t>
      </w:r>
    </w:p>
    <w:p w14:paraId="14D9060F">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（3）工程量50万元以上的，必须在7日内出图；</w:t>
      </w:r>
    </w:p>
    <w:p w14:paraId="56E043D0">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以上图纸要求打印蓝图出图（含dwg版本电子文件）。</w:t>
      </w:r>
    </w:p>
    <w:p w14:paraId="73756B02">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2招投标配合服务包括并不限于：</w:t>
      </w:r>
    </w:p>
    <w:p w14:paraId="7C4E9497">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2.1提供照明设备造价估算；</w:t>
      </w:r>
    </w:p>
    <w:p w14:paraId="4FF65F08">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2.2协助甲方完成招标文件技术部分；</w:t>
      </w:r>
    </w:p>
    <w:p w14:paraId="5C9AA3AC">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2.3协助甲方为投标单位讲解设计方案和技术要求。</w:t>
      </w:r>
    </w:p>
    <w:p w14:paraId="6184CE03">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2.4协助甲方评估选定照明及控制设备。</w:t>
      </w:r>
    </w:p>
    <w:p w14:paraId="4FB9AF94">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3施工配合服务包括并不限于：</w:t>
      </w:r>
    </w:p>
    <w:p w14:paraId="608175BF">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3.1提供指导施工用的材料样板</w:t>
      </w:r>
    </w:p>
    <w:p w14:paraId="0953D5E9">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3.2施工图完成后进行设计交底和施工图会审</w:t>
      </w:r>
    </w:p>
    <w:p w14:paraId="51B9A630">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3.3配合施工材料定板</w:t>
      </w:r>
    </w:p>
    <w:p w14:paraId="0F95CC6E">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3.4在甲方要求下至现场视察灯具的安装情形，并就现场的问题向甲方提交视察报告</w:t>
      </w:r>
    </w:p>
    <w:p w14:paraId="1610B3FB">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3.5向甲方建议对需要做样板段确认工作的区域进行样板段确认工作，现场试灯的所有费用不包含在本合同约定的设计费内，并负责对现场试灯的审核及确认工作。</w:t>
      </w:r>
    </w:p>
    <w:p w14:paraId="5FAB2D19">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3.6项目现场调试工作的指导</w:t>
      </w:r>
    </w:p>
    <w:p w14:paraId="06166ED7">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3.7在项目验收中，协助甲方解决现场与设计不符合之处</w:t>
      </w:r>
    </w:p>
    <w:p w14:paraId="6569DCCE">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3.8出席现场技术协调会议</w:t>
      </w:r>
    </w:p>
    <w:p w14:paraId="412B50BD">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3.9为保证设计与施工效果相符，在工程施工过程中，根据现场需要到现场进行技术指导工作，包括施工图图纸会审、材料定板、施工过程处理有关设计问题、参加竣工验收等。</w:t>
      </w:r>
    </w:p>
    <w:p w14:paraId="21BA01B1">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4招标施工图必须达到招投标与现场施工的深度，如达不到，则须做出设计修改。</w:t>
      </w:r>
    </w:p>
    <w:p w14:paraId="5D52B6AE">
      <w:pPr>
        <w:pStyle w:val="2"/>
        <w:spacing w:before="0" w:after="0" w:afterAutospacing="0" w:line="360" w:lineRule="auto"/>
        <w:ind w:left="0" w:leftChars="0" w:right="0"/>
        <w:rPr>
          <w:rFonts w:ascii="宋体" w:hAnsi="宋体" w:eastAsia="宋体" w:cs="宋体"/>
          <w:color w:val="auto"/>
          <w:sz w:val="21"/>
          <w:highlight w:val="none"/>
        </w:rPr>
      </w:pPr>
      <w:r>
        <w:rPr>
          <w:rFonts w:hint="eastAsia" w:ascii="宋体" w:hAnsi="宋体" w:eastAsia="宋体" w:cs="宋体"/>
          <w:color w:val="auto"/>
          <w:sz w:val="21"/>
          <w:highlight w:val="none"/>
        </w:rPr>
        <w:t>来现场</w:t>
      </w:r>
    </w:p>
    <w:p w14:paraId="3E7E5EA6">
      <w:pPr>
        <w:spacing w:before="0" w:after="0" w:afterAutospacing="0"/>
        <w:ind w:left="0" w:right="0" w:firstLine="562" w:firstLineChars="200"/>
        <w:rPr>
          <w:rFonts w:ascii="宋体" w:hAnsi="宋体" w:cs="宋体"/>
          <w:color w:val="auto"/>
          <w:sz w:val="28"/>
          <w:szCs w:val="28"/>
          <w:highlight w:val="none"/>
        </w:rPr>
      </w:pPr>
      <w:r>
        <w:rPr>
          <w:rFonts w:hint="eastAsia" w:ascii="宋体" w:hAnsi="宋体" w:cs="宋体"/>
          <w:b/>
          <w:color w:val="auto"/>
          <w:sz w:val="28"/>
          <w:szCs w:val="28"/>
          <w:highlight w:val="none"/>
        </w:rPr>
        <w:t>二、服务期限</w:t>
      </w:r>
    </w:p>
    <w:p w14:paraId="05FEBF3D">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自比选人与中选人签订的合同生效之日起至项目竣工验收。</w:t>
      </w:r>
    </w:p>
    <w:p w14:paraId="630F428D">
      <w:pPr>
        <w:pStyle w:val="7"/>
        <w:spacing w:after="0" w:afterAutospacing="0" w:line="360" w:lineRule="auto"/>
        <w:ind w:left="0" w:right="0" w:firstLine="562" w:firstLineChars="200"/>
        <w:rPr>
          <w:rFonts w:ascii="宋体" w:hAnsi="宋体" w:eastAsia="宋体" w:cs="宋体"/>
          <w:color w:val="auto"/>
          <w:sz w:val="28"/>
          <w:szCs w:val="28"/>
          <w:highlight w:val="none"/>
        </w:rPr>
      </w:pPr>
      <w:bookmarkStart w:id="1763" w:name="_Toc114134680"/>
      <w:bookmarkStart w:id="1764" w:name="_Toc747"/>
      <w:r>
        <w:rPr>
          <w:rFonts w:hint="eastAsia" w:ascii="宋体" w:hAnsi="宋体" w:eastAsia="宋体" w:cs="宋体"/>
          <w:color w:val="auto"/>
          <w:sz w:val="28"/>
          <w:szCs w:val="28"/>
          <w:highlight w:val="none"/>
        </w:rPr>
        <w:t>三、比选人提供的便利条件</w:t>
      </w:r>
      <w:bookmarkEnd w:id="1763"/>
      <w:bookmarkEnd w:id="1764"/>
    </w:p>
    <w:p w14:paraId="0A719D3B">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1.比选人提供的生活条件：√无</w:t>
      </w:r>
      <w:r>
        <w:rPr>
          <w:rFonts w:hint="eastAsia" w:ascii="宋体" w:hAnsi="宋体" w:cs="宋体"/>
          <w:color w:val="auto"/>
          <w:highlight w:val="none"/>
          <w:lang w:eastAsia="zh-CN"/>
        </w:rPr>
        <w:t>□</w:t>
      </w:r>
      <w:r>
        <w:rPr>
          <w:rFonts w:hint="eastAsia" w:ascii="宋体" w:hAnsi="宋体" w:cs="宋体"/>
          <w:color w:val="auto"/>
          <w:highlight w:val="none"/>
        </w:rPr>
        <w:t>提供的条件。</w:t>
      </w:r>
    </w:p>
    <w:p w14:paraId="127E766B">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2.比选人提供的交通条件：√无□提供的条件。</w:t>
      </w:r>
    </w:p>
    <w:p w14:paraId="69782EC0">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3.比选人提供的网络、通讯条件：√无□提供的条件。</w:t>
      </w:r>
    </w:p>
    <w:p w14:paraId="2D832B1D">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4.比选人提供的协助人员：√无□有。</w:t>
      </w:r>
    </w:p>
    <w:p w14:paraId="50C5C81C">
      <w:pPr>
        <w:pStyle w:val="7"/>
        <w:spacing w:after="0" w:afterAutospacing="0" w:line="360" w:lineRule="auto"/>
        <w:ind w:left="0" w:right="0" w:firstLine="562" w:firstLineChars="200"/>
        <w:rPr>
          <w:rFonts w:ascii="宋体" w:hAnsi="宋体" w:eastAsia="宋体" w:cs="宋体"/>
          <w:color w:val="auto"/>
          <w:sz w:val="28"/>
          <w:szCs w:val="28"/>
          <w:highlight w:val="none"/>
        </w:rPr>
      </w:pPr>
      <w:bookmarkStart w:id="1765" w:name="_Toc114134682"/>
      <w:bookmarkStart w:id="1766" w:name="_Toc2607"/>
      <w:r>
        <w:rPr>
          <w:rFonts w:hint="eastAsia" w:ascii="宋体" w:hAnsi="宋体" w:eastAsia="宋体" w:cs="宋体"/>
          <w:color w:val="auto"/>
          <w:sz w:val="28"/>
          <w:szCs w:val="28"/>
          <w:highlight w:val="none"/>
        </w:rPr>
        <w:t>四、比选人的其他要求</w:t>
      </w:r>
      <w:bookmarkEnd w:id="1765"/>
      <w:bookmarkEnd w:id="1766"/>
    </w:p>
    <w:p w14:paraId="1033DA76">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项目人员配置要求：团队中主要设计人员为电力工程设计相关专业中级</w:t>
      </w:r>
      <w:r>
        <w:rPr>
          <w:rFonts w:hint="eastAsia" w:ascii="宋体" w:hAnsi="宋体" w:cs="宋体"/>
          <w:color w:val="auto"/>
          <w:highlight w:val="none"/>
          <w:lang w:val="en-US" w:eastAsia="zh-CN"/>
        </w:rPr>
        <w:t>及</w:t>
      </w:r>
      <w:r>
        <w:rPr>
          <w:rFonts w:hint="eastAsia" w:ascii="宋体" w:hAnsi="宋体" w:cs="宋体"/>
          <w:color w:val="auto"/>
          <w:highlight w:val="none"/>
        </w:rPr>
        <w:t>以上工程师，具备类似业绩经验。</w:t>
      </w:r>
    </w:p>
    <w:p w14:paraId="3840D6EB">
      <w:pPr>
        <w:spacing w:before="0" w:after="0" w:afterAutospacing="0"/>
        <w:ind w:left="0" w:right="0" w:firstLine="420" w:firstLineChars="200"/>
        <w:rPr>
          <w:rFonts w:ascii="宋体" w:hAnsi="宋体" w:cs="宋体"/>
          <w:color w:val="auto"/>
          <w:highlight w:val="none"/>
        </w:rPr>
      </w:pPr>
    </w:p>
    <w:p w14:paraId="69026238">
      <w:pPr>
        <w:pStyle w:val="17"/>
        <w:pageBreakBefore/>
        <w:ind w:right="-57" w:firstLine="0"/>
        <w:jc w:val="center"/>
        <w:outlineLvl w:val="0"/>
        <w:rPr>
          <w:rStyle w:val="54"/>
          <w:rFonts w:ascii="宋体" w:hAnsi="宋体" w:eastAsia="宋体"/>
          <w:color w:val="auto"/>
          <w:highlight w:val="none"/>
        </w:rPr>
      </w:pPr>
      <w:bookmarkStart w:id="1767" w:name="_Toc5856"/>
      <w:r>
        <w:rPr>
          <w:rStyle w:val="54"/>
          <w:rFonts w:hint="eastAsia" w:ascii="宋体" w:hAnsi="宋体" w:eastAsia="宋体"/>
          <w:color w:val="auto"/>
          <w:highlight w:val="none"/>
        </w:rPr>
        <w:t>第</w:t>
      </w:r>
      <w:r>
        <w:rPr>
          <w:rStyle w:val="54"/>
          <w:rFonts w:hint="eastAsia" w:hAnsi="宋体"/>
          <w:color w:val="auto"/>
          <w:highlight w:val="none"/>
        </w:rPr>
        <w:t>六</w:t>
      </w:r>
      <w:r>
        <w:rPr>
          <w:rStyle w:val="54"/>
          <w:rFonts w:hint="eastAsia" w:ascii="宋体" w:hAnsi="宋体" w:eastAsia="宋体"/>
          <w:color w:val="auto"/>
          <w:highlight w:val="none"/>
        </w:rPr>
        <w:t>章评分办法</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7"/>
    </w:p>
    <w:p w14:paraId="7744BEE2">
      <w:pPr>
        <w:spacing w:before="0" w:after="0" w:afterAutospacing="0"/>
        <w:ind w:left="0" w:right="0" w:firstLine="562" w:firstLineChars="200"/>
        <w:outlineLvl w:val="1"/>
        <w:rPr>
          <w:rFonts w:ascii="宋体" w:hAnsi="宋体" w:cs="Arial"/>
          <w:b/>
          <w:bCs/>
          <w:color w:val="auto"/>
          <w:sz w:val="28"/>
          <w:szCs w:val="28"/>
          <w:highlight w:val="none"/>
        </w:rPr>
      </w:pPr>
      <w:bookmarkStart w:id="1768" w:name="_Toc5564"/>
      <w:bookmarkStart w:id="1769" w:name="_Toc30407"/>
      <w:bookmarkStart w:id="1770" w:name="_Toc114134684"/>
      <w:r>
        <w:rPr>
          <w:rFonts w:hint="eastAsia" w:ascii="宋体" w:hAnsi="宋体" w:cs="Arial"/>
          <w:b/>
          <w:bCs/>
          <w:color w:val="auto"/>
          <w:sz w:val="28"/>
          <w:szCs w:val="28"/>
          <w:highlight w:val="none"/>
        </w:rPr>
        <w:t>一、评审原则</w:t>
      </w:r>
      <w:bookmarkEnd w:id="1768"/>
      <w:bookmarkEnd w:id="1769"/>
      <w:bookmarkEnd w:id="1770"/>
    </w:p>
    <w:p w14:paraId="3BC71842">
      <w:pPr>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评审委员会成员构成：本项目由南宁轨道地产集团有限责任公司3人及以上单数组成评审小组，对比选申请文件按评审标准进行评审；由南宁轨道地产集团有限责任公司纪检监察部门进行监督。</w:t>
      </w:r>
    </w:p>
    <w:p w14:paraId="217FA8AB">
      <w:pPr>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评审依据：评审委员会以比选文件、比选申请文件为评审依据。</w:t>
      </w:r>
    </w:p>
    <w:p w14:paraId="2864B15C">
      <w:pPr>
        <w:spacing w:before="0" w:after="0" w:afterAutospacing="0"/>
        <w:ind w:left="0" w:right="0" w:firstLine="420" w:firstLineChars="200"/>
        <w:rPr>
          <w:rFonts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55016CBF">
      <w:pPr>
        <w:spacing w:before="0" w:after="0" w:afterAutospacing="0"/>
        <w:ind w:left="0" w:right="0" w:firstLine="562" w:firstLineChars="200"/>
        <w:outlineLvl w:val="1"/>
        <w:rPr>
          <w:rFonts w:ascii="宋体" w:hAnsi="宋体" w:cs="Arial"/>
          <w:b/>
          <w:bCs/>
          <w:color w:val="auto"/>
          <w:sz w:val="28"/>
          <w:szCs w:val="28"/>
          <w:highlight w:val="none"/>
        </w:rPr>
      </w:pPr>
      <w:bookmarkStart w:id="1771" w:name="_Toc11240"/>
      <w:bookmarkStart w:id="1772" w:name="_Toc5136"/>
      <w:bookmarkStart w:id="1773" w:name="_Toc15880"/>
      <w:bookmarkStart w:id="1774" w:name="_Toc4757"/>
      <w:bookmarkStart w:id="1775" w:name="_Toc29000"/>
      <w:bookmarkStart w:id="1776" w:name="_Toc478566177"/>
      <w:bookmarkStart w:id="1777" w:name="_Toc114134685"/>
      <w:bookmarkStart w:id="1778" w:name="_Toc15571"/>
      <w:r>
        <w:rPr>
          <w:rFonts w:hint="eastAsia" w:ascii="宋体" w:hAnsi="宋体" w:cs="Arial"/>
          <w:b/>
          <w:bCs/>
          <w:color w:val="auto"/>
          <w:sz w:val="28"/>
          <w:szCs w:val="28"/>
          <w:highlight w:val="none"/>
        </w:rPr>
        <w:t>二、评定方法</w:t>
      </w:r>
      <w:bookmarkEnd w:id="1771"/>
      <w:bookmarkEnd w:id="1772"/>
      <w:bookmarkEnd w:id="1773"/>
      <w:bookmarkEnd w:id="1774"/>
      <w:bookmarkEnd w:id="1775"/>
      <w:bookmarkEnd w:id="1776"/>
      <w:bookmarkEnd w:id="1777"/>
      <w:bookmarkEnd w:id="1778"/>
    </w:p>
    <w:p w14:paraId="23D2DA6F">
      <w:pPr>
        <w:spacing w:before="0" w:after="0" w:afterAutospacing="0"/>
        <w:ind w:left="0" w:right="0" w:firstLine="420" w:firstLineChars="200"/>
        <w:outlineLvl w:val="1"/>
        <w:rPr>
          <w:rFonts w:ascii="宋体" w:hAnsi="宋体" w:cs="宋体"/>
          <w:color w:val="auto"/>
          <w:highlight w:val="none"/>
        </w:rPr>
      </w:pPr>
      <w:bookmarkStart w:id="1779" w:name="_Toc114134686"/>
      <w:bookmarkStart w:id="1780" w:name="_Toc4698"/>
      <w:bookmarkStart w:id="1781" w:name="_Toc29067"/>
      <w:r>
        <w:rPr>
          <w:rFonts w:hint="eastAsia" w:ascii="宋体" w:hAnsi="宋体" w:cs="宋体"/>
          <w:color w:val="auto"/>
          <w:highlight w:val="none"/>
        </w:rPr>
        <w:t>2.1对资格性和符合性检查合格的比选申请文件，进入技术、商务评审采用综合评分法进行评审。满分100分，其中</w:t>
      </w:r>
      <w:r>
        <w:rPr>
          <w:rFonts w:hint="eastAsia" w:ascii="宋体" w:hAnsi="宋体" w:cs="宋体"/>
          <w:b/>
          <w:color w:val="auto"/>
          <w:highlight w:val="none"/>
        </w:rPr>
        <w:t>技术得分60分，价格得分40分。</w:t>
      </w:r>
      <w:bookmarkEnd w:id="1779"/>
      <w:bookmarkEnd w:id="1780"/>
      <w:bookmarkEnd w:id="1781"/>
    </w:p>
    <w:p w14:paraId="7A4F24B2">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2.2评审委员会将依照本比选文件相关要求，对照比选申请文件的应答进行比较，并对各比选申请文件的技术、商务内容进行评审打分。</w:t>
      </w:r>
    </w:p>
    <w:p w14:paraId="517E7281">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64B63481">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2.4总分=技术得分+价格得分。各项指标的分数计算四舍五入，取小数点后两位。计算比选申请人综合评分，并按照总分（综合得分）由高到低的顺序提出1-3名中选候选人，并编写评审报告。</w:t>
      </w:r>
    </w:p>
    <w:p w14:paraId="0FACD100">
      <w:pPr>
        <w:spacing w:before="0" w:after="0" w:afterAutospacing="0"/>
        <w:ind w:left="0" w:right="0" w:firstLine="420" w:firstLineChars="200"/>
        <w:outlineLvl w:val="1"/>
        <w:rPr>
          <w:rFonts w:hint="eastAsia" w:ascii="宋体" w:hAnsi="宋体" w:cs="Arial"/>
          <w:b/>
          <w:bCs/>
          <w:color w:val="auto"/>
          <w:sz w:val="28"/>
          <w:szCs w:val="28"/>
          <w:highlight w:val="none"/>
        </w:rPr>
      </w:pPr>
      <w:bookmarkStart w:id="1782" w:name="_Toc20465"/>
      <w:bookmarkStart w:id="1783" w:name="_Toc10199"/>
      <w:bookmarkStart w:id="1784" w:name="_Toc114134687"/>
      <w:r>
        <w:rPr>
          <w:rFonts w:hint="eastAsia" w:ascii="宋体" w:hAnsi="宋体" w:cs="Arial"/>
          <w:color w:val="auto"/>
          <w:highlight w:val="none"/>
          <w:lang w:val="en-US" w:eastAsia="zh-CN"/>
        </w:rPr>
        <w:t>2.5</w:t>
      </w:r>
      <w:r>
        <w:rPr>
          <w:rFonts w:hint="eastAsia" w:ascii="宋体" w:hAnsi="宋体" w:cs="Arial"/>
          <w:b/>
          <w:bCs/>
          <w:color w:val="auto"/>
          <w:highlight w:val="none"/>
        </w:rPr>
        <w:t>技术得分低于技术</w:t>
      </w:r>
      <w:r>
        <w:rPr>
          <w:rFonts w:hint="eastAsia" w:ascii="宋体" w:hAnsi="宋体" w:cs="Arial"/>
          <w:b/>
          <w:bCs/>
          <w:color w:val="auto"/>
          <w:highlight w:val="none"/>
          <w:lang w:eastAsia="zh-CN"/>
        </w:rPr>
        <w:t>得</w:t>
      </w:r>
      <w:r>
        <w:rPr>
          <w:rFonts w:hint="eastAsia" w:ascii="宋体" w:hAnsi="宋体" w:cs="Arial"/>
          <w:b/>
          <w:bCs/>
          <w:color w:val="auto"/>
          <w:highlight w:val="none"/>
        </w:rPr>
        <w:t>分满分的60%（即</w:t>
      </w:r>
      <w:r>
        <w:rPr>
          <w:rFonts w:hint="eastAsia" w:ascii="宋体" w:hAnsi="宋体" w:cs="Arial"/>
          <w:b/>
          <w:bCs/>
          <w:color w:val="auto"/>
          <w:highlight w:val="none"/>
          <w:lang w:val="en-US" w:eastAsia="zh-CN"/>
        </w:rPr>
        <w:t>36</w:t>
      </w:r>
      <w:r>
        <w:rPr>
          <w:rFonts w:hint="eastAsia" w:ascii="宋体" w:hAnsi="宋体" w:cs="Arial"/>
          <w:b/>
          <w:bCs/>
          <w:color w:val="auto"/>
          <w:highlight w:val="none"/>
          <w:lang w:eastAsia="zh-CN"/>
        </w:rPr>
        <w:t>分</w:t>
      </w:r>
      <w:r>
        <w:rPr>
          <w:rFonts w:hint="eastAsia" w:ascii="宋体" w:hAnsi="宋体" w:cs="Arial"/>
          <w:b/>
          <w:bCs/>
          <w:color w:val="auto"/>
          <w:highlight w:val="none"/>
        </w:rPr>
        <w:t>）的</w:t>
      </w:r>
      <w:r>
        <w:rPr>
          <w:rFonts w:hint="eastAsia" w:ascii="宋体" w:hAnsi="宋体" w:cs="Arial"/>
          <w:b/>
          <w:bCs/>
          <w:color w:val="auto"/>
          <w:highlight w:val="none"/>
          <w:lang w:eastAsia="zh-CN"/>
        </w:rPr>
        <w:t>比选申请</w:t>
      </w:r>
      <w:r>
        <w:rPr>
          <w:rFonts w:hint="eastAsia" w:ascii="宋体" w:hAnsi="宋体" w:cs="Arial"/>
          <w:b/>
          <w:bCs/>
          <w:color w:val="auto"/>
          <w:highlight w:val="none"/>
        </w:rPr>
        <w:t>人不得推选为中</w:t>
      </w:r>
      <w:r>
        <w:rPr>
          <w:rFonts w:hint="eastAsia" w:ascii="宋体" w:hAnsi="宋体" w:cs="Arial"/>
          <w:b/>
          <w:bCs/>
          <w:color w:val="auto"/>
          <w:highlight w:val="none"/>
          <w:lang w:eastAsia="zh-CN"/>
        </w:rPr>
        <w:t>选</w:t>
      </w:r>
      <w:r>
        <w:rPr>
          <w:rFonts w:hint="eastAsia" w:ascii="宋体" w:hAnsi="宋体" w:cs="Arial"/>
          <w:b/>
          <w:bCs/>
          <w:color w:val="auto"/>
          <w:highlight w:val="none"/>
        </w:rPr>
        <w:t>候选人。</w:t>
      </w:r>
    </w:p>
    <w:p w14:paraId="037CEC54">
      <w:pPr>
        <w:spacing w:before="0" w:after="0" w:afterAutospacing="0"/>
        <w:ind w:left="0" w:right="0" w:firstLine="562" w:firstLineChars="200"/>
        <w:outlineLvl w:val="1"/>
        <w:rPr>
          <w:rFonts w:ascii="宋体" w:hAnsi="宋体" w:cs="Arial"/>
          <w:b/>
          <w:bCs/>
          <w:color w:val="auto"/>
          <w:sz w:val="28"/>
          <w:szCs w:val="28"/>
          <w:highlight w:val="none"/>
        </w:rPr>
      </w:pPr>
      <w:r>
        <w:rPr>
          <w:rFonts w:hint="eastAsia" w:ascii="宋体" w:hAnsi="宋体" w:cs="Arial"/>
          <w:b/>
          <w:bCs/>
          <w:color w:val="auto"/>
          <w:sz w:val="28"/>
          <w:szCs w:val="28"/>
          <w:highlight w:val="none"/>
        </w:rPr>
        <w:t>三、评审流程</w:t>
      </w:r>
      <w:bookmarkEnd w:id="1782"/>
      <w:bookmarkEnd w:id="1783"/>
      <w:bookmarkEnd w:id="1784"/>
    </w:p>
    <w:p w14:paraId="582A3183">
      <w:pPr>
        <w:tabs>
          <w:tab w:val="left" w:pos="567"/>
        </w:tabs>
        <w:spacing w:before="0" w:after="0" w:afterAutospacing="0"/>
        <w:ind w:left="0" w:right="0" w:firstLine="422" w:firstLineChars="200"/>
        <w:rPr>
          <w:rFonts w:ascii="宋体" w:hAnsi="宋体" w:cs="宋体"/>
          <w:b/>
          <w:color w:val="auto"/>
          <w:highlight w:val="none"/>
        </w:rPr>
      </w:pPr>
      <w:r>
        <w:rPr>
          <w:rFonts w:hint="eastAsia" w:ascii="宋体" w:hAnsi="宋体" w:cs="宋体"/>
          <w:b/>
          <w:color w:val="auto"/>
          <w:highlight w:val="none"/>
        </w:rPr>
        <w:t>3.1资格审查</w:t>
      </w:r>
    </w:p>
    <w:p w14:paraId="07A7E973">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资格审查采用定性评审法，审查比选申请人是否符合法律、法规、规章及比选文件对企业资质、业绩和其他强制性标准，是否处于正常的经营状况等情况。</w:t>
      </w:r>
    </w:p>
    <w:p w14:paraId="05CDBA0C">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在本阶段不符合任何一项资格评审标准的比选申请人将被比选人拒绝，不得进入下一阶段的评审。评审标准详见附表一《资格审查表》。</w:t>
      </w:r>
    </w:p>
    <w:p w14:paraId="06898E42">
      <w:pPr>
        <w:tabs>
          <w:tab w:val="left" w:pos="567"/>
        </w:tabs>
        <w:spacing w:before="0" w:after="0" w:afterAutospacing="0"/>
        <w:ind w:left="0" w:right="0" w:firstLine="422" w:firstLineChars="200"/>
        <w:rPr>
          <w:rFonts w:ascii="宋体" w:hAnsi="宋体" w:cs="宋体"/>
          <w:b/>
          <w:color w:val="auto"/>
          <w:highlight w:val="none"/>
        </w:rPr>
      </w:pPr>
      <w:r>
        <w:rPr>
          <w:rFonts w:hint="eastAsia" w:ascii="宋体" w:hAnsi="宋体" w:cs="宋体"/>
          <w:b/>
          <w:color w:val="auto"/>
          <w:highlight w:val="none"/>
        </w:rPr>
        <w:t>3.2初步评审</w:t>
      </w:r>
    </w:p>
    <w:p w14:paraId="4DEC6BC9">
      <w:pPr>
        <w:tabs>
          <w:tab w:val="left" w:pos="851"/>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（1）评审委员会将对比选申请文件的实质性内容进行初步评审，判定其内容是否真实、完整，是否满足比选文件要求并在实质性内容上予以响应。</w:t>
      </w:r>
    </w:p>
    <w:p w14:paraId="735D6AE7">
      <w:pPr>
        <w:tabs>
          <w:tab w:val="left" w:pos="851"/>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14:paraId="29DC7939">
      <w:pPr>
        <w:tabs>
          <w:tab w:val="left" w:pos="851"/>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（3）评审委员会根据比选文件的要求对比选申请人进行符合性评审，未通过符合性评审的比选申请人不得进入下一阶段的评审。评审标准见附表二《符合性评审表》。</w:t>
      </w:r>
    </w:p>
    <w:p w14:paraId="3940DE28">
      <w:pPr>
        <w:tabs>
          <w:tab w:val="left" w:pos="851"/>
          <w:tab w:val="left" w:pos="1134"/>
        </w:tabs>
        <w:spacing w:before="0" w:after="0" w:afterAutospacing="0"/>
        <w:ind w:left="0" w:right="0" w:firstLine="422" w:firstLineChars="200"/>
        <w:rPr>
          <w:rFonts w:ascii="宋体" w:hAnsi="宋体" w:cs="宋体"/>
          <w:b/>
          <w:color w:val="auto"/>
          <w:highlight w:val="none"/>
        </w:rPr>
      </w:pPr>
      <w:r>
        <w:rPr>
          <w:rFonts w:hint="eastAsia" w:ascii="宋体" w:hAnsi="宋体" w:cs="宋体"/>
          <w:b/>
          <w:color w:val="auto"/>
          <w:highlight w:val="none"/>
        </w:rPr>
        <w:t>3.3详细评审</w:t>
      </w:r>
    </w:p>
    <w:p w14:paraId="54FB4965">
      <w:pPr>
        <w:tabs>
          <w:tab w:val="left" w:pos="851"/>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3.3.1评审委员会对通过初步评审的投标文件的技术文件进行详细评审。</w:t>
      </w:r>
    </w:p>
    <w:p w14:paraId="3A9A054E">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3.3.2评审委员会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67DA956D">
      <w:pPr>
        <w:tabs>
          <w:tab w:val="left" w:pos="851"/>
          <w:tab w:val="left" w:pos="1134"/>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3.3.3价格评审</w:t>
      </w:r>
    </w:p>
    <w:p w14:paraId="199BE94D">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3.3.3.1评审委员会对通过初步评审的投标文件的报价文件进行详细评审。</w:t>
      </w:r>
    </w:p>
    <w:p w14:paraId="08DA1492">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3.3.3.2投标报价有算术错误的，评标委员会按以下原则对投标报价进行修正，修正的价格经比选申请人书面确认后具有约束力。比选申请人不接受修正价格的，其投标作否决投标处理：</w:t>
      </w:r>
    </w:p>
    <w:p w14:paraId="04A158F9">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(1）比选申请文件中的大写金额与小写金额不一致的，以大写金额为准；</w:t>
      </w:r>
    </w:p>
    <w:p w14:paraId="52D03574">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（2）总价金额与依据单价计算出的结果不一致的，以单价金额为准修正总价，但单价金额小数点有明显错误的除外；</w:t>
      </w:r>
    </w:p>
    <w:p w14:paraId="3E30398D">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14:paraId="55E212A8">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（4）若修正后的总价与投标报价不相等，则评标总价和中标价均以修正后的总价为准，如比选申请人不接受按以上规则确定的评标总价和中标价，则其投标将被拒绝。</w:t>
      </w:r>
    </w:p>
    <w:p w14:paraId="5D76E628">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3.3.3.3出现下列情况的比选申请文件将予以否决：</w:t>
      </w:r>
    </w:p>
    <w:p w14:paraId="7D7DA701">
      <w:pPr>
        <w:tabs>
          <w:tab w:val="left" w:pos="851"/>
          <w:tab w:val="left" w:pos="1134"/>
        </w:tabs>
        <w:spacing w:before="0" w:after="0" w:afterAutospacing="0"/>
        <w:ind w:left="0" w:right="0" w:firstLine="420" w:firstLineChars="200"/>
        <w:jc w:val="left"/>
        <w:rPr>
          <w:rFonts w:ascii="宋体" w:hAnsi="宋体" w:cs="宋体"/>
          <w:bCs/>
          <w:color w:val="auto"/>
          <w:highlight w:val="none"/>
        </w:rPr>
      </w:pPr>
      <w:r>
        <w:rPr>
          <w:rFonts w:hint="eastAsia" w:ascii="宋体" w:hAnsi="宋体" w:cs="宋体"/>
          <w:color w:val="auto"/>
          <w:highlight w:val="none"/>
        </w:rPr>
        <w:t>（1）评审委员会</w:t>
      </w:r>
      <w:r>
        <w:rPr>
          <w:rFonts w:hint="eastAsia" w:ascii="宋体" w:hAnsi="宋体" w:cs="宋体"/>
          <w:bCs/>
          <w:color w:val="auto"/>
          <w:highlight w:val="none"/>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rFonts w:hint="eastAsia" w:ascii="宋体" w:hAnsi="宋体" w:cs="宋体"/>
          <w:color w:val="auto"/>
          <w:highlight w:val="none"/>
        </w:rPr>
        <w:t>评审</w:t>
      </w:r>
      <w:r>
        <w:rPr>
          <w:rFonts w:hint="eastAsia" w:ascii="宋体" w:hAnsi="宋体" w:cs="宋体"/>
          <w:bCs/>
          <w:color w:val="auto"/>
          <w:highlight w:val="none"/>
        </w:rPr>
        <w:t>委员会应当认定该比选申请人以低于成本报价投标，否决其投标。</w:t>
      </w:r>
    </w:p>
    <w:p w14:paraId="45C26905">
      <w:pPr>
        <w:tabs>
          <w:tab w:val="left" w:pos="851"/>
          <w:tab w:val="left" w:pos="1134"/>
        </w:tabs>
        <w:spacing w:before="0" w:after="0" w:afterAutospacing="0"/>
        <w:ind w:left="0" w:right="0" w:firstLine="420" w:firstLineChars="200"/>
        <w:jc w:val="left"/>
        <w:rPr>
          <w:rFonts w:ascii="宋体" w:hAnsi="宋体" w:cs="宋体"/>
          <w:b/>
          <w:bCs/>
          <w:color w:val="auto"/>
          <w:highlight w:val="none"/>
        </w:rPr>
      </w:pPr>
      <w:r>
        <w:rPr>
          <w:rFonts w:hint="eastAsia" w:ascii="宋体" w:hAnsi="宋体" w:cs="宋体"/>
          <w:bCs/>
          <w:color w:val="auto"/>
          <w:highlight w:val="none"/>
        </w:rPr>
        <w:t>（2）</w:t>
      </w:r>
      <w:bookmarkStart w:id="1785" w:name="_Hlk36511445"/>
      <w:r>
        <w:rPr>
          <w:rFonts w:hint="eastAsia" w:ascii="宋体" w:hAnsi="宋体" w:cs="宋体"/>
          <w:b/>
          <w:bCs/>
          <w:color w:val="auto"/>
          <w:highlight w:val="none"/>
        </w:rPr>
        <w:t>投标报价清单如有漏项的投标文件，将予以否决。</w:t>
      </w:r>
      <w:bookmarkEnd w:id="1785"/>
    </w:p>
    <w:p w14:paraId="1D0B069E">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bCs/>
          <w:color w:val="auto"/>
          <w:highlight w:val="none"/>
        </w:rPr>
        <w:t>3.3.3.4</w:t>
      </w:r>
      <w:r>
        <w:rPr>
          <w:rFonts w:hint="eastAsia" w:ascii="宋体" w:hAnsi="宋体" w:cs="宋体"/>
          <w:color w:val="auto"/>
          <w:highlight w:val="none"/>
        </w:rPr>
        <w:t>评审委员会按照附表四《比选报价评分表》规定的量化因素和分值，对各比选申请人的投标报价评审，并计算出价格得分（得分出现小数点，保留小数点后二位，第三位小数四舍五入）。</w:t>
      </w:r>
    </w:p>
    <w:p w14:paraId="5776EAB4">
      <w:pPr>
        <w:tabs>
          <w:tab w:val="left" w:pos="567"/>
        </w:tabs>
        <w:spacing w:before="0" w:after="0" w:afterAutospacing="0"/>
        <w:ind w:left="0" w:right="0" w:firstLine="422" w:firstLineChars="200"/>
        <w:rPr>
          <w:rFonts w:ascii="宋体" w:hAnsi="宋体" w:cs="宋体"/>
          <w:b/>
          <w:color w:val="auto"/>
          <w:highlight w:val="none"/>
        </w:rPr>
      </w:pPr>
      <w:r>
        <w:rPr>
          <w:rFonts w:hint="eastAsia" w:ascii="宋体" w:hAnsi="宋体" w:cs="宋体"/>
          <w:b/>
          <w:color w:val="auto"/>
          <w:highlight w:val="none"/>
        </w:rPr>
        <w:t>3.4澄清或补正</w:t>
      </w:r>
    </w:p>
    <w:p w14:paraId="3F9B2589">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3.4.1在评审阶段，评审委员会认为必要时，可书面通知比选申请人要求其澄清或补正比选申请文件中的问题，或者要求其补充某些资料。对此，比选申请人不得拒绝。</w:t>
      </w:r>
    </w:p>
    <w:p w14:paraId="06E2282D">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3.4.2比选申请人须以书面形式提供澄清或补正文件，经评审委员会确认方可作为比选申请文件的组成部分。</w:t>
      </w:r>
    </w:p>
    <w:p w14:paraId="27BE1AF7">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3.4.3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14:paraId="0681BFD9">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3.4.4如果评审委员会对比选申请人提交的澄清、说明或补正依然存有疑问，可以对比选申请人进一步质疑。比选申请人应当相应地进一步澄清、说明或补正，直至评审委员会认为全部质疑得到解答。</w:t>
      </w:r>
    </w:p>
    <w:p w14:paraId="6B830C4A">
      <w:pPr>
        <w:tabs>
          <w:tab w:val="left" w:pos="851"/>
          <w:tab w:val="left" w:pos="1134"/>
        </w:tabs>
        <w:spacing w:before="0" w:after="0" w:afterAutospacing="0"/>
        <w:ind w:left="0" w:right="0" w:firstLine="420" w:firstLineChars="200"/>
        <w:jc w:val="left"/>
        <w:rPr>
          <w:rFonts w:ascii="宋体" w:hAnsi="宋体" w:cs="宋体"/>
          <w:color w:val="auto"/>
          <w:highlight w:val="none"/>
        </w:rPr>
      </w:pPr>
      <w:r>
        <w:rPr>
          <w:rFonts w:hint="eastAsia" w:ascii="宋体" w:hAnsi="宋体" w:cs="宋体"/>
          <w:color w:val="auto"/>
          <w:highlight w:val="none"/>
        </w:rPr>
        <w:t>3.4.5比选申请人不得借澄清或补正问题的机会，与比选人及评审委员会私下接触或对原比选申请价和内容提出修改，但在评审中进行的初步修正，则不在此列。比选人不接受比选申请人主动提出的对比选申请文件的澄清或补正。</w:t>
      </w:r>
    </w:p>
    <w:p w14:paraId="1FF56EC4">
      <w:pPr>
        <w:spacing w:before="0" w:after="0" w:afterAutospacing="0"/>
        <w:ind w:left="0" w:right="0" w:firstLine="422" w:firstLineChars="200"/>
        <w:rPr>
          <w:rFonts w:ascii="宋体" w:hAnsi="宋体" w:cs="宋体"/>
          <w:b/>
          <w:color w:val="auto"/>
          <w:highlight w:val="none"/>
        </w:rPr>
      </w:pPr>
      <w:r>
        <w:rPr>
          <w:rFonts w:hint="eastAsia" w:ascii="宋体" w:hAnsi="宋体" w:cs="宋体"/>
          <w:b/>
          <w:color w:val="auto"/>
          <w:highlight w:val="none"/>
        </w:rPr>
        <w:t>3.5评审报告</w:t>
      </w:r>
    </w:p>
    <w:p w14:paraId="457BD7EE">
      <w:pPr>
        <w:tabs>
          <w:tab w:val="left" w:pos="993"/>
          <w:tab w:val="left" w:pos="1134"/>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1）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p>
    <w:p w14:paraId="14C7FF37">
      <w:pPr>
        <w:tabs>
          <w:tab w:val="left" w:pos="851"/>
          <w:tab w:val="left" w:pos="993"/>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（2）评审委员会根据综合评分由高到低顺序推荐中选候选人。综合评分相同时，则技术得分较高的排名靠前；如技术得分也相同，则价格得分较高的排名靠前；如价格得分也相同，</w:t>
      </w:r>
      <w:bookmarkStart w:id="1786" w:name="_Hlk31877730"/>
      <w:r>
        <w:rPr>
          <w:rFonts w:hint="eastAsia" w:ascii="宋体" w:hAnsi="宋体" w:cs="宋体"/>
          <w:color w:val="auto"/>
          <w:highlight w:val="none"/>
        </w:rPr>
        <w:t>则由评审委员会采用记名投票方式确定</w:t>
      </w:r>
      <w:bookmarkEnd w:id="1786"/>
      <w:r>
        <w:rPr>
          <w:rFonts w:hint="eastAsia" w:ascii="宋体" w:hAnsi="宋体" w:cs="宋体"/>
          <w:color w:val="auto"/>
          <w:highlight w:val="none"/>
        </w:rPr>
        <w:t>其排名顺序。</w:t>
      </w:r>
    </w:p>
    <w:p w14:paraId="0EE5C10B">
      <w:pPr>
        <w:tabs>
          <w:tab w:val="left" w:pos="851"/>
          <w:tab w:val="left" w:pos="993"/>
        </w:tabs>
        <w:spacing w:before="0" w:after="0" w:afterAutospacing="0"/>
        <w:ind w:left="0" w:right="0" w:firstLine="420" w:firstLineChars="200"/>
        <w:rPr>
          <w:rFonts w:hint="eastAsia" w:ascii="宋体" w:hAnsi="宋体" w:eastAsia="宋体"/>
          <w:color w:val="auto"/>
          <w:highlight w:val="none"/>
          <w:lang w:eastAsia="zh-CN"/>
        </w:rPr>
      </w:pPr>
      <w:r>
        <w:rPr>
          <w:rFonts w:hint="eastAsia" w:ascii="宋体" w:hAnsi="宋体"/>
          <w:color w:val="auto"/>
          <w:highlight w:val="none"/>
          <w:lang w:eastAsia="zh-CN"/>
        </w:rPr>
        <w:t>（</w:t>
      </w:r>
      <w:r>
        <w:rPr>
          <w:rFonts w:hint="eastAsia" w:ascii="宋体" w:hAnsi="宋体"/>
          <w:color w:val="auto"/>
          <w:highlight w:val="none"/>
          <w:lang w:val="en-US" w:eastAsia="zh-CN"/>
        </w:rPr>
        <w:t>3</w:t>
      </w:r>
      <w:r>
        <w:rPr>
          <w:rFonts w:hint="eastAsia" w:ascii="宋体" w:hAnsi="宋体"/>
          <w:color w:val="auto"/>
          <w:highlight w:val="none"/>
          <w:lang w:eastAsia="zh-CN"/>
        </w:rPr>
        <w:t>）</w:t>
      </w:r>
      <w:r>
        <w:rPr>
          <w:rFonts w:hint="eastAsia" w:ascii="宋体" w:hAnsi="宋体" w:cs="Arial"/>
          <w:b/>
          <w:bCs/>
          <w:color w:val="auto"/>
          <w:highlight w:val="none"/>
        </w:rPr>
        <w:t>技术得分低于技术</w:t>
      </w:r>
      <w:r>
        <w:rPr>
          <w:rFonts w:hint="eastAsia" w:ascii="宋体" w:hAnsi="宋体" w:cs="Arial"/>
          <w:b/>
          <w:bCs/>
          <w:color w:val="auto"/>
          <w:highlight w:val="none"/>
          <w:lang w:eastAsia="zh-CN"/>
        </w:rPr>
        <w:t>得</w:t>
      </w:r>
      <w:r>
        <w:rPr>
          <w:rFonts w:hint="eastAsia" w:ascii="宋体" w:hAnsi="宋体" w:cs="Arial"/>
          <w:b/>
          <w:bCs/>
          <w:color w:val="auto"/>
          <w:highlight w:val="none"/>
        </w:rPr>
        <w:t>分满分的60%（即</w:t>
      </w:r>
      <w:r>
        <w:rPr>
          <w:rFonts w:hint="eastAsia" w:ascii="宋体" w:hAnsi="宋体" w:cs="Arial"/>
          <w:b/>
          <w:bCs/>
          <w:color w:val="auto"/>
          <w:highlight w:val="none"/>
          <w:lang w:val="en-US" w:eastAsia="zh-CN"/>
        </w:rPr>
        <w:t>36</w:t>
      </w:r>
      <w:r>
        <w:rPr>
          <w:rFonts w:hint="eastAsia" w:ascii="宋体" w:hAnsi="宋体" w:cs="Arial"/>
          <w:b/>
          <w:bCs/>
          <w:color w:val="auto"/>
          <w:highlight w:val="none"/>
          <w:lang w:eastAsia="zh-CN"/>
        </w:rPr>
        <w:t>分</w:t>
      </w:r>
      <w:r>
        <w:rPr>
          <w:rFonts w:hint="eastAsia" w:ascii="宋体" w:hAnsi="宋体" w:cs="Arial"/>
          <w:b/>
          <w:bCs/>
          <w:color w:val="auto"/>
          <w:highlight w:val="none"/>
        </w:rPr>
        <w:t>）的</w:t>
      </w:r>
      <w:r>
        <w:rPr>
          <w:rFonts w:hint="eastAsia" w:ascii="宋体" w:hAnsi="宋体" w:cs="Arial"/>
          <w:b/>
          <w:bCs/>
          <w:color w:val="auto"/>
          <w:highlight w:val="none"/>
          <w:lang w:eastAsia="zh-CN"/>
        </w:rPr>
        <w:t>比选申请</w:t>
      </w:r>
      <w:r>
        <w:rPr>
          <w:rFonts w:hint="eastAsia" w:ascii="宋体" w:hAnsi="宋体" w:cs="Arial"/>
          <w:b/>
          <w:bCs/>
          <w:color w:val="auto"/>
          <w:highlight w:val="none"/>
        </w:rPr>
        <w:t>人不得推选为中</w:t>
      </w:r>
      <w:r>
        <w:rPr>
          <w:rFonts w:hint="eastAsia" w:ascii="宋体" w:hAnsi="宋体" w:cs="Arial"/>
          <w:b/>
          <w:bCs/>
          <w:color w:val="auto"/>
          <w:highlight w:val="none"/>
          <w:lang w:eastAsia="zh-CN"/>
        </w:rPr>
        <w:t>选</w:t>
      </w:r>
      <w:r>
        <w:rPr>
          <w:rFonts w:hint="eastAsia" w:ascii="宋体" w:hAnsi="宋体" w:cs="Arial"/>
          <w:b/>
          <w:bCs/>
          <w:color w:val="auto"/>
          <w:highlight w:val="none"/>
        </w:rPr>
        <w:t>候选人。</w:t>
      </w:r>
    </w:p>
    <w:p w14:paraId="1F8FEEE0">
      <w:pPr>
        <w:spacing w:before="0" w:after="0" w:afterAutospacing="0"/>
        <w:ind w:left="0" w:right="0" w:firstLine="422" w:firstLineChars="200"/>
        <w:rPr>
          <w:rFonts w:ascii="宋体" w:hAnsi="宋体" w:cs="宋体"/>
          <w:b/>
          <w:color w:val="auto"/>
          <w:highlight w:val="none"/>
        </w:rPr>
      </w:pPr>
      <w:r>
        <w:rPr>
          <w:rFonts w:hint="eastAsia" w:ascii="宋体" w:hAnsi="宋体" w:cs="宋体"/>
          <w:b/>
          <w:color w:val="auto"/>
          <w:highlight w:val="none"/>
        </w:rPr>
        <w:t>3.6否决比选申请条件</w:t>
      </w:r>
    </w:p>
    <w:p w14:paraId="566BED74">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比选申请文件有下列情形之一的，评审委员会应按否决比选申请处理：</w:t>
      </w:r>
    </w:p>
    <w:p w14:paraId="0250E70B">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（1）不符合附表一《资格审查表》规定的；</w:t>
      </w:r>
    </w:p>
    <w:p w14:paraId="4B5F010A">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（2）不符合附表二《符合性评审表》规定的；</w:t>
      </w:r>
    </w:p>
    <w:p w14:paraId="3C1B27CC">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（3）法定代表人未按规定出具授权委托书的(采用委托代理人形式的)；</w:t>
      </w:r>
    </w:p>
    <w:p w14:paraId="0AEDD2E4">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（4）在比选申请文件中有虚假文件和/或资料的；</w:t>
      </w:r>
    </w:p>
    <w:p w14:paraId="29D0711F">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（5）比选申请文件中附有比选人不能接受的条件；</w:t>
      </w:r>
    </w:p>
    <w:p w14:paraId="0802D82D">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（6）比选申请文件实质上不响应比选文件的要求的；</w:t>
      </w:r>
    </w:p>
    <w:p w14:paraId="64393AE0">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（7）比选申请人以经评审委员会评审认定为低于成本的报价竞标；</w:t>
      </w:r>
    </w:p>
    <w:p w14:paraId="4BB8D5E5">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（8）比选申请人扰乱会场秩序，经劝阻仍然无理取闹的；</w:t>
      </w:r>
    </w:p>
    <w:p w14:paraId="6A35659A">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（9）比选申请人未能按照评审委员会要求，对其比选申请文件进行澄清、说明和补正的；</w:t>
      </w:r>
    </w:p>
    <w:p w14:paraId="2C9DAA6A">
      <w:pPr>
        <w:tabs>
          <w:tab w:val="left" w:pos="1276"/>
        </w:tabs>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（10）比选申请人以他人的名义比选申请、串通比选申请、以行贿手段谋取中选或者以其他弄虚作假方式比选申请的。</w:t>
      </w:r>
    </w:p>
    <w:p w14:paraId="2FA716EF">
      <w:pPr>
        <w:tabs>
          <w:tab w:val="left" w:pos="1276"/>
        </w:tabs>
        <w:spacing w:before="0" w:after="0" w:afterAutospacing="0"/>
        <w:ind w:left="420" w:right="0" w:firstLine="0"/>
        <w:jc w:val="left"/>
        <w:rPr>
          <w:rFonts w:ascii="宋体" w:hAnsi="宋体" w:cs="宋体"/>
          <w:b/>
          <w:color w:val="auto"/>
          <w:highlight w:val="none"/>
        </w:rPr>
        <w:sectPr>
          <w:pgSz w:w="11905" w:h="16838"/>
          <w:pgMar w:top="1418" w:right="1418" w:bottom="1304" w:left="1418" w:header="454" w:footer="567" w:gutter="0"/>
          <w:cols w:space="720" w:num="1"/>
          <w:docGrid w:linePitch="312" w:charSpace="0"/>
        </w:sectPr>
      </w:pPr>
    </w:p>
    <w:p w14:paraId="0E8D6021">
      <w:pPr>
        <w:pStyle w:val="6"/>
        <w:spacing w:after="0" w:line="360" w:lineRule="auto"/>
        <w:ind w:left="0" w:right="-57" w:firstLine="0"/>
        <w:rPr>
          <w:color w:val="auto"/>
          <w:sz w:val="21"/>
          <w:szCs w:val="21"/>
          <w:highlight w:val="none"/>
        </w:rPr>
      </w:pPr>
      <w:bookmarkStart w:id="1787" w:name="_Toc414290583"/>
      <w:bookmarkStart w:id="1788" w:name="_Toc10968"/>
      <w:bookmarkStart w:id="1789" w:name="_Toc28404"/>
      <w:bookmarkStart w:id="1790" w:name="_Toc29245"/>
      <w:bookmarkStart w:id="1791" w:name="_Toc18096"/>
      <w:bookmarkStart w:id="1792" w:name="_Toc23314"/>
      <w:bookmarkStart w:id="1793" w:name="_Toc16364"/>
      <w:bookmarkStart w:id="1794" w:name="_Toc114134688"/>
      <w:bookmarkStart w:id="1795" w:name="_Toc25750694"/>
      <w:bookmarkStart w:id="1796" w:name="_Toc15073"/>
      <w:bookmarkStart w:id="1797" w:name="_Toc434"/>
      <w:bookmarkStart w:id="1798" w:name="_Toc27271"/>
      <w:bookmarkStart w:id="1799" w:name="_Toc31611"/>
      <w:bookmarkStart w:id="1800" w:name="_Toc19557"/>
      <w:bookmarkStart w:id="1801" w:name="_Toc32021"/>
      <w:bookmarkStart w:id="1802" w:name="_Toc9588"/>
      <w:bookmarkStart w:id="1803" w:name="_Toc492478849"/>
      <w:bookmarkStart w:id="1804" w:name="_Toc15224"/>
      <w:bookmarkStart w:id="1805" w:name="_Toc20574"/>
      <w:bookmarkStart w:id="1806" w:name="_Toc9730"/>
      <w:bookmarkStart w:id="1807" w:name="_Toc29923"/>
      <w:bookmarkStart w:id="1808" w:name="_Toc22464"/>
      <w:bookmarkStart w:id="1809" w:name="_Toc9189"/>
      <w:r>
        <w:rPr>
          <w:rFonts w:hint="eastAsia"/>
          <w:color w:val="auto"/>
          <w:sz w:val="21"/>
          <w:szCs w:val="21"/>
          <w:highlight w:val="none"/>
        </w:rPr>
        <w:t>附表一：资格审查表</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2EC7DBB">
      <w:pPr>
        <w:snapToGrid w:val="0"/>
        <w:spacing w:before="0" w:line="360" w:lineRule="exact"/>
        <w:ind w:left="420" w:right="240" w:firstLine="0"/>
        <w:jc w:val="center"/>
        <w:rPr>
          <w:rFonts w:ascii="宋体" w:hAnsi="宋体"/>
          <w:b/>
          <w:color w:val="auto"/>
          <w:sz w:val="24"/>
          <w:szCs w:val="24"/>
          <w:highlight w:val="none"/>
        </w:rPr>
      </w:pPr>
      <w:r>
        <w:rPr>
          <w:rFonts w:hint="eastAsia" w:ascii="宋体" w:hAnsi="宋体"/>
          <w:b/>
          <w:color w:val="auto"/>
          <w:sz w:val="24"/>
          <w:szCs w:val="24"/>
          <w:highlight w:val="none"/>
        </w:rPr>
        <w:t>资格审查表</w:t>
      </w:r>
    </w:p>
    <w:tbl>
      <w:tblPr>
        <w:tblStyle w:val="35"/>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2681"/>
        <w:gridCol w:w="1235"/>
        <w:gridCol w:w="1099"/>
      </w:tblGrid>
      <w:tr w14:paraId="378184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41B83B95">
            <w:pPr>
              <w:spacing w:before="0" w:after="0" w:afterAutospacing="0" w:line="240" w:lineRule="auto"/>
              <w:ind w:left="0" w:right="0" w:firstLine="0"/>
              <w:jc w:val="center"/>
              <w:rPr>
                <w:rFonts w:ascii="宋体" w:hAnsi="宋体" w:cs="宋体"/>
                <w:color w:val="auto"/>
                <w:highlight w:val="none"/>
              </w:rPr>
            </w:pPr>
            <w:r>
              <w:rPr>
                <w:rFonts w:hint="eastAsia" w:ascii="宋体" w:hAnsi="宋体" w:cs="宋体"/>
                <w:color w:val="auto"/>
                <w:highlight w:val="none"/>
              </w:rPr>
              <w:t>序号</w:t>
            </w:r>
          </w:p>
        </w:tc>
        <w:tc>
          <w:tcPr>
            <w:tcW w:w="741" w:type="dxa"/>
            <w:vAlign w:val="center"/>
          </w:tcPr>
          <w:p w14:paraId="077A3B32">
            <w:pPr>
              <w:spacing w:before="0" w:after="0" w:afterAutospacing="0" w:line="240" w:lineRule="auto"/>
              <w:ind w:left="0" w:right="0" w:firstLine="0"/>
              <w:jc w:val="center"/>
              <w:rPr>
                <w:rFonts w:ascii="宋体" w:hAnsi="宋体" w:cs="宋体"/>
                <w:color w:val="auto"/>
                <w:highlight w:val="none"/>
              </w:rPr>
            </w:pPr>
            <w:r>
              <w:rPr>
                <w:rFonts w:hint="eastAsia" w:ascii="宋体" w:hAnsi="宋体" w:cs="宋体"/>
                <w:color w:val="auto"/>
                <w:highlight w:val="none"/>
              </w:rPr>
              <w:t>项目内容</w:t>
            </w:r>
          </w:p>
        </w:tc>
        <w:tc>
          <w:tcPr>
            <w:tcW w:w="3067" w:type="dxa"/>
            <w:vAlign w:val="center"/>
          </w:tcPr>
          <w:p w14:paraId="6C7CC1B3">
            <w:pPr>
              <w:spacing w:before="0" w:after="0" w:afterAutospacing="0" w:line="240" w:lineRule="auto"/>
              <w:ind w:left="0" w:right="0" w:firstLine="0"/>
              <w:jc w:val="center"/>
              <w:rPr>
                <w:rFonts w:ascii="宋体" w:hAnsi="宋体" w:cs="宋体"/>
                <w:color w:val="auto"/>
                <w:highlight w:val="none"/>
              </w:rPr>
            </w:pPr>
            <w:r>
              <w:rPr>
                <w:rFonts w:hint="eastAsia" w:ascii="宋体" w:hAnsi="宋体" w:cs="宋体"/>
                <w:color w:val="auto"/>
                <w:highlight w:val="none"/>
              </w:rPr>
              <w:t>合格条件标准</w:t>
            </w:r>
          </w:p>
        </w:tc>
        <w:tc>
          <w:tcPr>
            <w:tcW w:w="2681" w:type="dxa"/>
            <w:vAlign w:val="center"/>
          </w:tcPr>
          <w:p w14:paraId="6B55EFFA">
            <w:pPr>
              <w:spacing w:before="0" w:after="0" w:afterAutospacing="0" w:line="240" w:lineRule="auto"/>
              <w:ind w:left="0" w:right="0" w:firstLine="0"/>
              <w:jc w:val="center"/>
              <w:rPr>
                <w:rFonts w:ascii="宋体" w:hAnsi="宋体" w:cs="宋体"/>
                <w:color w:val="auto"/>
                <w:highlight w:val="none"/>
              </w:rPr>
            </w:pPr>
            <w:r>
              <w:rPr>
                <w:rFonts w:hint="eastAsia" w:ascii="宋体" w:hAnsi="宋体" w:cs="宋体"/>
                <w:color w:val="auto"/>
                <w:highlight w:val="none"/>
              </w:rPr>
              <w:t>评审依据</w:t>
            </w:r>
          </w:p>
        </w:tc>
        <w:tc>
          <w:tcPr>
            <w:tcW w:w="1235" w:type="dxa"/>
            <w:vAlign w:val="center"/>
          </w:tcPr>
          <w:p w14:paraId="650B7124">
            <w:pPr>
              <w:spacing w:before="0" w:after="0" w:afterAutospacing="0" w:line="240" w:lineRule="auto"/>
              <w:ind w:left="0" w:right="0" w:firstLine="0"/>
              <w:jc w:val="center"/>
              <w:rPr>
                <w:rFonts w:ascii="宋体" w:hAnsi="宋体" w:cs="宋体"/>
                <w:color w:val="auto"/>
                <w:highlight w:val="none"/>
              </w:rPr>
            </w:pPr>
            <w:r>
              <w:rPr>
                <w:rFonts w:hint="eastAsia" w:ascii="宋体" w:hAnsi="宋体" w:cs="宋体"/>
                <w:color w:val="auto"/>
                <w:highlight w:val="none"/>
              </w:rPr>
              <w:t>评审结果（合格/不合格）</w:t>
            </w:r>
          </w:p>
        </w:tc>
        <w:tc>
          <w:tcPr>
            <w:tcW w:w="1099" w:type="dxa"/>
            <w:vAlign w:val="center"/>
          </w:tcPr>
          <w:p w14:paraId="2ACEB2AF">
            <w:pPr>
              <w:spacing w:before="0" w:after="0" w:afterAutospacing="0" w:line="240" w:lineRule="auto"/>
              <w:ind w:left="0" w:right="0" w:firstLine="0"/>
              <w:jc w:val="center"/>
              <w:rPr>
                <w:rFonts w:ascii="宋体" w:hAnsi="宋体" w:cs="宋体"/>
                <w:color w:val="auto"/>
                <w:highlight w:val="none"/>
              </w:rPr>
            </w:pPr>
            <w:r>
              <w:rPr>
                <w:rFonts w:hint="eastAsia" w:ascii="宋体" w:hAnsi="宋体" w:cs="宋体"/>
                <w:color w:val="auto"/>
                <w:highlight w:val="none"/>
              </w:rPr>
              <w:t>备注</w:t>
            </w:r>
          </w:p>
        </w:tc>
      </w:tr>
      <w:tr w14:paraId="50A782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5F28D631">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1</w:t>
            </w:r>
          </w:p>
        </w:tc>
        <w:tc>
          <w:tcPr>
            <w:tcW w:w="741" w:type="dxa"/>
            <w:vAlign w:val="center"/>
          </w:tcPr>
          <w:p w14:paraId="7A00EDD1">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身份</w:t>
            </w:r>
          </w:p>
          <w:p w14:paraId="6B6A6786">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证明</w:t>
            </w:r>
          </w:p>
          <w:p w14:paraId="4B793DE3">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材料</w:t>
            </w:r>
          </w:p>
        </w:tc>
        <w:tc>
          <w:tcPr>
            <w:tcW w:w="3067" w:type="dxa"/>
            <w:vAlign w:val="center"/>
          </w:tcPr>
          <w:p w14:paraId="63DF069A">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法定代表人授权书及法定代表人资格证明书（如无授权时，只需提供法定代表人资格证明书）、法定代表人及被授权人身份证复印件。</w:t>
            </w:r>
          </w:p>
        </w:tc>
        <w:tc>
          <w:tcPr>
            <w:tcW w:w="2681" w:type="dxa"/>
            <w:vAlign w:val="center"/>
          </w:tcPr>
          <w:p w14:paraId="1C27DD7A">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比选申请人应提供法定代表人授权书及法定代表人资格证明书（如无授权时，只需提供法定代表人资格证明书），法人及被授权人身份证复印件加盖公章。</w:t>
            </w:r>
          </w:p>
        </w:tc>
        <w:tc>
          <w:tcPr>
            <w:tcW w:w="1235" w:type="dxa"/>
            <w:vAlign w:val="center"/>
          </w:tcPr>
          <w:p w14:paraId="3151C2AA">
            <w:pPr>
              <w:spacing w:before="0" w:after="0" w:afterAutospacing="0" w:line="240" w:lineRule="auto"/>
              <w:ind w:left="0" w:right="0" w:firstLine="0"/>
              <w:rPr>
                <w:rFonts w:hint="eastAsia" w:ascii="宋体" w:hAnsi="宋体" w:cs="宋体"/>
                <w:color w:val="auto"/>
                <w:highlight w:val="none"/>
              </w:rPr>
            </w:pPr>
          </w:p>
        </w:tc>
        <w:tc>
          <w:tcPr>
            <w:tcW w:w="1099" w:type="dxa"/>
            <w:vAlign w:val="center"/>
          </w:tcPr>
          <w:p w14:paraId="351811E7">
            <w:pPr>
              <w:spacing w:before="0" w:after="0" w:afterAutospacing="0" w:line="240" w:lineRule="auto"/>
              <w:ind w:left="0" w:right="0" w:firstLine="0"/>
              <w:rPr>
                <w:rFonts w:hint="eastAsia" w:ascii="宋体" w:hAnsi="宋体" w:cs="宋体"/>
                <w:color w:val="auto"/>
                <w:highlight w:val="none"/>
              </w:rPr>
            </w:pPr>
          </w:p>
        </w:tc>
      </w:tr>
      <w:tr w14:paraId="76CA3C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6FD0B94B">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2</w:t>
            </w:r>
          </w:p>
        </w:tc>
        <w:tc>
          <w:tcPr>
            <w:tcW w:w="741" w:type="dxa"/>
            <w:vAlign w:val="center"/>
          </w:tcPr>
          <w:p w14:paraId="3278992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比选申请人资格</w:t>
            </w:r>
          </w:p>
        </w:tc>
        <w:tc>
          <w:tcPr>
            <w:tcW w:w="3067" w:type="dxa"/>
            <w:vAlign w:val="center"/>
          </w:tcPr>
          <w:p w14:paraId="3146DF44">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1.比选申请人为中华人民共和国境内依法设立的法人或其他组织。</w:t>
            </w:r>
          </w:p>
          <w:p w14:paraId="38B74F1E">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2.资质条件：电力行业工程设计乙级</w:t>
            </w:r>
            <w:r>
              <w:rPr>
                <w:rFonts w:hint="eastAsia" w:ascii="宋体" w:hAnsi="宋体" w:cs="宋体"/>
                <w:color w:val="auto"/>
                <w:highlight w:val="none"/>
                <w:lang w:val="en-US" w:eastAsia="zh-CN"/>
              </w:rPr>
              <w:t>及</w:t>
            </w:r>
            <w:r>
              <w:rPr>
                <w:rFonts w:hint="eastAsia" w:ascii="宋体" w:hAnsi="宋体" w:cs="宋体"/>
                <w:color w:val="auto"/>
                <w:highlight w:val="none"/>
              </w:rPr>
              <w:t>以上资质</w:t>
            </w:r>
          </w:p>
        </w:tc>
        <w:tc>
          <w:tcPr>
            <w:tcW w:w="2681" w:type="dxa"/>
            <w:vAlign w:val="center"/>
          </w:tcPr>
          <w:p w14:paraId="4E03960F">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1、比选申请人有效的营业执照或事业单位法人证书等证明文件复印件（复印件加盖公章）。</w:t>
            </w:r>
          </w:p>
          <w:p w14:paraId="27705A5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2、比选申请人的资质证书等证明文件复印件（复印件加盖公章）。</w:t>
            </w:r>
          </w:p>
        </w:tc>
        <w:tc>
          <w:tcPr>
            <w:tcW w:w="1235" w:type="dxa"/>
            <w:vAlign w:val="center"/>
          </w:tcPr>
          <w:p w14:paraId="116F889D">
            <w:pPr>
              <w:spacing w:before="0" w:after="0" w:afterAutospacing="0" w:line="240" w:lineRule="auto"/>
              <w:ind w:left="0" w:right="0" w:firstLine="0"/>
              <w:rPr>
                <w:rFonts w:hint="eastAsia" w:ascii="宋体" w:hAnsi="宋体" w:cs="宋体"/>
                <w:color w:val="auto"/>
                <w:highlight w:val="none"/>
              </w:rPr>
            </w:pPr>
          </w:p>
        </w:tc>
        <w:tc>
          <w:tcPr>
            <w:tcW w:w="1099" w:type="dxa"/>
            <w:vAlign w:val="center"/>
          </w:tcPr>
          <w:p w14:paraId="1717BA42">
            <w:pPr>
              <w:spacing w:before="0" w:after="0" w:afterAutospacing="0" w:line="240" w:lineRule="auto"/>
              <w:ind w:left="0" w:right="0" w:firstLine="0"/>
              <w:rPr>
                <w:rFonts w:hint="eastAsia" w:ascii="宋体" w:hAnsi="宋体" w:cs="宋体"/>
                <w:color w:val="auto"/>
                <w:highlight w:val="none"/>
              </w:rPr>
            </w:pPr>
          </w:p>
        </w:tc>
      </w:tr>
      <w:tr w14:paraId="36900E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10E74A2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3</w:t>
            </w:r>
          </w:p>
        </w:tc>
        <w:tc>
          <w:tcPr>
            <w:tcW w:w="741" w:type="dxa"/>
            <w:vAlign w:val="center"/>
          </w:tcPr>
          <w:p w14:paraId="04E132EF">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业绩</w:t>
            </w:r>
          </w:p>
          <w:p w14:paraId="6ADCA653">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证明</w:t>
            </w:r>
          </w:p>
          <w:p w14:paraId="1DD5D7C0">
            <w:pPr>
              <w:spacing w:before="0" w:after="0" w:afterAutospacing="0" w:line="240" w:lineRule="auto"/>
              <w:ind w:left="0" w:right="0" w:firstLine="0"/>
              <w:rPr>
                <w:rFonts w:hint="eastAsia" w:ascii="宋体" w:hAnsi="宋体" w:cs="宋体"/>
                <w:color w:val="auto"/>
                <w:highlight w:val="none"/>
              </w:rPr>
            </w:pPr>
          </w:p>
        </w:tc>
        <w:tc>
          <w:tcPr>
            <w:tcW w:w="3067" w:type="dxa"/>
            <w:vAlign w:val="center"/>
          </w:tcPr>
          <w:p w14:paraId="413BEEAD">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lang w:eastAsia="zh-CN"/>
              </w:rPr>
              <w:t>比选申请人自2023年1月1日至比选申请截止时间前，承接过（完工/在建项目）3个及以上15000kVA以上房地产项目相关供配电设计业绩。</w:t>
            </w:r>
          </w:p>
        </w:tc>
        <w:tc>
          <w:tcPr>
            <w:tcW w:w="2681" w:type="dxa"/>
            <w:vAlign w:val="center"/>
          </w:tcPr>
          <w:p w14:paraId="18F2E889">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提供下述材料之一即可：①合同文件；②中标通知书。</w:t>
            </w:r>
          </w:p>
          <w:p w14:paraId="3BA4DF87">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所提供的材料须能明确反映类似项目特征，复印件加盖比选申请人公章。</w:t>
            </w:r>
          </w:p>
        </w:tc>
        <w:tc>
          <w:tcPr>
            <w:tcW w:w="1235" w:type="dxa"/>
            <w:vAlign w:val="center"/>
          </w:tcPr>
          <w:p w14:paraId="5EC52F22">
            <w:pPr>
              <w:spacing w:before="0" w:after="0" w:afterAutospacing="0" w:line="240" w:lineRule="auto"/>
              <w:ind w:left="0" w:right="0" w:firstLine="0"/>
              <w:rPr>
                <w:rFonts w:hint="eastAsia" w:ascii="宋体" w:hAnsi="宋体" w:cs="宋体"/>
                <w:color w:val="auto"/>
                <w:highlight w:val="none"/>
              </w:rPr>
            </w:pPr>
          </w:p>
        </w:tc>
        <w:tc>
          <w:tcPr>
            <w:tcW w:w="1099" w:type="dxa"/>
            <w:vAlign w:val="center"/>
          </w:tcPr>
          <w:p w14:paraId="25C24C4B">
            <w:pPr>
              <w:spacing w:before="0" w:after="0" w:afterAutospacing="0" w:line="240" w:lineRule="auto"/>
              <w:ind w:left="0" w:right="0" w:firstLine="0"/>
              <w:rPr>
                <w:rFonts w:hint="eastAsia" w:ascii="宋体" w:hAnsi="宋体" w:cs="宋体"/>
                <w:color w:val="auto"/>
                <w:highlight w:val="none"/>
              </w:rPr>
            </w:pPr>
          </w:p>
        </w:tc>
      </w:tr>
      <w:tr w14:paraId="486330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1F6F4779">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4</w:t>
            </w:r>
          </w:p>
        </w:tc>
        <w:tc>
          <w:tcPr>
            <w:tcW w:w="741" w:type="dxa"/>
            <w:vAlign w:val="center"/>
          </w:tcPr>
          <w:p w14:paraId="2B7ECF9D">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承诺书</w:t>
            </w:r>
          </w:p>
        </w:tc>
        <w:tc>
          <w:tcPr>
            <w:tcW w:w="3067" w:type="dxa"/>
            <w:vAlign w:val="center"/>
          </w:tcPr>
          <w:p w14:paraId="0B4E4EA3">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比选申请人没有处于被行政主管部门或业主取消比选申请资格的处罚期内，且没有处于被责令停业，被列入失信被执行人名单，财产被接管、破产状态；比选申请截止时间前3年内没有骗取中选、严重违约或重大质量安全责任事故的情况。</w:t>
            </w:r>
          </w:p>
        </w:tc>
        <w:tc>
          <w:tcPr>
            <w:tcW w:w="2681" w:type="dxa"/>
            <w:vAlign w:val="center"/>
          </w:tcPr>
          <w:p w14:paraId="17948C8C">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承诺书原件。</w:t>
            </w:r>
          </w:p>
        </w:tc>
        <w:tc>
          <w:tcPr>
            <w:tcW w:w="1235" w:type="dxa"/>
            <w:vAlign w:val="center"/>
          </w:tcPr>
          <w:p w14:paraId="7639E25F">
            <w:pPr>
              <w:spacing w:before="0" w:after="0" w:afterAutospacing="0" w:line="240" w:lineRule="auto"/>
              <w:ind w:left="0" w:right="0" w:firstLine="0"/>
              <w:rPr>
                <w:rFonts w:hint="eastAsia" w:ascii="宋体" w:hAnsi="宋体" w:cs="宋体"/>
                <w:color w:val="auto"/>
                <w:highlight w:val="none"/>
              </w:rPr>
            </w:pPr>
          </w:p>
        </w:tc>
        <w:tc>
          <w:tcPr>
            <w:tcW w:w="1099" w:type="dxa"/>
            <w:vAlign w:val="center"/>
          </w:tcPr>
          <w:p w14:paraId="2D45E516">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按规定格式提供承诺书</w:t>
            </w:r>
          </w:p>
          <w:p w14:paraId="58DA3466">
            <w:pPr>
              <w:spacing w:before="0" w:after="0" w:afterAutospacing="0" w:line="240" w:lineRule="auto"/>
              <w:ind w:left="0" w:right="0" w:firstLine="0"/>
              <w:rPr>
                <w:rFonts w:hint="eastAsia" w:ascii="宋体" w:hAnsi="宋体" w:cs="宋体"/>
                <w:color w:val="auto"/>
                <w:highlight w:val="none"/>
              </w:rPr>
            </w:pPr>
          </w:p>
        </w:tc>
      </w:tr>
      <w:tr w14:paraId="1050B5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79E3293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5</w:t>
            </w:r>
          </w:p>
        </w:tc>
        <w:tc>
          <w:tcPr>
            <w:tcW w:w="741" w:type="dxa"/>
            <w:vAlign w:val="center"/>
          </w:tcPr>
          <w:p w14:paraId="39B458DF">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人员配置</w:t>
            </w:r>
          </w:p>
        </w:tc>
        <w:tc>
          <w:tcPr>
            <w:tcW w:w="3067" w:type="dxa"/>
            <w:vAlign w:val="center"/>
          </w:tcPr>
          <w:p w14:paraId="7140F4D8">
            <w:pPr>
              <w:spacing w:before="0" w:after="0" w:afterAutospacing="0" w:line="240" w:lineRule="auto"/>
              <w:ind w:left="0" w:right="0" w:firstLine="0"/>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团队中主要设计人员至少1人为电力工程设计相关专业中级</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以上</w:t>
            </w:r>
            <w:r>
              <w:rPr>
                <w:rFonts w:hint="eastAsia" w:ascii="宋体" w:hAnsi="宋体" w:cs="宋体"/>
                <w:color w:val="auto"/>
                <w:sz w:val="21"/>
                <w:szCs w:val="21"/>
                <w:highlight w:val="none"/>
                <w:lang w:val="en-US" w:eastAsia="zh-CN"/>
              </w:rPr>
              <w:t>职称的</w:t>
            </w:r>
            <w:r>
              <w:rPr>
                <w:rFonts w:hint="eastAsia" w:ascii="宋体" w:hAnsi="宋体" w:eastAsia="宋体" w:cs="宋体"/>
                <w:color w:val="auto"/>
                <w:sz w:val="21"/>
                <w:szCs w:val="21"/>
                <w:highlight w:val="none"/>
                <w:lang w:val="en-US" w:eastAsia="zh-CN"/>
              </w:rPr>
              <w:t>工程师，具备类似业绩经验</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团队成员必须在该单位工作2年及以上。</w:t>
            </w:r>
          </w:p>
        </w:tc>
        <w:tc>
          <w:tcPr>
            <w:tcW w:w="2681" w:type="dxa"/>
            <w:vAlign w:val="center"/>
          </w:tcPr>
          <w:p w14:paraId="7A925004">
            <w:pPr>
              <w:spacing w:before="0" w:after="0" w:afterAutospacing="0" w:line="240" w:lineRule="auto"/>
              <w:ind w:left="0" w:right="0" w:firstLine="0"/>
              <w:rPr>
                <w:rFonts w:hint="default" w:ascii="宋体" w:hAnsi="宋体" w:eastAsia="宋体" w:cs="宋体"/>
                <w:color w:val="auto"/>
                <w:highlight w:val="none"/>
                <w:lang w:val="en-US" w:eastAsia="zh-CN"/>
              </w:rPr>
            </w:pPr>
            <w:r>
              <w:rPr>
                <w:rFonts w:hint="eastAsia" w:ascii="宋体" w:hAnsi="宋体" w:cs="宋体"/>
                <w:color w:val="auto"/>
                <w:highlight w:val="none"/>
              </w:rPr>
              <w:t>相应人员资质</w:t>
            </w:r>
            <w:r>
              <w:rPr>
                <w:rFonts w:hint="eastAsia" w:ascii="宋体" w:hAnsi="宋体" w:cs="宋体"/>
                <w:color w:val="auto"/>
                <w:highlight w:val="none"/>
                <w:lang w:val="en-US" w:eastAsia="zh-CN"/>
              </w:rPr>
              <w:t>材料</w:t>
            </w:r>
            <w:r>
              <w:rPr>
                <w:rFonts w:hint="eastAsia" w:ascii="宋体" w:hAnsi="宋体" w:cs="宋体"/>
                <w:color w:val="auto"/>
                <w:highlight w:val="none"/>
                <w:lang w:eastAsia="zh-CN"/>
              </w:rPr>
              <w:t>：</w:t>
            </w:r>
            <w:r>
              <w:rPr>
                <w:rFonts w:hint="eastAsia" w:ascii="宋体" w:hAnsi="宋体" w:cs="宋体"/>
                <w:color w:val="auto"/>
                <w:highlight w:val="none"/>
                <w:lang w:val="en-US" w:eastAsia="zh-CN"/>
              </w:rPr>
              <w:t>提供人员证书及近两年社保缴费证明复印件。</w:t>
            </w:r>
          </w:p>
          <w:p w14:paraId="4359E0C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业绩证明材料：提供下述材料之一即可：①合同文件（含团队人员名单）；②设计图纸签字栏；③其他比选申请人认为可以证明的资料。所提供的材料须能明确反映类似项目特征，复印件加盖比选申请人公章。</w:t>
            </w:r>
          </w:p>
        </w:tc>
        <w:tc>
          <w:tcPr>
            <w:tcW w:w="1235" w:type="dxa"/>
            <w:vAlign w:val="center"/>
          </w:tcPr>
          <w:p w14:paraId="25E4F671">
            <w:pPr>
              <w:spacing w:before="0" w:after="0" w:afterAutospacing="0" w:line="240" w:lineRule="auto"/>
              <w:ind w:left="0" w:right="0" w:firstLine="0"/>
              <w:rPr>
                <w:rFonts w:hint="eastAsia" w:ascii="宋体" w:hAnsi="宋体" w:cs="宋体"/>
                <w:color w:val="auto"/>
                <w:highlight w:val="none"/>
              </w:rPr>
            </w:pPr>
          </w:p>
        </w:tc>
        <w:tc>
          <w:tcPr>
            <w:tcW w:w="1099" w:type="dxa"/>
            <w:vAlign w:val="center"/>
          </w:tcPr>
          <w:p w14:paraId="1E631C51">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highlight w:val="none"/>
              </w:rPr>
              <w:t>此表应后附比选文件要求提供的相应人员资质及业绩证明文件。</w:t>
            </w:r>
          </w:p>
          <w:p w14:paraId="6B043E07">
            <w:pPr>
              <w:spacing w:before="0" w:after="0" w:afterAutospacing="0" w:line="240" w:lineRule="auto"/>
              <w:ind w:left="0" w:right="0" w:firstLine="0"/>
              <w:rPr>
                <w:rFonts w:hint="eastAsia" w:ascii="宋体" w:hAnsi="宋体" w:cs="宋体"/>
                <w:color w:val="auto"/>
                <w:highlight w:val="none"/>
              </w:rPr>
            </w:pPr>
          </w:p>
        </w:tc>
      </w:tr>
    </w:tbl>
    <w:p w14:paraId="7A466995">
      <w:pPr>
        <w:snapToGrid w:val="0"/>
        <w:spacing w:before="0" w:after="0" w:afterAutospacing="0" w:line="240" w:lineRule="auto"/>
        <w:ind w:left="0" w:right="0" w:firstLine="0"/>
        <w:rPr>
          <w:rFonts w:ascii="宋体" w:hAnsi="宋体" w:cs="宋体"/>
          <w:b/>
          <w:color w:val="auto"/>
          <w:highlight w:val="none"/>
        </w:rPr>
      </w:pPr>
      <w:r>
        <w:rPr>
          <w:rFonts w:hint="eastAsia" w:ascii="宋体" w:hAnsi="宋体" w:cs="宋体"/>
          <w:b/>
          <w:color w:val="auto"/>
          <w:highlight w:val="none"/>
        </w:rPr>
        <w:t>注：</w:t>
      </w:r>
    </w:p>
    <w:p w14:paraId="2AC45F64">
      <w:pPr>
        <w:snapToGrid w:val="0"/>
        <w:spacing w:before="0" w:after="0" w:afterAutospacing="0" w:line="240" w:lineRule="auto"/>
        <w:ind w:left="0" w:right="0" w:firstLine="0"/>
        <w:rPr>
          <w:rFonts w:ascii="宋体" w:hAnsi="宋体" w:cs="宋体"/>
          <w:b/>
          <w:color w:val="auto"/>
          <w:highlight w:val="none"/>
        </w:rPr>
      </w:pPr>
      <w:r>
        <w:rPr>
          <w:rFonts w:hint="eastAsia" w:ascii="宋体" w:hAnsi="宋体" w:cs="宋体"/>
          <w:b/>
          <w:color w:val="auto"/>
          <w:highlight w:val="none"/>
        </w:rPr>
        <w:t>1.以上所有证明资料原件备查。</w:t>
      </w:r>
    </w:p>
    <w:p w14:paraId="5EB2E91C">
      <w:pPr>
        <w:snapToGrid w:val="0"/>
        <w:spacing w:before="0" w:after="0" w:afterAutospacing="0" w:line="240" w:lineRule="auto"/>
        <w:ind w:left="0" w:right="0" w:firstLine="0"/>
        <w:rPr>
          <w:rFonts w:ascii="宋体" w:hAnsi="宋体"/>
          <w:b/>
          <w:color w:val="auto"/>
          <w:highlight w:val="none"/>
        </w:rPr>
      </w:pPr>
      <w:r>
        <w:rPr>
          <w:rFonts w:hint="eastAsia" w:ascii="宋体" w:hAnsi="宋体" w:cs="宋体"/>
          <w:b/>
          <w:color w:val="auto"/>
          <w:highlight w:val="none"/>
        </w:rPr>
        <w:t>2.比选申请人如未通过上述资格审查，则作比选申请被否决处理并不得进入下一阶段评审。</w:t>
      </w:r>
    </w:p>
    <w:p w14:paraId="301C2F83">
      <w:pPr>
        <w:rPr>
          <w:rFonts w:ascii="宋体" w:hAnsi="宋体"/>
          <w:color w:val="auto"/>
          <w:highlight w:val="none"/>
        </w:rPr>
      </w:pPr>
      <w:r>
        <w:rPr>
          <w:rFonts w:hint="eastAsia" w:ascii="宋体" w:hAnsi="宋体"/>
          <w:color w:val="auto"/>
          <w:highlight w:val="none"/>
        </w:rPr>
        <w:br w:type="page"/>
      </w:r>
      <w:bookmarkStart w:id="1810" w:name="_Toc26041"/>
      <w:bookmarkStart w:id="1811" w:name="_Toc25750695"/>
      <w:bookmarkStart w:id="1812" w:name="_Toc114134689"/>
      <w:bookmarkStart w:id="1813" w:name="_Toc8865"/>
      <w:bookmarkStart w:id="1814" w:name="_Toc31487"/>
      <w:bookmarkStart w:id="1815" w:name="_Toc5737"/>
      <w:bookmarkStart w:id="1816" w:name="_Toc12984826"/>
      <w:bookmarkStart w:id="1817" w:name="_Toc3409"/>
      <w:bookmarkStart w:id="1818" w:name="_Toc8945"/>
      <w:bookmarkStart w:id="1819" w:name="_Toc492478850"/>
      <w:bookmarkStart w:id="1820" w:name="_Toc9343"/>
      <w:bookmarkStart w:id="1821" w:name="_Toc20215"/>
      <w:bookmarkStart w:id="1822" w:name="_Toc7852"/>
      <w:bookmarkStart w:id="1823" w:name="_Toc25123"/>
      <w:bookmarkStart w:id="1824" w:name="_Toc12983557"/>
      <w:bookmarkStart w:id="1825" w:name="_Toc6102"/>
      <w:bookmarkStart w:id="1826" w:name="_Toc6612"/>
      <w:bookmarkStart w:id="1827" w:name="_Toc5811"/>
      <w:bookmarkStart w:id="1828" w:name="_Toc191"/>
      <w:bookmarkStart w:id="1829" w:name="_Toc15103"/>
      <w:bookmarkStart w:id="1830" w:name="_Toc29670"/>
      <w:bookmarkStart w:id="1831" w:name="_Toc1459"/>
      <w:bookmarkStart w:id="1832" w:name="_Toc19299"/>
      <w:bookmarkStart w:id="1833" w:name="_Toc22635"/>
      <w:r>
        <w:rPr>
          <w:rFonts w:hint="eastAsia" w:ascii="宋体" w:hAnsi="宋体"/>
          <w:color w:val="auto"/>
          <w:highlight w:val="none"/>
        </w:rPr>
        <w:t>附表二：符合性评审表</w:t>
      </w:r>
      <w:bookmarkEnd w:id="1810"/>
      <w:bookmarkEnd w:id="1811"/>
      <w:bookmarkEnd w:id="1812"/>
      <w:bookmarkEnd w:id="1813"/>
    </w:p>
    <w:p w14:paraId="09D04682">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5"/>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2F47B1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766C0328">
            <w:pPr>
              <w:ind w:left="0" w:firstLine="0"/>
              <w:rPr>
                <w:rFonts w:ascii="宋体" w:hAnsi="宋体" w:cs="宋体"/>
                <w:color w:val="auto"/>
                <w:highlight w:val="none"/>
              </w:rPr>
            </w:pPr>
            <w:r>
              <w:rPr>
                <w:rFonts w:hint="eastAsia" w:ascii="宋体" w:hAnsi="宋体" w:cs="宋体"/>
                <w:color w:val="auto"/>
                <w:highlight w:val="none"/>
              </w:rPr>
              <w:t>序号</w:t>
            </w:r>
          </w:p>
        </w:tc>
        <w:tc>
          <w:tcPr>
            <w:tcW w:w="6096" w:type="dxa"/>
            <w:tcBorders>
              <w:top w:val="single" w:color="auto" w:sz="12" w:space="0"/>
            </w:tcBorders>
            <w:vAlign w:val="center"/>
          </w:tcPr>
          <w:p w14:paraId="3322D181">
            <w:pPr>
              <w:ind w:left="0" w:firstLine="0"/>
              <w:rPr>
                <w:rFonts w:ascii="宋体" w:hAnsi="宋体" w:cs="宋体"/>
                <w:color w:val="auto"/>
                <w:highlight w:val="none"/>
              </w:rPr>
            </w:pPr>
            <w:r>
              <w:rPr>
                <w:rFonts w:hint="eastAsia" w:ascii="宋体" w:hAnsi="宋体" w:cs="宋体"/>
                <w:color w:val="auto"/>
                <w:highlight w:val="none"/>
              </w:rPr>
              <w:t>评审项目</w:t>
            </w:r>
          </w:p>
        </w:tc>
        <w:tc>
          <w:tcPr>
            <w:tcW w:w="1134" w:type="dxa"/>
            <w:tcBorders>
              <w:top w:val="single" w:color="auto" w:sz="12" w:space="0"/>
            </w:tcBorders>
          </w:tcPr>
          <w:p w14:paraId="395D16E9">
            <w:pPr>
              <w:ind w:left="0" w:firstLine="0"/>
              <w:rPr>
                <w:rFonts w:ascii="宋体" w:hAnsi="宋体" w:cs="宋体"/>
                <w:color w:val="auto"/>
                <w:highlight w:val="none"/>
              </w:rPr>
            </w:pPr>
            <w:r>
              <w:rPr>
                <w:rFonts w:hint="eastAsia" w:ascii="宋体" w:hAnsi="宋体" w:cs="宋体"/>
                <w:color w:val="auto"/>
                <w:highlight w:val="none"/>
              </w:rPr>
              <w:t>评审结果</w:t>
            </w:r>
          </w:p>
        </w:tc>
        <w:tc>
          <w:tcPr>
            <w:tcW w:w="1098" w:type="dxa"/>
            <w:tcBorders>
              <w:top w:val="single" w:color="auto" w:sz="12" w:space="0"/>
            </w:tcBorders>
            <w:vAlign w:val="center"/>
          </w:tcPr>
          <w:p w14:paraId="01D6686D">
            <w:pPr>
              <w:ind w:left="0" w:firstLine="0"/>
              <w:rPr>
                <w:rFonts w:ascii="宋体" w:hAnsi="宋体" w:cs="宋体"/>
                <w:color w:val="auto"/>
                <w:highlight w:val="none"/>
              </w:rPr>
            </w:pPr>
            <w:r>
              <w:rPr>
                <w:rFonts w:hint="eastAsia" w:ascii="宋体" w:hAnsi="宋体" w:cs="宋体"/>
                <w:color w:val="auto"/>
                <w:highlight w:val="none"/>
              </w:rPr>
              <w:t>结论</w:t>
            </w:r>
          </w:p>
        </w:tc>
      </w:tr>
      <w:tr w14:paraId="49B3DB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6FCEDB97">
            <w:pPr>
              <w:ind w:left="0" w:firstLine="0"/>
              <w:jc w:val="center"/>
              <w:rPr>
                <w:rFonts w:ascii="宋体" w:hAnsi="宋体" w:cs="宋体"/>
                <w:color w:val="auto"/>
                <w:highlight w:val="none"/>
              </w:rPr>
            </w:pPr>
            <w:r>
              <w:rPr>
                <w:rFonts w:hint="eastAsia" w:ascii="宋体" w:hAnsi="宋体" w:cs="宋体"/>
                <w:color w:val="auto"/>
                <w:highlight w:val="none"/>
              </w:rPr>
              <w:t>1</w:t>
            </w:r>
          </w:p>
        </w:tc>
        <w:tc>
          <w:tcPr>
            <w:tcW w:w="6096" w:type="dxa"/>
            <w:vAlign w:val="center"/>
          </w:tcPr>
          <w:p w14:paraId="4FD0AD3B">
            <w:pPr>
              <w:ind w:left="0" w:firstLine="0"/>
              <w:rPr>
                <w:rFonts w:ascii="宋体" w:hAnsi="宋体" w:cs="宋体"/>
                <w:color w:val="auto"/>
                <w:highlight w:val="none"/>
              </w:rPr>
            </w:pPr>
            <w:r>
              <w:rPr>
                <w:rFonts w:hint="eastAsia" w:ascii="宋体" w:hAnsi="宋体" w:cs="宋体"/>
                <w:color w:val="auto"/>
                <w:highlight w:val="none"/>
              </w:rPr>
              <w:t>比选申请文件按要求在规定的位置签字（或盖章）并加盖比选申请人单位公章的</w:t>
            </w:r>
          </w:p>
        </w:tc>
        <w:tc>
          <w:tcPr>
            <w:tcW w:w="1134" w:type="dxa"/>
          </w:tcPr>
          <w:p w14:paraId="0FD8016E">
            <w:pPr>
              <w:ind w:left="0" w:firstLine="0"/>
              <w:rPr>
                <w:rFonts w:ascii="宋体" w:hAnsi="宋体" w:cs="宋体"/>
                <w:color w:val="auto"/>
                <w:highlight w:val="none"/>
              </w:rPr>
            </w:pPr>
          </w:p>
        </w:tc>
        <w:tc>
          <w:tcPr>
            <w:tcW w:w="1098" w:type="dxa"/>
            <w:vMerge w:val="restart"/>
            <w:vAlign w:val="center"/>
          </w:tcPr>
          <w:p w14:paraId="3AD96292">
            <w:pPr>
              <w:ind w:left="0" w:firstLine="0"/>
              <w:rPr>
                <w:rFonts w:ascii="宋体" w:hAnsi="宋体" w:cs="宋体"/>
                <w:color w:val="auto"/>
                <w:highlight w:val="none"/>
              </w:rPr>
            </w:pPr>
          </w:p>
        </w:tc>
      </w:tr>
      <w:tr w14:paraId="38DA01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1CEFA795">
            <w:pPr>
              <w:ind w:left="0" w:firstLine="0"/>
              <w:jc w:val="center"/>
              <w:rPr>
                <w:rFonts w:ascii="宋体" w:hAnsi="宋体" w:cs="宋体"/>
                <w:color w:val="auto"/>
                <w:highlight w:val="none"/>
              </w:rPr>
            </w:pPr>
            <w:r>
              <w:rPr>
                <w:rFonts w:hint="eastAsia" w:ascii="宋体" w:hAnsi="宋体" w:cs="宋体"/>
                <w:color w:val="auto"/>
                <w:highlight w:val="none"/>
              </w:rPr>
              <w:t>2</w:t>
            </w:r>
          </w:p>
        </w:tc>
        <w:tc>
          <w:tcPr>
            <w:tcW w:w="6096" w:type="dxa"/>
            <w:vAlign w:val="center"/>
          </w:tcPr>
          <w:p w14:paraId="01A3A540">
            <w:pPr>
              <w:ind w:left="0" w:firstLine="0"/>
              <w:rPr>
                <w:rFonts w:ascii="宋体" w:hAnsi="宋体" w:cs="宋体"/>
                <w:color w:val="auto"/>
                <w:highlight w:val="none"/>
              </w:rPr>
            </w:pPr>
            <w:r>
              <w:rPr>
                <w:rFonts w:hint="eastAsia" w:ascii="宋体" w:hAnsi="宋体" w:cs="宋体"/>
                <w:color w:val="auto"/>
                <w:highlight w:val="none"/>
              </w:rPr>
              <w:t>比选申请文件的实质性内容按规定填写、内容齐全的；（按比选文件第四章节规定格式填写的）</w:t>
            </w:r>
          </w:p>
        </w:tc>
        <w:tc>
          <w:tcPr>
            <w:tcW w:w="1134" w:type="dxa"/>
          </w:tcPr>
          <w:p w14:paraId="382FE4B7">
            <w:pPr>
              <w:ind w:left="0" w:firstLine="0"/>
              <w:rPr>
                <w:rFonts w:ascii="宋体" w:hAnsi="宋体" w:cs="宋体"/>
                <w:color w:val="auto"/>
                <w:highlight w:val="none"/>
              </w:rPr>
            </w:pPr>
          </w:p>
        </w:tc>
        <w:tc>
          <w:tcPr>
            <w:tcW w:w="1098" w:type="dxa"/>
            <w:vMerge w:val="continue"/>
            <w:vAlign w:val="center"/>
          </w:tcPr>
          <w:p w14:paraId="3689AF63">
            <w:pPr>
              <w:ind w:left="0" w:firstLine="0"/>
              <w:rPr>
                <w:rFonts w:ascii="宋体" w:hAnsi="宋体" w:cs="宋体"/>
                <w:color w:val="auto"/>
                <w:highlight w:val="none"/>
              </w:rPr>
            </w:pPr>
          </w:p>
        </w:tc>
      </w:tr>
      <w:tr w14:paraId="035B73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4197380F">
            <w:pPr>
              <w:ind w:left="0" w:firstLine="0"/>
              <w:jc w:val="center"/>
              <w:rPr>
                <w:rFonts w:ascii="宋体" w:hAnsi="宋体" w:cs="宋体"/>
                <w:color w:val="auto"/>
                <w:highlight w:val="none"/>
              </w:rPr>
            </w:pPr>
            <w:r>
              <w:rPr>
                <w:rFonts w:hint="eastAsia" w:ascii="宋体" w:hAnsi="宋体" w:cs="宋体"/>
                <w:color w:val="auto"/>
                <w:highlight w:val="none"/>
              </w:rPr>
              <w:t>3</w:t>
            </w:r>
          </w:p>
        </w:tc>
        <w:tc>
          <w:tcPr>
            <w:tcW w:w="6096" w:type="dxa"/>
            <w:vAlign w:val="center"/>
          </w:tcPr>
          <w:p w14:paraId="0A225AE2">
            <w:pPr>
              <w:rPr>
                <w:rFonts w:ascii="宋体" w:hAnsi="宋体" w:cs="宋体"/>
                <w:color w:val="auto"/>
                <w:highlight w:val="none"/>
              </w:rPr>
            </w:pPr>
            <w:r>
              <w:rPr>
                <w:rFonts w:hint="eastAsia" w:ascii="宋体" w:hAnsi="宋体" w:cs="宋体"/>
                <w:color w:val="auto"/>
                <w:highlight w:val="none"/>
              </w:rPr>
              <w:t>比选申请人在资格审查文件或技术文件中未透露有关报价的信息</w:t>
            </w:r>
          </w:p>
        </w:tc>
        <w:tc>
          <w:tcPr>
            <w:tcW w:w="1134" w:type="dxa"/>
          </w:tcPr>
          <w:p w14:paraId="24B2FD37">
            <w:pPr>
              <w:ind w:left="0" w:firstLine="0"/>
              <w:rPr>
                <w:rFonts w:ascii="宋体" w:hAnsi="宋体" w:cs="宋体"/>
                <w:color w:val="auto"/>
                <w:highlight w:val="none"/>
              </w:rPr>
            </w:pPr>
          </w:p>
        </w:tc>
        <w:tc>
          <w:tcPr>
            <w:tcW w:w="1098" w:type="dxa"/>
            <w:vMerge w:val="continue"/>
            <w:vAlign w:val="center"/>
          </w:tcPr>
          <w:p w14:paraId="4852AE66">
            <w:pPr>
              <w:ind w:left="0" w:firstLine="0"/>
              <w:rPr>
                <w:rFonts w:ascii="宋体" w:hAnsi="宋体" w:cs="宋体"/>
                <w:color w:val="auto"/>
                <w:highlight w:val="none"/>
              </w:rPr>
            </w:pPr>
          </w:p>
        </w:tc>
      </w:tr>
      <w:tr w14:paraId="0037486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29AABE28">
            <w:pPr>
              <w:ind w:left="0" w:firstLine="0"/>
              <w:jc w:val="center"/>
              <w:rPr>
                <w:rFonts w:ascii="宋体" w:hAnsi="宋体" w:cs="宋体"/>
                <w:color w:val="auto"/>
                <w:highlight w:val="none"/>
              </w:rPr>
            </w:pPr>
            <w:r>
              <w:rPr>
                <w:rFonts w:hint="eastAsia" w:ascii="宋体" w:hAnsi="宋体" w:cs="宋体"/>
                <w:color w:val="auto"/>
                <w:highlight w:val="none"/>
              </w:rPr>
              <w:t>4</w:t>
            </w:r>
          </w:p>
        </w:tc>
        <w:tc>
          <w:tcPr>
            <w:tcW w:w="6096" w:type="dxa"/>
            <w:vAlign w:val="center"/>
          </w:tcPr>
          <w:p w14:paraId="268FC69C">
            <w:pPr>
              <w:ind w:left="0" w:firstLine="0"/>
              <w:rPr>
                <w:rFonts w:ascii="宋体" w:hAnsi="宋体" w:cs="宋体"/>
                <w:color w:val="auto"/>
                <w:highlight w:val="none"/>
              </w:rPr>
            </w:pPr>
            <w:r>
              <w:rPr>
                <w:rFonts w:hint="eastAsia" w:ascii="宋体" w:hAnsi="宋体" w:cs="宋体"/>
                <w:color w:val="auto"/>
                <w:highlight w:val="none"/>
              </w:rPr>
              <w:t>在比选申请文件中无虚假资料的</w:t>
            </w:r>
          </w:p>
        </w:tc>
        <w:tc>
          <w:tcPr>
            <w:tcW w:w="1134" w:type="dxa"/>
          </w:tcPr>
          <w:p w14:paraId="326358ED">
            <w:pPr>
              <w:ind w:left="0" w:firstLine="0"/>
              <w:rPr>
                <w:rFonts w:ascii="宋体" w:hAnsi="宋体" w:cs="宋体"/>
                <w:color w:val="auto"/>
                <w:highlight w:val="none"/>
              </w:rPr>
            </w:pPr>
          </w:p>
        </w:tc>
        <w:tc>
          <w:tcPr>
            <w:tcW w:w="1098" w:type="dxa"/>
            <w:vMerge w:val="continue"/>
            <w:vAlign w:val="center"/>
          </w:tcPr>
          <w:p w14:paraId="6FA02F1C">
            <w:pPr>
              <w:ind w:left="0" w:firstLine="0"/>
              <w:rPr>
                <w:rFonts w:ascii="宋体" w:hAnsi="宋体" w:cs="宋体"/>
                <w:color w:val="auto"/>
                <w:highlight w:val="none"/>
              </w:rPr>
            </w:pPr>
          </w:p>
        </w:tc>
      </w:tr>
      <w:tr w14:paraId="1600114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203DA53F">
            <w:pPr>
              <w:ind w:left="0" w:firstLine="0"/>
              <w:jc w:val="center"/>
              <w:rPr>
                <w:rFonts w:ascii="宋体" w:hAnsi="宋体" w:cs="宋体"/>
                <w:color w:val="auto"/>
                <w:highlight w:val="none"/>
              </w:rPr>
            </w:pPr>
            <w:r>
              <w:rPr>
                <w:rFonts w:hint="eastAsia" w:ascii="宋体" w:hAnsi="宋体" w:cs="宋体"/>
                <w:color w:val="auto"/>
                <w:highlight w:val="none"/>
              </w:rPr>
              <w:t>5</w:t>
            </w:r>
          </w:p>
        </w:tc>
        <w:tc>
          <w:tcPr>
            <w:tcW w:w="6096" w:type="dxa"/>
            <w:vAlign w:val="center"/>
          </w:tcPr>
          <w:p w14:paraId="3B09E62A">
            <w:pPr>
              <w:ind w:left="0" w:firstLine="0"/>
              <w:rPr>
                <w:rFonts w:ascii="宋体" w:hAnsi="宋体" w:cs="宋体"/>
                <w:color w:val="auto"/>
                <w:highlight w:val="none"/>
              </w:rPr>
            </w:pPr>
            <w:r>
              <w:rPr>
                <w:rFonts w:hint="eastAsia" w:ascii="宋体" w:hAnsi="宋体" w:cs="宋体"/>
                <w:color w:val="auto"/>
                <w:highlight w:val="none"/>
              </w:rPr>
              <w:t>技术部分响应无负偏离的</w:t>
            </w:r>
          </w:p>
        </w:tc>
        <w:tc>
          <w:tcPr>
            <w:tcW w:w="1134" w:type="dxa"/>
            <w:tcBorders>
              <w:bottom w:val="single" w:color="auto" w:sz="4" w:space="0"/>
            </w:tcBorders>
          </w:tcPr>
          <w:p w14:paraId="69E1EB88">
            <w:pPr>
              <w:ind w:left="0" w:firstLine="0"/>
              <w:rPr>
                <w:rFonts w:ascii="宋体" w:hAnsi="宋体" w:cs="宋体"/>
                <w:color w:val="auto"/>
                <w:highlight w:val="none"/>
              </w:rPr>
            </w:pPr>
          </w:p>
        </w:tc>
        <w:tc>
          <w:tcPr>
            <w:tcW w:w="1098" w:type="dxa"/>
            <w:vMerge w:val="continue"/>
            <w:vAlign w:val="center"/>
          </w:tcPr>
          <w:p w14:paraId="0B93234B">
            <w:pPr>
              <w:ind w:left="0" w:firstLine="0"/>
              <w:rPr>
                <w:rFonts w:ascii="宋体" w:hAnsi="宋体" w:cs="宋体"/>
                <w:color w:val="auto"/>
                <w:highlight w:val="none"/>
              </w:rPr>
            </w:pPr>
          </w:p>
        </w:tc>
      </w:tr>
      <w:tr w14:paraId="10FA93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02C2968B">
            <w:pPr>
              <w:ind w:left="0" w:firstLine="0"/>
              <w:jc w:val="center"/>
              <w:rPr>
                <w:rFonts w:ascii="宋体" w:hAnsi="宋体" w:cs="宋体"/>
                <w:color w:val="auto"/>
                <w:highlight w:val="none"/>
              </w:rPr>
            </w:pPr>
            <w:r>
              <w:rPr>
                <w:rFonts w:hint="eastAsia" w:ascii="宋体" w:hAnsi="宋体" w:cs="宋体"/>
                <w:color w:val="auto"/>
                <w:highlight w:val="none"/>
              </w:rPr>
              <w:t>6</w:t>
            </w:r>
          </w:p>
        </w:tc>
        <w:tc>
          <w:tcPr>
            <w:tcW w:w="6096" w:type="dxa"/>
            <w:vAlign w:val="center"/>
          </w:tcPr>
          <w:p w14:paraId="686C802E">
            <w:pPr>
              <w:ind w:left="0" w:firstLine="0"/>
              <w:rPr>
                <w:rFonts w:ascii="宋体" w:hAnsi="宋体" w:cs="宋体"/>
                <w:color w:val="auto"/>
                <w:highlight w:val="none"/>
              </w:rPr>
            </w:pPr>
            <w:r>
              <w:rPr>
                <w:rFonts w:hint="eastAsia" w:ascii="宋体" w:hAnsi="宋体" w:cs="宋体"/>
                <w:color w:val="auto"/>
                <w:highlight w:val="none"/>
              </w:rPr>
              <w:t>商务响应表无负偏离的</w:t>
            </w:r>
          </w:p>
        </w:tc>
        <w:tc>
          <w:tcPr>
            <w:tcW w:w="1134" w:type="dxa"/>
            <w:tcBorders>
              <w:bottom w:val="single" w:color="auto" w:sz="4" w:space="0"/>
            </w:tcBorders>
          </w:tcPr>
          <w:p w14:paraId="30BFBE8E">
            <w:pPr>
              <w:ind w:left="0" w:firstLine="0"/>
              <w:rPr>
                <w:rFonts w:ascii="宋体" w:hAnsi="宋体" w:cs="宋体"/>
                <w:color w:val="auto"/>
                <w:highlight w:val="none"/>
              </w:rPr>
            </w:pPr>
          </w:p>
        </w:tc>
        <w:tc>
          <w:tcPr>
            <w:tcW w:w="1098" w:type="dxa"/>
            <w:vMerge w:val="continue"/>
            <w:vAlign w:val="center"/>
          </w:tcPr>
          <w:p w14:paraId="6FFCEDD8">
            <w:pPr>
              <w:ind w:left="0" w:firstLine="0"/>
              <w:rPr>
                <w:rFonts w:ascii="宋体" w:hAnsi="宋体" w:cs="宋体"/>
                <w:color w:val="auto"/>
                <w:highlight w:val="none"/>
              </w:rPr>
            </w:pPr>
          </w:p>
        </w:tc>
      </w:tr>
      <w:tr w14:paraId="06E221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4C3543C1">
            <w:pPr>
              <w:ind w:left="0" w:firstLine="0"/>
              <w:jc w:val="center"/>
              <w:rPr>
                <w:rFonts w:ascii="宋体" w:hAnsi="宋体" w:cs="宋体"/>
                <w:color w:val="auto"/>
                <w:highlight w:val="none"/>
              </w:rPr>
            </w:pPr>
            <w:r>
              <w:rPr>
                <w:rFonts w:hint="eastAsia" w:ascii="宋体" w:hAnsi="宋体" w:cs="宋体"/>
                <w:color w:val="auto"/>
                <w:highlight w:val="none"/>
              </w:rPr>
              <w:t>7</w:t>
            </w:r>
          </w:p>
        </w:tc>
        <w:tc>
          <w:tcPr>
            <w:tcW w:w="6096" w:type="dxa"/>
            <w:vAlign w:val="center"/>
          </w:tcPr>
          <w:p w14:paraId="2C40DF89">
            <w:pPr>
              <w:ind w:left="0" w:firstLine="0"/>
              <w:rPr>
                <w:rFonts w:ascii="宋体" w:hAnsi="宋体" w:cs="宋体"/>
                <w:color w:val="auto"/>
                <w:highlight w:val="none"/>
              </w:rPr>
            </w:pPr>
            <w:r>
              <w:rPr>
                <w:rFonts w:hint="eastAsia" w:ascii="宋体" w:hAnsi="宋体" w:cs="宋体"/>
                <w:color w:val="auto"/>
                <w:highlight w:val="none"/>
              </w:rPr>
              <w:t>无比选文件、法律、法规规定的其他否决比选申请条件</w:t>
            </w:r>
          </w:p>
        </w:tc>
        <w:tc>
          <w:tcPr>
            <w:tcW w:w="1134" w:type="dxa"/>
          </w:tcPr>
          <w:p w14:paraId="45453E43">
            <w:pPr>
              <w:ind w:left="0" w:firstLine="0"/>
              <w:rPr>
                <w:rFonts w:ascii="宋体" w:hAnsi="宋体" w:cs="宋体"/>
                <w:color w:val="auto"/>
                <w:highlight w:val="none"/>
              </w:rPr>
            </w:pPr>
          </w:p>
        </w:tc>
        <w:tc>
          <w:tcPr>
            <w:tcW w:w="1098" w:type="dxa"/>
            <w:vMerge w:val="continue"/>
            <w:vAlign w:val="center"/>
          </w:tcPr>
          <w:p w14:paraId="2658F5B5">
            <w:pPr>
              <w:ind w:left="0" w:firstLine="0"/>
              <w:rPr>
                <w:rFonts w:ascii="宋体" w:hAnsi="宋体" w:cs="宋体"/>
                <w:color w:val="auto"/>
                <w:highlight w:val="none"/>
              </w:rPr>
            </w:pPr>
          </w:p>
        </w:tc>
      </w:tr>
    </w:tbl>
    <w:p w14:paraId="17DEA61A">
      <w:pPr>
        <w:spacing w:before="0" w:after="0" w:afterAutospacing="0"/>
        <w:ind w:left="0" w:right="0" w:firstLine="0"/>
        <w:jc w:val="left"/>
        <w:rPr>
          <w:color w:val="auto"/>
          <w:sz w:val="24"/>
          <w:szCs w:val="24"/>
          <w:highlight w:val="none"/>
        </w:rPr>
      </w:pPr>
      <w:r>
        <w:rPr>
          <w:rFonts w:hint="eastAsia" w:ascii="宋体" w:hAnsi="宋体" w:cs="宋体"/>
          <w:color w:val="auto"/>
          <w:highlight w:val="none"/>
        </w:rPr>
        <w:t>注：1.评审结果填写合格打√，不合格打×，凡评审结果有一项不合格者，结论为不通过。</w:t>
      </w:r>
    </w:p>
    <w:p w14:paraId="0A429CC9">
      <w:pPr>
        <w:spacing w:before="0"/>
        <w:ind w:right="0" w:firstLine="0"/>
        <w:jc w:val="center"/>
        <w:rPr>
          <w:rFonts w:hAnsi="宋体"/>
          <w:b/>
          <w:color w:val="auto"/>
          <w:sz w:val="24"/>
          <w:szCs w:val="24"/>
          <w:highlight w:val="none"/>
        </w:rPr>
      </w:pPr>
    </w:p>
    <w:p w14:paraId="233539CF">
      <w:pPr>
        <w:spacing w:before="0"/>
        <w:ind w:right="0" w:firstLine="0"/>
        <w:jc w:val="center"/>
        <w:rPr>
          <w:rFonts w:hAnsi="宋体"/>
          <w:b/>
          <w:color w:val="auto"/>
          <w:sz w:val="24"/>
          <w:szCs w:val="24"/>
          <w:highlight w:val="none"/>
        </w:rPr>
      </w:pPr>
      <w:r>
        <w:rPr>
          <w:color w:val="auto"/>
          <w:highlight w:val="none"/>
        </w:rPr>
        <w:br w:type="page"/>
      </w:r>
    </w:p>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14:paraId="729D969B">
      <w:pPr>
        <w:spacing w:before="0" w:after="0" w:afterAutospacing="0" w:line="240" w:lineRule="auto"/>
        <w:ind w:left="0" w:right="0" w:firstLine="0"/>
        <w:jc w:val="left"/>
        <w:rPr>
          <w:rFonts w:ascii="宋体" w:hAnsi="宋体"/>
          <w:b/>
          <w:color w:val="auto"/>
          <w:highlight w:val="none"/>
        </w:rPr>
        <w:sectPr>
          <w:footerReference r:id="rId17" w:type="default"/>
          <w:pgSz w:w="11905" w:h="16838"/>
          <w:pgMar w:top="1418" w:right="1418" w:bottom="1418" w:left="1418" w:header="454" w:footer="567" w:gutter="0"/>
          <w:cols w:space="720" w:num="1"/>
          <w:docGrid w:linePitch="319" w:charSpace="0"/>
        </w:sectPr>
      </w:pPr>
    </w:p>
    <w:p w14:paraId="72E64F05">
      <w:pPr>
        <w:spacing w:before="0" w:after="0"/>
        <w:ind w:left="0" w:right="0" w:firstLine="0"/>
        <w:rPr>
          <w:b/>
          <w:bCs/>
          <w:color w:val="auto"/>
          <w:highlight w:val="none"/>
        </w:rPr>
      </w:pPr>
      <w:r>
        <w:rPr>
          <w:rFonts w:hint="eastAsia"/>
          <w:b/>
          <w:bCs/>
          <w:color w:val="auto"/>
          <w:highlight w:val="none"/>
        </w:rPr>
        <w:t>附表三：《技术文件评分表》</w:t>
      </w:r>
    </w:p>
    <w:tbl>
      <w:tblPr>
        <w:tblStyle w:val="35"/>
        <w:tblW w:w="9018" w:type="dxa"/>
        <w:tblInd w:w="91" w:type="dxa"/>
        <w:tblLayout w:type="fixed"/>
        <w:tblCellMar>
          <w:top w:w="0" w:type="dxa"/>
          <w:left w:w="108" w:type="dxa"/>
          <w:bottom w:w="0" w:type="dxa"/>
          <w:right w:w="108" w:type="dxa"/>
        </w:tblCellMar>
      </w:tblPr>
      <w:tblGrid>
        <w:gridCol w:w="695"/>
        <w:gridCol w:w="1396"/>
        <w:gridCol w:w="1172"/>
        <w:gridCol w:w="4425"/>
        <w:gridCol w:w="1330"/>
      </w:tblGrid>
      <w:tr w14:paraId="20138D86">
        <w:tblPrEx>
          <w:tblCellMar>
            <w:top w:w="0" w:type="dxa"/>
            <w:left w:w="108" w:type="dxa"/>
            <w:bottom w:w="0" w:type="dxa"/>
            <w:right w:w="108" w:type="dxa"/>
          </w:tblCellMar>
        </w:tblPrEx>
        <w:trPr>
          <w:trHeight w:val="78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0D5A">
            <w:pPr>
              <w:jc w:val="center"/>
              <w:textAlignment w:val="center"/>
              <w:rPr>
                <w:rFonts w:ascii="宋体" w:hAnsi="宋体" w:cs="宋体"/>
                <w:color w:val="auto"/>
                <w:highlight w:val="none"/>
              </w:rPr>
            </w:pPr>
            <w:r>
              <w:rPr>
                <w:rFonts w:hint="eastAsia" w:ascii="宋体" w:hAnsi="宋体" w:cs="宋体"/>
                <w:color w:val="auto"/>
                <w:highlight w:val="none"/>
                <w:lang w:bidi="ar"/>
              </w:rPr>
              <w:t>序号</w:t>
            </w:r>
          </w:p>
        </w:tc>
        <w:tc>
          <w:tcPr>
            <w:tcW w:w="1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9F15">
            <w:pPr>
              <w:ind w:left="0" w:right="0" w:firstLine="0"/>
              <w:jc w:val="center"/>
              <w:textAlignment w:val="center"/>
              <w:rPr>
                <w:rFonts w:ascii="宋体" w:hAnsi="宋体" w:cs="宋体"/>
                <w:color w:val="auto"/>
                <w:highlight w:val="none"/>
              </w:rPr>
            </w:pPr>
            <w:r>
              <w:rPr>
                <w:rFonts w:hint="eastAsia" w:ascii="宋体" w:hAnsi="宋体" w:cs="宋体"/>
                <w:color w:val="auto"/>
                <w:highlight w:val="none"/>
                <w:lang w:bidi="ar"/>
              </w:rPr>
              <w:t>评审项目和内容</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AC23C">
            <w:pPr>
              <w:jc w:val="center"/>
              <w:textAlignment w:val="center"/>
              <w:rPr>
                <w:rFonts w:ascii="宋体" w:hAnsi="宋体" w:cs="宋体"/>
                <w:color w:val="auto"/>
                <w:highlight w:val="none"/>
              </w:rPr>
            </w:pPr>
            <w:r>
              <w:rPr>
                <w:rFonts w:hint="eastAsia" w:ascii="宋体" w:hAnsi="宋体" w:cs="宋体"/>
                <w:color w:val="auto"/>
                <w:highlight w:val="none"/>
                <w:lang w:bidi="ar"/>
              </w:rPr>
              <w:t>标准分</w:t>
            </w:r>
          </w:p>
        </w:tc>
        <w:tc>
          <w:tcPr>
            <w:tcW w:w="4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3B5B4">
            <w:pPr>
              <w:jc w:val="center"/>
              <w:textAlignment w:val="center"/>
              <w:rPr>
                <w:rFonts w:ascii="宋体" w:hAnsi="宋体" w:cs="宋体"/>
                <w:color w:val="auto"/>
                <w:highlight w:val="none"/>
              </w:rPr>
            </w:pPr>
            <w:r>
              <w:rPr>
                <w:rFonts w:hint="eastAsia" w:ascii="宋体" w:hAnsi="宋体" w:cs="宋体"/>
                <w:color w:val="auto"/>
                <w:highlight w:val="none"/>
                <w:lang w:bidi="ar"/>
              </w:rPr>
              <w:t>评审标准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DDFC2">
            <w:pPr>
              <w:jc w:val="center"/>
              <w:textAlignment w:val="center"/>
              <w:rPr>
                <w:rFonts w:ascii="宋体" w:hAnsi="宋体" w:cs="宋体"/>
                <w:color w:val="auto"/>
                <w:highlight w:val="none"/>
              </w:rPr>
            </w:pPr>
            <w:r>
              <w:rPr>
                <w:rFonts w:hint="eastAsia" w:ascii="宋体" w:hAnsi="宋体" w:cs="宋体"/>
                <w:color w:val="auto"/>
                <w:highlight w:val="none"/>
                <w:lang w:bidi="ar"/>
              </w:rPr>
              <w:t>备注</w:t>
            </w:r>
          </w:p>
        </w:tc>
      </w:tr>
      <w:tr w14:paraId="6B2F5AF0">
        <w:tblPrEx>
          <w:tblCellMar>
            <w:top w:w="0" w:type="dxa"/>
            <w:left w:w="108" w:type="dxa"/>
            <w:bottom w:w="0" w:type="dxa"/>
            <w:right w:w="108" w:type="dxa"/>
          </w:tblCellMar>
        </w:tblPrEx>
        <w:trPr>
          <w:trHeight w:val="97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1B3E">
            <w:pPr>
              <w:jc w:val="center"/>
              <w:textAlignment w:val="center"/>
              <w:rPr>
                <w:rFonts w:ascii="宋体" w:hAnsi="宋体" w:cs="宋体"/>
                <w:color w:val="auto"/>
                <w:highlight w:val="none"/>
              </w:rPr>
            </w:pPr>
            <w:r>
              <w:rPr>
                <w:rFonts w:hint="eastAsia" w:ascii="宋体" w:hAnsi="宋体" w:cs="宋体"/>
                <w:color w:val="auto"/>
                <w:highlight w:val="none"/>
                <w:lang w:bidi="ar"/>
              </w:rPr>
              <w:t>1</w:t>
            </w:r>
          </w:p>
        </w:tc>
        <w:tc>
          <w:tcPr>
            <w:tcW w:w="1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623EF">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比选申请人</w:t>
            </w:r>
            <w:r>
              <w:rPr>
                <w:rFonts w:hint="eastAsia" w:ascii="宋体" w:hAnsi="宋体" w:cs="宋体"/>
                <w:b/>
                <w:bCs/>
                <w:i w:val="0"/>
                <w:iCs w:val="0"/>
                <w:color w:val="auto"/>
                <w:kern w:val="0"/>
                <w:sz w:val="18"/>
                <w:szCs w:val="18"/>
                <w:highlight w:val="none"/>
                <w:u w:val="none"/>
                <w:lang w:val="en-US" w:eastAsia="zh-CN" w:bidi="ar"/>
              </w:rPr>
              <w:t>工程设计资质（电力行业工程设计资质）</w:t>
            </w:r>
          </w:p>
          <w:p w14:paraId="6990D2B4">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leftChars="0" w:right="0" w:rightChars="0" w:firstLine="0" w:firstLineChars="0"/>
              <w:jc w:val="center"/>
              <w:textAlignment w:val="center"/>
              <w:rPr>
                <w:rFonts w:ascii="宋体" w:hAnsi="宋体" w:cs="宋体"/>
                <w:b/>
                <w:bCs/>
                <w:color w:val="auto"/>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w:t>
            </w:r>
            <w:r>
              <w:rPr>
                <w:rFonts w:hint="eastAsia" w:ascii="宋体" w:hAnsi="宋体" w:cs="宋体"/>
                <w:b/>
                <w:bCs/>
                <w:i w:val="0"/>
                <w:iCs w:val="0"/>
                <w:color w:val="auto"/>
                <w:kern w:val="0"/>
                <w:sz w:val="18"/>
                <w:szCs w:val="18"/>
                <w:highlight w:val="none"/>
                <w:u w:val="none"/>
                <w:lang w:val="en-US" w:eastAsia="zh-CN" w:bidi="ar"/>
              </w:rPr>
              <w:t>满分</w:t>
            </w:r>
            <w:r>
              <w:rPr>
                <w:rFonts w:hint="eastAsia" w:ascii="宋体" w:hAnsi="宋体" w:eastAsia="宋体" w:cs="宋体"/>
                <w:b/>
                <w:bCs/>
                <w:i w:val="0"/>
                <w:iCs w:val="0"/>
                <w:color w:val="auto"/>
                <w:kern w:val="0"/>
                <w:sz w:val="18"/>
                <w:szCs w:val="18"/>
                <w:highlight w:val="none"/>
                <w:u w:val="none"/>
                <w:lang w:val="en-US" w:eastAsia="zh-CN" w:bidi="ar"/>
              </w:rPr>
              <w:t>15分）</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D3608">
            <w:pPr>
              <w:keepNext w:val="0"/>
              <w:keepLines w:val="0"/>
              <w:widowControl/>
              <w:suppressLineNumbers w:val="0"/>
              <w:spacing w:line="360" w:lineRule="exact"/>
              <w:ind w:left="709" w:leftChars="0" w:right="-27" w:rightChars="0" w:hanging="709" w:firstLineChars="0"/>
              <w:jc w:val="center"/>
              <w:textAlignment w:val="center"/>
              <w:rPr>
                <w:rFonts w:hint="default" w:ascii="宋体" w:hAnsi="宋体" w:eastAsia="宋体" w:cs="宋体"/>
                <w:color w:val="auto"/>
                <w:highlight w:val="none"/>
                <w:lang w:val="en-US" w:eastAsia="zh-CN"/>
              </w:rPr>
            </w:pPr>
            <w:r>
              <w:rPr>
                <w:rFonts w:hint="eastAsia" w:ascii="宋体" w:hAnsi="宋体" w:eastAsia="宋体" w:cs="宋体"/>
                <w:i w:val="0"/>
                <w:iCs w:val="0"/>
                <w:color w:val="auto"/>
                <w:sz w:val="21"/>
                <w:szCs w:val="21"/>
                <w:highlight w:val="none"/>
                <w:u w:val="none"/>
                <w:lang w:val="en-US" w:eastAsia="zh-CN"/>
              </w:rPr>
              <w:t>15</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8223">
            <w:pPr>
              <w:spacing w:before="0" w:after="0" w:afterAutospacing="0" w:line="360" w:lineRule="exact"/>
              <w:ind w:left="0" w:right="0" w:firstLine="0"/>
              <w:jc w:val="left"/>
              <w:textAlignment w:val="center"/>
              <w:rPr>
                <w:rFonts w:ascii="宋体" w:hAnsi="宋体" w:cs="宋体"/>
                <w:color w:val="auto"/>
                <w:highlight w:val="none"/>
              </w:rPr>
            </w:pPr>
            <w:r>
              <w:rPr>
                <w:rFonts w:hint="eastAsia" w:ascii="宋体" w:hAnsi="宋体" w:cs="宋体"/>
                <w:color w:val="auto"/>
                <w:highlight w:val="none"/>
              </w:rPr>
              <w:t>比选申请人具有甲级工程设计资质（电力行业工程设计资质）</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4CE2">
            <w:pPr>
              <w:jc w:val="center"/>
              <w:rPr>
                <w:rFonts w:ascii="宋体" w:hAnsi="宋体" w:cs="宋体"/>
                <w:color w:val="auto"/>
                <w:highlight w:val="none"/>
              </w:rPr>
            </w:pPr>
          </w:p>
        </w:tc>
      </w:tr>
      <w:tr w14:paraId="22ACB598">
        <w:tblPrEx>
          <w:tblCellMar>
            <w:top w:w="0" w:type="dxa"/>
            <w:left w:w="108" w:type="dxa"/>
            <w:bottom w:w="0" w:type="dxa"/>
            <w:right w:w="108" w:type="dxa"/>
          </w:tblCellMar>
        </w:tblPrEx>
        <w:trPr>
          <w:trHeight w:val="1103"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5DDE6">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EC1D9">
            <w:pPr>
              <w:keepNext w:val="0"/>
              <w:keepLines w:val="0"/>
              <w:pageBreakBefore w:val="0"/>
              <w:widowControl/>
              <w:kinsoku/>
              <w:wordWrap/>
              <w:overflowPunct/>
              <w:topLinePunct w:val="0"/>
              <w:autoSpaceDE/>
              <w:autoSpaceDN/>
              <w:bidi w:val="0"/>
              <w:adjustRightInd/>
              <w:snapToGrid/>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0333D">
            <w:pPr>
              <w:keepNext w:val="0"/>
              <w:keepLines w:val="0"/>
              <w:widowControl/>
              <w:suppressLineNumbers w:val="0"/>
              <w:spacing w:line="360" w:lineRule="exact"/>
              <w:ind w:left="709" w:leftChars="0" w:right="-27" w:rightChars="0" w:hanging="709" w:firstLineChars="0"/>
              <w:jc w:val="center"/>
              <w:textAlignment w:val="center"/>
              <w:rPr>
                <w:rFonts w:hint="eastAsia" w:ascii="宋体" w:hAnsi="宋体" w:eastAsia="宋体" w:cs="宋体"/>
                <w:color w:val="auto"/>
                <w:highlight w:val="none"/>
                <w:lang w:eastAsia="zh-CN"/>
              </w:rPr>
            </w:pPr>
            <w:r>
              <w:rPr>
                <w:rFonts w:hint="eastAsia" w:ascii="宋体" w:hAnsi="宋体" w:cs="宋体"/>
                <w:i w:val="0"/>
                <w:iCs w:val="0"/>
                <w:color w:val="auto"/>
                <w:sz w:val="21"/>
                <w:szCs w:val="21"/>
                <w:highlight w:val="none"/>
                <w:u w:val="none"/>
                <w:lang w:val="en-US" w:eastAsia="zh-CN"/>
              </w:rPr>
              <w:t>10</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AE51">
            <w:pPr>
              <w:spacing w:before="0" w:after="0" w:afterAutospacing="0" w:line="360" w:lineRule="exact"/>
              <w:ind w:left="0" w:right="0" w:firstLine="0"/>
              <w:jc w:val="left"/>
              <w:textAlignment w:val="center"/>
              <w:rPr>
                <w:rFonts w:ascii="宋体" w:hAnsi="宋体" w:cs="宋体"/>
                <w:color w:val="auto"/>
                <w:highlight w:val="none"/>
              </w:rPr>
            </w:pPr>
            <w:r>
              <w:rPr>
                <w:rFonts w:hint="eastAsia" w:ascii="宋体" w:hAnsi="宋体" w:cs="宋体"/>
                <w:color w:val="auto"/>
                <w:highlight w:val="none"/>
              </w:rPr>
              <w:t>比选申请人具有乙级工程设计资质（电力行业工程设计资质）</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087D">
            <w:pPr>
              <w:jc w:val="center"/>
              <w:rPr>
                <w:rFonts w:ascii="宋体" w:hAnsi="宋体" w:cs="宋体"/>
                <w:color w:val="auto"/>
                <w:highlight w:val="none"/>
              </w:rPr>
            </w:pPr>
          </w:p>
        </w:tc>
      </w:tr>
      <w:tr w14:paraId="6C16CC90">
        <w:tblPrEx>
          <w:tblCellMar>
            <w:top w:w="0" w:type="dxa"/>
            <w:left w:w="108" w:type="dxa"/>
            <w:bottom w:w="0" w:type="dxa"/>
            <w:right w:w="108" w:type="dxa"/>
          </w:tblCellMar>
        </w:tblPrEx>
        <w:trPr>
          <w:trHeight w:val="137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47E13">
            <w:pPr>
              <w:jc w:val="center"/>
              <w:textAlignment w:val="center"/>
              <w:rPr>
                <w:rFonts w:ascii="宋体" w:hAnsi="宋体" w:cs="宋体"/>
                <w:color w:val="auto"/>
                <w:highlight w:val="none"/>
              </w:rPr>
            </w:pPr>
            <w:r>
              <w:rPr>
                <w:rFonts w:hint="eastAsia" w:ascii="宋体" w:hAnsi="宋体" w:cs="宋体"/>
                <w:color w:val="auto"/>
                <w:highlight w:val="none"/>
              </w:rPr>
              <w:t>3</w:t>
            </w:r>
          </w:p>
        </w:tc>
        <w:tc>
          <w:tcPr>
            <w:tcW w:w="1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0ED07">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人员配置</w:t>
            </w:r>
          </w:p>
          <w:p w14:paraId="16D9B188">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leftChars="0" w:right="0" w:rightChars="0" w:firstLine="0" w:firstLineChars="0"/>
              <w:jc w:val="center"/>
              <w:textAlignment w:val="center"/>
              <w:rPr>
                <w:rFonts w:ascii="宋体" w:hAnsi="宋体" w:cs="宋体"/>
                <w:b/>
                <w:bCs/>
                <w:color w:val="auto"/>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w:t>
            </w:r>
            <w:r>
              <w:rPr>
                <w:rFonts w:hint="eastAsia" w:ascii="宋体" w:hAnsi="宋体" w:cs="宋体"/>
                <w:b/>
                <w:bCs/>
                <w:i w:val="0"/>
                <w:iCs w:val="0"/>
                <w:color w:val="auto"/>
                <w:kern w:val="0"/>
                <w:sz w:val="18"/>
                <w:szCs w:val="18"/>
                <w:highlight w:val="none"/>
                <w:u w:val="none"/>
                <w:lang w:val="en-US" w:eastAsia="zh-CN" w:bidi="ar"/>
              </w:rPr>
              <w:t>满分10</w:t>
            </w:r>
            <w:r>
              <w:rPr>
                <w:rFonts w:hint="eastAsia" w:ascii="宋体" w:hAnsi="宋体" w:eastAsia="宋体" w:cs="宋体"/>
                <w:b/>
                <w:bCs/>
                <w:i w:val="0"/>
                <w:iCs w:val="0"/>
                <w:color w:val="auto"/>
                <w:kern w:val="0"/>
                <w:sz w:val="18"/>
                <w:szCs w:val="18"/>
                <w:highlight w:val="none"/>
                <w:u w:val="none"/>
                <w:lang w:val="en-US" w:eastAsia="zh-CN" w:bidi="ar"/>
              </w:rPr>
              <w:t>分）</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0ACFA">
            <w:pPr>
              <w:keepNext w:val="0"/>
              <w:keepLines w:val="0"/>
              <w:widowControl/>
              <w:suppressLineNumbers w:val="0"/>
              <w:spacing w:line="360" w:lineRule="exact"/>
              <w:ind w:left="709" w:leftChars="0" w:right="-27" w:rightChars="0" w:hanging="709" w:firstLineChars="0"/>
              <w:jc w:val="center"/>
              <w:textAlignment w:val="center"/>
              <w:rPr>
                <w:rFonts w:hint="default" w:ascii="宋体" w:hAnsi="宋体" w:eastAsia="宋体" w:cs="宋体"/>
                <w:color w:val="auto"/>
                <w:highlight w:val="none"/>
                <w:lang w:val="en-US" w:eastAsia="zh-CN"/>
              </w:rPr>
            </w:pPr>
            <w:r>
              <w:rPr>
                <w:rFonts w:hint="eastAsia" w:ascii="宋体" w:hAnsi="宋体" w:cs="宋体"/>
                <w:i w:val="0"/>
                <w:iCs w:val="0"/>
                <w:color w:val="auto"/>
                <w:kern w:val="0"/>
                <w:sz w:val="21"/>
                <w:szCs w:val="21"/>
                <w:highlight w:val="none"/>
                <w:u w:val="none"/>
                <w:lang w:val="en-US" w:eastAsia="zh-CN" w:bidi="ar"/>
              </w:rPr>
              <w:t>8</w:t>
            </w:r>
            <w:r>
              <w:rPr>
                <w:rFonts w:hint="eastAsia" w:ascii="宋体" w:hAnsi="宋体" w:eastAsia="宋体" w:cs="宋体"/>
                <w:i w:val="0"/>
                <w:iCs w:val="0"/>
                <w:color w:val="auto"/>
                <w:kern w:val="0"/>
                <w:sz w:val="21"/>
                <w:szCs w:val="21"/>
                <w:highlight w:val="none"/>
                <w:u w:val="none"/>
                <w:lang w:val="en-US" w:eastAsia="zh-CN" w:bidi="ar"/>
              </w:rPr>
              <w:t>≤m≤</w:t>
            </w:r>
            <w:r>
              <w:rPr>
                <w:rFonts w:hint="eastAsia" w:ascii="宋体" w:hAnsi="宋体" w:cs="宋体"/>
                <w:i w:val="0"/>
                <w:iCs w:val="0"/>
                <w:color w:val="auto"/>
                <w:kern w:val="0"/>
                <w:sz w:val="21"/>
                <w:szCs w:val="21"/>
                <w:highlight w:val="none"/>
                <w:u w:val="none"/>
                <w:lang w:val="en-US" w:eastAsia="zh-CN" w:bidi="ar"/>
              </w:rPr>
              <w:t>10</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9285">
            <w:pPr>
              <w:spacing w:line="360" w:lineRule="exact"/>
              <w:ind w:left="0" w:leftChars="0" w:right="-28" w:rightChars="0" w:firstLine="0" w:firstLineChars="0"/>
              <w:jc w:val="left"/>
              <w:textAlignment w:val="center"/>
              <w:rPr>
                <w:rFonts w:ascii="宋体" w:hAnsi="宋体" w:cs="宋体"/>
                <w:color w:val="auto"/>
                <w:highlight w:val="none"/>
              </w:rPr>
            </w:pPr>
            <w:r>
              <w:rPr>
                <w:rFonts w:hint="eastAsia" w:ascii="宋体" w:hAnsi="宋体" w:cs="宋体"/>
                <w:color w:val="auto"/>
                <w:highlight w:val="none"/>
                <w:lang w:bidi="ar"/>
              </w:rPr>
              <w:t>设计人员配置齐全、资历丰富，项目负责人有丰富的行业管理经验</w:t>
            </w: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曾担任过2个配电设计项目的项目负责人</w:t>
            </w:r>
            <w:r>
              <w:rPr>
                <w:rFonts w:hint="eastAsia" w:ascii="宋体" w:hAnsi="宋体" w:cs="宋体"/>
                <w:color w:val="auto"/>
                <w:highlight w:val="none"/>
                <w:lang w:eastAsia="zh-CN" w:bidi="ar"/>
              </w:rPr>
              <w:t>；</w:t>
            </w:r>
            <w:r>
              <w:rPr>
                <w:rFonts w:hint="eastAsia" w:ascii="宋体" w:hAnsi="宋体" w:cs="宋体"/>
                <w:color w:val="auto"/>
                <w:highlight w:val="none"/>
                <w:lang w:bidi="ar"/>
              </w:rPr>
              <w:t>且团队技术负责人至少担任过5个及以上</w:t>
            </w:r>
            <w:r>
              <w:rPr>
                <w:rFonts w:hint="eastAsia" w:ascii="宋体" w:hAnsi="宋体" w:cs="宋体"/>
                <w:color w:val="auto"/>
                <w:highlight w:val="none"/>
                <w:lang w:val="en-US" w:eastAsia="zh-CN" w:bidi="ar"/>
              </w:rPr>
              <w:t>配电设计项目</w:t>
            </w:r>
            <w:r>
              <w:rPr>
                <w:rFonts w:hint="eastAsia" w:ascii="宋体" w:hAnsi="宋体" w:cs="宋体"/>
                <w:color w:val="auto"/>
                <w:highlight w:val="none"/>
                <w:lang w:bidi="ar"/>
              </w:rPr>
              <w:t>的团队</w:t>
            </w:r>
            <w:r>
              <w:rPr>
                <w:rFonts w:hint="eastAsia" w:ascii="宋体" w:hAnsi="宋体" w:cs="宋体"/>
                <w:color w:val="auto"/>
                <w:highlight w:val="none"/>
                <w:lang w:val="en-US" w:eastAsia="zh-CN" w:bidi="ar"/>
              </w:rPr>
              <w:t>成员</w:t>
            </w:r>
            <w:r>
              <w:rPr>
                <w:rFonts w:hint="eastAsia" w:ascii="宋体" w:hAnsi="宋体" w:cs="宋体"/>
                <w:color w:val="auto"/>
                <w:highlight w:val="none"/>
                <w:lang w:bidi="ar"/>
              </w:rPr>
              <w:t>。</w:t>
            </w:r>
          </w:p>
        </w:tc>
        <w:tc>
          <w:tcPr>
            <w:tcW w:w="1330" w:type="dxa"/>
            <w:vMerge w:val="restart"/>
            <w:tcBorders>
              <w:top w:val="single" w:color="000000" w:sz="4" w:space="0"/>
              <w:left w:val="single" w:color="000000" w:sz="4" w:space="0"/>
              <w:right w:val="single" w:color="000000" w:sz="4" w:space="0"/>
            </w:tcBorders>
            <w:shd w:val="clear" w:color="auto" w:fill="auto"/>
            <w:noWrap/>
            <w:vAlign w:val="center"/>
          </w:tcPr>
          <w:p w14:paraId="7F534F1D">
            <w:pPr>
              <w:rPr>
                <w:rFonts w:ascii="宋体" w:hAnsi="宋体" w:cs="宋体"/>
                <w:color w:val="auto"/>
                <w:sz w:val="22"/>
                <w:szCs w:val="22"/>
                <w:highlight w:val="none"/>
              </w:rPr>
            </w:pPr>
          </w:p>
        </w:tc>
      </w:tr>
      <w:tr w14:paraId="5DE4539B">
        <w:tblPrEx>
          <w:tblCellMar>
            <w:top w:w="0" w:type="dxa"/>
            <w:left w:w="108" w:type="dxa"/>
            <w:bottom w:w="0" w:type="dxa"/>
            <w:right w:w="108" w:type="dxa"/>
          </w:tblCellMar>
        </w:tblPrEx>
        <w:trPr>
          <w:trHeight w:val="126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8CAB7">
            <w:pPr>
              <w:jc w:val="center"/>
              <w:textAlignment w:val="center"/>
              <w:rPr>
                <w:rFonts w:ascii="宋体" w:hAnsi="宋体" w:cs="宋体"/>
                <w:color w:val="auto"/>
                <w:highlight w:val="none"/>
              </w:rPr>
            </w:pPr>
            <w:r>
              <w:rPr>
                <w:rFonts w:hint="eastAsia" w:ascii="宋体" w:hAnsi="宋体" w:cs="宋体"/>
                <w:color w:val="auto"/>
                <w:highlight w:val="none"/>
              </w:rPr>
              <w:t>4</w:t>
            </w: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73D34">
            <w:pPr>
              <w:keepNext w:val="0"/>
              <w:keepLines w:val="0"/>
              <w:pageBreakBefore w:val="0"/>
              <w:widowControl/>
              <w:kinsoku/>
              <w:wordWrap/>
              <w:overflowPunct/>
              <w:topLinePunct w:val="0"/>
              <w:autoSpaceDE/>
              <w:autoSpaceDN/>
              <w:bidi w:val="0"/>
              <w:adjustRightInd/>
              <w:snapToGrid/>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1D55">
            <w:pPr>
              <w:keepNext w:val="0"/>
              <w:keepLines w:val="0"/>
              <w:widowControl/>
              <w:suppressLineNumbers w:val="0"/>
              <w:spacing w:line="360" w:lineRule="exact"/>
              <w:ind w:left="709" w:leftChars="0" w:right="-27" w:rightChars="0" w:hanging="709" w:firstLineChars="0"/>
              <w:jc w:val="center"/>
              <w:textAlignment w:val="center"/>
              <w:rPr>
                <w:rFonts w:hint="eastAsia" w:ascii="宋体" w:hAnsi="宋体" w:eastAsia="宋体" w:cs="宋体"/>
                <w:color w:val="auto"/>
                <w:highlight w:val="none"/>
                <w:lang w:eastAsia="zh-CN"/>
              </w:rPr>
            </w:pPr>
            <w:r>
              <w:rPr>
                <w:rFonts w:hint="eastAsia" w:ascii="宋体" w:hAnsi="宋体" w:cs="宋体"/>
                <w:i w:val="0"/>
                <w:iCs w:val="0"/>
                <w:color w:val="auto"/>
                <w:kern w:val="0"/>
                <w:sz w:val="21"/>
                <w:szCs w:val="21"/>
                <w:highlight w:val="none"/>
                <w:u w:val="none"/>
                <w:lang w:val="en-US" w:eastAsia="zh-CN" w:bidi="ar"/>
              </w:rPr>
              <w:t>6</w:t>
            </w:r>
            <w:r>
              <w:rPr>
                <w:rFonts w:hint="eastAsia" w:ascii="宋体" w:hAnsi="宋体" w:eastAsia="宋体" w:cs="宋体"/>
                <w:i w:val="0"/>
                <w:iCs w:val="0"/>
                <w:color w:val="auto"/>
                <w:kern w:val="0"/>
                <w:sz w:val="21"/>
                <w:szCs w:val="21"/>
                <w:highlight w:val="none"/>
                <w:u w:val="none"/>
                <w:lang w:val="en-US" w:eastAsia="zh-CN" w:bidi="ar"/>
              </w:rPr>
              <w:t>&lt;m&lt;</w:t>
            </w:r>
            <w:r>
              <w:rPr>
                <w:rFonts w:hint="eastAsia" w:ascii="宋体" w:hAnsi="宋体" w:cs="宋体"/>
                <w:i w:val="0"/>
                <w:iCs w:val="0"/>
                <w:color w:val="auto"/>
                <w:kern w:val="0"/>
                <w:sz w:val="21"/>
                <w:szCs w:val="21"/>
                <w:highlight w:val="none"/>
                <w:u w:val="none"/>
                <w:lang w:val="en-US" w:eastAsia="zh-CN" w:bidi="ar"/>
              </w:rPr>
              <w:t>8</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AC8C">
            <w:pPr>
              <w:spacing w:line="360" w:lineRule="exact"/>
              <w:ind w:left="0" w:leftChars="0" w:right="-28" w:rightChars="0" w:firstLine="0" w:firstLineChars="0"/>
              <w:rPr>
                <w:rFonts w:ascii="宋体" w:hAnsi="宋体" w:cs="宋体"/>
                <w:color w:val="auto"/>
                <w:highlight w:val="none"/>
              </w:rPr>
            </w:pPr>
            <w:r>
              <w:rPr>
                <w:rFonts w:hint="eastAsia" w:ascii="宋体" w:hAnsi="宋体" w:cs="宋体"/>
                <w:color w:val="auto"/>
                <w:highlight w:val="none"/>
                <w:lang w:bidi="ar"/>
              </w:rPr>
              <w:t>设计人员</w:t>
            </w:r>
            <w:r>
              <w:rPr>
                <w:rFonts w:hint="eastAsia" w:ascii="宋体" w:hAnsi="宋体"/>
                <w:color w:val="auto"/>
                <w:highlight w:val="none"/>
              </w:rPr>
              <w:t>配置</w:t>
            </w:r>
            <w:r>
              <w:rPr>
                <w:rFonts w:hint="eastAsia" w:ascii="宋体" w:hAnsi="宋体" w:cs="宋体"/>
                <w:color w:val="auto"/>
                <w:highlight w:val="none"/>
                <w:lang w:bidi="ar"/>
              </w:rPr>
              <w:t>齐全、资历较为丰富，项目负责人有行业管理经验</w:t>
            </w: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曾担任过1个配电设计项目的项目负责人</w:t>
            </w:r>
            <w:r>
              <w:rPr>
                <w:rFonts w:hint="eastAsia" w:ascii="宋体" w:hAnsi="宋体" w:cs="宋体"/>
                <w:color w:val="auto"/>
                <w:highlight w:val="none"/>
                <w:lang w:bidi="ar"/>
              </w:rPr>
              <w:t>。且团队技术负责人至少担任过3个及以上</w:t>
            </w:r>
            <w:r>
              <w:rPr>
                <w:rFonts w:hint="eastAsia" w:ascii="宋体" w:hAnsi="宋体" w:cs="宋体"/>
                <w:color w:val="auto"/>
                <w:highlight w:val="none"/>
                <w:lang w:val="en-US" w:eastAsia="zh-CN" w:bidi="ar"/>
              </w:rPr>
              <w:t>配电设计项目</w:t>
            </w:r>
            <w:r>
              <w:rPr>
                <w:rFonts w:hint="eastAsia" w:ascii="宋体" w:hAnsi="宋体" w:cs="宋体"/>
                <w:color w:val="auto"/>
                <w:highlight w:val="none"/>
                <w:lang w:bidi="ar"/>
              </w:rPr>
              <w:t>的团队</w:t>
            </w:r>
            <w:r>
              <w:rPr>
                <w:rFonts w:hint="eastAsia" w:ascii="宋体" w:hAnsi="宋体" w:cs="宋体"/>
                <w:color w:val="auto"/>
                <w:highlight w:val="none"/>
                <w:lang w:val="en-US" w:eastAsia="zh-CN" w:bidi="ar"/>
              </w:rPr>
              <w:t>成员</w:t>
            </w:r>
            <w:r>
              <w:rPr>
                <w:rFonts w:hint="eastAsia" w:ascii="宋体" w:hAnsi="宋体" w:cs="宋体"/>
                <w:color w:val="auto"/>
                <w:highlight w:val="none"/>
                <w:lang w:bidi="ar"/>
              </w:rPr>
              <w:t>。</w:t>
            </w:r>
          </w:p>
        </w:tc>
        <w:tc>
          <w:tcPr>
            <w:tcW w:w="1330" w:type="dxa"/>
            <w:vMerge w:val="continue"/>
            <w:tcBorders>
              <w:left w:val="single" w:color="000000" w:sz="4" w:space="0"/>
              <w:right w:val="single" w:color="000000" w:sz="4" w:space="0"/>
            </w:tcBorders>
            <w:shd w:val="clear" w:color="auto" w:fill="auto"/>
            <w:noWrap/>
            <w:vAlign w:val="center"/>
          </w:tcPr>
          <w:p w14:paraId="15F90C5F">
            <w:pPr>
              <w:jc w:val="center"/>
              <w:rPr>
                <w:rFonts w:ascii="宋体" w:hAnsi="宋体" w:cs="宋体"/>
                <w:color w:val="auto"/>
                <w:highlight w:val="none"/>
              </w:rPr>
            </w:pPr>
          </w:p>
        </w:tc>
      </w:tr>
      <w:tr w14:paraId="280CACF6">
        <w:tblPrEx>
          <w:tblCellMar>
            <w:top w:w="0" w:type="dxa"/>
            <w:left w:w="108" w:type="dxa"/>
            <w:bottom w:w="0" w:type="dxa"/>
            <w:right w:w="108" w:type="dxa"/>
          </w:tblCellMar>
        </w:tblPrEx>
        <w:trPr>
          <w:trHeight w:val="816"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64186">
            <w:pPr>
              <w:jc w:val="center"/>
              <w:textAlignment w:val="center"/>
              <w:rPr>
                <w:rFonts w:ascii="宋体" w:hAnsi="宋体" w:cs="宋体"/>
                <w:color w:val="auto"/>
                <w:highlight w:val="none"/>
              </w:rPr>
            </w:pPr>
            <w:r>
              <w:rPr>
                <w:rFonts w:hint="eastAsia" w:ascii="宋体" w:hAnsi="宋体" w:cs="宋体"/>
                <w:color w:val="auto"/>
                <w:highlight w:val="none"/>
              </w:rPr>
              <w:t>5</w:t>
            </w: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E3BC9">
            <w:pPr>
              <w:keepNext w:val="0"/>
              <w:keepLines w:val="0"/>
              <w:pageBreakBefore w:val="0"/>
              <w:widowControl/>
              <w:kinsoku/>
              <w:wordWrap/>
              <w:overflowPunct/>
              <w:topLinePunct w:val="0"/>
              <w:autoSpaceDE/>
              <w:autoSpaceDN/>
              <w:bidi w:val="0"/>
              <w:adjustRightInd/>
              <w:snapToGrid/>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D108">
            <w:pPr>
              <w:keepNext w:val="0"/>
              <w:keepLines w:val="0"/>
              <w:widowControl/>
              <w:suppressLineNumbers w:val="0"/>
              <w:spacing w:line="360" w:lineRule="exact"/>
              <w:ind w:left="709" w:leftChars="0" w:right="-27" w:rightChars="0" w:hanging="709" w:firstLineChars="0"/>
              <w:jc w:val="center"/>
              <w:textAlignment w:val="center"/>
              <w:rPr>
                <w:rFonts w:hint="eastAsia" w:ascii="宋体" w:hAnsi="宋体" w:eastAsia="宋体" w:cs="宋体"/>
                <w:color w:val="auto"/>
                <w:highlight w:val="none"/>
                <w:lang w:eastAsia="zh-CN"/>
              </w:rPr>
            </w:pPr>
            <w:r>
              <w:rPr>
                <w:rFonts w:hint="eastAsia" w:ascii="宋体" w:hAnsi="宋体" w:eastAsia="宋体" w:cs="宋体"/>
                <w:i w:val="0"/>
                <w:iCs w:val="0"/>
                <w:color w:val="auto"/>
                <w:kern w:val="0"/>
                <w:sz w:val="21"/>
                <w:szCs w:val="21"/>
                <w:highlight w:val="none"/>
                <w:u w:val="none"/>
                <w:lang w:val="en-US" w:eastAsia="zh-CN" w:bidi="ar"/>
              </w:rPr>
              <w:t>0&lt;m≤</w:t>
            </w:r>
            <w:r>
              <w:rPr>
                <w:rFonts w:hint="eastAsia" w:ascii="宋体" w:hAnsi="宋体" w:cs="宋体"/>
                <w:i w:val="0"/>
                <w:iCs w:val="0"/>
                <w:color w:val="auto"/>
                <w:kern w:val="0"/>
                <w:sz w:val="21"/>
                <w:szCs w:val="21"/>
                <w:highlight w:val="none"/>
                <w:u w:val="none"/>
                <w:lang w:val="en-US" w:eastAsia="zh-CN" w:bidi="ar"/>
              </w:rPr>
              <w:t>6</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2144">
            <w:pPr>
              <w:spacing w:line="360" w:lineRule="exact"/>
              <w:ind w:left="0" w:leftChars="0" w:right="-28" w:rightChars="0" w:firstLine="0" w:firstLineChars="0"/>
              <w:jc w:val="left"/>
              <w:textAlignment w:val="center"/>
              <w:rPr>
                <w:rFonts w:ascii="宋体" w:hAnsi="宋体" w:cs="宋体"/>
                <w:color w:val="auto"/>
                <w:highlight w:val="none"/>
              </w:rPr>
            </w:pPr>
            <w:r>
              <w:rPr>
                <w:rFonts w:hint="eastAsia" w:ascii="宋体" w:hAnsi="宋体" w:cs="宋体"/>
                <w:color w:val="auto"/>
                <w:highlight w:val="none"/>
                <w:lang w:bidi="ar"/>
              </w:rPr>
              <w:t>设计人员配置不齐全、资历较浅，项目负责人行业管理经验不足。且团队技术负责人至少担任过1个及以上</w:t>
            </w:r>
            <w:r>
              <w:rPr>
                <w:rFonts w:hint="eastAsia" w:ascii="宋体" w:hAnsi="宋体" w:cs="宋体"/>
                <w:color w:val="auto"/>
                <w:highlight w:val="none"/>
                <w:lang w:val="en-US" w:eastAsia="zh-CN" w:bidi="ar"/>
              </w:rPr>
              <w:t>配电设计项目</w:t>
            </w:r>
            <w:r>
              <w:rPr>
                <w:rFonts w:hint="eastAsia" w:ascii="宋体" w:hAnsi="宋体" w:cs="宋体"/>
                <w:color w:val="auto"/>
                <w:highlight w:val="none"/>
                <w:lang w:bidi="ar"/>
              </w:rPr>
              <w:t>的团队</w:t>
            </w:r>
            <w:r>
              <w:rPr>
                <w:rFonts w:hint="eastAsia" w:ascii="宋体" w:hAnsi="宋体" w:cs="宋体"/>
                <w:color w:val="auto"/>
                <w:highlight w:val="none"/>
                <w:lang w:val="en-US" w:eastAsia="zh-CN" w:bidi="ar"/>
              </w:rPr>
              <w:t>成员</w:t>
            </w:r>
            <w:r>
              <w:rPr>
                <w:rFonts w:hint="eastAsia" w:ascii="宋体" w:hAnsi="宋体" w:cs="宋体"/>
                <w:color w:val="auto"/>
                <w:highlight w:val="none"/>
                <w:lang w:bidi="ar"/>
              </w:rPr>
              <w:t>。</w:t>
            </w:r>
          </w:p>
        </w:tc>
        <w:tc>
          <w:tcPr>
            <w:tcW w:w="1330" w:type="dxa"/>
            <w:vMerge w:val="continue"/>
            <w:tcBorders>
              <w:left w:val="single" w:color="000000" w:sz="4" w:space="0"/>
              <w:bottom w:val="single" w:color="000000" w:sz="4" w:space="0"/>
              <w:right w:val="single" w:color="000000" w:sz="4" w:space="0"/>
            </w:tcBorders>
            <w:shd w:val="clear" w:color="auto" w:fill="auto"/>
            <w:noWrap/>
            <w:vAlign w:val="center"/>
          </w:tcPr>
          <w:p w14:paraId="2DE4512A">
            <w:pPr>
              <w:jc w:val="center"/>
              <w:rPr>
                <w:rFonts w:ascii="宋体" w:hAnsi="宋体" w:cs="宋体"/>
                <w:color w:val="auto"/>
                <w:highlight w:val="none"/>
              </w:rPr>
            </w:pPr>
          </w:p>
        </w:tc>
      </w:tr>
      <w:tr w14:paraId="4C86E19F">
        <w:tblPrEx>
          <w:tblCellMar>
            <w:top w:w="0" w:type="dxa"/>
            <w:left w:w="108" w:type="dxa"/>
            <w:bottom w:w="0" w:type="dxa"/>
            <w:right w:w="108" w:type="dxa"/>
          </w:tblCellMar>
        </w:tblPrEx>
        <w:trPr>
          <w:trHeight w:val="516"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377CE">
            <w:pPr>
              <w:jc w:val="center"/>
              <w:textAlignment w:val="center"/>
              <w:rPr>
                <w:rFonts w:ascii="宋体" w:hAnsi="宋体" w:cs="宋体"/>
                <w:color w:val="auto"/>
                <w:highlight w:val="none"/>
              </w:rPr>
            </w:pPr>
            <w:r>
              <w:rPr>
                <w:rFonts w:hint="eastAsia" w:ascii="宋体" w:hAnsi="宋体" w:cs="宋体"/>
                <w:color w:val="auto"/>
                <w:highlight w:val="none"/>
              </w:rPr>
              <w:t>6</w:t>
            </w:r>
          </w:p>
        </w:tc>
        <w:tc>
          <w:tcPr>
            <w:tcW w:w="1396" w:type="dxa"/>
            <w:vMerge w:val="restart"/>
            <w:tcBorders>
              <w:top w:val="single" w:color="000000" w:sz="4" w:space="0"/>
              <w:left w:val="single" w:color="000000" w:sz="4" w:space="0"/>
              <w:right w:val="single" w:color="000000" w:sz="4" w:space="0"/>
            </w:tcBorders>
            <w:shd w:val="clear" w:color="auto" w:fill="auto"/>
            <w:vAlign w:val="center"/>
          </w:tcPr>
          <w:p w14:paraId="614D0413">
            <w:pPr>
              <w:keepNext w:val="0"/>
              <w:keepLines w:val="0"/>
              <w:pageBreakBefore w:val="0"/>
              <w:widowControl/>
              <w:kinsoku/>
              <w:wordWrap/>
              <w:overflowPunct/>
              <w:topLinePunct w:val="0"/>
              <w:autoSpaceDE/>
              <w:autoSpaceDN/>
              <w:bidi w:val="0"/>
              <w:adjustRightInd/>
              <w:snapToGrid/>
              <w:spacing w:before="0" w:after="0" w:afterAutospacing="0"/>
              <w:ind w:left="0" w:right="0" w:firstLine="0"/>
              <w:jc w:val="center"/>
              <w:rPr>
                <w:rFonts w:hint="eastAsia"/>
                <w:b/>
                <w:bCs/>
                <w:color w:val="auto"/>
                <w:highlight w:val="none"/>
                <w:lang w:val="en-US" w:eastAsia="zh-CN"/>
              </w:rPr>
            </w:pPr>
            <w:r>
              <w:rPr>
                <w:rFonts w:hint="eastAsia"/>
                <w:b/>
                <w:bCs/>
                <w:color w:val="auto"/>
                <w:highlight w:val="none"/>
                <w:lang w:val="en-US" w:eastAsia="zh-CN"/>
              </w:rPr>
              <w:t>服务承诺书</w:t>
            </w:r>
          </w:p>
          <w:p w14:paraId="694A3C7A">
            <w:pPr>
              <w:pStyle w:val="2"/>
              <w:keepNext w:val="0"/>
              <w:keepLines w:val="0"/>
              <w:pageBreakBefore w:val="0"/>
              <w:widowControl/>
              <w:kinsoku/>
              <w:wordWrap/>
              <w:overflowPunct/>
              <w:topLinePunct w:val="0"/>
              <w:autoSpaceDE/>
              <w:autoSpaceDN/>
              <w:bidi w:val="0"/>
              <w:adjustRightInd/>
              <w:snapToGrid/>
              <w:spacing w:before="0" w:after="0" w:afterAutospacing="0"/>
              <w:ind w:left="0" w:leftChars="0" w:right="0" w:rightChars="0" w:firstLine="0" w:firstLineChars="0"/>
              <w:jc w:val="center"/>
              <w:rPr>
                <w:color w:val="auto"/>
                <w:highlight w:val="none"/>
              </w:rPr>
            </w:pPr>
            <w:r>
              <w:rPr>
                <w:rFonts w:hint="eastAsia" w:ascii="宋体" w:hAnsi="宋体" w:cs="宋体"/>
                <w:b/>
                <w:bCs/>
                <w:i w:val="0"/>
                <w:iCs w:val="0"/>
                <w:color w:val="auto"/>
                <w:sz w:val="18"/>
                <w:szCs w:val="18"/>
                <w:highlight w:val="none"/>
                <w:u w:val="none"/>
                <w:lang w:val="en-US" w:eastAsia="zh-CN"/>
              </w:rPr>
              <w:t>（满分15分）</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9BE1">
            <w:pPr>
              <w:keepNext w:val="0"/>
              <w:keepLines w:val="0"/>
              <w:widowControl/>
              <w:suppressLineNumbers w:val="0"/>
              <w:spacing w:line="360" w:lineRule="exact"/>
              <w:ind w:left="709" w:leftChars="0" w:right="-27" w:rightChars="0" w:hanging="709" w:firstLineChars="0"/>
              <w:jc w:val="center"/>
              <w:textAlignment w:val="center"/>
              <w:rPr>
                <w:rFonts w:ascii="宋体" w:hAnsi="宋体" w:cs="宋体"/>
                <w:color w:val="auto"/>
                <w:highlight w:val="none"/>
              </w:rPr>
            </w:pPr>
            <w:r>
              <w:rPr>
                <w:rFonts w:hint="eastAsia" w:ascii="宋体" w:hAnsi="宋体" w:eastAsia="宋体" w:cs="宋体"/>
                <w:i w:val="0"/>
                <w:iCs w:val="0"/>
                <w:color w:val="auto"/>
                <w:kern w:val="0"/>
                <w:sz w:val="21"/>
                <w:szCs w:val="21"/>
                <w:highlight w:val="none"/>
                <w:u w:val="none"/>
                <w:lang w:val="en-US" w:eastAsia="zh-CN" w:bidi="ar"/>
              </w:rPr>
              <w:t>12≤m≤15</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1ADC4">
            <w:pPr>
              <w:spacing w:line="360" w:lineRule="exact"/>
              <w:jc w:val="left"/>
              <w:textAlignment w:val="center"/>
              <w:rPr>
                <w:rFonts w:ascii="宋体" w:hAnsi="宋体" w:cs="宋体"/>
                <w:color w:val="auto"/>
                <w:highlight w:val="none"/>
                <w:lang w:bidi="ar"/>
              </w:rPr>
            </w:pPr>
            <w:r>
              <w:rPr>
                <w:rFonts w:hint="eastAsia" w:ascii="宋体" w:hAnsi="宋体" w:cs="宋体"/>
                <w:color w:val="auto"/>
                <w:highlight w:val="none"/>
                <w:lang w:bidi="ar"/>
              </w:rPr>
              <w:t>服务承诺完整，能够完全满足本项目需求</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52819">
            <w:pPr>
              <w:jc w:val="center"/>
              <w:rPr>
                <w:rFonts w:ascii="宋体" w:hAnsi="宋体" w:cs="宋体"/>
                <w:color w:val="auto"/>
                <w:highlight w:val="none"/>
              </w:rPr>
            </w:pPr>
          </w:p>
        </w:tc>
      </w:tr>
      <w:tr w14:paraId="2C3654F0">
        <w:tblPrEx>
          <w:tblCellMar>
            <w:top w:w="0" w:type="dxa"/>
            <w:left w:w="108" w:type="dxa"/>
            <w:bottom w:w="0" w:type="dxa"/>
            <w:right w:w="108" w:type="dxa"/>
          </w:tblCellMar>
        </w:tblPrEx>
        <w:trPr>
          <w:trHeight w:val="58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0FFC">
            <w:pPr>
              <w:jc w:val="center"/>
              <w:textAlignment w:val="center"/>
              <w:rPr>
                <w:rFonts w:ascii="宋体" w:hAnsi="宋体" w:cs="宋体"/>
                <w:color w:val="auto"/>
                <w:highlight w:val="none"/>
              </w:rPr>
            </w:pPr>
            <w:r>
              <w:rPr>
                <w:rFonts w:hint="eastAsia" w:ascii="宋体" w:hAnsi="宋体" w:cs="宋体"/>
                <w:color w:val="auto"/>
                <w:highlight w:val="none"/>
              </w:rPr>
              <w:t>7</w:t>
            </w:r>
          </w:p>
        </w:tc>
        <w:tc>
          <w:tcPr>
            <w:tcW w:w="1396" w:type="dxa"/>
            <w:vMerge w:val="continue"/>
            <w:tcBorders>
              <w:left w:val="single" w:color="000000" w:sz="4" w:space="0"/>
              <w:right w:val="single" w:color="000000" w:sz="4" w:space="0"/>
            </w:tcBorders>
            <w:shd w:val="clear" w:color="auto" w:fill="auto"/>
            <w:vAlign w:val="center"/>
          </w:tcPr>
          <w:p w14:paraId="48201B41">
            <w:pPr>
              <w:keepNext w:val="0"/>
              <w:keepLines w:val="0"/>
              <w:pageBreakBefore w:val="0"/>
              <w:widowControl/>
              <w:kinsoku/>
              <w:wordWrap/>
              <w:overflowPunct/>
              <w:topLinePunct w:val="0"/>
              <w:autoSpaceDE/>
              <w:autoSpaceDN/>
              <w:bidi w:val="0"/>
              <w:adjustRightInd/>
              <w:snapToGrid/>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0505">
            <w:pPr>
              <w:keepNext w:val="0"/>
              <w:keepLines w:val="0"/>
              <w:widowControl/>
              <w:suppressLineNumbers w:val="0"/>
              <w:spacing w:line="360" w:lineRule="exact"/>
              <w:ind w:left="709" w:leftChars="0" w:right="-27" w:rightChars="0" w:hanging="709" w:firstLineChars="0"/>
              <w:jc w:val="center"/>
              <w:textAlignment w:val="center"/>
              <w:rPr>
                <w:rFonts w:ascii="宋体" w:hAnsi="宋体" w:cs="宋体"/>
                <w:color w:val="auto"/>
                <w:highlight w:val="none"/>
              </w:rPr>
            </w:pPr>
            <w:r>
              <w:rPr>
                <w:rFonts w:hint="eastAsia" w:ascii="宋体" w:hAnsi="宋体" w:eastAsia="宋体" w:cs="宋体"/>
                <w:i w:val="0"/>
                <w:iCs w:val="0"/>
                <w:color w:val="auto"/>
                <w:kern w:val="0"/>
                <w:sz w:val="21"/>
                <w:szCs w:val="21"/>
                <w:highlight w:val="none"/>
                <w:u w:val="none"/>
                <w:lang w:val="en-US" w:eastAsia="zh-CN" w:bidi="ar"/>
              </w:rPr>
              <w:t>9&lt;m&lt;12</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8868">
            <w:pPr>
              <w:spacing w:line="360" w:lineRule="exact"/>
              <w:ind w:left="0" w:right="0" w:firstLine="0"/>
              <w:rPr>
                <w:rFonts w:ascii="宋体" w:hAnsi="宋体"/>
                <w:color w:val="auto"/>
                <w:highlight w:val="none"/>
              </w:rPr>
            </w:pPr>
            <w:r>
              <w:rPr>
                <w:rFonts w:hint="eastAsia" w:ascii="宋体" w:hAnsi="宋体"/>
                <w:color w:val="auto"/>
                <w:highlight w:val="none"/>
              </w:rPr>
              <w:t>服务承诺基本完整，能够基本满足本项目需求</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E1790">
            <w:pPr>
              <w:jc w:val="center"/>
              <w:rPr>
                <w:rFonts w:ascii="宋体" w:hAnsi="宋体" w:cs="宋体"/>
                <w:color w:val="auto"/>
                <w:highlight w:val="none"/>
              </w:rPr>
            </w:pPr>
          </w:p>
        </w:tc>
      </w:tr>
      <w:tr w14:paraId="17E21651">
        <w:tblPrEx>
          <w:tblCellMar>
            <w:top w:w="0" w:type="dxa"/>
            <w:left w:w="108" w:type="dxa"/>
            <w:bottom w:w="0" w:type="dxa"/>
            <w:right w:w="108" w:type="dxa"/>
          </w:tblCellMar>
        </w:tblPrEx>
        <w:trPr>
          <w:trHeight w:val="6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6196">
            <w:pPr>
              <w:jc w:val="center"/>
              <w:textAlignment w:val="center"/>
              <w:rPr>
                <w:rFonts w:ascii="宋体" w:hAnsi="宋体" w:cs="宋体"/>
                <w:color w:val="auto"/>
                <w:highlight w:val="none"/>
              </w:rPr>
            </w:pPr>
            <w:r>
              <w:rPr>
                <w:rFonts w:hint="eastAsia" w:ascii="宋体" w:hAnsi="宋体" w:cs="宋体"/>
                <w:color w:val="auto"/>
                <w:highlight w:val="none"/>
              </w:rPr>
              <w:t>8</w:t>
            </w:r>
          </w:p>
        </w:tc>
        <w:tc>
          <w:tcPr>
            <w:tcW w:w="1396" w:type="dxa"/>
            <w:vMerge w:val="continue"/>
            <w:tcBorders>
              <w:left w:val="single" w:color="000000" w:sz="4" w:space="0"/>
              <w:bottom w:val="single" w:color="000000" w:sz="4" w:space="0"/>
              <w:right w:val="single" w:color="000000" w:sz="4" w:space="0"/>
            </w:tcBorders>
            <w:shd w:val="clear" w:color="auto" w:fill="auto"/>
            <w:vAlign w:val="center"/>
          </w:tcPr>
          <w:p w14:paraId="38822E4F">
            <w:pPr>
              <w:keepNext w:val="0"/>
              <w:keepLines w:val="0"/>
              <w:pageBreakBefore w:val="0"/>
              <w:widowControl/>
              <w:kinsoku/>
              <w:wordWrap/>
              <w:overflowPunct/>
              <w:topLinePunct w:val="0"/>
              <w:autoSpaceDE/>
              <w:autoSpaceDN/>
              <w:bidi w:val="0"/>
              <w:adjustRightInd/>
              <w:snapToGrid/>
              <w:spacing w:before="0" w:after="0" w:afterAutospacing="0"/>
              <w:ind w:left="0" w:leftChars="0" w:right="0" w:rightChars="0" w:firstLine="0" w:firstLineChars="0"/>
              <w:jc w:val="center"/>
              <w:rPr>
                <w:rFonts w:ascii="宋体" w:hAnsi="宋体" w:cs="宋体"/>
                <w:b/>
                <w:bCs/>
                <w:color w:val="auto"/>
                <w:sz w:val="18"/>
                <w:szCs w:val="18"/>
                <w:highlight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97FDA">
            <w:pPr>
              <w:keepNext w:val="0"/>
              <w:keepLines w:val="0"/>
              <w:widowControl/>
              <w:suppressLineNumbers w:val="0"/>
              <w:spacing w:line="360" w:lineRule="exact"/>
              <w:ind w:left="709" w:leftChars="0" w:right="-27" w:rightChars="0" w:hanging="709" w:firstLineChars="0"/>
              <w:jc w:val="center"/>
              <w:textAlignment w:val="center"/>
              <w:rPr>
                <w:rFonts w:ascii="宋体" w:hAnsi="宋体" w:cs="宋体"/>
                <w:color w:val="auto"/>
                <w:highlight w:val="none"/>
              </w:rPr>
            </w:pPr>
            <w:r>
              <w:rPr>
                <w:rFonts w:hint="eastAsia" w:ascii="宋体" w:hAnsi="宋体" w:eastAsia="宋体" w:cs="宋体"/>
                <w:i w:val="0"/>
                <w:iCs w:val="0"/>
                <w:color w:val="auto"/>
                <w:kern w:val="0"/>
                <w:sz w:val="21"/>
                <w:szCs w:val="21"/>
                <w:highlight w:val="none"/>
                <w:u w:val="none"/>
                <w:lang w:val="en-US" w:eastAsia="zh-CN" w:bidi="ar"/>
              </w:rPr>
              <w:t>0&lt;m≤9</w:t>
            </w:r>
          </w:p>
        </w:tc>
        <w:tc>
          <w:tcPr>
            <w:tcW w:w="4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34F1">
            <w:pPr>
              <w:spacing w:line="360" w:lineRule="exact"/>
              <w:jc w:val="left"/>
              <w:textAlignment w:val="center"/>
              <w:rPr>
                <w:rFonts w:ascii="宋体" w:hAnsi="宋体" w:cs="宋体"/>
                <w:color w:val="auto"/>
                <w:highlight w:val="none"/>
                <w:lang w:bidi="ar"/>
              </w:rPr>
            </w:pPr>
            <w:r>
              <w:rPr>
                <w:rFonts w:hint="eastAsia" w:ascii="宋体" w:hAnsi="宋体" w:cs="宋体"/>
                <w:color w:val="auto"/>
                <w:highlight w:val="none"/>
                <w:lang w:bidi="ar"/>
              </w:rPr>
              <w:t>服务承诺不完整，难以完全满足本项目需求</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EC35F">
            <w:pPr>
              <w:jc w:val="center"/>
              <w:rPr>
                <w:rFonts w:ascii="宋体" w:hAnsi="宋体" w:cs="宋体"/>
                <w:color w:val="auto"/>
                <w:highlight w:val="none"/>
              </w:rPr>
            </w:pPr>
          </w:p>
        </w:tc>
      </w:tr>
      <w:tr w14:paraId="12F9D698">
        <w:tblPrEx>
          <w:tblCellMar>
            <w:top w:w="0" w:type="dxa"/>
            <w:left w:w="108" w:type="dxa"/>
            <w:bottom w:w="0" w:type="dxa"/>
            <w:right w:w="108" w:type="dxa"/>
          </w:tblCellMar>
        </w:tblPrEx>
        <w:trPr>
          <w:trHeight w:val="265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82768">
            <w:pPr>
              <w:jc w:val="center"/>
              <w:textAlignment w:val="center"/>
              <w:rPr>
                <w:rFonts w:ascii="宋体" w:hAnsi="宋体" w:cs="宋体"/>
                <w:color w:val="auto"/>
                <w:highlight w:val="none"/>
              </w:rPr>
            </w:pPr>
            <w:r>
              <w:rPr>
                <w:rFonts w:hint="eastAsia" w:ascii="宋体" w:hAnsi="宋体" w:cs="宋体"/>
                <w:color w:val="auto"/>
                <w:highlight w:val="none"/>
              </w:rPr>
              <w:t>9</w:t>
            </w:r>
          </w:p>
        </w:tc>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676AC">
            <w:pPr>
              <w:spacing w:before="0" w:after="0" w:afterAutospacing="0"/>
              <w:ind w:left="0" w:right="0" w:firstLine="0"/>
              <w:jc w:val="center"/>
              <w:textAlignment w:val="center"/>
              <w:rPr>
                <w:rFonts w:ascii="宋体" w:hAnsi="宋体" w:cs="宋体"/>
                <w:b/>
                <w:bCs/>
                <w:color w:val="auto"/>
                <w:sz w:val="18"/>
                <w:szCs w:val="18"/>
                <w:highlight w:val="none"/>
                <w:lang w:bidi="ar"/>
              </w:rPr>
            </w:pPr>
            <w:r>
              <w:rPr>
                <w:rFonts w:hint="eastAsia" w:ascii="宋体" w:hAnsi="宋体" w:cs="宋体"/>
                <w:b/>
                <w:bCs/>
                <w:color w:val="auto"/>
                <w:sz w:val="18"/>
                <w:szCs w:val="18"/>
                <w:highlight w:val="none"/>
                <w:lang w:bidi="ar"/>
              </w:rPr>
              <w:t>业绩</w:t>
            </w:r>
          </w:p>
          <w:p w14:paraId="2A4AEA3C">
            <w:pPr>
              <w:spacing w:before="0" w:after="0" w:afterAutospacing="0"/>
              <w:ind w:left="0" w:right="0" w:firstLine="0"/>
              <w:jc w:val="center"/>
              <w:textAlignment w:val="center"/>
              <w:rPr>
                <w:rFonts w:ascii="宋体" w:hAnsi="宋体" w:cs="宋体"/>
                <w:b/>
                <w:bCs/>
                <w:color w:val="auto"/>
                <w:sz w:val="18"/>
                <w:szCs w:val="18"/>
                <w:highlight w:val="none"/>
              </w:rPr>
            </w:pPr>
            <w:r>
              <w:rPr>
                <w:rFonts w:hint="eastAsia" w:ascii="宋体" w:hAnsi="宋体" w:cs="宋体"/>
                <w:b/>
                <w:bCs/>
                <w:color w:val="auto"/>
                <w:sz w:val="18"/>
                <w:szCs w:val="18"/>
                <w:highlight w:val="none"/>
                <w:lang w:bidi="ar"/>
              </w:rPr>
              <w:t>（</w:t>
            </w:r>
            <w:r>
              <w:rPr>
                <w:rFonts w:hint="eastAsia" w:ascii="宋体" w:hAnsi="宋体" w:cs="宋体"/>
                <w:b/>
                <w:bCs/>
                <w:color w:val="auto"/>
                <w:sz w:val="18"/>
                <w:szCs w:val="18"/>
                <w:highlight w:val="none"/>
                <w:lang w:val="en-US" w:eastAsia="zh-CN" w:bidi="ar"/>
              </w:rPr>
              <w:t>满分20</w:t>
            </w:r>
            <w:r>
              <w:rPr>
                <w:rFonts w:hint="eastAsia" w:ascii="宋体" w:hAnsi="宋体" w:cs="宋体"/>
                <w:b/>
                <w:bCs/>
                <w:color w:val="auto"/>
                <w:sz w:val="18"/>
                <w:szCs w:val="18"/>
                <w:highlight w:val="none"/>
                <w:lang w:bidi="ar"/>
              </w:rPr>
              <w:t>分）</w:t>
            </w:r>
          </w:p>
        </w:tc>
        <w:tc>
          <w:tcPr>
            <w:tcW w:w="55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2F27A">
            <w:pPr>
              <w:spacing w:before="0" w:line="360" w:lineRule="exact"/>
              <w:ind w:left="0" w:right="0" w:firstLine="0"/>
              <w:textAlignment w:val="center"/>
              <w:rPr>
                <w:rFonts w:ascii="宋体" w:hAnsi="宋体" w:cs="宋体"/>
                <w:color w:val="auto"/>
                <w:highlight w:val="none"/>
              </w:rPr>
            </w:pPr>
            <w:r>
              <w:rPr>
                <w:rFonts w:hint="eastAsia" w:ascii="宋体" w:hAnsi="宋体"/>
                <w:color w:val="auto"/>
                <w:highlight w:val="none"/>
                <w:lang w:eastAsia="zh-CN"/>
              </w:rPr>
              <w:t>比选申请人自2023年1月1日至比选申请截止时间前，承接过（完工/在建项目）3个及以上15000kVA以上房地产项目相关供配电设计业绩。</w:t>
            </w:r>
            <w:r>
              <w:rPr>
                <w:rFonts w:hint="eastAsia" w:ascii="宋体" w:hAnsi="宋体" w:cs="宋体"/>
                <w:color w:val="auto"/>
                <w:highlight w:val="none"/>
                <w:lang w:eastAsia="zh-CN" w:bidi="ar"/>
              </w:rPr>
              <w:t>提供下述材料之一即可：①合同文件；②中标通知书；③业主证明材料。所提供材料需能证明符合业绩内容，否则视为无效证明文件，提供复印件加盖比选申请人公章，原件备查。</w:t>
            </w:r>
            <w:r>
              <w:rPr>
                <w:rFonts w:hint="eastAsia" w:ascii="宋体" w:hAnsi="宋体" w:cs="宋体"/>
                <w:color w:val="auto"/>
                <w:highlight w:val="none"/>
                <w:lang w:bidi="ar"/>
              </w:rPr>
              <w:t>所提供的材料须能明确反映类似项目特征，符合条件的案例</w:t>
            </w:r>
            <w:r>
              <w:rPr>
                <w:rFonts w:hint="eastAsia" w:ascii="宋体" w:hAnsi="宋体" w:cs="宋体"/>
                <w:color w:val="auto"/>
                <w:highlight w:val="none"/>
                <w:lang w:val="en-US" w:eastAsia="zh-CN" w:bidi="ar"/>
              </w:rPr>
              <w:t>业绩</w:t>
            </w:r>
            <w:r>
              <w:rPr>
                <w:rFonts w:hint="eastAsia" w:ascii="宋体" w:hAnsi="宋体" w:cs="宋体"/>
                <w:color w:val="auto"/>
                <w:highlight w:val="none"/>
                <w:lang w:bidi="ar"/>
              </w:rPr>
              <w:t>一个得</w:t>
            </w:r>
            <w:r>
              <w:rPr>
                <w:rFonts w:hint="eastAsia" w:ascii="宋体" w:hAnsi="宋体" w:cs="宋体"/>
                <w:color w:val="auto"/>
                <w:highlight w:val="none"/>
                <w:lang w:val="en-US" w:eastAsia="zh-CN" w:bidi="ar"/>
              </w:rPr>
              <w:t>4</w:t>
            </w:r>
            <w:r>
              <w:rPr>
                <w:rFonts w:hint="eastAsia" w:ascii="宋体" w:hAnsi="宋体" w:cs="宋体"/>
                <w:color w:val="auto"/>
                <w:highlight w:val="none"/>
                <w:lang w:bidi="ar"/>
              </w:rPr>
              <w:t>分，满分</w:t>
            </w:r>
            <w:r>
              <w:rPr>
                <w:rFonts w:hint="eastAsia" w:ascii="宋体" w:hAnsi="宋体" w:cs="宋体"/>
                <w:color w:val="auto"/>
                <w:highlight w:val="none"/>
                <w:lang w:val="en-US" w:eastAsia="zh-CN" w:bidi="ar"/>
              </w:rPr>
              <w:t>20</w:t>
            </w:r>
            <w:r>
              <w:rPr>
                <w:rFonts w:hint="eastAsia" w:ascii="宋体" w:hAnsi="宋体" w:cs="宋体"/>
                <w:color w:val="auto"/>
                <w:highlight w:val="none"/>
                <w:lang w:bidi="ar"/>
              </w:rPr>
              <w:t>分。</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8F13">
            <w:pPr>
              <w:jc w:val="center"/>
              <w:rPr>
                <w:rFonts w:ascii="宋体" w:hAnsi="宋体" w:cs="宋体"/>
                <w:color w:val="auto"/>
                <w:highlight w:val="none"/>
              </w:rPr>
            </w:pPr>
          </w:p>
        </w:tc>
      </w:tr>
      <w:tr w14:paraId="7D6C476E">
        <w:tblPrEx>
          <w:tblCellMar>
            <w:top w:w="0" w:type="dxa"/>
            <w:left w:w="108" w:type="dxa"/>
            <w:bottom w:w="0" w:type="dxa"/>
            <w:right w:w="108" w:type="dxa"/>
          </w:tblCellMar>
        </w:tblPrEx>
        <w:trPr>
          <w:trHeight w:val="908" w:hRule="atLeast"/>
        </w:trPr>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F90B4">
            <w:pPr>
              <w:jc w:val="center"/>
              <w:textAlignment w:val="center"/>
              <w:rPr>
                <w:rFonts w:ascii="宋体" w:hAnsi="宋体" w:cs="宋体"/>
                <w:color w:val="auto"/>
                <w:highlight w:val="none"/>
              </w:rPr>
            </w:pPr>
            <w:r>
              <w:rPr>
                <w:rFonts w:hint="eastAsia" w:ascii="宋体" w:hAnsi="宋体" w:cs="宋体"/>
                <w:color w:val="auto"/>
                <w:highlight w:val="none"/>
                <w:lang w:bidi="ar"/>
              </w:rPr>
              <w:t>技术文件得分</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BDA0C">
            <w:pPr>
              <w:jc w:val="center"/>
              <w:textAlignment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bidi="ar"/>
              </w:rPr>
              <w:t>60</w:t>
            </w:r>
          </w:p>
        </w:tc>
        <w:tc>
          <w:tcPr>
            <w:tcW w:w="4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7BA2">
            <w:pPr>
              <w:jc w:val="left"/>
              <w:rPr>
                <w:rFonts w:ascii="宋体" w:hAnsi="宋体" w:cs="宋体"/>
                <w:color w:val="auto"/>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08CDC">
            <w:pPr>
              <w:rPr>
                <w:rFonts w:ascii="宋体" w:hAnsi="宋体" w:cs="宋体"/>
                <w:color w:val="auto"/>
                <w:sz w:val="22"/>
                <w:szCs w:val="22"/>
                <w:highlight w:val="none"/>
              </w:rPr>
            </w:pPr>
          </w:p>
        </w:tc>
      </w:tr>
    </w:tbl>
    <w:p w14:paraId="18079FE0">
      <w:pPr>
        <w:spacing w:before="0" w:after="0" w:afterAutospacing="0" w:line="240" w:lineRule="auto"/>
        <w:ind w:left="0" w:right="0" w:firstLine="0"/>
        <w:jc w:val="left"/>
        <w:rPr>
          <w:b/>
          <w:bCs/>
          <w:color w:val="auto"/>
          <w:highlight w:val="none"/>
        </w:rPr>
      </w:pPr>
      <w:r>
        <w:rPr>
          <w:rFonts w:hint="eastAsia"/>
          <w:b/>
          <w:bCs/>
          <w:color w:val="auto"/>
          <w:highlight w:val="none"/>
          <w:lang w:eastAsia="zh-CN"/>
        </w:rPr>
        <w:t>注：</w:t>
      </w:r>
      <w:r>
        <w:rPr>
          <w:rFonts w:hint="eastAsia" w:ascii="宋体" w:hAnsi="宋体" w:cs="Arial"/>
          <w:b/>
          <w:bCs/>
          <w:color w:val="auto"/>
          <w:highlight w:val="none"/>
        </w:rPr>
        <w:t>技术得分低于技术</w:t>
      </w:r>
      <w:r>
        <w:rPr>
          <w:rFonts w:hint="eastAsia" w:ascii="宋体" w:hAnsi="宋体" w:cs="Arial"/>
          <w:b/>
          <w:bCs/>
          <w:color w:val="auto"/>
          <w:highlight w:val="none"/>
          <w:lang w:eastAsia="zh-CN"/>
        </w:rPr>
        <w:t>得</w:t>
      </w:r>
      <w:r>
        <w:rPr>
          <w:rFonts w:hint="eastAsia" w:ascii="宋体" w:hAnsi="宋体" w:cs="Arial"/>
          <w:b/>
          <w:bCs/>
          <w:color w:val="auto"/>
          <w:highlight w:val="none"/>
        </w:rPr>
        <w:t>分满分的60%（即</w:t>
      </w:r>
      <w:r>
        <w:rPr>
          <w:rFonts w:hint="eastAsia" w:ascii="宋体" w:hAnsi="宋体" w:cs="Arial"/>
          <w:b/>
          <w:bCs/>
          <w:color w:val="auto"/>
          <w:highlight w:val="none"/>
          <w:lang w:val="en-US" w:eastAsia="zh-CN"/>
        </w:rPr>
        <w:t>36</w:t>
      </w:r>
      <w:r>
        <w:rPr>
          <w:rFonts w:hint="eastAsia" w:ascii="宋体" w:hAnsi="宋体" w:cs="Arial"/>
          <w:b/>
          <w:bCs/>
          <w:color w:val="auto"/>
          <w:highlight w:val="none"/>
        </w:rPr>
        <w:t>分）的</w:t>
      </w:r>
      <w:r>
        <w:rPr>
          <w:rFonts w:hint="eastAsia" w:ascii="宋体" w:hAnsi="宋体" w:cs="Arial"/>
          <w:b/>
          <w:bCs/>
          <w:color w:val="auto"/>
          <w:highlight w:val="none"/>
          <w:lang w:eastAsia="zh-CN"/>
        </w:rPr>
        <w:t>比选申请</w:t>
      </w:r>
      <w:r>
        <w:rPr>
          <w:rFonts w:hint="eastAsia" w:ascii="宋体" w:hAnsi="宋体" w:cs="Arial"/>
          <w:b/>
          <w:bCs/>
          <w:color w:val="auto"/>
          <w:highlight w:val="none"/>
        </w:rPr>
        <w:t>人不得推选为中</w:t>
      </w:r>
      <w:r>
        <w:rPr>
          <w:rFonts w:hint="eastAsia" w:ascii="宋体" w:hAnsi="宋体" w:cs="Arial"/>
          <w:b/>
          <w:bCs/>
          <w:color w:val="auto"/>
          <w:highlight w:val="none"/>
          <w:lang w:eastAsia="zh-CN"/>
        </w:rPr>
        <w:t>选</w:t>
      </w:r>
      <w:r>
        <w:rPr>
          <w:rFonts w:hint="eastAsia" w:ascii="宋体" w:hAnsi="宋体" w:cs="Arial"/>
          <w:b/>
          <w:bCs/>
          <w:color w:val="auto"/>
          <w:highlight w:val="none"/>
        </w:rPr>
        <w:t>候选人。</w:t>
      </w:r>
    </w:p>
    <w:p w14:paraId="3CB101E1">
      <w:pPr>
        <w:spacing w:before="0" w:after="0"/>
        <w:ind w:left="0" w:right="0" w:firstLine="0"/>
        <w:jc w:val="left"/>
        <w:rPr>
          <w:b/>
          <w:bCs/>
          <w:color w:val="auto"/>
          <w:highlight w:val="none"/>
        </w:rPr>
      </w:pPr>
      <w:r>
        <w:rPr>
          <w:rFonts w:hint="eastAsia"/>
          <w:b/>
          <w:bCs/>
          <w:color w:val="auto"/>
          <w:highlight w:val="none"/>
        </w:rPr>
        <w:br w:type="page"/>
      </w:r>
    </w:p>
    <w:p w14:paraId="23D813DC">
      <w:pPr>
        <w:spacing w:before="0" w:after="0"/>
        <w:ind w:left="0" w:right="0" w:firstLine="0"/>
        <w:jc w:val="left"/>
        <w:rPr>
          <w:b/>
          <w:bCs/>
          <w:color w:val="auto"/>
          <w:highlight w:val="none"/>
        </w:rPr>
      </w:pPr>
      <w:r>
        <w:rPr>
          <w:rFonts w:hint="eastAsia"/>
          <w:b/>
          <w:bCs/>
          <w:color w:val="auto"/>
          <w:highlight w:val="none"/>
        </w:rPr>
        <w:t>附表四：《价格文件评分表》</w:t>
      </w:r>
    </w:p>
    <w:p w14:paraId="2C25DB7C">
      <w:pPr>
        <w:spacing w:before="0" w:after="0"/>
        <w:ind w:left="0" w:right="0" w:firstLine="0"/>
        <w:jc w:val="center"/>
        <w:rPr>
          <w:b/>
          <w:bCs/>
          <w:color w:val="auto"/>
          <w:highlight w:val="none"/>
        </w:rPr>
      </w:pPr>
      <w:r>
        <w:rPr>
          <w:rFonts w:hint="eastAsia"/>
          <w:b/>
          <w:bCs/>
          <w:color w:val="auto"/>
          <w:highlight w:val="none"/>
        </w:rPr>
        <w:t>价格文件评分表</w:t>
      </w:r>
    </w:p>
    <w:tbl>
      <w:tblPr>
        <w:tblStyle w:val="35"/>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116"/>
        <w:gridCol w:w="2151"/>
        <w:gridCol w:w="3254"/>
        <w:gridCol w:w="1171"/>
        <w:gridCol w:w="1329"/>
      </w:tblGrid>
      <w:tr w14:paraId="03F4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blHeader/>
          <w:jc w:val="center"/>
        </w:trPr>
        <w:tc>
          <w:tcPr>
            <w:tcW w:w="717" w:type="dxa"/>
            <w:tcBorders>
              <w:top w:val="single" w:color="auto" w:sz="4" w:space="0"/>
              <w:left w:val="single" w:color="auto" w:sz="4" w:space="0"/>
              <w:bottom w:val="single" w:color="auto" w:sz="4" w:space="0"/>
              <w:right w:val="single" w:color="auto" w:sz="4" w:space="0"/>
            </w:tcBorders>
            <w:vAlign w:val="center"/>
          </w:tcPr>
          <w:p w14:paraId="3724E25E">
            <w:pPr>
              <w:widowControl w:val="0"/>
              <w:ind w:right="-57"/>
              <w:jc w:val="center"/>
              <w:rPr>
                <w:b/>
                <w:color w:val="auto"/>
                <w:kern w:val="2"/>
                <w:highlight w:val="none"/>
              </w:rPr>
            </w:pPr>
            <w:r>
              <w:rPr>
                <w:rFonts w:hint="eastAsia"/>
                <w:b/>
                <w:color w:val="auto"/>
                <w:highlight w:val="none"/>
              </w:rPr>
              <w:t>序号</w:t>
            </w:r>
          </w:p>
        </w:tc>
        <w:tc>
          <w:tcPr>
            <w:tcW w:w="1116" w:type="dxa"/>
            <w:tcBorders>
              <w:top w:val="single" w:color="auto" w:sz="4" w:space="0"/>
              <w:left w:val="single" w:color="auto" w:sz="4" w:space="0"/>
              <w:bottom w:val="single" w:color="auto" w:sz="4" w:space="0"/>
              <w:right w:val="single" w:color="auto" w:sz="4" w:space="0"/>
            </w:tcBorders>
            <w:vAlign w:val="center"/>
          </w:tcPr>
          <w:p w14:paraId="30736202">
            <w:pPr>
              <w:widowControl w:val="0"/>
              <w:ind w:right="-57"/>
              <w:jc w:val="center"/>
              <w:rPr>
                <w:b/>
                <w:color w:val="auto"/>
                <w:kern w:val="2"/>
                <w:highlight w:val="none"/>
              </w:rPr>
            </w:pPr>
            <w:r>
              <w:rPr>
                <w:rFonts w:hint="eastAsia"/>
                <w:color w:val="auto"/>
                <w:highlight w:val="none"/>
              </w:rPr>
              <w:t>项目</w:t>
            </w:r>
          </w:p>
        </w:tc>
        <w:tc>
          <w:tcPr>
            <w:tcW w:w="2151" w:type="dxa"/>
            <w:tcBorders>
              <w:top w:val="single" w:color="auto" w:sz="4" w:space="0"/>
              <w:left w:val="single" w:color="auto" w:sz="4" w:space="0"/>
              <w:bottom w:val="single" w:color="auto" w:sz="4" w:space="0"/>
              <w:right w:val="single" w:color="auto" w:sz="4" w:space="0"/>
            </w:tcBorders>
            <w:vAlign w:val="center"/>
          </w:tcPr>
          <w:p w14:paraId="58942D8B">
            <w:pPr>
              <w:widowControl w:val="0"/>
              <w:ind w:right="-57"/>
              <w:jc w:val="center"/>
              <w:rPr>
                <w:b/>
                <w:bCs/>
                <w:color w:val="auto"/>
                <w:kern w:val="2"/>
                <w:highlight w:val="none"/>
              </w:rPr>
            </w:pPr>
            <w:r>
              <w:rPr>
                <w:rFonts w:hint="eastAsia"/>
                <w:color w:val="auto"/>
                <w:highlight w:val="none"/>
              </w:rPr>
              <w:t>评审基准价</w:t>
            </w:r>
          </w:p>
        </w:tc>
        <w:tc>
          <w:tcPr>
            <w:tcW w:w="3254" w:type="dxa"/>
            <w:tcBorders>
              <w:top w:val="single" w:color="auto" w:sz="4" w:space="0"/>
              <w:left w:val="single" w:color="auto" w:sz="4" w:space="0"/>
              <w:bottom w:val="single" w:color="auto" w:sz="4" w:space="0"/>
              <w:right w:val="single" w:color="auto" w:sz="4" w:space="0"/>
            </w:tcBorders>
            <w:vAlign w:val="center"/>
          </w:tcPr>
          <w:p w14:paraId="45D97C43">
            <w:pPr>
              <w:widowControl w:val="0"/>
              <w:ind w:left="751" w:leftChars="20" w:right="113"/>
              <w:jc w:val="center"/>
              <w:rPr>
                <w:b/>
                <w:bCs/>
                <w:color w:val="auto"/>
                <w:kern w:val="2"/>
                <w:highlight w:val="none"/>
              </w:rPr>
            </w:pPr>
            <w:r>
              <w:rPr>
                <w:rFonts w:hint="eastAsia"/>
                <w:color w:val="auto"/>
                <w:highlight w:val="none"/>
              </w:rPr>
              <w:t>评分标准</w:t>
            </w:r>
          </w:p>
        </w:tc>
        <w:tc>
          <w:tcPr>
            <w:tcW w:w="1171" w:type="dxa"/>
            <w:tcBorders>
              <w:top w:val="single" w:color="auto" w:sz="4" w:space="0"/>
              <w:left w:val="single" w:color="auto" w:sz="4" w:space="0"/>
              <w:bottom w:val="single" w:color="auto" w:sz="4" w:space="0"/>
              <w:right w:val="single" w:color="auto" w:sz="4" w:space="0"/>
            </w:tcBorders>
            <w:vAlign w:val="center"/>
          </w:tcPr>
          <w:p w14:paraId="639B28FF">
            <w:pPr>
              <w:widowControl w:val="0"/>
              <w:ind w:left="751" w:leftChars="20" w:right="113"/>
              <w:jc w:val="center"/>
              <w:rPr>
                <w:b/>
                <w:bCs/>
                <w:color w:val="auto"/>
                <w:highlight w:val="none"/>
              </w:rPr>
            </w:pPr>
            <w:r>
              <w:rPr>
                <w:rFonts w:hint="eastAsia"/>
                <w:color w:val="auto"/>
                <w:highlight w:val="none"/>
              </w:rPr>
              <w:t>分值</w:t>
            </w:r>
          </w:p>
        </w:tc>
        <w:tc>
          <w:tcPr>
            <w:tcW w:w="1329" w:type="dxa"/>
            <w:tcBorders>
              <w:top w:val="single" w:color="auto" w:sz="4" w:space="0"/>
              <w:left w:val="single" w:color="auto" w:sz="4" w:space="0"/>
              <w:bottom w:val="single" w:color="auto" w:sz="4" w:space="0"/>
              <w:right w:val="single" w:color="auto" w:sz="4" w:space="0"/>
            </w:tcBorders>
            <w:vAlign w:val="center"/>
          </w:tcPr>
          <w:p w14:paraId="3A0DC0C8">
            <w:pPr>
              <w:widowControl w:val="0"/>
              <w:ind w:left="751" w:leftChars="20" w:right="113"/>
              <w:jc w:val="center"/>
              <w:rPr>
                <w:color w:val="auto"/>
                <w:highlight w:val="none"/>
              </w:rPr>
            </w:pPr>
            <w:r>
              <w:rPr>
                <w:rFonts w:hint="eastAsia"/>
                <w:color w:val="auto"/>
                <w:highlight w:val="none"/>
              </w:rPr>
              <w:t>得分</w:t>
            </w:r>
          </w:p>
        </w:tc>
      </w:tr>
      <w:tr w14:paraId="3AD4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5" w:hRule="atLeast"/>
          <w:tblHeader/>
          <w:jc w:val="center"/>
        </w:trPr>
        <w:tc>
          <w:tcPr>
            <w:tcW w:w="717" w:type="dxa"/>
            <w:tcBorders>
              <w:top w:val="single" w:color="auto" w:sz="4" w:space="0"/>
              <w:left w:val="single" w:color="auto" w:sz="4" w:space="0"/>
              <w:bottom w:val="single" w:color="auto" w:sz="4" w:space="0"/>
              <w:right w:val="single" w:color="auto" w:sz="4" w:space="0"/>
            </w:tcBorders>
            <w:vAlign w:val="center"/>
          </w:tcPr>
          <w:p w14:paraId="7F4BA8C8">
            <w:pPr>
              <w:widowControl w:val="0"/>
              <w:ind w:right="-57"/>
              <w:jc w:val="center"/>
              <w:rPr>
                <w:b/>
                <w:color w:val="auto"/>
                <w:highlight w:val="none"/>
              </w:rPr>
            </w:pPr>
            <w:r>
              <w:rPr>
                <w:rFonts w:hint="eastAsia"/>
                <w:b/>
                <w:color w:val="auto"/>
                <w:highlight w:val="none"/>
              </w:rPr>
              <w:t>1</w:t>
            </w:r>
          </w:p>
        </w:tc>
        <w:tc>
          <w:tcPr>
            <w:tcW w:w="1116" w:type="dxa"/>
            <w:tcBorders>
              <w:top w:val="single" w:color="auto" w:sz="4" w:space="0"/>
              <w:left w:val="single" w:color="auto" w:sz="4" w:space="0"/>
              <w:bottom w:val="single" w:color="auto" w:sz="4" w:space="0"/>
              <w:right w:val="single" w:color="auto" w:sz="4" w:space="0"/>
            </w:tcBorders>
            <w:vAlign w:val="center"/>
          </w:tcPr>
          <w:p w14:paraId="203EC95B">
            <w:pPr>
              <w:widowControl w:val="0"/>
              <w:ind w:right="-57"/>
              <w:jc w:val="center"/>
              <w:rPr>
                <w:b/>
                <w:color w:val="auto"/>
                <w:highlight w:val="none"/>
              </w:rPr>
            </w:pPr>
            <w:r>
              <w:rPr>
                <w:rFonts w:hint="eastAsia" w:ascii="宋体" w:hAnsi="宋体"/>
                <w:color w:val="auto"/>
                <w:kern w:val="2"/>
                <w:highlight w:val="none"/>
              </w:rPr>
              <w:t>比选报价</w:t>
            </w:r>
          </w:p>
        </w:tc>
        <w:tc>
          <w:tcPr>
            <w:tcW w:w="2151" w:type="dxa"/>
            <w:tcBorders>
              <w:top w:val="single" w:color="auto" w:sz="4" w:space="0"/>
              <w:left w:val="single" w:color="auto" w:sz="4" w:space="0"/>
              <w:bottom w:val="single" w:color="auto" w:sz="4" w:space="0"/>
              <w:right w:val="single" w:color="auto" w:sz="4" w:space="0"/>
            </w:tcBorders>
            <w:vAlign w:val="center"/>
          </w:tcPr>
          <w:p w14:paraId="24BDFBAE">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val="en-US" w:eastAsia="zh-CN" w:bidi="ar"/>
              </w:rPr>
            </w:pP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1</w:t>
            </w:r>
            <w:r>
              <w:rPr>
                <w:rFonts w:hint="eastAsia" w:ascii="宋体" w:hAnsi="宋体" w:cs="宋体"/>
                <w:color w:val="auto"/>
                <w:kern w:val="2"/>
                <w:highlight w:val="none"/>
                <w:lang w:val="en-US" w:eastAsia="zh-CN" w:bidi="ar"/>
              </w:rPr>
              <w:t>）比选申请人总报价大于上控价时比选申请文件作无效处理。</w:t>
            </w:r>
          </w:p>
          <w:p w14:paraId="35062E57">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val="en-US" w:eastAsia="zh-CN" w:bidi="ar"/>
              </w:rPr>
            </w:pPr>
            <w:r>
              <w:rPr>
                <w:rFonts w:hint="eastAsia" w:ascii="宋体" w:hAnsi="宋体" w:cs="宋体"/>
                <w:color w:val="auto"/>
                <w:kern w:val="2"/>
                <w:highlight w:val="none"/>
                <w:lang w:val="en-US" w:eastAsia="zh-CN"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5089853A">
            <w:pPr>
              <w:widowControl w:val="0"/>
              <w:spacing w:before="0" w:after="0" w:afterAutospacing="0" w:line="240" w:lineRule="auto"/>
              <w:ind w:left="0" w:leftChars="0" w:right="0" w:rightChars="0" w:firstLine="0" w:firstLineChars="0"/>
              <w:jc w:val="center"/>
              <w:textAlignment w:val="center"/>
              <w:rPr>
                <w:b/>
                <w:bCs/>
                <w:color w:val="auto"/>
                <w:highlight w:val="none"/>
              </w:rPr>
            </w:pPr>
            <w:r>
              <w:rPr>
                <w:rFonts w:hint="eastAsia" w:ascii="宋体" w:hAnsi="宋体" w:cs="宋体"/>
                <w:color w:val="auto"/>
                <w:kern w:val="2"/>
                <w:highlight w:val="none"/>
                <w:lang w:val="en-US" w:eastAsia="zh-CN" w:bidi="ar"/>
              </w:rPr>
              <w:t>（3）如所有比选申请人的报价相同，则该报价为评审基准价。</w:t>
            </w:r>
          </w:p>
        </w:tc>
        <w:tc>
          <w:tcPr>
            <w:tcW w:w="3254" w:type="dxa"/>
            <w:tcBorders>
              <w:top w:val="single" w:color="auto" w:sz="4" w:space="0"/>
              <w:left w:val="single" w:color="auto" w:sz="4" w:space="0"/>
              <w:bottom w:val="single" w:color="auto" w:sz="4" w:space="0"/>
              <w:right w:val="single" w:color="auto" w:sz="4" w:space="0"/>
            </w:tcBorders>
            <w:vAlign w:val="center"/>
          </w:tcPr>
          <w:p w14:paraId="2E2BBD65">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评审时以经评审的基准价为最高分，采用内插法计算，比选申请人报价每高于基准价1％的扣1分，每低于基准价1％的扣0.5分，扣完即止。</w:t>
            </w:r>
          </w:p>
          <w:p w14:paraId="4DEF5EB0">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1）当评审价等于基准价时，比选申请人的价格得分为40分；</w:t>
            </w:r>
          </w:p>
          <w:p w14:paraId="1746D2AF">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2）当评审价高于基准价时，每高于基准价的1%，比选申请人的价格得分扣1分，中间数按内插法计算，即：某比选申请人价格分=40-（评审价-基准价）/基准价×100×1；</w:t>
            </w:r>
          </w:p>
          <w:p w14:paraId="2BF2C63C">
            <w:pPr>
              <w:widowControl w:val="0"/>
              <w:spacing w:before="0" w:after="0" w:afterAutospacing="0" w:line="240" w:lineRule="auto"/>
              <w:ind w:left="0" w:right="0" w:firstLine="0"/>
              <w:jc w:val="center"/>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3）当评审价低于基准价时，每低于基准价的1%，比选申请人的价格得分扣0.5分，中间数按内插法计算，即:某比选申请人价格分=40-（基准价-评审价）/基准价×100×0.5；</w:t>
            </w:r>
          </w:p>
          <w:p w14:paraId="56472192">
            <w:pPr>
              <w:widowControl w:val="0"/>
              <w:spacing w:before="0" w:after="0" w:afterAutospacing="0" w:line="240" w:lineRule="auto"/>
              <w:ind w:left="0" w:leftChars="0" w:right="0" w:rightChars="0" w:firstLine="0" w:firstLineChars="0"/>
              <w:jc w:val="center"/>
              <w:textAlignment w:val="center"/>
              <w:rPr>
                <w:color w:val="auto"/>
                <w:highlight w:val="none"/>
              </w:rPr>
            </w:pPr>
            <w:r>
              <w:rPr>
                <w:rFonts w:hint="eastAsia" w:ascii="宋体" w:hAnsi="宋体" w:cs="宋体"/>
                <w:color w:val="auto"/>
                <w:highlight w:val="none"/>
                <w:lang w:val="en-US" w:eastAsia="zh-CN" w:bidi="ar"/>
              </w:rPr>
              <w:t>本项最低为0分。</w:t>
            </w:r>
          </w:p>
        </w:tc>
        <w:tc>
          <w:tcPr>
            <w:tcW w:w="1171" w:type="dxa"/>
            <w:tcBorders>
              <w:top w:val="single" w:color="auto" w:sz="4" w:space="0"/>
              <w:left w:val="single" w:color="auto" w:sz="4" w:space="0"/>
              <w:bottom w:val="single" w:color="auto" w:sz="4" w:space="0"/>
              <w:right w:val="single" w:color="auto" w:sz="4" w:space="0"/>
            </w:tcBorders>
            <w:vAlign w:val="center"/>
          </w:tcPr>
          <w:p w14:paraId="28C07258">
            <w:pPr>
              <w:widowControl w:val="0"/>
              <w:spacing w:before="0" w:after="0" w:afterAutospacing="0"/>
              <w:ind w:left="0" w:right="0" w:firstLine="0"/>
              <w:rPr>
                <w:rFonts w:hint="default" w:ascii="宋体" w:hAnsi="宋体" w:eastAsia="宋体"/>
                <w:color w:val="auto"/>
                <w:kern w:val="2"/>
                <w:highlight w:val="none"/>
                <w:lang w:val="en-US" w:eastAsia="zh-CN"/>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w:t>
            </w:r>
            <w:r>
              <w:rPr>
                <w:rFonts w:hint="eastAsia" w:ascii="宋体" w:hAnsi="宋体"/>
                <w:color w:val="auto"/>
                <w:kern w:val="2"/>
                <w:highlight w:val="none"/>
                <w:lang w:val="en-US" w:eastAsia="zh-CN"/>
              </w:rPr>
              <w:t>40</w:t>
            </w:r>
          </w:p>
        </w:tc>
        <w:tc>
          <w:tcPr>
            <w:tcW w:w="1329" w:type="dxa"/>
            <w:tcBorders>
              <w:top w:val="single" w:color="auto" w:sz="4" w:space="0"/>
              <w:left w:val="single" w:color="auto" w:sz="4" w:space="0"/>
              <w:bottom w:val="single" w:color="auto" w:sz="4" w:space="0"/>
              <w:right w:val="single" w:color="auto" w:sz="4" w:space="0"/>
            </w:tcBorders>
            <w:vAlign w:val="center"/>
          </w:tcPr>
          <w:p w14:paraId="2964930B">
            <w:pPr>
              <w:widowControl w:val="0"/>
              <w:spacing w:before="0" w:after="0" w:afterAutospacing="0"/>
              <w:ind w:left="0" w:right="0" w:firstLine="0"/>
              <w:rPr>
                <w:rFonts w:ascii="宋体" w:hAnsi="宋体"/>
                <w:color w:val="auto"/>
                <w:kern w:val="2"/>
                <w:highlight w:val="none"/>
              </w:rPr>
            </w:pPr>
          </w:p>
        </w:tc>
      </w:tr>
      <w:tr w14:paraId="3B5B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blHeader/>
          <w:jc w:val="center"/>
        </w:trPr>
        <w:tc>
          <w:tcPr>
            <w:tcW w:w="1833" w:type="dxa"/>
            <w:gridSpan w:val="2"/>
            <w:tcBorders>
              <w:top w:val="single" w:color="auto" w:sz="4" w:space="0"/>
              <w:left w:val="single" w:color="auto" w:sz="4" w:space="0"/>
              <w:bottom w:val="single" w:color="auto" w:sz="4" w:space="0"/>
              <w:right w:val="single" w:color="auto" w:sz="4" w:space="0"/>
            </w:tcBorders>
            <w:vAlign w:val="center"/>
          </w:tcPr>
          <w:p w14:paraId="361C88C9">
            <w:pPr>
              <w:widowControl w:val="0"/>
              <w:ind w:right="-57"/>
              <w:jc w:val="center"/>
              <w:rPr>
                <w:color w:val="auto"/>
                <w:highlight w:val="none"/>
              </w:rPr>
            </w:pPr>
            <w:r>
              <w:rPr>
                <w:rFonts w:hint="eastAsia"/>
                <w:color w:val="auto"/>
                <w:highlight w:val="none"/>
              </w:rPr>
              <w:t>价格文件得分</w:t>
            </w:r>
          </w:p>
        </w:tc>
        <w:tc>
          <w:tcPr>
            <w:tcW w:w="2151" w:type="dxa"/>
            <w:tcBorders>
              <w:top w:val="single" w:color="auto" w:sz="4" w:space="0"/>
              <w:left w:val="single" w:color="auto" w:sz="4" w:space="0"/>
              <w:bottom w:val="single" w:color="auto" w:sz="4" w:space="0"/>
              <w:right w:val="single" w:color="auto" w:sz="4" w:space="0"/>
            </w:tcBorders>
            <w:vAlign w:val="center"/>
          </w:tcPr>
          <w:p w14:paraId="62C12A77">
            <w:pPr>
              <w:widowControl w:val="0"/>
              <w:ind w:right="-57"/>
              <w:jc w:val="center"/>
              <w:rPr>
                <w:b/>
                <w:bCs/>
                <w:color w:val="auto"/>
                <w:highlight w:val="none"/>
              </w:rPr>
            </w:pPr>
          </w:p>
        </w:tc>
        <w:tc>
          <w:tcPr>
            <w:tcW w:w="3254" w:type="dxa"/>
            <w:tcBorders>
              <w:top w:val="single" w:color="auto" w:sz="4" w:space="0"/>
              <w:left w:val="single" w:color="auto" w:sz="4" w:space="0"/>
              <w:bottom w:val="single" w:color="auto" w:sz="4" w:space="0"/>
              <w:right w:val="single" w:color="auto" w:sz="4" w:space="0"/>
            </w:tcBorders>
            <w:vAlign w:val="center"/>
          </w:tcPr>
          <w:p w14:paraId="1E3D7E5D">
            <w:pPr>
              <w:widowControl w:val="0"/>
              <w:ind w:left="751" w:leftChars="20" w:right="113"/>
              <w:jc w:val="center"/>
              <w:rPr>
                <w:rFonts w:hint="default" w:eastAsia="宋体"/>
                <w:b/>
                <w:bCs/>
                <w:color w:val="auto"/>
                <w:highlight w:val="none"/>
                <w:lang w:val="en-US" w:eastAsia="zh-CN"/>
              </w:rPr>
            </w:pPr>
            <w:r>
              <w:rPr>
                <w:rFonts w:hint="eastAsia"/>
                <w:b/>
                <w:bCs/>
                <w:color w:val="auto"/>
                <w:highlight w:val="none"/>
                <w:lang w:val="en-US" w:eastAsia="zh-CN"/>
              </w:rPr>
              <w:t>40</w:t>
            </w:r>
          </w:p>
        </w:tc>
        <w:tc>
          <w:tcPr>
            <w:tcW w:w="1171" w:type="dxa"/>
            <w:tcBorders>
              <w:top w:val="single" w:color="auto" w:sz="4" w:space="0"/>
              <w:left w:val="single" w:color="auto" w:sz="4" w:space="0"/>
              <w:bottom w:val="single" w:color="auto" w:sz="4" w:space="0"/>
              <w:right w:val="single" w:color="auto" w:sz="4" w:space="0"/>
            </w:tcBorders>
          </w:tcPr>
          <w:p w14:paraId="6FEC1E02">
            <w:pPr>
              <w:widowControl w:val="0"/>
              <w:ind w:left="751" w:leftChars="20" w:right="113"/>
              <w:jc w:val="center"/>
              <w:rPr>
                <w:b/>
                <w:bCs/>
                <w:color w:val="auto"/>
                <w:highlight w:val="none"/>
              </w:rPr>
            </w:pPr>
          </w:p>
        </w:tc>
        <w:tc>
          <w:tcPr>
            <w:tcW w:w="1329" w:type="dxa"/>
            <w:tcBorders>
              <w:top w:val="single" w:color="auto" w:sz="4" w:space="0"/>
              <w:left w:val="single" w:color="auto" w:sz="4" w:space="0"/>
              <w:bottom w:val="single" w:color="auto" w:sz="4" w:space="0"/>
              <w:right w:val="single" w:color="auto" w:sz="4" w:space="0"/>
            </w:tcBorders>
          </w:tcPr>
          <w:p w14:paraId="1B8CBF2E">
            <w:pPr>
              <w:widowControl w:val="0"/>
              <w:ind w:left="751" w:leftChars="20" w:right="113"/>
              <w:jc w:val="center"/>
              <w:rPr>
                <w:b/>
                <w:bCs/>
                <w:color w:val="auto"/>
                <w:highlight w:val="none"/>
              </w:rPr>
            </w:pPr>
          </w:p>
        </w:tc>
      </w:tr>
    </w:tbl>
    <w:p w14:paraId="526F88BE">
      <w:pPr>
        <w:pStyle w:val="17"/>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63CEC24A">
      <w:pPr>
        <w:pStyle w:val="17"/>
        <w:ind w:left="707" w:leftChars="207" w:hanging="272" w:hangingChars="136"/>
        <w:rPr>
          <w:color w:val="auto"/>
          <w:highlight w:val="none"/>
        </w:rPr>
      </w:pPr>
    </w:p>
    <w:p w14:paraId="35F70DB6">
      <w:pPr>
        <w:pStyle w:val="17"/>
        <w:ind w:left="707" w:leftChars="207" w:hanging="272" w:hangingChars="136"/>
        <w:rPr>
          <w:color w:val="auto"/>
          <w:highlight w:val="none"/>
        </w:rPr>
      </w:pPr>
    </w:p>
    <w:p w14:paraId="49D3A8EB">
      <w:pPr>
        <w:pStyle w:val="17"/>
        <w:ind w:left="707" w:leftChars="207" w:hanging="272" w:hangingChars="136"/>
        <w:rPr>
          <w:color w:val="auto"/>
          <w:highlight w:val="none"/>
        </w:rPr>
      </w:pPr>
    </w:p>
    <w:p w14:paraId="0825BE1E">
      <w:pPr>
        <w:pStyle w:val="17"/>
        <w:ind w:left="707" w:leftChars="207" w:hanging="272" w:hangingChars="136"/>
        <w:rPr>
          <w:color w:val="auto"/>
          <w:highlight w:val="none"/>
        </w:rPr>
      </w:pPr>
    </w:p>
    <w:p w14:paraId="02A311D8">
      <w:pPr>
        <w:spacing w:before="0" w:after="0"/>
        <w:ind w:left="0" w:right="0" w:firstLine="0"/>
        <w:jc w:val="left"/>
        <w:rPr>
          <w:b/>
          <w:bCs/>
          <w:color w:val="auto"/>
          <w:highlight w:val="none"/>
        </w:rPr>
      </w:pPr>
      <w:r>
        <w:rPr>
          <w:rFonts w:hint="eastAsia"/>
          <w:b/>
          <w:bCs/>
          <w:color w:val="auto"/>
          <w:highlight w:val="none"/>
        </w:rPr>
        <w:t>附表五：综合评审得分表</w:t>
      </w:r>
    </w:p>
    <w:p w14:paraId="77708009">
      <w:pPr>
        <w:pStyle w:val="17"/>
        <w:jc w:val="center"/>
        <w:rPr>
          <w:rFonts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6"/>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447"/>
        <w:gridCol w:w="2389"/>
        <w:gridCol w:w="2552"/>
      </w:tblGrid>
      <w:tr w14:paraId="6691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1670" w:type="dxa"/>
            <w:vAlign w:val="center"/>
          </w:tcPr>
          <w:p w14:paraId="7DA7F69A">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447" w:type="dxa"/>
            <w:vAlign w:val="center"/>
          </w:tcPr>
          <w:p w14:paraId="07275189">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389" w:type="dxa"/>
            <w:vAlign w:val="center"/>
          </w:tcPr>
          <w:p w14:paraId="1C7A1C94">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2552" w:type="dxa"/>
            <w:vAlign w:val="center"/>
          </w:tcPr>
          <w:p w14:paraId="7BE83601">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23DE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1670" w:type="dxa"/>
            <w:vAlign w:val="center"/>
          </w:tcPr>
          <w:p w14:paraId="67685D4D">
            <w:pPr>
              <w:pStyle w:val="17"/>
              <w:jc w:val="center"/>
              <w:rPr>
                <w:rFonts w:hAnsi="宋体"/>
                <w:color w:val="auto"/>
                <w:sz w:val="24"/>
                <w:szCs w:val="24"/>
                <w:highlight w:val="none"/>
              </w:rPr>
            </w:pPr>
            <w:r>
              <w:rPr>
                <w:rFonts w:hint="eastAsia" w:hAnsi="宋体"/>
                <w:color w:val="auto"/>
                <w:sz w:val="24"/>
                <w:szCs w:val="24"/>
                <w:highlight w:val="none"/>
              </w:rPr>
              <w:t>1</w:t>
            </w:r>
          </w:p>
        </w:tc>
        <w:tc>
          <w:tcPr>
            <w:tcW w:w="2447" w:type="dxa"/>
            <w:vAlign w:val="center"/>
          </w:tcPr>
          <w:p w14:paraId="7170775F">
            <w:pPr>
              <w:pStyle w:val="17"/>
              <w:jc w:val="center"/>
              <w:rPr>
                <w:rFonts w:hAnsi="宋体"/>
                <w:color w:val="auto"/>
                <w:sz w:val="24"/>
                <w:szCs w:val="24"/>
                <w:highlight w:val="none"/>
              </w:rPr>
            </w:pPr>
            <w:r>
              <w:rPr>
                <w:rFonts w:hint="eastAsia" w:hAnsi="宋体"/>
                <w:color w:val="auto"/>
                <w:sz w:val="24"/>
                <w:szCs w:val="24"/>
                <w:highlight w:val="none"/>
              </w:rPr>
              <w:t>技术文件得分</w:t>
            </w:r>
          </w:p>
        </w:tc>
        <w:tc>
          <w:tcPr>
            <w:tcW w:w="2389" w:type="dxa"/>
            <w:vAlign w:val="center"/>
          </w:tcPr>
          <w:p w14:paraId="1B5A4E82">
            <w:pPr>
              <w:pStyle w:val="17"/>
              <w:jc w:val="center"/>
              <w:rPr>
                <w:rFonts w:hint="default" w:hAnsi="宋体" w:eastAsia="宋体"/>
                <w:color w:val="auto"/>
                <w:sz w:val="24"/>
                <w:szCs w:val="24"/>
                <w:highlight w:val="none"/>
                <w:lang w:val="en-US" w:eastAsia="zh-CN"/>
              </w:rPr>
            </w:pPr>
            <w:r>
              <w:rPr>
                <w:rFonts w:hint="eastAsia" w:hAnsi="宋体"/>
                <w:color w:val="auto"/>
                <w:sz w:val="24"/>
                <w:szCs w:val="24"/>
                <w:highlight w:val="none"/>
                <w:lang w:val="en-US" w:eastAsia="zh-CN"/>
              </w:rPr>
              <w:t>60</w:t>
            </w:r>
          </w:p>
        </w:tc>
        <w:tc>
          <w:tcPr>
            <w:tcW w:w="2552" w:type="dxa"/>
            <w:vAlign w:val="center"/>
          </w:tcPr>
          <w:p w14:paraId="4AEFCBA4">
            <w:pPr>
              <w:pStyle w:val="17"/>
              <w:jc w:val="center"/>
              <w:rPr>
                <w:rFonts w:hAnsi="宋体"/>
                <w:color w:val="auto"/>
                <w:highlight w:val="none"/>
              </w:rPr>
            </w:pPr>
          </w:p>
        </w:tc>
      </w:tr>
      <w:tr w14:paraId="06A1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jc w:val="center"/>
        </w:trPr>
        <w:tc>
          <w:tcPr>
            <w:tcW w:w="1670" w:type="dxa"/>
            <w:vAlign w:val="center"/>
          </w:tcPr>
          <w:p w14:paraId="3F424688">
            <w:pPr>
              <w:pStyle w:val="17"/>
              <w:jc w:val="center"/>
              <w:rPr>
                <w:rFonts w:hAnsi="宋体"/>
                <w:color w:val="auto"/>
                <w:sz w:val="24"/>
                <w:szCs w:val="24"/>
                <w:highlight w:val="none"/>
              </w:rPr>
            </w:pPr>
            <w:r>
              <w:rPr>
                <w:rFonts w:hint="eastAsia" w:hAnsi="宋体"/>
                <w:color w:val="auto"/>
                <w:sz w:val="24"/>
                <w:szCs w:val="24"/>
                <w:highlight w:val="none"/>
              </w:rPr>
              <w:t>2</w:t>
            </w:r>
          </w:p>
        </w:tc>
        <w:tc>
          <w:tcPr>
            <w:tcW w:w="2447" w:type="dxa"/>
            <w:vAlign w:val="center"/>
          </w:tcPr>
          <w:p w14:paraId="3A5608D9">
            <w:pPr>
              <w:pStyle w:val="17"/>
              <w:jc w:val="center"/>
              <w:rPr>
                <w:rFonts w:hAnsi="宋体"/>
                <w:color w:val="auto"/>
                <w:sz w:val="24"/>
                <w:szCs w:val="24"/>
                <w:highlight w:val="none"/>
              </w:rPr>
            </w:pPr>
            <w:r>
              <w:rPr>
                <w:rFonts w:hint="eastAsia" w:hAnsi="宋体"/>
                <w:color w:val="auto"/>
                <w:sz w:val="24"/>
                <w:szCs w:val="24"/>
                <w:highlight w:val="none"/>
              </w:rPr>
              <w:t>价格文件得分</w:t>
            </w:r>
          </w:p>
        </w:tc>
        <w:tc>
          <w:tcPr>
            <w:tcW w:w="2389" w:type="dxa"/>
            <w:vAlign w:val="center"/>
          </w:tcPr>
          <w:p w14:paraId="6D3F0F38">
            <w:pPr>
              <w:pStyle w:val="17"/>
              <w:jc w:val="center"/>
              <w:rPr>
                <w:rFonts w:hint="default" w:hAnsi="宋体" w:eastAsia="宋体"/>
                <w:color w:val="auto"/>
                <w:sz w:val="24"/>
                <w:szCs w:val="24"/>
                <w:highlight w:val="none"/>
                <w:lang w:val="en-US" w:eastAsia="zh-CN"/>
              </w:rPr>
            </w:pPr>
            <w:r>
              <w:rPr>
                <w:rFonts w:hint="eastAsia" w:hAnsi="宋体"/>
                <w:color w:val="auto"/>
                <w:sz w:val="24"/>
                <w:szCs w:val="24"/>
                <w:highlight w:val="none"/>
                <w:lang w:val="en-US" w:eastAsia="zh-CN"/>
              </w:rPr>
              <w:t>40</w:t>
            </w:r>
          </w:p>
        </w:tc>
        <w:tc>
          <w:tcPr>
            <w:tcW w:w="2552" w:type="dxa"/>
            <w:vAlign w:val="center"/>
          </w:tcPr>
          <w:p w14:paraId="0AF2BC79">
            <w:pPr>
              <w:pStyle w:val="17"/>
              <w:ind w:left="0" w:firstLine="0"/>
              <w:jc w:val="center"/>
              <w:rPr>
                <w:rFonts w:hAnsi="宋体"/>
                <w:color w:val="auto"/>
                <w:highlight w:val="none"/>
              </w:rPr>
            </w:pPr>
          </w:p>
        </w:tc>
      </w:tr>
      <w:tr w14:paraId="5295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6506" w:type="dxa"/>
            <w:gridSpan w:val="3"/>
            <w:vAlign w:val="center"/>
          </w:tcPr>
          <w:p w14:paraId="4A2AD6FA">
            <w:pPr>
              <w:pStyle w:val="17"/>
              <w:jc w:val="center"/>
              <w:rPr>
                <w:rFonts w:hAnsi="宋体"/>
                <w:color w:val="auto"/>
                <w:highlight w:val="none"/>
              </w:rPr>
            </w:pPr>
            <w:r>
              <w:rPr>
                <w:rFonts w:hint="eastAsia" w:hAnsi="宋体"/>
                <w:color w:val="auto"/>
                <w:sz w:val="24"/>
                <w:szCs w:val="24"/>
                <w:highlight w:val="none"/>
              </w:rPr>
              <w:t>最终得分（合计）</w:t>
            </w:r>
          </w:p>
        </w:tc>
        <w:tc>
          <w:tcPr>
            <w:tcW w:w="2552" w:type="dxa"/>
            <w:vAlign w:val="center"/>
          </w:tcPr>
          <w:p w14:paraId="4C2A0768">
            <w:pPr>
              <w:pStyle w:val="17"/>
              <w:jc w:val="center"/>
              <w:rPr>
                <w:rFonts w:hAnsi="宋体"/>
                <w:color w:val="auto"/>
                <w:highlight w:val="none"/>
              </w:rPr>
            </w:pPr>
          </w:p>
        </w:tc>
      </w:tr>
    </w:tbl>
    <w:p w14:paraId="333564B2">
      <w:pPr>
        <w:pStyle w:val="17"/>
        <w:rPr>
          <w:rFonts w:hAnsi="宋体"/>
          <w:color w:val="auto"/>
          <w:highlight w:val="none"/>
        </w:rPr>
      </w:pPr>
    </w:p>
    <w:p w14:paraId="14367B49">
      <w:pPr>
        <w:spacing w:before="159"/>
        <w:ind w:right="-57" w:firstLine="0"/>
        <w:jc w:val="center"/>
        <w:rPr>
          <w:rFonts w:ascii="宋体" w:hAnsi="宋体"/>
          <w:b/>
          <w:color w:val="auto"/>
          <w:sz w:val="28"/>
          <w:szCs w:val="28"/>
          <w:highlight w:val="none"/>
        </w:rPr>
      </w:pPr>
    </w:p>
    <w:p w14:paraId="3EF2C7B9">
      <w:pPr>
        <w:spacing w:before="0"/>
        <w:ind w:right="0" w:firstLine="0"/>
        <w:jc w:val="left"/>
        <w:rPr>
          <w:rFonts w:ascii="宋体" w:hAnsi="宋体"/>
          <w:b/>
          <w:color w:val="auto"/>
          <w:sz w:val="28"/>
          <w:szCs w:val="28"/>
          <w:highlight w:val="none"/>
        </w:rPr>
      </w:pPr>
      <w:r>
        <w:rPr>
          <w:rFonts w:hint="eastAsia" w:ascii="宋体" w:hAnsi="宋体"/>
          <w:b/>
          <w:color w:val="auto"/>
          <w:sz w:val="28"/>
          <w:szCs w:val="28"/>
          <w:highlight w:val="none"/>
        </w:rPr>
        <w:br w:type="page"/>
      </w:r>
    </w:p>
    <w:p w14:paraId="3DDBB0A5">
      <w:pPr>
        <w:spacing w:before="159"/>
        <w:ind w:right="-57" w:firstLine="0"/>
        <w:jc w:val="center"/>
        <w:rPr>
          <w:rFonts w:ascii="宋体" w:hAnsi="宋体"/>
          <w:b/>
          <w:color w:val="auto"/>
          <w:sz w:val="28"/>
          <w:szCs w:val="28"/>
          <w:highlight w:val="none"/>
        </w:rPr>
      </w:pPr>
      <w:r>
        <w:rPr>
          <w:rFonts w:hint="eastAsia" w:ascii="宋体" w:hAnsi="宋体"/>
          <w:b/>
          <w:color w:val="auto"/>
          <w:sz w:val="28"/>
          <w:szCs w:val="28"/>
          <w:highlight w:val="none"/>
        </w:rPr>
        <w:t>附表：比选申请报价修正表</w:t>
      </w:r>
    </w:p>
    <w:tbl>
      <w:tblPr>
        <w:tblStyle w:val="35"/>
        <w:tblW w:w="92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4"/>
        <w:gridCol w:w="2070"/>
        <w:gridCol w:w="2594"/>
        <w:gridCol w:w="2940"/>
      </w:tblGrid>
      <w:tr w14:paraId="16CCB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1694" w:type="dxa"/>
            <w:tcBorders>
              <w:left w:val="single" w:color="auto" w:sz="4" w:space="0"/>
              <w:bottom w:val="single" w:color="auto" w:sz="4" w:space="0"/>
              <w:right w:val="single" w:color="auto" w:sz="4" w:space="0"/>
            </w:tcBorders>
            <w:vAlign w:val="center"/>
          </w:tcPr>
          <w:p w14:paraId="5984697B">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编号</w:t>
            </w:r>
          </w:p>
        </w:tc>
        <w:tc>
          <w:tcPr>
            <w:tcW w:w="2070" w:type="dxa"/>
            <w:tcBorders>
              <w:left w:val="single" w:color="auto" w:sz="4" w:space="0"/>
              <w:bottom w:val="single" w:color="auto" w:sz="4" w:space="0"/>
              <w:right w:val="single" w:color="auto" w:sz="4" w:space="0"/>
            </w:tcBorders>
            <w:vAlign w:val="center"/>
          </w:tcPr>
          <w:p w14:paraId="5544513F">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修正项目</w:t>
            </w:r>
          </w:p>
        </w:tc>
        <w:tc>
          <w:tcPr>
            <w:tcW w:w="2594" w:type="dxa"/>
            <w:tcBorders>
              <w:left w:val="single" w:color="auto" w:sz="4" w:space="0"/>
              <w:bottom w:val="single" w:color="auto" w:sz="4" w:space="0"/>
              <w:right w:val="single" w:color="auto" w:sz="4" w:space="0"/>
            </w:tcBorders>
            <w:vAlign w:val="center"/>
          </w:tcPr>
          <w:p w14:paraId="2B2F2C0B">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修正前比选申请报价</w:t>
            </w:r>
          </w:p>
        </w:tc>
        <w:tc>
          <w:tcPr>
            <w:tcW w:w="2940" w:type="dxa"/>
            <w:tcBorders>
              <w:top w:val="single" w:color="auto" w:sz="4" w:space="0"/>
              <w:left w:val="single" w:color="auto" w:sz="4" w:space="0"/>
              <w:bottom w:val="single" w:color="auto" w:sz="4" w:space="0"/>
              <w:right w:val="single" w:color="auto" w:sz="4" w:space="0"/>
            </w:tcBorders>
            <w:vAlign w:val="center"/>
          </w:tcPr>
          <w:p w14:paraId="3749BC96">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修正后比选申请报价</w:t>
            </w:r>
          </w:p>
        </w:tc>
      </w:tr>
      <w:tr w14:paraId="50A39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1694" w:type="dxa"/>
            <w:tcBorders>
              <w:left w:val="single" w:color="auto" w:sz="4" w:space="0"/>
              <w:right w:val="single" w:color="auto" w:sz="4" w:space="0"/>
            </w:tcBorders>
            <w:vAlign w:val="center"/>
          </w:tcPr>
          <w:p w14:paraId="703A127A">
            <w:pPr>
              <w:spacing w:before="0" w:line="240" w:lineRule="auto"/>
              <w:ind w:right="0" w:firstLine="0"/>
              <w:jc w:val="center"/>
              <w:rPr>
                <w:rFonts w:ascii="宋体" w:hAnsi="宋体"/>
                <w:color w:val="auto"/>
                <w:highlight w:val="none"/>
              </w:rPr>
            </w:pPr>
          </w:p>
        </w:tc>
        <w:tc>
          <w:tcPr>
            <w:tcW w:w="2070" w:type="dxa"/>
            <w:tcBorders>
              <w:left w:val="single" w:color="auto" w:sz="4" w:space="0"/>
              <w:right w:val="single" w:color="auto" w:sz="4" w:space="0"/>
            </w:tcBorders>
            <w:vAlign w:val="center"/>
          </w:tcPr>
          <w:p w14:paraId="018EA388">
            <w:pPr>
              <w:spacing w:before="0" w:line="240" w:lineRule="auto"/>
              <w:ind w:right="0" w:firstLine="0"/>
              <w:jc w:val="left"/>
              <w:rPr>
                <w:rFonts w:ascii="宋体" w:hAnsi="宋体" w:cs="宋体"/>
                <w:color w:val="auto"/>
                <w:highlight w:val="none"/>
              </w:rPr>
            </w:pPr>
          </w:p>
        </w:tc>
        <w:tc>
          <w:tcPr>
            <w:tcW w:w="2594" w:type="dxa"/>
            <w:tcBorders>
              <w:left w:val="single" w:color="auto" w:sz="4" w:space="0"/>
              <w:right w:val="single" w:color="auto" w:sz="4" w:space="0"/>
            </w:tcBorders>
            <w:vAlign w:val="center"/>
          </w:tcPr>
          <w:p w14:paraId="6B2ADC56">
            <w:pPr>
              <w:spacing w:before="0" w:line="240" w:lineRule="auto"/>
              <w:ind w:right="0" w:firstLine="0"/>
              <w:jc w:val="center"/>
              <w:rPr>
                <w:rFonts w:ascii="宋体" w:hAnsi="宋体" w:cs="宋体"/>
                <w:color w:val="auto"/>
                <w:highlight w:val="none"/>
              </w:rPr>
            </w:pPr>
          </w:p>
        </w:tc>
        <w:tc>
          <w:tcPr>
            <w:tcW w:w="2940" w:type="dxa"/>
            <w:tcBorders>
              <w:top w:val="single" w:color="auto" w:sz="4" w:space="0"/>
              <w:left w:val="single" w:color="auto" w:sz="4" w:space="0"/>
              <w:bottom w:val="single" w:color="auto" w:sz="4" w:space="0"/>
              <w:right w:val="single" w:color="auto" w:sz="4" w:space="0"/>
            </w:tcBorders>
            <w:vAlign w:val="center"/>
          </w:tcPr>
          <w:p w14:paraId="3D837B53">
            <w:pPr>
              <w:spacing w:before="0" w:line="240" w:lineRule="auto"/>
              <w:ind w:right="0" w:firstLine="0"/>
              <w:rPr>
                <w:rFonts w:ascii="宋体" w:hAnsi="宋体"/>
                <w:color w:val="auto"/>
                <w:highlight w:val="none"/>
              </w:rPr>
            </w:pPr>
          </w:p>
        </w:tc>
      </w:tr>
      <w:tr w14:paraId="57952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1694" w:type="dxa"/>
            <w:tcBorders>
              <w:left w:val="single" w:color="auto" w:sz="4" w:space="0"/>
              <w:right w:val="single" w:color="auto" w:sz="4" w:space="0"/>
            </w:tcBorders>
            <w:vAlign w:val="center"/>
          </w:tcPr>
          <w:p w14:paraId="43BF8738">
            <w:pPr>
              <w:spacing w:before="0" w:line="240" w:lineRule="auto"/>
              <w:ind w:right="0" w:firstLine="0"/>
              <w:jc w:val="center"/>
              <w:rPr>
                <w:rFonts w:ascii="宋体" w:hAnsi="宋体"/>
                <w:color w:val="auto"/>
                <w:highlight w:val="none"/>
              </w:rPr>
            </w:pPr>
          </w:p>
        </w:tc>
        <w:tc>
          <w:tcPr>
            <w:tcW w:w="2070" w:type="dxa"/>
            <w:tcBorders>
              <w:left w:val="single" w:color="auto" w:sz="4" w:space="0"/>
              <w:right w:val="single" w:color="auto" w:sz="4" w:space="0"/>
            </w:tcBorders>
            <w:vAlign w:val="center"/>
          </w:tcPr>
          <w:p w14:paraId="599068F0">
            <w:pPr>
              <w:spacing w:before="0" w:line="240" w:lineRule="auto"/>
              <w:ind w:right="0" w:firstLine="0"/>
              <w:jc w:val="center"/>
              <w:rPr>
                <w:rFonts w:ascii="宋体" w:hAnsi="宋体"/>
                <w:color w:val="auto"/>
                <w:highlight w:val="none"/>
              </w:rPr>
            </w:pPr>
          </w:p>
        </w:tc>
        <w:tc>
          <w:tcPr>
            <w:tcW w:w="2594" w:type="dxa"/>
            <w:tcBorders>
              <w:left w:val="single" w:color="auto" w:sz="4" w:space="0"/>
              <w:right w:val="single" w:color="auto" w:sz="4" w:space="0"/>
            </w:tcBorders>
            <w:vAlign w:val="center"/>
          </w:tcPr>
          <w:p w14:paraId="5F38925D">
            <w:pPr>
              <w:spacing w:before="0" w:line="240" w:lineRule="auto"/>
              <w:ind w:right="0" w:firstLine="0"/>
              <w:jc w:val="left"/>
              <w:rPr>
                <w:rFonts w:ascii="宋体" w:hAnsi="宋体"/>
                <w:b/>
                <w:color w:val="auto"/>
                <w:sz w:val="24"/>
                <w:szCs w:val="24"/>
                <w:highlight w:val="none"/>
              </w:rPr>
            </w:pPr>
          </w:p>
        </w:tc>
        <w:tc>
          <w:tcPr>
            <w:tcW w:w="2940" w:type="dxa"/>
            <w:tcBorders>
              <w:top w:val="single" w:color="auto" w:sz="4" w:space="0"/>
              <w:left w:val="single" w:color="auto" w:sz="4" w:space="0"/>
              <w:bottom w:val="single" w:color="auto" w:sz="4" w:space="0"/>
              <w:right w:val="single" w:color="auto" w:sz="4" w:space="0"/>
            </w:tcBorders>
            <w:vAlign w:val="center"/>
          </w:tcPr>
          <w:p w14:paraId="34D3C758">
            <w:pPr>
              <w:spacing w:before="0" w:line="240" w:lineRule="auto"/>
              <w:ind w:right="0" w:firstLine="0"/>
              <w:jc w:val="left"/>
              <w:rPr>
                <w:rFonts w:ascii="宋体" w:hAnsi="宋体" w:cs="宋体"/>
                <w:b/>
                <w:color w:val="auto"/>
                <w:sz w:val="24"/>
                <w:szCs w:val="24"/>
                <w:highlight w:val="none"/>
              </w:rPr>
            </w:pPr>
          </w:p>
        </w:tc>
      </w:tr>
      <w:tr w14:paraId="3CD4D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atLeast"/>
          <w:jc w:val="center"/>
        </w:trPr>
        <w:tc>
          <w:tcPr>
            <w:tcW w:w="1694" w:type="dxa"/>
            <w:tcBorders>
              <w:left w:val="single" w:color="auto" w:sz="4" w:space="0"/>
              <w:right w:val="single" w:color="auto" w:sz="4" w:space="0"/>
            </w:tcBorders>
            <w:vAlign w:val="center"/>
          </w:tcPr>
          <w:p w14:paraId="5B34BF3C">
            <w:pPr>
              <w:spacing w:before="0" w:line="240" w:lineRule="auto"/>
              <w:ind w:left="0" w:right="0" w:firstLine="0"/>
              <w:jc w:val="left"/>
              <w:rPr>
                <w:rFonts w:ascii="宋体" w:hAnsi="宋体"/>
                <w:b/>
                <w:color w:val="auto"/>
                <w:sz w:val="24"/>
                <w:szCs w:val="24"/>
                <w:highlight w:val="none"/>
              </w:rPr>
            </w:pPr>
            <w:r>
              <w:rPr>
                <w:rFonts w:hint="eastAsia" w:ascii="宋体" w:hAnsi="宋体"/>
                <w:b/>
                <w:color w:val="auto"/>
                <w:sz w:val="24"/>
                <w:szCs w:val="24"/>
                <w:highlight w:val="none"/>
              </w:rPr>
              <w:t>修正前比选申请报价总价：</w:t>
            </w:r>
          </w:p>
        </w:tc>
        <w:tc>
          <w:tcPr>
            <w:tcW w:w="7604" w:type="dxa"/>
            <w:gridSpan w:val="3"/>
            <w:tcBorders>
              <w:left w:val="single" w:color="auto" w:sz="4" w:space="0"/>
              <w:right w:val="single" w:color="auto" w:sz="4" w:space="0"/>
            </w:tcBorders>
            <w:vAlign w:val="center"/>
          </w:tcPr>
          <w:p w14:paraId="12E7C43B">
            <w:pPr>
              <w:spacing w:before="0" w:line="240" w:lineRule="auto"/>
              <w:ind w:right="0" w:firstLine="0"/>
              <w:rPr>
                <w:rFonts w:ascii="宋体" w:hAnsi="宋体" w:cs="宋体"/>
                <w:b/>
                <w:color w:val="auto"/>
                <w:sz w:val="24"/>
                <w:szCs w:val="24"/>
                <w:highlight w:val="none"/>
              </w:rPr>
            </w:pPr>
          </w:p>
        </w:tc>
      </w:tr>
      <w:tr w14:paraId="39EFA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atLeast"/>
          <w:jc w:val="center"/>
        </w:trPr>
        <w:tc>
          <w:tcPr>
            <w:tcW w:w="1694" w:type="dxa"/>
            <w:tcBorders>
              <w:left w:val="single" w:color="auto" w:sz="4" w:space="0"/>
              <w:right w:val="single" w:color="auto" w:sz="4" w:space="0"/>
            </w:tcBorders>
            <w:vAlign w:val="center"/>
          </w:tcPr>
          <w:p w14:paraId="797C6DE8">
            <w:pPr>
              <w:spacing w:before="0" w:line="240" w:lineRule="auto"/>
              <w:ind w:left="0" w:right="0" w:firstLine="0"/>
              <w:jc w:val="left"/>
              <w:rPr>
                <w:rFonts w:ascii="宋体" w:hAnsi="宋体"/>
                <w:b/>
                <w:color w:val="auto"/>
                <w:sz w:val="24"/>
                <w:szCs w:val="24"/>
                <w:highlight w:val="none"/>
              </w:rPr>
            </w:pPr>
            <w:r>
              <w:rPr>
                <w:rFonts w:hint="eastAsia" w:ascii="宋体" w:hAnsi="宋体"/>
                <w:b/>
                <w:color w:val="auto"/>
                <w:sz w:val="24"/>
                <w:szCs w:val="24"/>
                <w:highlight w:val="none"/>
              </w:rPr>
              <w:t>修正后比选申请报价总价：</w:t>
            </w:r>
          </w:p>
        </w:tc>
        <w:tc>
          <w:tcPr>
            <w:tcW w:w="7604" w:type="dxa"/>
            <w:gridSpan w:val="3"/>
            <w:tcBorders>
              <w:left w:val="single" w:color="auto" w:sz="4" w:space="0"/>
              <w:right w:val="single" w:color="auto" w:sz="4" w:space="0"/>
            </w:tcBorders>
            <w:vAlign w:val="center"/>
          </w:tcPr>
          <w:p w14:paraId="28C91170">
            <w:pPr>
              <w:spacing w:before="0" w:line="240" w:lineRule="auto"/>
              <w:ind w:right="0" w:firstLine="0"/>
              <w:rPr>
                <w:rFonts w:ascii="宋体" w:hAnsi="宋体" w:cs="宋体"/>
                <w:b/>
                <w:color w:val="auto"/>
                <w:sz w:val="24"/>
                <w:szCs w:val="24"/>
                <w:highlight w:val="none"/>
              </w:rPr>
            </w:pPr>
          </w:p>
        </w:tc>
      </w:tr>
      <w:tr w14:paraId="22818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1694" w:type="dxa"/>
            <w:tcBorders>
              <w:left w:val="single" w:color="auto" w:sz="4" w:space="0"/>
              <w:right w:val="single" w:color="auto" w:sz="4" w:space="0"/>
            </w:tcBorders>
            <w:vAlign w:val="center"/>
          </w:tcPr>
          <w:p w14:paraId="5E2F7BA9">
            <w:pPr>
              <w:spacing w:before="0" w:line="240" w:lineRule="auto"/>
              <w:ind w:left="0" w:right="0" w:firstLine="0"/>
              <w:jc w:val="left"/>
              <w:rPr>
                <w:rFonts w:ascii="宋体" w:hAnsi="宋体"/>
                <w:b/>
                <w:color w:val="auto"/>
                <w:sz w:val="24"/>
                <w:szCs w:val="24"/>
                <w:highlight w:val="none"/>
              </w:rPr>
            </w:pPr>
            <w:r>
              <w:rPr>
                <w:rFonts w:hint="eastAsia" w:ascii="宋体" w:hAnsi="宋体"/>
                <w:b/>
                <w:color w:val="auto"/>
                <w:sz w:val="24"/>
                <w:szCs w:val="24"/>
                <w:highlight w:val="none"/>
              </w:rPr>
              <w:t>比选申请人名称</w:t>
            </w:r>
          </w:p>
        </w:tc>
        <w:tc>
          <w:tcPr>
            <w:tcW w:w="7604" w:type="dxa"/>
            <w:gridSpan w:val="3"/>
            <w:tcBorders>
              <w:left w:val="single" w:color="auto" w:sz="4" w:space="0"/>
              <w:right w:val="single" w:color="auto" w:sz="4" w:space="0"/>
            </w:tcBorders>
            <w:vAlign w:val="center"/>
          </w:tcPr>
          <w:p w14:paraId="63397240">
            <w:pPr>
              <w:spacing w:before="0" w:line="240" w:lineRule="auto"/>
              <w:ind w:right="0" w:firstLine="0"/>
              <w:rPr>
                <w:rFonts w:ascii="宋体" w:hAnsi="宋体" w:cs="宋体"/>
                <w:b/>
                <w:color w:val="auto"/>
                <w:sz w:val="24"/>
                <w:szCs w:val="24"/>
                <w:highlight w:val="none"/>
              </w:rPr>
            </w:pPr>
          </w:p>
        </w:tc>
      </w:tr>
      <w:tr w14:paraId="2F6A2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jc w:val="center"/>
        </w:trPr>
        <w:tc>
          <w:tcPr>
            <w:tcW w:w="1694" w:type="dxa"/>
            <w:tcBorders>
              <w:left w:val="single" w:color="auto" w:sz="4" w:space="0"/>
              <w:right w:val="single" w:color="auto" w:sz="4" w:space="0"/>
            </w:tcBorders>
            <w:vAlign w:val="center"/>
          </w:tcPr>
          <w:p w14:paraId="5E3DA508">
            <w:pPr>
              <w:spacing w:before="0" w:line="240" w:lineRule="auto"/>
              <w:ind w:left="0" w:right="0" w:firstLine="0"/>
              <w:jc w:val="left"/>
              <w:rPr>
                <w:rFonts w:ascii="宋体" w:hAnsi="宋体"/>
                <w:b/>
                <w:color w:val="auto"/>
                <w:sz w:val="24"/>
                <w:szCs w:val="24"/>
                <w:highlight w:val="none"/>
              </w:rPr>
            </w:pPr>
            <w:r>
              <w:rPr>
                <w:rFonts w:hint="eastAsia" w:ascii="宋体" w:hAnsi="宋体"/>
                <w:b/>
                <w:color w:val="auto"/>
                <w:sz w:val="24"/>
                <w:szCs w:val="24"/>
                <w:highlight w:val="none"/>
              </w:rPr>
              <w:t>比选申请人声明</w:t>
            </w:r>
          </w:p>
        </w:tc>
        <w:tc>
          <w:tcPr>
            <w:tcW w:w="7604" w:type="dxa"/>
            <w:gridSpan w:val="3"/>
            <w:tcBorders>
              <w:left w:val="single" w:color="auto" w:sz="4" w:space="0"/>
              <w:right w:val="single" w:color="auto" w:sz="4" w:space="0"/>
            </w:tcBorders>
            <w:vAlign w:val="center"/>
          </w:tcPr>
          <w:p w14:paraId="0E8559BA">
            <w:pPr>
              <w:spacing w:before="0" w:line="240" w:lineRule="auto"/>
              <w:ind w:right="0" w:firstLine="0"/>
              <w:rPr>
                <w:rFonts w:ascii="宋体" w:hAnsi="宋体"/>
                <w:b/>
                <w:color w:val="auto"/>
                <w:sz w:val="24"/>
                <w:szCs w:val="24"/>
                <w:highlight w:val="none"/>
              </w:rPr>
            </w:pPr>
            <w:r>
              <w:rPr>
                <w:rFonts w:hint="eastAsia" w:ascii="宋体" w:hAnsi="宋体" w:cs="宋体"/>
                <w:b/>
                <w:color w:val="auto"/>
                <w:sz w:val="24"/>
                <w:szCs w:val="24"/>
                <w:highlight w:val="none"/>
              </w:rPr>
              <w:t>我单位（</w:t>
            </w:r>
            <w:r>
              <w:rPr>
                <w:rFonts w:ascii="宋体" w:hAnsi="宋体"/>
                <w:b/>
                <w:color w:val="auto"/>
                <w:sz w:val="44"/>
                <w:szCs w:val="44"/>
                <w:highlight w:val="none"/>
              </w:rPr>
              <w:t>□</w:t>
            </w:r>
            <w:r>
              <w:rPr>
                <w:rFonts w:hint="eastAsia" w:ascii="宋体" w:hAnsi="宋体" w:cs="宋体"/>
                <w:b/>
                <w:color w:val="auto"/>
                <w:sz w:val="24"/>
                <w:szCs w:val="24"/>
                <w:highlight w:val="none"/>
              </w:rPr>
              <w:t>接受</w:t>
            </w:r>
            <w:r>
              <w:rPr>
                <w:rFonts w:ascii="宋体" w:hAnsi="宋体"/>
                <w:b/>
                <w:color w:val="auto"/>
                <w:sz w:val="44"/>
                <w:szCs w:val="44"/>
                <w:highlight w:val="none"/>
              </w:rPr>
              <w:t>□</w:t>
            </w:r>
            <w:r>
              <w:rPr>
                <w:rFonts w:ascii="宋体" w:hAnsi="宋体"/>
                <w:b/>
                <w:color w:val="auto"/>
                <w:sz w:val="24"/>
                <w:szCs w:val="24"/>
                <w:highlight w:val="none"/>
              </w:rPr>
              <w:t>不接受</w:t>
            </w:r>
            <w:r>
              <w:rPr>
                <w:rFonts w:hint="eastAsia" w:ascii="宋体" w:hAnsi="宋体"/>
                <w:b/>
                <w:color w:val="auto"/>
                <w:sz w:val="24"/>
                <w:szCs w:val="24"/>
                <w:highlight w:val="none"/>
              </w:rPr>
              <w:t>）本评审办法第3.3款价格评审确定的评审总价和中选价。</w:t>
            </w:r>
          </w:p>
        </w:tc>
      </w:tr>
      <w:tr w14:paraId="7DF10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8" w:hRule="atLeast"/>
          <w:jc w:val="center"/>
        </w:trPr>
        <w:tc>
          <w:tcPr>
            <w:tcW w:w="1694" w:type="dxa"/>
            <w:tcBorders>
              <w:left w:val="single" w:color="auto" w:sz="4" w:space="0"/>
              <w:right w:val="single" w:color="auto" w:sz="4" w:space="0"/>
            </w:tcBorders>
            <w:vAlign w:val="center"/>
          </w:tcPr>
          <w:p w14:paraId="6AA5B3D7">
            <w:pPr>
              <w:spacing w:before="0" w:line="240" w:lineRule="auto"/>
              <w:ind w:left="0" w:right="0" w:firstLine="0"/>
              <w:jc w:val="left"/>
              <w:rPr>
                <w:rFonts w:ascii="宋体" w:hAnsi="宋体"/>
                <w:b/>
                <w:color w:val="auto"/>
                <w:sz w:val="24"/>
                <w:szCs w:val="24"/>
                <w:highlight w:val="none"/>
              </w:rPr>
            </w:pPr>
            <w:r>
              <w:rPr>
                <w:rFonts w:hint="eastAsia" w:ascii="宋体" w:hAnsi="宋体"/>
                <w:b/>
                <w:color w:val="auto"/>
                <w:sz w:val="24"/>
                <w:szCs w:val="24"/>
                <w:highlight w:val="none"/>
              </w:rPr>
              <w:t>比选申请人代表签字</w:t>
            </w:r>
          </w:p>
        </w:tc>
        <w:tc>
          <w:tcPr>
            <w:tcW w:w="7604" w:type="dxa"/>
            <w:gridSpan w:val="3"/>
            <w:tcBorders>
              <w:left w:val="single" w:color="auto" w:sz="4" w:space="0"/>
              <w:right w:val="single" w:color="auto" w:sz="4" w:space="0"/>
            </w:tcBorders>
            <w:vAlign w:val="center"/>
          </w:tcPr>
          <w:p w14:paraId="1FB62FBA">
            <w:pPr>
              <w:spacing w:before="0" w:line="240" w:lineRule="auto"/>
              <w:ind w:right="0" w:firstLine="0"/>
              <w:rPr>
                <w:rFonts w:ascii="宋体" w:hAnsi="宋体" w:cs="宋体"/>
                <w:b/>
                <w:color w:val="auto"/>
                <w:sz w:val="24"/>
                <w:szCs w:val="24"/>
                <w:highlight w:val="none"/>
              </w:rPr>
            </w:pPr>
          </w:p>
          <w:p w14:paraId="21CE12E0">
            <w:pPr>
              <w:spacing w:before="0" w:line="240" w:lineRule="auto"/>
              <w:ind w:right="0" w:firstLine="0"/>
              <w:rPr>
                <w:rFonts w:ascii="宋体" w:hAnsi="宋体" w:cs="宋体"/>
                <w:b/>
                <w:color w:val="auto"/>
                <w:sz w:val="24"/>
                <w:szCs w:val="24"/>
                <w:highlight w:val="none"/>
              </w:rPr>
            </w:pPr>
            <w:r>
              <w:rPr>
                <w:rFonts w:hint="eastAsia" w:ascii="宋体" w:hAnsi="宋体" w:cs="宋体"/>
                <w:b/>
                <w:color w:val="auto"/>
                <w:sz w:val="24"/>
                <w:szCs w:val="24"/>
                <w:highlight w:val="none"/>
              </w:rPr>
              <w:t>日期：年月日</w:t>
            </w:r>
          </w:p>
        </w:tc>
      </w:tr>
    </w:tbl>
    <w:p w14:paraId="3E109A0D">
      <w:pPr>
        <w:spacing w:before="0" w:after="0"/>
        <w:ind w:left="420" w:right="0" w:firstLine="0"/>
        <w:jc w:val="left"/>
        <w:rPr>
          <w:rFonts w:ascii="宋体" w:hAnsi="宋体"/>
          <w:color w:val="auto"/>
          <w:highlight w:val="none"/>
        </w:rPr>
      </w:pPr>
    </w:p>
    <w:p w14:paraId="2C2EC380">
      <w:pPr>
        <w:spacing w:before="0" w:after="0"/>
        <w:ind w:left="0" w:right="0" w:firstLine="0"/>
        <w:jc w:val="left"/>
        <w:rPr>
          <w:rFonts w:ascii="宋体" w:hAnsi="宋体"/>
          <w:color w:val="auto"/>
          <w:highlight w:val="none"/>
        </w:rPr>
      </w:pPr>
      <w:r>
        <w:rPr>
          <w:rFonts w:hint="eastAsia" w:ascii="宋体" w:hAnsi="宋体"/>
          <w:color w:val="auto"/>
          <w:highlight w:val="none"/>
        </w:rPr>
        <w:t>注：修正后的总价若高于比选申请报价，则中选价以比选申请报价为准，评审总价以修正后的总价为准；修正后的总价若低于比选申请报价，则中选价以修正后总价为准，评审总价以比选申请报价为准。如比选申请人不接受按以上规则确定的评审总价和中选价，则其比选申请将被拒绝。</w:t>
      </w:r>
    </w:p>
    <w:sectPr>
      <w:headerReference r:id="rId18" w:type="default"/>
      <w:pgSz w:w="11905" w:h="16838"/>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093CED9-7587-4F76-88F7-A7F9CD0FDDA3}"/>
  </w:font>
  <w:font w:name="Arial">
    <w:panose1 w:val="020B0604020202020204"/>
    <w:charset w:val="01"/>
    <w:family w:val="swiss"/>
    <w:pitch w:val="default"/>
    <w:sig w:usb0="E0002EFF" w:usb1="C000785B" w:usb2="00000009" w:usb3="00000000" w:csb0="400001FF" w:csb1="FFFF0000"/>
    <w:embedRegular r:id="rId2" w:fontKey="{D1EC06EE-5586-4471-84BF-4937E0CC7B46}"/>
  </w:font>
  <w:font w:name="黑体">
    <w:panose1 w:val="02010609060101010101"/>
    <w:charset w:val="86"/>
    <w:family w:val="auto"/>
    <w:pitch w:val="default"/>
    <w:sig w:usb0="800002BF" w:usb1="38CF7CFA" w:usb2="00000016" w:usb3="00000000" w:csb0="00040001" w:csb1="00000000"/>
    <w:embedRegular r:id="rId3" w:fontKey="{435FF15E-9ECD-46C7-9DA1-30E293280D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4DF7AF56-0DA6-4E05-A4E3-E78223AF51A4}"/>
  </w:font>
  <w:font w:name="Cambria">
    <w:panose1 w:val="02040503050406030204"/>
    <w:charset w:val="00"/>
    <w:family w:val="roman"/>
    <w:pitch w:val="default"/>
    <w:sig w:usb0="E00006FF" w:usb1="420024FF" w:usb2="02000000" w:usb3="00000000" w:csb0="2000019F" w:csb1="00000000"/>
    <w:embedRegular r:id="rId5" w:fontKey="{C7FE3EBB-7569-4C79-9463-4C8DCAD5BF47}"/>
  </w:font>
  <w:font w:name="Arial Unicode MS">
    <w:altName w:val="宋体"/>
    <w:panose1 w:val="020B0604020202020204"/>
    <w:charset w:val="86"/>
    <w:family w:val="swiss"/>
    <w:pitch w:val="default"/>
    <w:sig w:usb0="00000000" w:usb1="00000000" w:usb2="0000007F" w:usb3="00000000" w:csb0="203F01FF" w:csb1="DFFF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华文中宋">
    <w:panose1 w:val="02010600040101010101"/>
    <w:charset w:val="86"/>
    <w:family w:val="auto"/>
    <w:pitch w:val="default"/>
    <w:sig w:usb0="00000287" w:usb1="080F0000" w:usb2="00000000" w:usb3="00000000" w:csb0="0004009F" w:csb1="DFD70000"/>
    <w:embedRegular r:id="rId6" w:fontKey="{6CF92B48-60CC-42A2-A63B-1160A90AAD43}"/>
  </w:font>
  <w:font w:name="仿宋_GB2312">
    <w:panose1 w:val="02010609030101010101"/>
    <w:charset w:val="86"/>
    <w:family w:val="modern"/>
    <w:pitch w:val="default"/>
    <w:sig w:usb0="00000001" w:usb1="080E0000" w:usb2="00000000" w:usb3="00000000" w:csb0="00040000" w:csb1="00000000"/>
    <w:embedRegular r:id="rId7" w:fontKey="{02F7A526-529C-4D33-8318-03FE3C6B21C5}"/>
  </w:font>
  <w:font w:name="WPSEMBED1">
    <w:panose1 w:val="02010600040101010101"/>
    <w:charset w:val="86"/>
    <w:family w:val="auto"/>
    <w:pitch w:val="default"/>
    <w:sig w:usb0="00000287" w:usb1="080F0000" w:usb2="00000000" w:usb3="00000000" w:csb0="0004009F" w:csb1="DFD7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33F09">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D9F06">
    <w:pPr>
      <w:pStyle w:val="21"/>
      <w:jc w:val="center"/>
    </w:pPr>
    <w:r>
      <w:fldChar w:fldCharType="begin"/>
    </w:r>
    <w:r>
      <w:instrText xml:space="preserve">PAGE   \* MERGEFORMAT</w:instrText>
    </w:r>
    <w:r>
      <w:fldChar w:fldCharType="separate"/>
    </w:r>
    <w:r>
      <w:rPr>
        <w:lang w:val="zh-CN"/>
      </w:rPr>
      <w:t>2</w:t>
    </w:r>
    <w:r>
      <w:rPr>
        <w:lang w:val="zh-CN"/>
      </w:rPr>
      <w:fldChar w:fldCharType="end"/>
    </w:r>
  </w:p>
  <w:p w14:paraId="6E9F60C4">
    <w:pPr>
      <w:pStyle w:val="23"/>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53E78">
    <w:pPr>
      <w:pStyle w:val="21"/>
      <w:jc w:val="right"/>
      <w:rPr>
        <w:rFonts w:hint="default" w:eastAsia="宋体"/>
        <w:lang w:val="en-US" w:eastAsia="zh-CN"/>
      </w:rPr>
    </w:pPr>
  </w:p>
  <w:p w14:paraId="5D2FFD2F">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958F">
    <w:pPr>
      <w:pStyle w:val="21"/>
      <w:jc w:val="right"/>
      <w:rPr>
        <w:rFonts w:hint="default" w:eastAsia="宋体"/>
        <w:lang w:val="en-US" w:eastAsia="zh-CN"/>
      </w:rPr>
    </w:pPr>
  </w:p>
  <w:p w14:paraId="366CE7FE">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EB5E">
    <w:pPr>
      <w:pStyle w:val="21"/>
      <w:jc w:val="right"/>
      <w:rPr>
        <w:rFonts w:hint="default" w:eastAsia="宋体"/>
        <w:lang w:val="en-US" w:eastAsia="zh-CN"/>
      </w:rPr>
    </w:pPr>
  </w:p>
  <w:p w14:paraId="2624D535">
    <w:pPr>
      <w:pStyle w:val="2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967D">
    <w:pPr>
      <w:pStyle w:val="21"/>
      <w:jc w:val="right"/>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p w14:paraId="3E3EF32B">
    <w:pPr>
      <w:pStyle w:val="2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19C46">
    <w:pPr>
      <w:spacing w:line="220" w:lineRule="exact"/>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1A5A5808">
        <w:pPr>
          <w:pStyle w:val="21"/>
          <w:jc w:val="center"/>
        </w:pPr>
        <w:r>
          <w:fldChar w:fldCharType="begin"/>
        </w:r>
        <w:r>
          <w:instrText xml:space="preserve">PAGE   \* MERGEFORMAT</w:instrText>
        </w:r>
        <w:r>
          <w:fldChar w:fldCharType="separate"/>
        </w:r>
        <w:r>
          <w:rPr>
            <w:lang w:val="zh-CN"/>
          </w:rPr>
          <w:t>22</w:t>
        </w:r>
        <w:r>
          <w:rPr>
            <w:lang w:val="zh-CN"/>
          </w:rPr>
          <w:fldChar w:fldCharType="end"/>
        </w:r>
      </w:p>
    </w:sdtContent>
  </w:sdt>
  <w:p w14:paraId="5C76A1AD">
    <w:pPr>
      <w:pStyle w:val="23"/>
      <w:pBdr>
        <w:bottom w:val="none" w:color="auto" w:sz="0" w:space="0"/>
      </w:pBdr>
      <w:tabs>
        <w:tab w:val="right" w:pos="8728"/>
        <w:tab w:val="clear" w:pos="4153"/>
        <w:tab w:val="clear" w:pos="8306"/>
      </w:tabs>
      <w:ind w:left="0" w:right="343" w:firstLine="0"/>
      <w:jc w:val="both"/>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A0CB9">
    <w:pPr>
      <w:pStyle w:val="21"/>
      <w:spacing w:before="0"/>
      <w:ind w:right="-57" w:firstLine="0"/>
      <w:jc w:val="cente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2249D5C6">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2249D5C6">
                    <w:r>
                      <w:fldChar w:fldCharType="begin"/>
                    </w:r>
                    <w:r>
                      <w:instrText xml:space="preserve">PAGE  \* MERGEFORMAT</w:instrText>
                    </w:r>
                    <w:r>
                      <w:fldChar w:fldCharType="separate"/>
                    </w:r>
                    <w:r>
                      <w:t>101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134FB">
    <w:pPr>
      <w:pStyle w:val="23"/>
      <w:pBdr>
        <w:bottom w:val="none" w:color="auto" w:sz="0" w:space="0"/>
      </w:pBdr>
      <w:tabs>
        <w:tab w:val="left" w:pos="2847"/>
        <w:tab w:val="left" w:pos="3510"/>
        <w:tab w:val="left" w:pos="4002"/>
        <w:tab w:val="clear" w:pos="4153"/>
        <w:tab w:val="clear" w:pos="8306"/>
      </w:tabs>
      <w:ind w:left="0" w:firstLine="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488C">
    <w:pPr>
      <w:pStyle w:val="23"/>
      <w:pBdr>
        <w:bottom w:val="none" w:color="auto" w:sz="0" w:space="1"/>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750E5">
    <w:pPr>
      <w:pStyle w:val="23"/>
      <w:pBdr>
        <w:bottom w:val="none" w:color="auto" w:sz="0" w:space="0"/>
      </w:pBdr>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CA93C">
    <w:pPr>
      <w:pStyle w:val="23"/>
      <w:spacing w:before="0"/>
      <w:ind w:right="-57" w:firstLine="0"/>
      <w:jc w:val="both"/>
      <w:rPr>
        <w:rFonts w:ascii="宋体" w:hAnsi="宋体"/>
        <w:color w:val="000000"/>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C3C4">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DC099"/>
    <w:multiLevelType w:val="singleLevel"/>
    <w:tmpl w:val="CADDC099"/>
    <w:lvl w:ilvl="0" w:tentative="0">
      <w:start w:val="13"/>
      <w:numFmt w:val="chineseCounting"/>
      <w:suff w:val="space"/>
      <w:lvlText w:val="第%1部分"/>
      <w:lvlJc w:val="left"/>
      <w:rPr>
        <w:rFonts w:hint="eastAsia"/>
      </w:rPr>
    </w:lvl>
  </w:abstractNum>
  <w:abstractNum w:abstractNumId="1">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2">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3">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6">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7">
    <w:nsid w:val="30FD824E"/>
    <w:multiLevelType w:val="singleLevel"/>
    <w:tmpl w:val="30FD824E"/>
    <w:lvl w:ilvl="0" w:tentative="0">
      <w:start w:val="8"/>
      <w:numFmt w:val="chineseCounting"/>
      <w:suff w:val="space"/>
      <w:lvlText w:val="第%1部分"/>
      <w:lvlJc w:val="left"/>
      <w:rPr>
        <w:rFonts w:hint="eastAsia"/>
      </w:rPr>
    </w:lvl>
  </w:abstractNum>
  <w:abstractNum w:abstractNumId="8">
    <w:nsid w:val="7BCF8904"/>
    <w:multiLevelType w:val="multilevel"/>
    <w:tmpl w:val="7BCF890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6"/>
  </w:num>
  <w:num w:numId="3">
    <w:abstractNumId w:val="2"/>
  </w:num>
  <w:num w:numId="4">
    <w:abstractNumId w:val="1"/>
  </w:num>
  <w:num w:numId="5">
    <w:abstractNumId w:val="5"/>
  </w:num>
  <w:num w:numId="6">
    <w:abstractNumId w:val="8"/>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hideSpellingErrors/>
  <w:trackRevisions w:val="1"/>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MWU0ZjM2NjBhNGRiZWIyNzg4MGNjZDQ0ZTBlMjgifQ=="/>
  </w:docVars>
  <w:rsids>
    <w:rsidRoot w:val="00BA3124"/>
    <w:rsid w:val="000000F2"/>
    <w:rsid w:val="00000139"/>
    <w:rsid w:val="000015EE"/>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66110"/>
    <w:rsid w:val="00070470"/>
    <w:rsid w:val="00074337"/>
    <w:rsid w:val="00075937"/>
    <w:rsid w:val="00077483"/>
    <w:rsid w:val="000811B4"/>
    <w:rsid w:val="0008222E"/>
    <w:rsid w:val="000835FB"/>
    <w:rsid w:val="0008440C"/>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6BCD"/>
    <w:rsid w:val="001677D4"/>
    <w:rsid w:val="0017175E"/>
    <w:rsid w:val="00171822"/>
    <w:rsid w:val="00173A08"/>
    <w:rsid w:val="00180594"/>
    <w:rsid w:val="001842D4"/>
    <w:rsid w:val="00186A28"/>
    <w:rsid w:val="00190D52"/>
    <w:rsid w:val="0019581C"/>
    <w:rsid w:val="001960F7"/>
    <w:rsid w:val="001A1DF2"/>
    <w:rsid w:val="001A37D3"/>
    <w:rsid w:val="001A3FCA"/>
    <w:rsid w:val="001A4FF1"/>
    <w:rsid w:val="001A60D5"/>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AE9"/>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CE"/>
    <w:rsid w:val="00417574"/>
    <w:rsid w:val="004215F1"/>
    <w:rsid w:val="0042215D"/>
    <w:rsid w:val="0043285C"/>
    <w:rsid w:val="00436E82"/>
    <w:rsid w:val="00440F9A"/>
    <w:rsid w:val="00443ADE"/>
    <w:rsid w:val="0044418D"/>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D71C6"/>
    <w:rsid w:val="004E1101"/>
    <w:rsid w:val="004E12DE"/>
    <w:rsid w:val="004E33AC"/>
    <w:rsid w:val="004E565B"/>
    <w:rsid w:val="004E6FB9"/>
    <w:rsid w:val="004E71AB"/>
    <w:rsid w:val="004F14ED"/>
    <w:rsid w:val="004F1783"/>
    <w:rsid w:val="004F6E95"/>
    <w:rsid w:val="00500C4A"/>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0BA"/>
    <w:rsid w:val="005F1E31"/>
    <w:rsid w:val="005F2A05"/>
    <w:rsid w:val="005F2C46"/>
    <w:rsid w:val="005F5B89"/>
    <w:rsid w:val="005F7685"/>
    <w:rsid w:val="00602F5C"/>
    <w:rsid w:val="00604364"/>
    <w:rsid w:val="00606397"/>
    <w:rsid w:val="00606945"/>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22EC"/>
    <w:rsid w:val="00692720"/>
    <w:rsid w:val="00692F7F"/>
    <w:rsid w:val="00695BD6"/>
    <w:rsid w:val="00695EDE"/>
    <w:rsid w:val="006A09D0"/>
    <w:rsid w:val="006A19D1"/>
    <w:rsid w:val="006A23E9"/>
    <w:rsid w:val="006A2F07"/>
    <w:rsid w:val="006A341C"/>
    <w:rsid w:val="006A42A7"/>
    <w:rsid w:val="006A4439"/>
    <w:rsid w:val="006A4D72"/>
    <w:rsid w:val="006A543A"/>
    <w:rsid w:val="006B37C7"/>
    <w:rsid w:val="006B6F3C"/>
    <w:rsid w:val="006C1B50"/>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1588"/>
    <w:rsid w:val="00733600"/>
    <w:rsid w:val="007339A9"/>
    <w:rsid w:val="007345D7"/>
    <w:rsid w:val="00735BD4"/>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5DCD"/>
    <w:rsid w:val="008269AE"/>
    <w:rsid w:val="00826C39"/>
    <w:rsid w:val="00826EBD"/>
    <w:rsid w:val="00836417"/>
    <w:rsid w:val="0083668C"/>
    <w:rsid w:val="00836E69"/>
    <w:rsid w:val="00840E0D"/>
    <w:rsid w:val="0084176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0367"/>
    <w:rsid w:val="00891420"/>
    <w:rsid w:val="00894CB4"/>
    <w:rsid w:val="00895FBB"/>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080"/>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2973"/>
    <w:rsid w:val="00AF54E1"/>
    <w:rsid w:val="00B0080D"/>
    <w:rsid w:val="00B04E81"/>
    <w:rsid w:val="00B054A7"/>
    <w:rsid w:val="00B054BE"/>
    <w:rsid w:val="00B0579A"/>
    <w:rsid w:val="00B05F20"/>
    <w:rsid w:val="00B062CE"/>
    <w:rsid w:val="00B07925"/>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D048A"/>
    <w:rsid w:val="00BD2157"/>
    <w:rsid w:val="00BD389A"/>
    <w:rsid w:val="00BD636E"/>
    <w:rsid w:val="00BD6F90"/>
    <w:rsid w:val="00BE060F"/>
    <w:rsid w:val="00BE1F58"/>
    <w:rsid w:val="00BE2F9C"/>
    <w:rsid w:val="00BE392B"/>
    <w:rsid w:val="00BE3C13"/>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532B"/>
    <w:rsid w:val="00C3605A"/>
    <w:rsid w:val="00C3769F"/>
    <w:rsid w:val="00C4070E"/>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0022"/>
    <w:rsid w:val="00D44F13"/>
    <w:rsid w:val="00D45385"/>
    <w:rsid w:val="00D479CD"/>
    <w:rsid w:val="00D50D2A"/>
    <w:rsid w:val="00D52ED9"/>
    <w:rsid w:val="00D55A38"/>
    <w:rsid w:val="00D57C1D"/>
    <w:rsid w:val="00D6016D"/>
    <w:rsid w:val="00D60576"/>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A55C5"/>
    <w:rsid w:val="00DA729F"/>
    <w:rsid w:val="00DB181C"/>
    <w:rsid w:val="00DB2200"/>
    <w:rsid w:val="00DB58CB"/>
    <w:rsid w:val="00DC3C79"/>
    <w:rsid w:val="00DC5EB5"/>
    <w:rsid w:val="00DC5F38"/>
    <w:rsid w:val="00DD132F"/>
    <w:rsid w:val="00DD78E6"/>
    <w:rsid w:val="00DE249D"/>
    <w:rsid w:val="00DE3825"/>
    <w:rsid w:val="00DE49ED"/>
    <w:rsid w:val="00DE7E18"/>
    <w:rsid w:val="00DF439B"/>
    <w:rsid w:val="00DF5814"/>
    <w:rsid w:val="00DF6C21"/>
    <w:rsid w:val="00DF6C36"/>
    <w:rsid w:val="00DF7BB9"/>
    <w:rsid w:val="00E02431"/>
    <w:rsid w:val="00E02BE5"/>
    <w:rsid w:val="00E03C51"/>
    <w:rsid w:val="00E11081"/>
    <w:rsid w:val="00E13C8A"/>
    <w:rsid w:val="00E148F4"/>
    <w:rsid w:val="00E16E2C"/>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F1F"/>
    <w:rsid w:val="00E763ED"/>
    <w:rsid w:val="00E80A9B"/>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334B"/>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1116"/>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781A6C"/>
    <w:rsid w:val="017E4203"/>
    <w:rsid w:val="01881353"/>
    <w:rsid w:val="018A2DD6"/>
    <w:rsid w:val="01944FA6"/>
    <w:rsid w:val="01B32DAC"/>
    <w:rsid w:val="01ED0EB7"/>
    <w:rsid w:val="02012CC2"/>
    <w:rsid w:val="021B48C8"/>
    <w:rsid w:val="02204B8A"/>
    <w:rsid w:val="022B2C0A"/>
    <w:rsid w:val="022F6BC7"/>
    <w:rsid w:val="0244425F"/>
    <w:rsid w:val="024D776B"/>
    <w:rsid w:val="026A0AE8"/>
    <w:rsid w:val="0277107B"/>
    <w:rsid w:val="02A502CC"/>
    <w:rsid w:val="02C90803"/>
    <w:rsid w:val="02D41EC3"/>
    <w:rsid w:val="034104E4"/>
    <w:rsid w:val="037E7B55"/>
    <w:rsid w:val="038247D1"/>
    <w:rsid w:val="03AE2FE7"/>
    <w:rsid w:val="03CE6E4F"/>
    <w:rsid w:val="0412063E"/>
    <w:rsid w:val="042C1E25"/>
    <w:rsid w:val="043128C5"/>
    <w:rsid w:val="04405E89"/>
    <w:rsid w:val="04723FE0"/>
    <w:rsid w:val="04953394"/>
    <w:rsid w:val="04AE2C39"/>
    <w:rsid w:val="04B638C9"/>
    <w:rsid w:val="04BA090E"/>
    <w:rsid w:val="04C035DB"/>
    <w:rsid w:val="04DC7AA1"/>
    <w:rsid w:val="04DE1A63"/>
    <w:rsid w:val="05351C19"/>
    <w:rsid w:val="05507DB3"/>
    <w:rsid w:val="056E0C00"/>
    <w:rsid w:val="058A5177"/>
    <w:rsid w:val="05B62478"/>
    <w:rsid w:val="05DA3800"/>
    <w:rsid w:val="05EB5EC4"/>
    <w:rsid w:val="05EF467C"/>
    <w:rsid w:val="060E737E"/>
    <w:rsid w:val="062C2A0E"/>
    <w:rsid w:val="06493CDF"/>
    <w:rsid w:val="068C63E6"/>
    <w:rsid w:val="06AF3171"/>
    <w:rsid w:val="06B46DF4"/>
    <w:rsid w:val="06D0743C"/>
    <w:rsid w:val="06F93FB6"/>
    <w:rsid w:val="071D537B"/>
    <w:rsid w:val="07680C05"/>
    <w:rsid w:val="076C2B3D"/>
    <w:rsid w:val="07944BFB"/>
    <w:rsid w:val="07A20778"/>
    <w:rsid w:val="07C30DC0"/>
    <w:rsid w:val="07FE491D"/>
    <w:rsid w:val="084E2C38"/>
    <w:rsid w:val="086064EB"/>
    <w:rsid w:val="08635493"/>
    <w:rsid w:val="088840F9"/>
    <w:rsid w:val="08962007"/>
    <w:rsid w:val="08A460BD"/>
    <w:rsid w:val="08A95FDE"/>
    <w:rsid w:val="08BD08B7"/>
    <w:rsid w:val="08E92ED7"/>
    <w:rsid w:val="08F85B47"/>
    <w:rsid w:val="0900752E"/>
    <w:rsid w:val="093E1C02"/>
    <w:rsid w:val="096156B5"/>
    <w:rsid w:val="098C15AD"/>
    <w:rsid w:val="09D0648D"/>
    <w:rsid w:val="0A03435D"/>
    <w:rsid w:val="0A110812"/>
    <w:rsid w:val="0A111F5C"/>
    <w:rsid w:val="0A2F7DC2"/>
    <w:rsid w:val="0A341773"/>
    <w:rsid w:val="0A54111B"/>
    <w:rsid w:val="0A7A508D"/>
    <w:rsid w:val="0AAB574F"/>
    <w:rsid w:val="0AB623B0"/>
    <w:rsid w:val="0ABC2E87"/>
    <w:rsid w:val="0AC01B2F"/>
    <w:rsid w:val="0ACD69C7"/>
    <w:rsid w:val="0AD063E7"/>
    <w:rsid w:val="0AD84D58"/>
    <w:rsid w:val="0AE36146"/>
    <w:rsid w:val="0AE77571"/>
    <w:rsid w:val="0AED7863"/>
    <w:rsid w:val="0AF33383"/>
    <w:rsid w:val="0B5F3D2C"/>
    <w:rsid w:val="0B6357F2"/>
    <w:rsid w:val="0BCB3067"/>
    <w:rsid w:val="0BFA6134"/>
    <w:rsid w:val="0C156278"/>
    <w:rsid w:val="0C193FE8"/>
    <w:rsid w:val="0C3279E8"/>
    <w:rsid w:val="0C3B6B9E"/>
    <w:rsid w:val="0C457826"/>
    <w:rsid w:val="0C6D2071"/>
    <w:rsid w:val="0C783830"/>
    <w:rsid w:val="0C9040A9"/>
    <w:rsid w:val="0C9772B7"/>
    <w:rsid w:val="0C9D11C1"/>
    <w:rsid w:val="0D0343E8"/>
    <w:rsid w:val="0D0904F0"/>
    <w:rsid w:val="0D1F7467"/>
    <w:rsid w:val="0D376CD8"/>
    <w:rsid w:val="0D3E6E23"/>
    <w:rsid w:val="0D460BF6"/>
    <w:rsid w:val="0D6C0594"/>
    <w:rsid w:val="0D7E3D32"/>
    <w:rsid w:val="0D8743CA"/>
    <w:rsid w:val="0D966621"/>
    <w:rsid w:val="0DA4122C"/>
    <w:rsid w:val="0DA96558"/>
    <w:rsid w:val="0DB7190D"/>
    <w:rsid w:val="0DBC1618"/>
    <w:rsid w:val="0DBD4C21"/>
    <w:rsid w:val="0DF742E8"/>
    <w:rsid w:val="0DFC6867"/>
    <w:rsid w:val="0E442C5F"/>
    <w:rsid w:val="0E9A16A0"/>
    <w:rsid w:val="0EA83860"/>
    <w:rsid w:val="0EB86A6E"/>
    <w:rsid w:val="0EE27EFA"/>
    <w:rsid w:val="0F034B9F"/>
    <w:rsid w:val="0F334EAC"/>
    <w:rsid w:val="0F380CF4"/>
    <w:rsid w:val="0F482EAC"/>
    <w:rsid w:val="0F4B55A7"/>
    <w:rsid w:val="0F5D74B7"/>
    <w:rsid w:val="0FAE47D0"/>
    <w:rsid w:val="0FC73B58"/>
    <w:rsid w:val="0FE04AF8"/>
    <w:rsid w:val="0FF878BE"/>
    <w:rsid w:val="102742DA"/>
    <w:rsid w:val="10360A28"/>
    <w:rsid w:val="10394744"/>
    <w:rsid w:val="103D3495"/>
    <w:rsid w:val="105A40DF"/>
    <w:rsid w:val="107E68E7"/>
    <w:rsid w:val="10864944"/>
    <w:rsid w:val="10BC4184"/>
    <w:rsid w:val="10BE0833"/>
    <w:rsid w:val="10CD621A"/>
    <w:rsid w:val="10E430B3"/>
    <w:rsid w:val="10F05ACB"/>
    <w:rsid w:val="110000F0"/>
    <w:rsid w:val="110B0FB2"/>
    <w:rsid w:val="110C1984"/>
    <w:rsid w:val="113B4A52"/>
    <w:rsid w:val="115469A1"/>
    <w:rsid w:val="115A5307"/>
    <w:rsid w:val="11731ED8"/>
    <w:rsid w:val="11790C53"/>
    <w:rsid w:val="118F66DA"/>
    <w:rsid w:val="11CC1DC3"/>
    <w:rsid w:val="11CE1A42"/>
    <w:rsid w:val="11D87F8D"/>
    <w:rsid w:val="11E21A55"/>
    <w:rsid w:val="12062999"/>
    <w:rsid w:val="122E1F54"/>
    <w:rsid w:val="122F4065"/>
    <w:rsid w:val="12463C8B"/>
    <w:rsid w:val="12550A22"/>
    <w:rsid w:val="128072E8"/>
    <w:rsid w:val="1296148B"/>
    <w:rsid w:val="12A8461D"/>
    <w:rsid w:val="12DB1D83"/>
    <w:rsid w:val="12E60B70"/>
    <w:rsid w:val="12E87176"/>
    <w:rsid w:val="12FE7BB6"/>
    <w:rsid w:val="13233F21"/>
    <w:rsid w:val="133176F4"/>
    <w:rsid w:val="1351446D"/>
    <w:rsid w:val="136256DC"/>
    <w:rsid w:val="13C156F5"/>
    <w:rsid w:val="13E75DFD"/>
    <w:rsid w:val="13FD0428"/>
    <w:rsid w:val="142F2909"/>
    <w:rsid w:val="142F43C4"/>
    <w:rsid w:val="148370CB"/>
    <w:rsid w:val="14AF537E"/>
    <w:rsid w:val="14FE50FD"/>
    <w:rsid w:val="15134595"/>
    <w:rsid w:val="15926C0E"/>
    <w:rsid w:val="1606592F"/>
    <w:rsid w:val="161A6E20"/>
    <w:rsid w:val="161E52F6"/>
    <w:rsid w:val="161F42CE"/>
    <w:rsid w:val="16244BA5"/>
    <w:rsid w:val="16427D13"/>
    <w:rsid w:val="16446E8C"/>
    <w:rsid w:val="1649189C"/>
    <w:rsid w:val="16693194"/>
    <w:rsid w:val="1674297A"/>
    <w:rsid w:val="16873E04"/>
    <w:rsid w:val="168D59E9"/>
    <w:rsid w:val="16A24CDB"/>
    <w:rsid w:val="16AC1CCC"/>
    <w:rsid w:val="16DD7794"/>
    <w:rsid w:val="16F2473E"/>
    <w:rsid w:val="17020B8B"/>
    <w:rsid w:val="174156B7"/>
    <w:rsid w:val="17451FF2"/>
    <w:rsid w:val="17465256"/>
    <w:rsid w:val="175D1764"/>
    <w:rsid w:val="17653B72"/>
    <w:rsid w:val="177B25F5"/>
    <w:rsid w:val="178E1F33"/>
    <w:rsid w:val="17A10E21"/>
    <w:rsid w:val="17AA7A6C"/>
    <w:rsid w:val="17DB7A23"/>
    <w:rsid w:val="17F001BC"/>
    <w:rsid w:val="180F4F9D"/>
    <w:rsid w:val="1841525A"/>
    <w:rsid w:val="18D16761"/>
    <w:rsid w:val="18DC2EDA"/>
    <w:rsid w:val="18FF308F"/>
    <w:rsid w:val="190D0464"/>
    <w:rsid w:val="190E7943"/>
    <w:rsid w:val="19212A90"/>
    <w:rsid w:val="19763D46"/>
    <w:rsid w:val="199204E8"/>
    <w:rsid w:val="19CA72DF"/>
    <w:rsid w:val="19DD3743"/>
    <w:rsid w:val="19F72CAC"/>
    <w:rsid w:val="19FD3D59"/>
    <w:rsid w:val="1A175E5A"/>
    <w:rsid w:val="1A3811A1"/>
    <w:rsid w:val="1A4A65D3"/>
    <w:rsid w:val="1A82366D"/>
    <w:rsid w:val="1A84167E"/>
    <w:rsid w:val="1A8F37D6"/>
    <w:rsid w:val="1A9557B6"/>
    <w:rsid w:val="1AA73F25"/>
    <w:rsid w:val="1AA9305D"/>
    <w:rsid w:val="1AE82C29"/>
    <w:rsid w:val="1AE84762"/>
    <w:rsid w:val="1B023DB0"/>
    <w:rsid w:val="1B0E6672"/>
    <w:rsid w:val="1B487750"/>
    <w:rsid w:val="1B4C3F58"/>
    <w:rsid w:val="1B516F09"/>
    <w:rsid w:val="1BAB1CAE"/>
    <w:rsid w:val="1BB42683"/>
    <w:rsid w:val="1BB52303"/>
    <w:rsid w:val="1BC16115"/>
    <w:rsid w:val="1BC9751D"/>
    <w:rsid w:val="1BCF2EAD"/>
    <w:rsid w:val="1BD81D53"/>
    <w:rsid w:val="1BE972DA"/>
    <w:rsid w:val="1C0C2F65"/>
    <w:rsid w:val="1C3F2267"/>
    <w:rsid w:val="1C725F39"/>
    <w:rsid w:val="1C7A4A57"/>
    <w:rsid w:val="1CE32D75"/>
    <w:rsid w:val="1CF27B0C"/>
    <w:rsid w:val="1DB41DC8"/>
    <w:rsid w:val="1DB60B4F"/>
    <w:rsid w:val="1DC0365D"/>
    <w:rsid w:val="1E501C47"/>
    <w:rsid w:val="1E521DDC"/>
    <w:rsid w:val="1E5A0411"/>
    <w:rsid w:val="1E615C1A"/>
    <w:rsid w:val="1E723480"/>
    <w:rsid w:val="1ED16069"/>
    <w:rsid w:val="1EE65CFE"/>
    <w:rsid w:val="1F1B206A"/>
    <w:rsid w:val="1F741DA9"/>
    <w:rsid w:val="1F921359"/>
    <w:rsid w:val="1FA47A22"/>
    <w:rsid w:val="1FB52F12"/>
    <w:rsid w:val="1FC31B28"/>
    <w:rsid w:val="1FD85D63"/>
    <w:rsid w:val="1FE403BD"/>
    <w:rsid w:val="1FEA0867"/>
    <w:rsid w:val="1FEF350E"/>
    <w:rsid w:val="1FF05C03"/>
    <w:rsid w:val="200B6827"/>
    <w:rsid w:val="205F60D4"/>
    <w:rsid w:val="20841BE6"/>
    <w:rsid w:val="208506A9"/>
    <w:rsid w:val="2087096D"/>
    <w:rsid w:val="209D4D0F"/>
    <w:rsid w:val="20BB2DEE"/>
    <w:rsid w:val="20F37C9C"/>
    <w:rsid w:val="20F86BF8"/>
    <w:rsid w:val="210B2A97"/>
    <w:rsid w:val="211B33DF"/>
    <w:rsid w:val="212632D9"/>
    <w:rsid w:val="212A726B"/>
    <w:rsid w:val="213360C4"/>
    <w:rsid w:val="215C4B82"/>
    <w:rsid w:val="218D3781"/>
    <w:rsid w:val="21B5308D"/>
    <w:rsid w:val="21B535DD"/>
    <w:rsid w:val="21D7200F"/>
    <w:rsid w:val="21DA4716"/>
    <w:rsid w:val="21E36050"/>
    <w:rsid w:val="2204335C"/>
    <w:rsid w:val="220747FA"/>
    <w:rsid w:val="220F766F"/>
    <w:rsid w:val="22264B96"/>
    <w:rsid w:val="22442CDC"/>
    <w:rsid w:val="226520FC"/>
    <w:rsid w:val="226B7889"/>
    <w:rsid w:val="228E32C0"/>
    <w:rsid w:val="22A57380"/>
    <w:rsid w:val="22B00A35"/>
    <w:rsid w:val="22D633D5"/>
    <w:rsid w:val="22FB0071"/>
    <w:rsid w:val="22FD3574"/>
    <w:rsid w:val="23045086"/>
    <w:rsid w:val="2316746F"/>
    <w:rsid w:val="233E161A"/>
    <w:rsid w:val="234D4CE0"/>
    <w:rsid w:val="235A2E9D"/>
    <w:rsid w:val="236A0E4E"/>
    <w:rsid w:val="23865A00"/>
    <w:rsid w:val="23913DE8"/>
    <w:rsid w:val="23B24AE2"/>
    <w:rsid w:val="24084D2B"/>
    <w:rsid w:val="2425685A"/>
    <w:rsid w:val="24301B4D"/>
    <w:rsid w:val="243877D9"/>
    <w:rsid w:val="243E1570"/>
    <w:rsid w:val="244E5C3A"/>
    <w:rsid w:val="24701268"/>
    <w:rsid w:val="247846A1"/>
    <w:rsid w:val="24794F9B"/>
    <w:rsid w:val="248F70E0"/>
    <w:rsid w:val="2494490F"/>
    <w:rsid w:val="24964775"/>
    <w:rsid w:val="249E0AA2"/>
    <w:rsid w:val="24A36A13"/>
    <w:rsid w:val="24AF2DCF"/>
    <w:rsid w:val="24B52569"/>
    <w:rsid w:val="24DD4E1D"/>
    <w:rsid w:val="24E45DA7"/>
    <w:rsid w:val="24E75C20"/>
    <w:rsid w:val="24ED56A6"/>
    <w:rsid w:val="250B1734"/>
    <w:rsid w:val="25396722"/>
    <w:rsid w:val="25397845"/>
    <w:rsid w:val="25701558"/>
    <w:rsid w:val="259C54CD"/>
    <w:rsid w:val="25C744D7"/>
    <w:rsid w:val="26240577"/>
    <w:rsid w:val="26295FFB"/>
    <w:rsid w:val="26522EA8"/>
    <w:rsid w:val="268362C1"/>
    <w:rsid w:val="26CC0950"/>
    <w:rsid w:val="26EE4AEF"/>
    <w:rsid w:val="27066912"/>
    <w:rsid w:val="270E63AA"/>
    <w:rsid w:val="27152DC8"/>
    <w:rsid w:val="273B4BEE"/>
    <w:rsid w:val="27482BFF"/>
    <w:rsid w:val="27AF38A8"/>
    <w:rsid w:val="27CE703E"/>
    <w:rsid w:val="27D8263D"/>
    <w:rsid w:val="27D85BC0"/>
    <w:rsid w:val="28164551"/>
    <w:rsid w:val="28204972"/>
    <w:rsid w:val="283418DA"/>
    <w:rsid w:val="2846681B"/>
    <w:rsid w:val="28651E7E"/>
    <w:rsid w:val="28FB507E"/>
    <w:rsid w:val="29170CD9"/>
    <w:rsid w:val="29235B3A"/>
    <w:rsid w:val="2943504D"/>
    <w:rsid w:val="29741F0F"/>
    <w:rsid w:val="29BB2683"/>
    <w:rsid w:val="29C9741A"/>
    <w:rsid w:val="29D3655E"/>
    <w:rsid w:val="29D659C5"/>
    <w:rsid w:val="2A144016"/>
    <w:rsid w:val="2A5063FA"/>
    <w:rsid w:val="2A9C3B5D"/>
    <w:rsid w:val="2AAC0265"/>
    <w:rsid w:val="2AB76A90"/>
    <w:rsid w:val="2ADD329F"/>
    <w:rsid w:val="2AE87B84"/>
    <w:rsid w:val="2AED5A5A"/>
    <w:rsid w:val="2AF040CB"/>
    <w:rsid w:val="2AF43A06"/>
    <w:rsid w:val="2AFF73A3"/>
    <w:rsid w:val="2B065545"/>
    <w:rsid w:val="2B48310F"/>
    <w:rsid w:val="2B615665"/>
    <w:rsid w:val="2BA95732"/>
    <w:rsid w:val="2BC74CE2"/>
    <w:rsid w:val="2BD123AA"/>
    <w:rsid w:val="2C023E66"/>
    <w:rsid w:val="2C0C5343"/>
    <w:rsid w:val="2C3907B8"/>
    <w:rsid w:val="2C393974"/>
    <w:rsid w:val="2C7C70D5"/>
    <w:rsid w:val="2CA31EEA"/>
    <w:rsid w:val="2CD933DA"/>
    <w:rsid w:val="2CEA02BC"/>
    <w:rsid w:val="2D1E783E"/>
    <w:rsid w:val="2D290148"/>
    <w:rsid w:val="2D3319B5"/>
    <w:rsid w:val="2D4C61E9"/>
    <w:rsid w:val="2D511C5B"/>
    <w:rsid w:val="2D5D05FB"/>
    <w:rsid w:val="2D7F6F76"/>
    <w:rsid w:val="2D974F5D"/>
    <w:rsid w:val="2DA72A14"/>
    <w:rsid w:val="2DD97BC5"/>
    <w:rsid w:val="2DDC3DA2"/>
    <w:rsid w:val="2DDF2633"/>
    <w:rsid w:val="2DFC4EBE"/>
    <w:rsid w:val="2E11065B"/>
    <w:rsid w:val="2E361093"/>
    <w:rsid w:val="2E5F231B"/>
    <w:rsid w:val="2E766B49"/>
    <w:rsid w:val="2E840054"/>
    <w:rsid w:val="2EB8037B"/>
    <w:rsid w:val="2ED53072"/>
    <w:rsid w:val="2ED578D6"/>
    <w:rsid w:val="2EE90B2A"/>
    <w:rsid w:val="2F086A5B"/>
    <w:rsid w:val="2F437197"/>
    <w:rsid w:val="2F6011C4"/>
    <w:rsid w:val="2F7B0865"/>
    <w:rsid w:val="2F8D13DF"/>
    <w:rsid w:val="2FA362B7"/>
    <w:rsid w:val="2FB05DB2"/>
    <w:rsid w:val="2FD1600E"/>
    <w:rsid w:val="30370D29"/>
    <w:rsid w:val="307149C9"/>
    <w:rsid w:val="308E71B9"/>
    <w:rsid w:val="30F009F7"/>
    <w:rsid w:val="310314D0"/>
    <w:rsid w:val="311B5793"/>
    <w:rsid w:val="31253DE5"/>
    <w:rsid w:val="313534E4"/>
    <w:rsid w:val="313E7737"/>
    <w:rsid w:val="31744B04"/>
    <w:rsid w:val="31827ABA"/>
    <w:rsid w:val="318A5C8E"/>
    <w:rsid w:val="319A2B6E"/>
    <w:rsid w:val="31BE3F1D"/>
    <w:rsid w:val="31CD416C"/>
    <w:rsid w:val="31D077C5"/>
    <w:rsid w:val="31F9551F"/>
    <w:rsid w:val="31FC65C4"/>
    <w:rsid w:val="322275CF"/>
    <w:rsid w:val="32265FD5"/>
    <w:rsid w:val="32387F65"/>
    <w:rsid w:val="323D23EA"/>
    <w:rsid w:val="327B34E1"/>
    <w:rsid w:val="328F503A"/>
    <w:rsid w:val="32A73A7A"/>
    <w:rsid w:val="32B36180"/>
    <w:rsid w:val="32D528F6"/>
    <w:rsid w:val="33050007"/>
    <w:rsid w:val="333A4819"/>
    <w:rsid w:val="3363332D"/>
    <w:rsid w:val="338A111E"/>
    <w:rsid w:val="33910AAB"/>
    <w:rsid w:val="33CC2F7B"/>
    <w:rsid w:val="33DB0B1F"/>
    <w:rsid w:val="33E701B5"/>
    <w:rsid w:val="33F203DA"/>
    <w:rsid w:val="343239E3"/>
    <w:rsid w:val="34445525"/>
    <w:rsid w:val="34463A51"/>
    <w:rsid w:val="346028C4"/>
    <w:rsid w:val="349B0E82"/>
    <w:rsid w:val="34A018E8"/>
    <w:rsid w:val="34A22009"/>
    <w:rsid w:val="34AA129C"/>
    <w:rsid w:val="351A46E3"/>
    <w:rsid w:val="354D5A45"/>
    <w:rsid w:val="3556583E"/>
    <w:rsid w:val="35A26038"/>
    <w:rsid w:val="35C75254"/>
    <w:rsid w:val="35DF1D74"/>
    <w:rsid w:val="35EF56A7"/>
    <w:rsid w:val="360241D0"/>
    <w:rsid w:val="36334691"/>
    <w:rsid w:val="36407E87"/>
    <w:rsid w:val="36620B4E"/>
    <w:rsid w:val="3673029B"/>
    <w:rsid w:val="367B308D"/>
    <w:rsid w:val="367F45F6"/>
    <w:rsid w:val="36891F5E"/>
    <w:rsid w:val="369860BB"/>
    <w:rsid w:val="36BE0F18"/>
    <w:rsid w:val="36C866EF"/>
    <w:rsid w:val="36FA327F"/>
    <w:rsid w:val="37197AEC"/>
    <w:rsid w:val="372B1929"/>
    <w:rsid w:val="37482601"/>
    <w:rsid w:val="37701980"/>
    <w:rsid w:val="37B41E0D"/>
    <w:rsid w:val="37B46BF1"/>
    <w:rsid w:val="37C44B04"/>
    <w:rsid w:val="37C87E10"/>
    <w:rsid w:val="37D42B23"/>
    <w:rsid w:val="37F863E1"/>
    <w:rsid w:val="37FB2BE8"/>
    <w:rsid w:val="384E136E"/>
    <w:rsid w:val="38704DA6"/>
    <w:rsid w:val="38725AAB"/>
    <w:rsid w:val="38777FB4"/>
    <w:rsid w:val="38A85B03"/>
    <w:rsid w:val="38DA69D3"/>
    <w:rsid w:val="39376BFA"/>
    <w:rsid w:val="395E25D9"/>
    <w:rsid w:val="39A66FFB"/>
    <w:rsid w:val="39B478E6"/>
    <w:rsid w:val="39B90520"/>
    <w:rsid w:val="39BA3CAC"/>
    <w:rsid w:val="39C31C73"/>
    <w:rsid w:val="39C80BDA"/>
    <w:rsid w:val="39CA310C"/>
    <w:rsid w:val="39EC2635"/>
    <w:rsid w:val="3A1309C2"/>
    <w:rsid w:val="3A173B31"/>
    <w:rsid w:val="3A1741DD"/>
    <w:rsid w:val="3A1F6BF2"/>
    <w:rsid w:val="3A46626E"/>
    <w:rsid w:val="3A6C4287"/>
    <w:rsid w:val="3A6F280E"/>
    <w:rsid w:val="3A717D6E"/>
    <w:rsid w:val="3AA7642C"/>
    <w:rsid w:val="3AEC50AC"/>
    <w:rsid w:val="3AED5139"/>
    <w:rsid w:val="3B297A57"/>
    <w:rsid w:val="3B485A9D"/>
    <w:rsid w:val="3B59254E"/>
    <w:rsid w:val="3B605EC0"/>
    <w:rsid w:val="3B7148B6"/>
    <w:rsid w:val="3B764418"/>
    <w:rsid w:val="3B963CA8"/>
    <w:rsid w:val="3BA851E3"/>
    <w:rsid w:val="3BD479B6"/>
    <w:rsid w:val="3C144D18"/>
    <w:rsid w:val="3C362D74"/>
    <w:rsid w:val="3C587C0F"/>
    <w:rsid w:val="3C7E2885"/>
    <w:rsid w:val="3C9C32CE"/>
    <w:rsid w:val="3CB118B7"/>
    <w:rsid w:val="3CE54EBA"/>
    <w:rsid w:val="3CEB0E28"/>
    <w:rsid w:val="3CF25B59"/>
    <w:rsid w:val="3D011321"/>
    <w:rsid w:val="3D432DCD"/>
    <w:rsid w:val="3D4338CB"/>
    <w:rsid w:val="3D8752D6"/>
    <w:rsid w:val="3DAB1C72"/>
    <w:rsid w:val="3DBD54FE"/>
    <w:rsid w:val="3DC50166"/>
    <w:rsid w:val="3DFF1244"/>
    <w:rsid w:val="3E2F3C47"/>
    <w:rsid w:val="3E343C9D"/>
    <w:rsid w:val="3E3E34AB"/>
    <w:rsid w:val="3E476E35"/>
    <w:rsid w:val="3E4E45BF"/>
    <w:rsid w:val="3E725D00"/>
    <w:rsid w:val="3E781559"/>
    <w:rsid w:val="3EAC4F9B"/>
    <w:rsid w:val="3ED731F7"/>
    <w:rsid w:val="3F070F69"/>
    <w:rsid w:val="3F0B01FB"/>
    <w:rsid w:val="3F144206"/>
    <w:rsid w:val="3F2C09B1"/>
    <w:rsid w:val="3F5C23E9"/>
    <w:rsid w:val="3F7410E3"/>
    <w:rsid w:val="3FA25898"/>
    <w:rsid w:val="3FBA151A"/>
    <w:rsid w:val="3FE334A2"/>
    <w:rsid w:val="3FE727C0"/>
    <w:rsid w:val="400D5119"/>
    <w:rsid w:val="40107DC4"/>
    <w:rsid w:val="402257BC"/>
    <w:rsid w:val="403027DE"/>
    <w:rsid w:val="40AD7A0F"/>
    <w:rsid w:val="40D57DED"/>
    <w:rsid w:val="40FC0CF2"/>
    <w:rsid w:val="41060E52"/>
    <w:rsid w:val="41674009"/>
    <w:rsid w:val="4185761F"/>
    <w:rsid w:val="419B4CF5"/>
    <w:rsid w:val="41A05EB7"/>
    <w:rsid w:val="41B75F61"/>
    <w:rsid w:val="41C9127A"/>
    <w:rsid w:val="41D43789"/>
    <w:rsid w:val="42C1415E"/>
    <w:rsid w:val="42D40833"/>
    <w:rsid w:val="42E353D5"/>
    <w:rsid w:val="434268E8"/>
    <w:rsid w:val="43621CD6"/>
    <w:rsid w:val="43982048"/>
    <w:rsid w:val="440E40C0"/>
    <w:rsid w:val="443142E4"/>
    <w:rsid w:val="4442648B"/>
    <w:rsid w:val="4460292F"/>
    <w:rsid w:val="4496231D"/>
    <w:rsid w:val="449E7F2F"/>
    <w:rsid w:val="44BA6822"/>
    <w:rsid w:val="45045AEB"/>
    <w:rsid w:val="45396036"/>
    <w:rsid w:val="457903B4"/>
    <w:rsid w:val="459508FA"/>
    <w:rsid w:val="45E74D31"/>
    <w:rsid w:val="4629110B"/>
    <w:rsid w:val="465159CC"/>
    <w:rsid w:val="467354EE"/>
    <w:rsid w:val="46CE1038"/>
    <w:rsid w:val="46D17C44"/>
    <w:rsid w:val="47107740"/>
    <w:rsid w:val="47327E1C"/>
    <w:rsid w:val="47394A4E"/>
    <w:rsid w:val="4741387D"/>
    <w:rsid w:val="47496783"/>
    <w:rsid w:val="474B1C86"/>
    <w:rsid w:val="476E56BE"/>
    <w:rsid w:val="479C1380"/>
    <w:rsid w:val="47DF46F8"/>
    <w:rsid w:val="47F75622"/>
    <w:rsid w:val="480F3C80"/>
    <w:rsid w:val="48226466"/>
    <w:rsid w:val="486149D1"/>
    <w:rsid w:val="48710218"/>
    <w:rsid w:val="487E214D"/>
    <w:rsid w:val="4882192A"/>
    <w:rsid w:val="48831368"/>
    <w:rsid w:val="48880343"/>
    <w:rsid w:val="48AC1250"/>
    <w:rsid w:val="48D00ABD"/>
    <w:rsid w:val="48E076C9"/>
    <w:rsid w:val="48E40723"/>
    <w:rsid w:val="4917550E"/>
    <w:rsid w:val="497A4F52"/>
    <w:rsid w:val="4989523E"/>
    <w:rsid w:val="4999531C"/>
    <w:rsid w:val="49AD3738"/>
    <w:rsid w:val="49CD639A"/>
    <w:rsid w:val="49E66487"/>
    <w:rsid w:val="49EB5173"/>
    <w:rsid w:val="4A096307"/>
    <w:rsid w:val="4A0C042F"/>
    <w:rsid w:val="4A1A034A"/>
    <w:rsid w:val="4A2758B7"/>
    <w:rsid w:val="4A4731BF"/>
    <w:rsid w:val="4A64472B"/>
    <w:rsid w:val="4AC047B0"/>
    <w:rsid w:val="4AC32C47"/>
    <w:rsid w:val="4AE228A1"/>
    <w:rsid w:val="4AF403AA"/>
    <w:rsid w:val="4AF92A09"/>
    <w:rsid w:val="4AF96D7B"/>
    <w:rsid w:val="4B251B41"/>
    <w:rsid w:val="4B4834B2"/>
    <w:rsid w:val="4B6068B8"/>
    <w:rsid w:val="4B637BDF"/>
    <w:rsid w:val="4BA22AF7"/>
    <w:rsid w:val="4BA402A6"/>
    <w:rsid w:val="4BD76EF4"/>
    <w:rsid w:val="4BEA737D"/>
    <w:rsid w:val="4BF0215C"/>
    <w:rsid w:val="4BFF4027"/>
    <w:rsid w:val="4C0E1539"/>
    <w:rsid w:val="4C3679AD"/>
    <w:rsid w:val="4C455C43"/>
    <w:rsid w:val="4C803267"/>
    <w:rsid w:val="4CAF644E"/>
    <w:rsid w:val="4CF37F08"/>
    <w:rsid w:val="4D0D0410"/>
    <w:rsid w:val="4D2C6548"/>
    <w:rsid w:val="4D2E7DAD"/>
    <w:rsid w:val="4D9A4717"/>
    <w:rsid w:val="4DC90B7F"/>
    <w:rsid w:val="4DCA28A4"/>
    <w:rsid w:val="4DCC25F1"/>
    <w:rsid w:val="4DFC16FF"/>
    <w:rsid w:val="4E0F5EDC"/>
    <w:rsid w:val="4E133CF5"/>
    <w:rsid w:val="4E202BB9"/>
    <w:rsid w:val="4E593A09"/>
    <w:rsid w:val="4E6D269E"/>
    <w:rsid w:val="4E87050B"/>
    <w:rsid w:val="4ECD1DD8"/>
    <w:rsid w:val="4F243965"/>
    <w:rsid w:val="4F2A7645"/>
    <w:rsid w:val="4F5D74BC"/>
    <w:rsid w:val="4F691C56"/>
    <w:rsid w:val="4F810626"/>
    <w:rsid w:val="501A73E7"/>
    <w:rsid w:val="50225A3D"/>
    <w:rsid w:val="50303C1D"/>
    <w:rsid w:val="50342842"/>
    <w:rsid w:val="5051614E"/>
    <w:rsid w:val="50564A6E"/>
    <w:rsid w:val="50861C6B"/>
    <w:rsid w:val="508D10CE"/>
    <w:rsid w:val="508F539B"/>
    <w:rsid w:val="50916A5B"/>
    <w:rsid w:val="50972234"/>
    <w:rsid w:val="50CE6F9F"/>
    <w:rsid w:val="50E73672"/>
    <w:rsid w:val="511030CC"/>
    <w:rsid w:val="513C1084"/>
    <w:rsid w:val="51635294"/>
    <w:rsid w:val="51652390"/>
    <w:rsid w:val="51656440"/>
    <w:rsid w:val="516A3524"/>
    <w:rsid w:val="51726460"/>
    <w:rsid w:val="51933865"/>
    <w:rsid w:val="51A22282"/>
    <w:rsid w:val="51C37D85"/>
    <w:rsid w:val="51C54122"/>
    <w:rsid w:val="52083889"/>
    <w:rsid w:val="52440CB0"/>
    <w:rsid w:val="52630513"/>
    <w:rsid w:val="528F4A01"/>
    <w:rsid w:val="529C282C"/>
    <w:rsid w:val="529C7DFC"/>
    <w:rsid w:val="529E1798"/>
    <w:rsid w:val="52EC506B"/>
    <w:rsid w:val="52F421A7"/>
    <w:rsid w:val="5310069C"/>
    <w:rsid w:val="53101579"/>
    <w:rsid w:val="531F686F"/>
    <w:rsid w:val="532042F0"/>
    <w:rsid w:val="532A6DFE"/>
    <w:rsid w:val="53434506"/>
    <w:rsid w:val="53446786"/>
    <w:rsid w:val="5347445F"/>
    <w:rsid w:val="538A5297"/>
    <w:rsid w:val="53AF28DA"/>
    <w:rsid w:val="53BA1505"/>
    <w:rsid w:val="53BC636D"/>
    <w:rsid w:val="53C863F2"/>
    <w:rsid w:val="53EE4E13"/>
    <w:rsid w:val="53F342C8"/>
    <w:rsid w:val="53F41520"/>
    <w:rsid w:val="542A2B7E"/>
    <w:rsid w:val="54595F7A"/>
    <w:rsid w:val="54F41600"/>
    <w:rsid w:val="55041A90"/>
    <w:rsid w:val="550A5C7C"/>
    <w:rsid w:val="5553766F"/>
    <w:rsid w:val="557D6795"/>
    <w:rsid w:val="55EE2EA8"/>
    <w:rsid w:val="55FC5E1B"/>
    <w:rsid w:val="560C1FF7"/>
    <w:rsid w:val="56144228"/>
    <w:rsid w:val="56241FDF"/>
    <w:rsid w:val="562E4D5B"/>
    <w:rsid w:val="56723AD9"/>
    <w:rsid w:val="56935BE3"/>
    <w:rsid w:val="569C67A5"/>
    <w:rsid w:val="56B011F9"/>
    <w:rsid w:val="570A485B"/>
    <w:rsid w:val="57111D6F"/>
    <w:rsid w:val="571C7097"/>
    <w:rsid w:val="573619C6"/>
    <w:rsid w:val="57390552"/>
    <w:rsid w:val="57492455"/>
    <w:rsid w:val="57560A8B"/>
    <w:rsid w:val="576F4DA5"/>
    <w:rsid w:val="577D2735"/>
    <w:rsid w:val="57C31A8B"/>
    <w:rsid w:val="58160494"/>
    <w:rsid w:val="583439C3"/>
    <w:rsid w:val="58392D3C"/>
    <w:rsid w:val="58566D97"/>
    <w:rsid w:val="585E3E88"/>
    <w:rsid w:val="58761A4F"/>
    <w:rsid w:val="589866DF"/>
    <w:rsid w:val="58A67D4C"/>
    <w:rsid w:val="58BB67A0"/>
    <w:rsid w:val="58DE44BF"/>
    <w:rsid w:val="58F05975"/>
    <w:rsid w:val="590B144F"/>
    <w:rsid w:val="590D65AA"/>
    <w:rsid w:val="59473FB6"/>
    <w:rsid w:val="594B1696"/>
    <w:rsid w:val="595A56A0"/>
    <w:rsid w:val="59A97480"/>
    <w:rsid w:val="59B9352D"/>
    <w:rsid w:val="59C247EA"/>
    <w:rsid w:val="59D61F0E"/>
    <w:rsid w:val="5A4E5CBD"/>
    <w:rsid w:val="5A76409B"/>
    <w:rsid w:val="5AC67AF9"/>
    <w:rsid w:val="5ACF50C8"/>
    <w:rsid w:val="5AE81333"/>
    <w:rsid w:val="5B081542"/>
    <w:rsid w:val="5B096777"/>
    <w:rsid w:val="5B14010B"/>
    <w:rsid w:val="5B1F2BC6"/>
    <w:rsid w:val="5B3B6561"/>
    <w:rsid w:val="5B49484F"/>
    <w:rsid w:val="5B5B054B"/>
    <w:rsid w:val="5B926F50"/>
    <w:rsid w:val="5C114298"/>
    <w:rsid w:val="5C14521D"/>
    <w:rsid w:val="5C216AB1"/>
    <w:rsid w:val="5C2F70CC"/>
    <w:rsid w:val="5C472574"/>
    <w:rsid w:val="5C675762"/>
    <w:rsid w:val="5C865A0B"/>
    <w:rsid w:val="5C8D5EBD"/>
    <w:rsid w:val="5C9610CE"/>
    <w:rsid w:val="5C983278"/>
    <w:rsid w:val="5CA81314"/>
    <w:rsid w:val="5CC21EBE"/>
    <w:rsid w:val="5CFD44CE"/>
    <w:rsid w:val="5D120A4A"/>
    <w:rsid w:val="5D3A07F2"/>
    <w:rsid w:val="5D4C4020"/>
    <w:rsid w:val="5D5C1689"/>
    <w:rsid w:val="5D727FC7"/>
    <w:rsid w:val="5D8B54B1"/>
    <w:rsid w:val="5DB14F7B"/>
    <w:rsid w:val="5DBC03E8"/>
    <w:rsid w:val="5DC333E6"/>
    <w:rsid w:val="5E17116A"/>
    <w:rsid w:val="5E430F28"/>
    <w:rsid w:val="5E6721EE"/>
    <w:rsid w:val="5E8C404D"/>
    <w:rsid w:val="5E9268B6"/>
    <w:rsid w:val="5E964727"/>
    <w:rsid w:val="5E98780D"/>
    <w:rsid w:val="5EB21369"/>
    <w:rsid w:val="5EBF067F"/>
    <w:rsid w:val="5ECF54EF"/>
    <w:rsid w:val="5EF87875"/>
    <w:rsid w:val="5F030532"/>
    <w:rsid w:val="5F9E5602"/>
    <w:rsid w:val="5FBB33CB"/>
    <w:rsid w:val="5FE054D2"/>
    <w:rsid w:val="5FE50FDA"/>
    <w:rsid w:val="5FF97ADA"/>
    <w:rsid w:val="60037A11"/>
    <w:rsid w:val="604D26C1"/>
    <w:rsid w:val="60661C01"/>
    <w:rsid w:val="606751B5"/>
    <w:rsid w:val="60AA20C1"/>
    <w:rsid w:val="60E3534B"/>
    <w:rsid w:val="6124336C"/>
    <w:rsid w:val="6148180F"/>
    <w:rsid w:val="6160574F"/>
    <w:rsid w:val="6161547F"/>
    <w:rsid w:val="61640AD8"/>
    <w:rsid w:val="616C5D00"/>
    <w:rsid w:val="618D7518"/>
    <w:rsid w:val="6191341A"/>
    <w:rsid w:val="61A6367F"/>
    <w:rsid w:val="61B31E2C"/>
    <w:rsid w:val="61D04B09"/>
    <w:rsid w:val="61D5318F"/>
    <w:rsid w:val="620B3669"/>
    <w:rsid w:val="622B4180"/>
    <w:rsid w:val="62467FCB"/>
    <w:rsid w:val="625C0DF6"/>
    <w:rsid w:val="627B71A0"/>
    <w:rsid w:val="629531A7"/>
    <w:rsid w:val="62B56ACB"/>
    <w:rsid w:val="62CD4107"/>
    <w:rsid w:val="62CE7985"/>
    <w:rsid w:val="63053144"/>
    <w:rsid w:val="6387542A"/>
    <w:rsid w:val="63B84F56"/>
    <w:rsid w:val="63C24F39"/>
    <w:rsid w:val="63FD0DA3"/>
    <w:rsid w:val="64263A1C"/>
    <w:rsid w:val="64374EF8"/>
    <w:rsid w:val="6444420E"/>
    <w:rsid w:val="646F08D5"/>
    <w:rsid w:val="64827BC4"/>
    <w:rsid w:val="648C4EA5"/>
    <w:rsid w:val="64AA3C02"/>
    <w:rsid w:val="64AF5DE8"/>
    <w:rsid w:val="64C2705A"/>
    <w:rsid w:val="64DA3F5C"/>
    <w:rsid w:val="64DF4D76"/>
    <w:rsid w:val="65182BA1"/>
    <w:rsid w:val="65196796"/>
    <w:rsid w:val="652E1C0D"/>
    <w:rsid w:val="65434131"/>
    <w:rsid w:val="6571289C"/>
    <w:rsid w:val="657D3011"/>
    <w:rsid w:val="6587291F"/>
    <w:rsid w:val="659C3CF0"/>
    <w:rsid w:val="65A84285"/>
    <w:rsid w:val="65A84457"/>
    <w:rsid w:val="65B81595"/>
    <w:rsid w:val="65E511F4"/>
    <w:rsid w:val="65E83187"/>
    <w:rsid w:val="65FF333C"/>
    <w:rsid w:val="660D267B"/>
    <w:rsid w:val="662C2DFD"/>
    <w:rsid w:val="662E75B1"/>
    <w:rsid w:val="663C4348"/>
    <w:rsid w:val="668B5A16"/>
    <w:rsid w:val="66A0243F"/>
    <w:rsid w:val="66A94529"/>
    <w:rsid w:val="66CB3779"/>
    <w:rsid w:val="66CF48EF"/>
    <w:rsid w:val="66F940CB"/>
    <w:rsid w:val="67336E5F"/>
    <w:rsid w:val="67367DE4"/>
    <w:rsid w:val="676F2F5B"/>
    <w:rsid w:val="67737C48"/>
    <w:rsid w:val="67841F6B"/>
    <w:rsid w:val="67A55102"/>
    <w:rsid w:val="67D046E3"/>
    <w:rsid w:val="68153BCE"/>
    <w:rsid w:val="682543C3"/>
    <w:rsid w:val="68351218"/>
    <w:rsid w:val="68403334"/>
    <w:rsid w:val="68511D03"/>
    <w:rsid w:val="687D1CB4"/>
    <w:rsid w:val="68823002"/>
    <w:rsid w:val="68A939AF"/>
    <w:rsid w:val="68DA4C11"/>
    <w:rsid w:val="69205385"/>
    <w:rsid w:val="69407E39"/>
    <w:rsid w:val="697002F0"/>
    <w:rsid w:val="6983542A"/>
    <w:rsid w:val="69AB2326"/>
    <w:rsid w:val="69D17FDB"/>
    <w:rsid w:val="6A0D4594"/>
    <w:rsid w:val="6A3916D5"/>
    <w:rsid w:val="6A502E5C"/>
    <w:rsid w:val="6A7420CF"/>
    <w:rsid w:val="6AB50D72"/>
    <w:rsid w:val="6AD959B9"/>
    <w:rsid w:val="6B016D82"/>
    <w:rsid w:val="6B290138"/>
    <w:rsid w:val="6B47278C"/>
    <w:rsid w:val="6B4C2497"/>
    <w:rsid w:val="6B844E5D"/>
    <w:rsid w:val="6BE73516"/>
    <w:rsid w:val="6BF749E6"/>
    <w:rsid w:val="6C2211F6"/>
    <w:rsid w:val="6C2E1DA3"/>
    <w:rsid w:val="6C4A6B37"/>
    <w:rsid w:val="6C75536B"/>
    <w:rsid w:val="6C786381"/>
    <w:rsid w:val="6CAF42DD"/>
    <w:rsid w:val="6CEE4BEB"/>
    <w:rsid w:val="6CF21078"/>
    <w:rsid w:val="6D131E03"/>
    <w:rsid w:val="6D366369"/>
    <w:rsid w:val="6D372F2F"/>
    <w:rsid w:val="6D9146DC"/>
    <w:rsid w:val="6DA55AEF"/>
    <w:rsid w:val="6DB870C2"/>
    <w:rsid w:val="6DEE4FE9"/>
    <w:rsid w:val="6DF758F9"/>
    <w:rsid w:val="6E0E1B48"/>
    <w:rsid w:val="6E1B123D"/>
    <w:rsid w:val="6EAA11A5"/>
    <w:rsid w:val="6EFE4E26"/>
    <w:rsid w:val="6F134DCC"/>
    <w:rsid w:val="6F2701E9"/>
    <w:rsid w:val="6F4A22C9"/>
    <w:rsid w:val="6F5867BA"/>
    <w:rsid w:val="6F783FDF"/>
    <w:rsid w:val="6F7B7C73"/>
    <w:rsid w:val="6F846384"/>
    <w:rsid w:val="6FB767FB"/>
    <w:rsid w:val="6FD36103"/>
    <w:rsid w:val="6FFF2863"/>
    <w:rsid w:val="700916EF"/>
    <w:rsid w:val="703025A8"/>
    <w:rsid w:val="704F6E48"/>
    <w:rsid w:val="70642C7D"/>
    <w:rsid w:val="707E79EA"/>
    <w:rsid w:val="708A7E30"/>
    <w:rsid w:val="70CA3BF3"/>
    <w:rsid w:val="71033854"/>
    <w:rsid w:val="71083777"/>
    <w:rsid w:val="712F2C30"/>
    <w:rsid w:val="713A4D9B"/>
    <w:rsid w:val="713C664E"/>
    <w:rsid w:val="71726BC2"/>
    <w:rsid w:val="717A29A8"/>
    <w:rsid w:val="717F7444"/>
    <w:rsid w:val="71DA42DA"/>
    <w:rsid w:val="723E6B79"/>
    <w:rsid w:val="725A33F9"/>
    <w:rsid w:val="72637C66"/>
    <w:rsid w:val="727B3C98"/>
    <w:rsid w:val="72941D3D"/>
    <w:rsid w:val="72985992"/>
    <w:rsid w:val="72FD19A6"/>
    <w:rsid w:val="73006427"/>
    <w:rsid w:val="733E7D2A"/>
    <w:rsid w:val="7372462A"/>
    <w:rsid w:val="73784525"/>
    <w:rsid w:val="73B72566"/>
    <w:rsid w:val="73E11809"/>
    <w:rsid w:val="74112337"/>
    <w:rsid w:val="74314E96"/>
    <w:rsid w:val="74385A05"/>
    <w:rsid w:val="743E1546"/>
    <w:rsid w:val="744101B6"/>
    <w:rsid w:val="74547E66"/>
    <w:rsid w:val="74D77E17"/>
    <w:rsid w:val="74DE7DCA"/>
    <w:rsid w:val="74EC1F29"/>
    <w:rsid w:val="75120E16"/>
    <w:rsid w:val="753529D7"/>
    <w:rsid w:val="756F34FD"/>
    <w:rsid w:val="757E5940"/>
    <w:rsid w:val="75982A7C"/>
    <w:rsid w:val="75B90A32"/>
    <w:rsid w:val="75B9739F"/>
    <w:rsid w:val="75CC7A53"/>
    <w:rsid w:val="762B56CB"/>
    <w:rsid w:val="763C54DD"/>
    <w:rsid w:val="7647739D"/>
    <w:rsid w:val="7696711C"/>
    <w:rsid w:val="76AD2082"/>
    <w:rsid w:val="76B834E6"/>
    <w:rsid w:val="76B850D2"/>
    <w:rsid w:val="76ED456A"/>
    <w:rsid w:val="77275DC2"/>
    <w:rsid w:val="77371C1F"/>
    <w:rsid w:val="77380EA3"/>
    <w:rsid w:val="7738401F"/>
    <w:rsid w:val="77513D79"/>
    <w:rsid w:val="77637460"/>
    <w:rsid w:val="77974740"/>
    <w:rsid w:val="77A26354"/>
    <w:rsid w:val="77C94169"/>
    <w:rsid w:val="77D45F4A"/>
    <w:rsid w:val="77D86D1D"/>
    <w:rsid w:val="7804209D"/>
    <w:rsid w:val="78096FFD"/>
    <w:rsid w:val="785C257D"/>
    <w:rsid w:val="789101DB"/>
    <w:rsid w:val="78975968"/>
    <w:rsid w:val="78B6167E"/>
    <w:rsid w:val="78DC699B"/>
    <w:rsid w:val="78E656E7"/>
    <w:rsid w:val="78F7499B"/>
    <w:rsid w:val="79074111"/>
    <w:rsid w:val="79292CB7"/>
    <w:rsid w:val="7936673D"/>
    <w:rsid w:val="79494365"/>
    <w:rsid w:val="795456E5"/>
    <w:rsid w:val="79653A37"/>
    <w:rsid w:val="79996828"/>
    <w:rsid w:val="79AF2BB1"/>
    <w:rsid w:val="79D62A71"/>
    <w:rsid w:val="7A377612"/>
    <w:rsid w:val="7A3E6318"/>
    <w:rsid w:val="7A435623"/>
    <w:rsid w:val="7A645B58"/>
    <w:rsid w:val="7A6F61AA"/>
    <w:rsid w:val="7A6F7B00"/>
    <w:rsid w:val="7AAB0646"/>
    <w:rsid w:val="7AEF6BF7"/>
    <w:rsid w:val="7B261499"/>
    <w:rsid w:val="7B36052E"/>
    <w:rsid w:val="7BA10DE3"/>
    <w:rsid w:val="7BED75DA"/>
    <w:rsid w:val="7BFA6EF3"/>
    <w:rsid w:val="7C186D38"/>
    <w:rsid w:val="7C214BB4"/>
    <w:rsid w:val="7C341A17"/>
    <w:rsid w:val="7C532A30"/>
    <w:rsid w:val="7C602580"/>
    <w:rsid w:val="7CA4518D"/>
    <w:rsid w:val="7CAE5A9D"/>
    <w:rsid w:val="7CB8666E"/>
    <w:rsid w:val="7CF433EE"/>
    <w:rsid w:val="7D784111"/>
    <w:rsid w:val="7D9B2073"/>
    <w:rsid w:val="7DBB2757"/>
    <w:rsid w:val="7DCD5EF4"/>
    <w:rsid w:val="7DD52CF4"/>
    <w:rsid w:val="7DF807BA"/>
    <w:rsid w:val="7E087D35"/>
    <w:rsid w:val="7E142C45"/>
    <w:rsid w:val="7E32369A"/>
    <w:rsid w:val="7E372D8F"/>
    <w:rsid w:val="7E381D20"/>
    <w:rsid w:val="7E4F2895"/>
    <w:rsid w:val="7E6F5FE6"/>
    <w:rsid w:val="7E7053A1"/>
    <w:rsid w:val="7E756207"/>
    <w:rsid w:val="7E8A512D"/>
    <w:rsid w:val="7EC90C5E"/>
    <w:rsid w:val="7EE37EAA"/>
    <w:rsid w:val="7F1B7D95"/>
    <w:rsid w:val="7F2464A6"/>
    <w:rsid w:val="7F2647E5"/>
    <w:rsid w:val="7F29292E"/>
    <w:rsid w:val="7F660214"/>
    <w:rsid w:val="7FC5392C"/>
    <w:rsid w:val="7FC651C1"/>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1"/>
    <w:qFormat/>
    <w:uiPriority w:val="8"/>
    <w:pPr>
      <w:spacing w:before="0" w:after="0" w:line="416" w:lineRule="auto"/>
      <w:ind w:left="0" w:right="-28" w:firstLine="0"/>
      <w:outlineLvl w:val="1"/>
    </w:pPr>
    <w:rPr>
      <w:rFonts w:ascii="Arial" w:hAnsi="Arial" w:eastAsia="黑体"/>
      <w:b/>
      <w:sz w:val="32"/>
      <w:szCs w:val="32"/>
    </w:rPr>
  </w:style>
  <w:style w:type="paragraph" w:styleId="8">
    <w:name w:val="heading 3"/>
    <w:basedOn w:val="1"/>
    <w:next w:val="1"/>
    <w:qFormat/>
    <w:uiPriority w:val="9"/>
    <w:pPr>
      <w:spacing w:after="0"/>
      <w:ind w:left="0" w:right="-28" w:firstLine="0"/>
      <w:outlineLvl w:val="2"/>
    </w:pPr>
    <w:rPr>
      <w:rFonts w:ascii="Times New Roman" w:hAnsi="Times New Roman" w:eastAsia="宋体"/>
      <w:b/>
      <w:sz w:val="24"/>
      <w:szCs w:val="24"/>
    </w:rPr>
  </w:style>
  <w:style w:type="paragraph" w:styleId="9">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72"/>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link w:val="71"/>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10">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1">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2">
    <w:name w:val="Document Map"/>
    <w:basedOn w:val="1"/>
    <w:semiHidden/>
    <w:unhideWhenUsed/>
    <w:qFormat/>
    <w:uiPriority w:val="0"/>
    <w:rPr>
      <w:rFonts w:ascii="宋体"/>
      <w:sz w:val="18"/>
      <w:szCs w:val="18"/>
    </w:rPr>
  </w:style>
  <w:style w:type="paragraph" w:styleId="13">
    <w:name w:val="annotation text"/>
    <w:basedOn w:val="1"/>
    <w:semiHidden/>
    <w:unhideWhenUsed/>
    <w:qFormat/>
    <w:uiPriority w:val="0"/>
    <w:pPr>
      <w:jc w:val="left"/>
    </w:pPr>
  </w:style>
  <w:style w:type="paragraph" w:styleId="14">
    <w:name w:val="Body Text"/>
    <w:basedOn w:val="1"/>
    <w:next w:val="2"/>
    <w:link w:val="64"/>
    <w:unhideWhenUsed/>
    <w:qFormat/>
    <w:uiPriority w:val="99"/>
    <w:pPr>
      <w:spacing w:after="120"/>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2"/>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6"/>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23">
    <w:name w:val="header"/>
    <w:basedOn w:val="1"/>
    <w:link w:val="73"/>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3">
    <w:name w:val="annotation subject"/>
    <w:basedOn w:val="13"/>
    <w:next w:val="13"/>
    <w:semiHidden/>
    <w:unhideWhenUsed/>
    <w:qFormat/>
    <w:uiPriority w:val="0"/>
    <w:rPr>
      <w:b/>
    </w:rPr>
  </w:style>
  <w:style w:type="paragraph" w:styleId="34">
    <w:name w:val="Body Text First Indent"/>
    <w:basedOn w:val="14"/>
    <w:qFormat/>
    <w:uiPriority w:val="0"/>
    <w:pPr>
      <w:snapToGrid w:val="0"/>
      <w:spacing w:after="120" w:line="360" w:lineRule="auto"/>
      <w:ind w:right="240" w:firstLine="420" w:firstLineChars="100"/>
      <w:jc w:val="left"/>
    </w:pPr>
    <w:rPr>
      <w:rFonts w:ascii="宋体" w:hAnsi="宋体" w:eastAsia="方正仿宋_GBK"/>
      <w:szCs w:val="28"/>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0"/>
    <w:rPr>
      <w:rFonts w:cs="Times New Roman"/>
      <w:b/>
    </w:rPr>
  </w:style>
  <w:style w:type="character" w:styleId="39">
    <w:name w:val="page number"/>
    <w:basedOn w:val="37"/>
    <w:qFormat/>
    <w:uiPriority w:val="0"/>
  </w:style>
  <w:style w:type="character" w:styleId="40">
    <w:name w:val="FollowedHyperlink"/>
    <w:basedOn w:val="37"/>
    <w:semiHidden/>
    <w:unhideWhenUsed/>
    <w:qFormat/>
    <w:uiPriority w:val="99"/>
    <w:rPr>
      <w:color w:val="666666"/>
      <w:u w:val="none"/>
    </w:rPr>
  </w:style>
  <w:style w:type="character" w:styleId="41">
    <w:name w:val="HTML Definition"/>
    <w:basedOn w:val="37"/>
    <w:semiHidden/>
    <w:unhideWhenUsed/>
    <w:qFormat/>
    <w:uiPriority w:val="99"/>
    <w:rPr>
      <w:i/>
      <w:iCs/>
    </w:rPr>
  </w:style>
  <w:style w:type="character" w:styleId="42">
    <w:name w:val="Hyperlink"/>
    <w:basedOn w:val="37"/>
    <w:unhideWhenUsed/>
    <w:qFormat/>
    <w:uiPriority w:val="99"/>
    <w:rPr>
      <w:color w:val="0000FF"/>
      <w:u w:val="single"/>
    </w:rPr>
  </w:style>
  <w:style w:type="character" w:styleId="43">
    <w:name w:val="HTML Code"/>
    <w:basedOn w:val="37"/>
    <w:semiHidden/>
    <w:unhideWhenUsed/>
    <w:qFormat/>
    <w:uiPriority w:val="99"/>
    <w:rPr>
      <w:rFonts w:ascii="Consolas" w:hAnsi="Consolas" w:eastAsia="Consolas" w:cs="Consolas"/>
      <w:color w:val="C7254E"/>
      <w:sz w:val="21"/>
      <w:szCs w:val="21"/>
      <w:shd w:val="clear" w:color="auto" w:fill="F9F2F4"/>
    </w:rPr>
  </w:style>
  <w:style w:type="character" w:styleId="44">
    <w:name w:val="annotation reference"/>
    <w:basedOn w:val="37"/>
    <w:semiHidden/>
    <w:unhideWhenUsed/>
    <w:qFormat/>
    <w:uiPriority w:val="0"/>
    <w:rPr>
      <w:sz w:val="21"/>
      <w:szCs w:val="21"/>
    </w:rPr>
  </w:style>
  <w:style w:type="character" w:styleId="45">
    <w:name w:val="footnote reference"/>
    <w:basedOn w:val="37"/>
    <w:semiHidden/>
    <w:unhideWhenUsed/>
    <w:qFormat/>
    <w:uiPriority w:val="0"/>
    <w:rPr>
      <w:vertAlign w:val="superscript"/>
    </w:rPr>
  </w:style>
  <w:style w:type="character" w:styleId="46">
    <w:name w:val="HTML Keyboard"/>
    <w:basedOn w:val="37"/>
    <w:semiHidden/>
    <w:unhideWhenUsed/>
    <w:qFormat/>
    <w:uiPriority w:val="99"/>
    <w:rPr>
      <w:rFonts w:hint="default" w:ascii="Consolas" w:hAnsi="Consolas" w:eastAsia="Consolas" w:cs="Consolas"/>
      <w:color w:val="FFFFFF"/>
      <w:sz w:val="21"/>
      <w:szCs w:val="21"/>
      <w:shd w:val="clear" w:color="auto" w:fill="333333"/>
    </w:rPr>
  </w:style>
  <w:style w:type="character" w:styleId="47">
    <w:name w:val="HTML Sample"/>
    <w:basedOn w:val="37"/>
    <w:semiHidden/>
    <w:unhideWhenUsed/>
    <w:qFormat/>
    <w:uiPriority w:val="99"/>
    <w:rPr>
      <w:rFonts w:hint="default" w:ascii="Consolas" w:hAnsi="Consolas" w:eastAsia="Consolas" w:cs="Consolas"/>
      <w:sz w:val="21"/>
      <w:szCs w:val="21"/>
    </w:rPr>
  </w:style>
  <w:style w:type="paragraph" w:customStyle="1" w:styleId="48">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styleId="49">
    <w:name w:val="List Paragraph"/>
    <w:basedOn w:val="1"/>
    <w:qFormat/>
    <w:uiPriority w:val="34"/>
    <w:pPr>
      <w:ind w:firstLine="200"/>
    </w:pPr>
    <w:rPr>
      <w:rFonts w:ascii="Calibri" w:hAnsi="Calibri"/>
    </w:rPr>
  </w:style>
  <w:style w:type="character" w:customStyle="1" w:styleId="50">
    <w:name w:val="正文文本 2 Char"/>
    <w:basedOn w:val="37"/>
    <w:qFormat/>
    <w:uiPriority w:val="0"/>
    <w:rPr>
      <w:rFonts w:ascii="Times New Roman" w:hAnsi="Times New Roman" w:eastAsia="宋体" w:cs="Times New Roman"/>
    </w:rPr>
  </w:style>
  <w:style w:type="character" w:customStyle="1" w:styleId="51">
    <w:name w:val="16"/>
    <w:basedOn w:val="37"/>
    <w:qFormat/>
    <w:uiPriority w:val="0"/>
    <w:rPr>
      <w:rFonts w:hint="default" w:ascii="Times New Roman" w:hAnsi="Times New Roman" w:cs="Times New Roman"/>
      <w:color w:val="0000FF"/>
      <w:u w:val="single"/>
    </w:rPr>
  </w:style>
  <w:style w:type="character" w:customStyle="1" w:styleId="52">
    <w:name w:val="15"/>
    <w:basedOn w:val="37"/>
    <w:qFormat/>
    <w:uiPriority w:val="0"/>
    <w:rPr>
      <w:rFonts w:hint="default" w:ascii="Times New Roman" w:hAnsi="Times New Roman" w:cs="Times New Roman"/>
      <w:color w:val="0000FF"/>
      <w:u w:val="single"/>
    </w:rPr>
  </w:style>
  <w:style w:type="character" w:customStyle="1" w:styleId="53">
    <w:name w:val="标题 3 Char"/>
    <w:qFormat/>
    <w:uiPriority w:val="0"/>
    <w:rPr>
      <w:b/>
      <w:sz w:val="24"/>
      <w:szCs w:val="24"/>
    </w:rPr>
  </w:style>
  <w:style w:type="character" w:customStyle="1" w:styleId="54">
    <w:name w:val="标题 2 Char"/>
    <w:qFormat/>
    <w:uiPriority w:val="0"/>
    <w:rPr>
      <w:rFonts w:ascii="Arial" w:hAnsi="Arial" w:eastAsia="黑体"/>
      <w:b/>
      <w:sz w:val="32"/>
      <w:szCs w:val="32"/>
    </w:rPr>
  </w:style>
  <w:style w:type="character" w:customStyle="1" w:styleId="55">
    <w:name w:val="批注框文本 Char"/>
    <w:basedOn w:val="37"/>
    <w:semiHidden/>
    <w:qFormat/>
    <w:uiPriority w:val="0"/>
    <w:rPr>
      <w:sz w:val="18"/>
      <w:szCs w:val="18"/>
    </w:rPr>
  </w:style>
  <w:style w:type="character" w:customStyle="1" w:styleId="56">
    <w:name w:val="批注文字 Char"/>
    <w:basedOn w:val="37"/>
    <w:semiHidden/>
    <w:qFormat/>
    <w:uiPriority w:val="0"/>
    <w:rPr>
      <w:sz w:val="21"/>
      <w:szCs w:val="21"/>
    </w:rPr>
  </w:style>
  <w:style w:type="character" w:customStyle="1" w:styleId="57">
    <w:name w:val="批注主题 Char"/>
    <w:basedOn w:val="56"/>
    <w:semiHidden/>
    <w:qFormat/>
    <w:uiPriority w:val="0"/>
    <w:rPr>
      <w:b/>
      <w:sz w:val="21"/>
      <w:szCs w:val="21"/>
    </w:rPr>
  </w:style>
  <w:style w:type="character" w:customStyle="1" w:styleId="58">
    <w:name w:val="文档结构图 Char"/>
    <w:basedOn w:val="37"/>
    <w:semiHidden/>
    <w:qFormat/>
    <w:uiPriority w:val="0"/>
    <w:rPr>
      <w:rFonts w:ascii="宋体"/>
      <w:sz w:val="18"/>
      <w:szCs w:val="18"/>
    </w:rPr>
  </w:style>
  <w:style w:type="character" w:customStyle="1" w:styleId="59">
    <w:name w:val="页脚 Char"/>
    <w:qFormat/>
    <w:uiPriority w:val="99"/>
    <w:rPr>
      <w:sz w:val="18"/>
      <w:szCs w:val="18"/>
    </w:rPr>
  </w:style>
  <w:style w:type="character" w:customStyle="1" w:styleId="60">
    <w:name w:val="脚注文本 Char"/>
    <w:basedOn w:val="37"/>
    <w:semiHidden/>
    <w:qFormat/>
    <w:uiPriority w:val="0"/>
    <w:rPr>
      <w:sz w:val="18"/>
      <w:szCs w:val="18"/>
    </w:rPr>
  </w:style>
  <w:style w:type="paragraph" w:customStyle="1" w:styleId="61">
    <w:name w:val="TOC 标题1"/>
    <w:basedOn w:val="6"/>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2">
    <w:name w:val="纯文本 字符"/>
    <w:link w:val="17"/>
    <w:qFormat/>
    <w:locked/>
    <w:uiPriority w:val="99"/>
    <w:rPr>
      <w:rFonts w:ascii="宋体" w:hAnsi="Courier New" w:cs="宋体"/>
    </w:rPr>
  </w:style>
  <w:style w:type="paragraph" w:customStyle="1" w:styleId="63">
    <w:name w:val="修订1"/>
    <w:hidden/>
    <w:semiHidden/>
    <w:qFormat/>
    <w:uiPriority w:val="99"/>
    <w:rPr>
      <w:rFonts w:ascii="Times New Roman" w:hAnsi="Times New Roman" w:eastAsia="宋体" w:cs="Times New Roman"/>
      <w:sz w:val="21"/>
      <w:szCs w:val="21"/>
      <w:lang w:val="en-US" w:eastAsia="zh-CN" w:bidi="ar-SA"/>
    </w:rPr>
  </w:style>
  <w:style w:type="character" w:customStyle="1" w:styleId="64">
    <w:name w:val="正文文本 字符"/>
    <w:basedOn w:val="37"/>
    <w:link w:val="14"/>
    <w:qFormat/>
    <w:uiPriority w:val="99"/>
    <w:rPr>
      <w:sz w:val="21"/>
      <w:szCs w:val="21"/>
    </w:rPr>
  </w:style>
  <w:style w:type="paragraph" w:customStyle="1" w:styleId="65">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6">
    <w:name w:val="日期 字符"/>
    <w:basedOn w:val="37"/>
    <w:link w:val="19"/>
    <w:semiHidden/>
    <w:qFormat/>
    <w:uiPriority w:val="99"/>
    <w:rPr>
      <w:sz w:val="21"/>
      <w:szCs w:val="21"/>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disabled1"/>
    <w:basedOn w:val="37"/>
    <w:qFormat/>
    <w:uiPriority w:val="0"/>
  </w:style>
  <w:style w:type="character" w:customStyle="1" w:styleId="69">
    <w:name w:val="layui-layer-tabnow"/>
    <w:basedOn w:val="37"/>
    <w:qFormat/>
    <w:uiPriority w:val="0"/>
    <w:rPr>
      <w:bdr w:val="single" w:color="CCCCCC" w:sz="4" w:space="0"/>
      <w:shd w:val="clear" w:color="auto" w:fill="FFFFFF"/>
    </w:rPr>
  </w:style>
  <w:style w:type="character" w:customStyle="1" w:styleId="70">
    <w:name w:val="first-child"/>
    <w:basedOn w:val="37"/>
    <w:qFormat/>
    <w:uiPriority w:val="0"/>
  </w:style>
  <w:style w:type="character" w:customStyle="1" w:styleId="71">
    <w:name w:val="正文文本缩进 字符"/>
    <w:basedOn w:val="37"/>
    <w:link w:val="3"/>
    <w:qFormat/>
    <w:uiPriority w:val="99"/>
    <w:rPr>
      <w:sz w:val="24"/>
      <w:szCs w:val="21"/>
    </w:rPr>
  </w:style>
  <w:style w:type="character" w:customStyle="1" w:styleId="72">
    <w:name w:val="正文文本首行缩进 2 字符"/>
    <w:basedOn w:val="71"/>
    <w:link w:val="2"/>
    <w:qFormat/>
    <w:uiPriority w:val="99"/>
    <w:rPr>
      <w:rFonts w:ascii="Calibri" w:hAnsi="Calibri" w:eastAsia="Times New Roman"/>
      <w:sz w:val="24"/>
      <w:szCs w:val="21"/>
    </w:rPr>
  </w:style>
  <w:style w:type="character" w:customStyle="1" w:styleId="73">
    <w:name w:val="页眉 字符"/>
    <w:basedOn w:val="37"/>
    <w:link w:val="23"/>
    <w:qFormat/>
    <w:uiPriority w:val="99"/>
    <w:rPr>
      <w:sz w:val="18"/>
      <w:szCs w:val="18"/>
    </w:rPr>
  </w:style>
  <w:style w:type="paragraph" w:customStyle="1" w:styleId="74">
    <w:name w:val="样式 行距: 1.5 倍行距 首行缩进:  2 字符"/>
    <w:basedOn w:val="1"/>
    <w:qFormat/>
    <w:uiPriority w:val="0"/>
    <w:pPr>
      <w:snapToGrid w:val="0"/>
      <w:spacing w:line="460" w:lineRule="exact"/>
    </w:pPr>
    <w:rPr>
      <w:sz w:val="24"/>
      <w:szCs w:val="24"/>
    </w:rPr>
  </w:style>
  <w:style w:type="paragraph" w:customStyle="1" w:styleId="75">
    <w:name w:val="Default"/>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6">
    <w:name w:val="列出段落3"/>
    <w:basedOn w:val="1"/>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7">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8">
    <w:name w:val="修订3"/>
    <w:hidden/>
    <w:semiHidden/>
    <w:qFormat/>
    <w:uiPriority w:val="99"/>
    <w:rPr>
      <w:rFonts w:ascii="Times New Roman" w:hAnsi="Times New Roman" w:eastAsia="宋体" w:cs="Times New Roman"/>
      <w:sz w:val="21"/>
      <w:szCs w:val="21"/>
      <w:lang w:val="en-US" w:eastAsia="zh-CN" w:bidi="ar-SA"/>
    </w:rPr>
  </w:style>
  <w:style w:type="paragraph" w:customStyle="1" w:styleId="79">
    <w:name w:val="Blockquote"/>
    <w:basedOn w:val="1"/>
    <w:qFormat/>
    <w:uiPriority w:val="0"/>
    <w:pPr>
      <w:autoSpaceDE w:val="0"/>
      <w:autoSpaceDN w:val="0"/>
      <w:spacing w:before="100" w:line="240" w:lineRule="auto"/>
      <w:ind w:left="360" w:right="360"/>
      <w:jc w:val="left"/>
    </w:pPr>
    <w:rPr>
      <w:sz w:val="24"/>
    </w:rPr>
  </w:style>
  <w:style w:type="paragraph" w:customStyle="1" w:styleId="80">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List Paragraph1"/>
    <w:basedOn w:val="1"/>
    <w:qFormat/>
    <w:uiPriority w:val="99"/>
    <w:pPr>
      <w:ind w:firstLine="420" w:firstLineChars="200"/>
    </w:pPr>
  </w:style>
  <w:style w:type="paragraph" w:customStyle="1" w:styleId="83">
    <w:name w:val="Revision"/>
    <w:hidden/>
    <w:unhideWhenUsed/>
    <w:qFormat/>
    <w:uiPriority w:val="99"/>
    <w:rPr>
      <w:rFonts w:ascii="Times New Roman" w:hAnsi="Times New Roman" w:eastAsia="宋体" w:cs="Times New Roman"/>
      <w:sz w:val="21"/>
      <w:szCs w:val="21"/>
      <w:lang w:val="en-US" w:eastAsia="zh-CN" w:bidi="ar-SA"/>
    </w:rPr>
  </w:style>
  <w:style w:type="paragraph" w:customStyle="1" w:styleId="84">
    <w:name w:val="正文文本_0"/>
    <w:basedOn w:val="80"/>
    <w:qFormat/>
    <w:uiPriority w:val="0"/>
    <w:pPr>
      <w:spacing w:after="120"/>
    </w:pPr>
    <w:rPr>
      <w:rFonts w:ascii="Times New Roman" w:hAnsi="Times New Roman"/>
      <w:szCs w:val="24"/>
    </w:rPr>
  </w:style>
  <w:style w:type="paragraph" w:customStyle="1" w:styleId="8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7">
    <w:name w:val="Normal_0_0"/>
    <w:qFormat/>
    <w:uiPriority w:val="0"/>
    <w:pPr>
      <w:widowControl w:val="0"/>
      <w:jc w:val="both"/>
    </w:pPr>
    <w:rPr>
      <w:rFonts w:ascii="Calibri" w:hAnsi="Calibri" w:eastAsia="宋体" w:cs="Times New Roman"/>
      <w:lang w:val="en-US" w:eastAsia="zh-CN" w:bidi="ar-SA"/>
    </w:rPr>
  </w:style>
  <w:style w:type="paragraph" w:customStyle="1" w:styleId="88">
    <w:name w:val="Table Text"/>
    <w:basedOn w:val="80"/>
    <w:semiHidden/>
    <w:qFormat/>
    <w:uiPriority w:val="0"/>
    <w:rPr>
      <w:rFonts w:ascii="宋体" w:hAnsi="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5.xml"/><Relationship Id="rId17" Type="http://schemas.openxmlformats.org/officeDocument/2006/relationships/footer" Target="footer9.xml"/><Relationship Id="rId16" Type="http://schemas.openxmlformats.org/officeDocument/2006/relationships/header" Target="header4.xml"/><Relationship Id="rId15" Type="http://schemas.openxmlformats.org/officeDocument/2006/relationships/header" Target="header3.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80de66f-67ed-4aa3-badf-0de8c27082f9}"/>
        <w:style w:val=""/>
        <w:category>
          <w:name w:val="常规"/>
          <w:gallery w:val="placeholder"/>
        </w:category>
        <w:types>
          <w:type w:val="bbPlcHdr"/>
        </w:types>
        <w:behaviors>
          <w:behavior w:val="content"/>
        </w:behaviors>
        <w:description w:val=""/>
        <w:guid w:val="{280de66f-67ed-4aa3-badf-0de8c27082f9}"/>
      </w:docPartPr>
      <w:docPartBody>
        <w:p w14:paraId="33CC46DC">
          <w:r>
            <w:rPr>
              <w:color w:val="808080"/>
            </w:rPr>
            <w:t>单击此处输入文字。</w:t>
          </w:r>
        </w:p>
      </w:docPartBody>
    </w:docPart>
    <w:docPart>
      <w:docPartPr>
        <w:name w:val="{13d512bd-d3a5-47f0-bb87-12a9201230d4}"/>
        <w:style w:val=""/>
        <w:category>
          <w:name w:val="常规"/>
          <w:gallery w:val="placeholder"/>
        </w:category>
        <w:types>
          <w:type w:val="bbPlcHdr"/>
        </w:types>
        <w:behaviors>
          <w:behavior w:val="content"/>
        </w:behaviors>
        <w:description w:val=""/>
        <w:guid w:val="{13d512bd-d3a5-47f0-bb87-12a9201230d4}"/>
      </w:docPartPr>
      <w:docPartBody>
        <w:p w14:paraId="018197CE">
          <w:r>
            <w:rPr>
              <w:color w:val="808080"/>
            </w:rPr>
            <w:t>单击此处输入文字。</w:t>
          </w:r>
        </w:p>
      </w:docPartBody>
    </w:docPart>
    <w:docPart>
      <w:docPartPr>
        <w:name w:val="{a820e3e0-ec1f-433b-a2c8-0c7c9b1563fa}"/>
        <w:style w:val=""/>
        <w:category>
          <w:name w:val="常规"/>
          <w:gallery w:val="placeholder"/>
        </w:category>
        <w:types>
          <w:type w:val="bbPlcHdr"/>
        </w:types>
        <w:behaviors>
          <w:behavior w:val="content"/>
        </w:behaviors>
        <w:description w:val=""/>
        <w:guid w:val="{a820e3e0-ec1f-433b-a2c8-0c7c9b1563fa}"/>
      </w:docPartPr>
      <w:docPartBody>
        <w:p w14:paraId="3A4D72A6">
          <w:r>
            <w:rPr>
              <w:color w:val="808080"/>
            </w:rPr>
            <w:t>单击此处输入文字。</w:t>
          </w:r>
        </w:p>
      </w:docPartBody>
    </w:docPart>
    <w:docPart>
      <w:docPartPr>
        <w:name w:val="{5146d68f-96ba-4837-9d51-e5f45e355ad7}"/>
        <w:style w:val=""/>
        <w:category>
          <w:name w:val="常规"/>
          <w:gallery w:val="placeholder"/>
        </w:category>
        <w:types>
          <w:type w:val="bbPlcHdr"/>
        </w:types>
        <w:behaviors>
          <w:behavior w:val="content"/>
        </w:behaviors>
        <w:description w:val=""/>
        <w:guid w:val="{5146d68f-96ba-4837-9d51-e5f45e355ad7}"/>
      </w:docPartPr>
      <w:docPartBody>
        <w:p w14:paraId="429E6B32">
          <w:r>
            <w:rPr>
              <w:color w:val="808080"/>
            </w:rPr>
            <w:t>单击此处输入文字。</w:t>
          </w:r>
        </w:p>
      </w:docPartBody>
    </w:docPart>
    <w:docPart>
      <w:docPartPr>
        <w:name w:val="{a848efae-4ceb-43df-aa56-612dee30d6cf}"/>
        <w:style w:val=""/>
        <w:category>
          <w:name w:val="常规"/>
          <w:gallery w:val="placeholder"/>
        </w:category>
        <w:types>
          <w:type w:val="bbPlcHdr"/>
        </w:types>
        <w:behaviors>
          <w:behavior w:val="content"/>
        </w:behaviors>
        <w:description w:val=""/>
        <w:guid w:val="{a848efae-4ceb-43df-aa56-612dee30d6cf}"/>
      </w:docPartPr>
      <w:docPartBody>
        <w:p w14:paraId="75D685C3">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164</Pages>
  <Words>11678</Words>
  <Characters>12428</Characters>
  <Lines>255</Lines>
  <Paragraphs>72</Paragraphs>
  <TotalTime>51</TotalTime>
  <ScaleCrop>false</ScaleCrop>
  <LinksUpToDate>false</LinksUpToDate>
  <CharactersWithSpaces>12448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2023-11-20T01:11:00Z</dcterms:created>
  <dc:creator>NTKO</dc:creator>
  <cp:lastModifiedBy>杨明杰,</cp:lastModifiedBy>
  <cp:lastPrinted>2022-09-13T09:35:00Z</cp:lastPrinted>
  <dcterms:modified xsi:type="dcterms:W3CDTF">2026-09-04T04:12:48Z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B0BF43C351CB4C848E482F21C95B176C</vt:lpwstr>
  </property>
  <property fmtid="{D5CDD505-2E9C-101B-9397-08002B2CF9AE}" pid="4" name="KSOTemplateDocerSaveRecord">
    <vt:lpwstr>eyJoZGlkIjoiZjMzMjIwOTI0NmZhYTkzZDdkMGY2MTRmNGVhNjhiOGIiLCJ1c2VySWQiOiI0NDAyNjQwNDgifQ==</vt:lpwstr>
  </property>
</Properties>
</file>