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90B84">
      <w:pPr>
        <w:ind w:right="-57" w:firstLine="0"/>
        <w:rPr>
          <w:rFonts w:hint="eastAsia" w:ascii="宋体" w:hAnsi="宋体"/>
          <w:color w:val="auto"/>
          <w:highlight w:val="none"/>
        </w:rPr>
      </w:pPr>
    </w:p>
    <w:p w14:paraId="450B746F">
      <w:pPr>
        <w:pStyle w:val="31"/>
        <w:spacing w:before="0"/>
        <w:ind w:right="-57" w:firstLine="0"/>
        <w:jc w:val="center"/>
        <w:rPr>
          <w:rFonts w:hint="eastAsia" w:ascii="宋体" w:hAnsi="宋体"/>
          <w:b/>
          <w:color w:val="auto"/>
          <w:spacing w:val="-4"/>
          <w:sz w:val="44"/>
          <w:szCs w:val="44"/>
          <w:highlight w:val="none"/>
        </w:rPr>
      </w:pPr>
      <w:r>
        <w:rPr>
          <w:rFonts w:hint="eastAsia" w:ascii="宋体" w:hAnsi="宋体"/>
          <w:b/>
          <w:color w:val="auto"/>
          <w:spacing w:val="-4"/>
          <w:sz w:val="44"/>
          <w:szCs w:val="44"/>
          <w:highlight w:val="none"/>
          <w:lang w:val="zh-CN"/>
        </w:rPr>
        <w:t>轨道云著（北区）项目样板房（138户型）精装修设计</w:t>
      </w:r>
    </w:p>
    <w:p w14:paraId="637EA9FA">
      <w:pPr>
        <w:spacing w:before="0"/>
        <w:ind w:right="-57" w:firstLine="0"/>
        <w:jc w:val="center"/>
        <w:rPr>
          <w:rFonts w:hint="eastAsia"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0D4BCBFE">
      <w:pPr>
        <w:spacing w:before="720"/>
        <w:ind w:left="1801" w:right="-57" w:hanging="180"/>
        <w:rPr>
          <w:rFonts w:hint="eastAsia" w:ascii="宋体" w:hAnsi="宋体"/>
          <w:b/>
          <w:color w:val="auto"/>
          <w:sz w:val="32"/>
          <w:szCs w:val="32"/>
          <w:highlight w:val="none"/>
        </w:rPr>
      </w:pPr>
    </w:p>
    <w:p w14:paraId="2FDD7F87">
      <w:pPr>
        <w:spacing w:before="0"/>
        <w:ind w:left="0" w:right="-57" w:firstLine="0"/>
        <w:rPr>
          <w:rFonts w:hint="eastAsia" w:ascii="宋体" w:hAnsi="宋体"/>
          <w:color w:val="auto"/>
          <w:highlight w:val="none"/>
        </w:rPr>
      </w:pPr>
    </w:p>
    <w:p w14:paraId="5F7236FB">
      <w:pPr>
        <w:spacing w:before="0"/>
        <w:ind w:left="1801" w:right="-57" w:hanging="180"/>
        <w:rPr>
          <w:rFonts w:hint="eastAsia" w:ascii="宋体" w:hAnsi="宋体"/>
          <w:b/>
          <w:color w:val="auto"/>
          <w:sz w:val="32"/>
          <w:szCs w:val="32"/>
          <w:highlight w:val="none"/>
          <w:u w:val="single"/>
        </w:rPr>
      </w:pPr>
      <w:r>
        <w:rPr>
          <w:rFonts w:ascii="宋体" w:hAnsi="宋体"/>
          <w:b/>
          <w:color w:val="auto"/>
          <w:sz w:val="32"/>
          <w:szCs w:val="32"/>
          <w:highlight w:val="none"/>
        </w:rPr>
        <w:t>比选人：</w:t>
      </w:r>
      <w:r>
        <w:rPr>
          <w:rFonts w:hint="eastAsia" w:ascii="宋体" w:hAnsi="宋体"/>
          <w:b/>
          <w:color w:val="auto"/>
          <w:sz w:val="32"/>
          <w:szCs w:val="32"/>
          <w:highlight w:val="none"/>
          <w:u w:val="single"/>
        </w:rPr>
        <w:t>南宁轨道盛拓天和房地产有限公司</w:t>
      </w:r>
    </w:p>
    <w:p w14:paraId="3BB42C53">
      <w:pPr>
        <w:spacing w:before="0"/>
        <w:ind w:right="-57" w:firstLine="435"/>
        <w:jc w:val="center"/>
        <w:rPr>
          <w:rFonts w:hint="eastAsia" w:ascii="宋体" w:hAnsi="宋体"/>
          <w:color w:val="auto"/>
          <w:sz w:val="30"/>
          <w:szCs w:val="30"/>
          <w:highlight w:val="none"/>
        </w:rPr>
      </w:pPr>
    </w:p>
    <w:p w14:paraId="0A1550A3">
      <w:pPr>
        <w:spacing w:before="0"/>
        <w:ind w:right="-57" w:firstLine="0"/>
        <w:jc w:val="center"/>
        <w:rPr>
          <w:rFonts w:hint="eastAsia" w:ascii="宋体" w:hAnsi="宋体"/>
          <w:color w:val="auto"/>
          <w:highlight w:val="none"/>
        </w:rPr>
      </w:pPr>
      <w:r>
        <w:rPr>
          <w:rFonts w:hint="eastAsia" w:ascii="宋体" w:hAnsi="宋体"/>
          <w:b/>
          <w:color w:val="auto"/>
          <w:sz w:val="36"/>
          <w:szCs w:val="36"/>
          <w:highlight w:val="none"/>
        </w:rPr>
        <w:t>2026</w:t>
      </w:r>
      <w:r>
        <w:rPr>
          <w:rFonts w:ascii="宋体" w:hAnsi="宋体"/>
          <w:b/>
          <w:color w:val="auto"/>
          <w:sz w:val="36"/>
          <w:szCs w:val="36"/>
          <w:highlight w:val="none"/>
        </w:rPr>
        <w:t>年</w:t>
      </w:r>
      <w:r>
        <w:rPr>
          <w:rFonts w:hint="eastAsia" w:ascii="宋体" w:hAnsi="宋体"/>
          <w:b/>
          <w:color w:val="auto"/>
          <w:sz w:val="36"/>
          <w:szCs w:val="36"/>
          <w:highlight w:val="none"/>
          <w:lang w:val="en-US" w:eastAsia="zh-CN"/>
        </w:rPr>
        <w:t>8</w:t>
      </w:r>
      <w:r>
        <w:rPr>
          <w:rFonts w:ascii="宋体" w:hAnsi="宋体"/>
          <w:b/>
          <w:color w:val="auto"/>
          <w:sz w:val="36"/>
          <w:szCs w:val="36"/>
          <w:highlight w:val="none"/>
        </w:rPr>
        <w:t>月</w:t>
      </w:r>
    </w:p>
    <w:p w14:paraId="6EC32094">
      <w:pPr>
        <w:spacing w:before="0"/>
        <w:ind w:right="-57" w:firstLine="0"/>
        <w:jc w:val="center"/>
        <w:rPr>
          <w:rFonts w:hint="eastAsia"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Borders>
            <w:top w:val="none" w:sz="0" w:space="0"/>
            <w:left w:val="none" w:sz="0" w:space="0"/>
            <w:bottom w:val="none" w:sz="0" w:space="0"/>
            <w:right w:val="none" w:sz="0" w:space="0"/>
          </w:pgBorders>
          <w:pgNumType w:start="1" w:chapStyle="1"/>
          <w:cols w:space="720" w:num="1"/>
          <w:docGrid w:linePitch="312" w:charSpace="0"/>
        </w:sectPr>
      </w:pPr>
    </w:p>
    <w:p w14:paraId="4EC5C3C7">
      <w:pPr>
        <w:spacing w:before="0" w:after="0" w:afterAutospacing="0"/>
        <w:ind w:left="0" w:right="0" w:firstLine="0"/>
        <w:rPr>
          <w:rFonts w:hint="eastAsia"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13F4866F">
          <w:pPr>
            <w:pStyle w:val="61"/>
            <w:spacing w:before="0" w:line="240" w:lineRule="auto"/>
            <w:jc w:val="center"/>
            <w:rPr>
              <w:rFonts w:hint="eastAsia" w:ascii="宋体" w:hAnsi="宋体" w:eastAsia="宋体"/>
              <w:color w:val="auto"/>
              <w:highlight w:val="none"/>
            </w:rPr>
          </w:pPr>
          <w:r>
            <w:rPr>
              <w:rFonts w:hint="eastAsia" w:ascii="宋体" w:hAnsi="宋体" w:eastAsia="宋体" w:cs="宋体"/>
              <w:color w:val="auto"/>
              <w:highlight w:val="none"/>
              <w:lang w:val="zh-CN"/>
            </w:rPr>
            <w:t>目录</w:t>
          </w:r>
        </w:p>
        <w:p w14:paraId="26D5FB56">
          <w:pPr>
            <w:pStyle w:val="24"/>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"_Toc21345"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_Toc21345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A17CFC1">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"_Toc27010"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begin"/>
          </w:r>
          <w:r>
            <w:rPr>
              <w:color w:val="auto"/>
              <w:highlight w:val="none"/>
            </w:rPr>
            <w:instrText xml:space="preserve"> PAGEREF _Toc27010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E8A242F">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"_Toc27971"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begin"/>
          </w:r>
          <w:r>
            <w:rPr>
              <w:color w:val="auto"/>
              <w:highlight w:val="none"/>
            </w:rPr>
            <w:instrText xml:space="preserve"> PAGEREF _Toc27971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149B0FB2">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"_Toc4807"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begin"/>
          </w:r>
          <w:r>
            <w:rPr>
              <w:color w:val="auto"/>
              <w:highlight w:val="none"/>
            </w:rPr>
            <w:instrText xml:space="preserve"> PAGEREF _Toc4807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1BB5D371">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"_Toc19887" </w:instrText>
          </w:r>
          <w:r>
            <w:rPr>
              <w:color w:val="auto"/>
              <w:highlight w:val="none"/>
            </w:rPr>
            <w:fldChar w:fldCharType="separate"/>
          </w:r>
          <w:r>
            <w:rPr>
              <w:rFonts w:hint="eastAsia" w:ascii="宋体" w:hAnsi="宋体"/>
              <w:color w:val="auto"/>
              <w:highlight w:val="none"/>
            </w:rPr>
            <w:t>第五章比选人需求</w:t>
          </w:r>
          <w:r>
            <w:rPr>
              <w:color w:val="auto"/>
              <w:highlight w:val="none"/>
            </w:rPr>
            <w:tab/>
          </w:r>
          <w:r>
            <w:rPr>
              <w:color w:val="auto"/>
              <w:highlight w:val="none"/>
            </w:rPr>
            <w:fldChar w:fldCharType="begin"/>
          </w:r>
          <w:r>
            <w:rPr>
              <w:color w:val="auto"/>
              <w:highlight w:val="none"/>
            </w:rPr>
            <w:instrText xml:space="preserve"> PAGEREF _Toc19887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297D5D3C">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"_Toc10897" </w:instrText>
          </w:r>
          <w:r>
            <w:rPr>
              <w:color w:val="auto"/>
              <w:highlight w:val="none"/>
            </w:rPr>
            <w:fldChar w:fldCharType="separate"/>
          </w:r>
          <w:r>
            <w:rPr>
              <w:rFonts w:hint="eastAsia" w:ascii="宋体" w:hAnsi="宋体"/>
              <w:color w:val="auto"/>
              <w:highlight w:val="none"/>
            </w:rPr>
            <w:t>第六章评分办法</w:t>
          </w:r>
          <w:r>
            <w:rPr>
              <w:color w:val="auto"/>
              <w:highlight w:val="none"/>
            </w:rPr>
            <w:tab/>
          </w:r>
          <w:r>
            <w:rPr>
              <w:color w:val="auto"/>
              <w:highlight w:val="none"/>
            </w:rPr>
            <w:fldChar w:fldCharType="begin"/>
          </w:r>
          <w:r>
            <w:rPr>
              <w:color w:val="auto"/>
              <w:highlight w:val="none"/>
            </w:rPr>
            <w:instrText xml:space="preserve"> PAGEREF _Toc10897 \h </w:instrText>
          </w:r>
          <w:r>
            <w:rPr>
              <w:color w:val="auto"/>
              <w:highlight w:val="none"/>
            </w:rPr>
            <w:fldChar w:fldCharType="separate"/>
          </w:r>
          <w:r>
            <w:rPr>
              <w:color w:val="auto"/>
              <w:highlight w:val="none"/>
            </w:rPr>
            <w:t>71</w:t>
          </w:r>
          <w:r>
            <w:rPr>
              <w:color w:val="auto"/>
              <w:highlight w:val="none"/>
            </w:rPr>
            <w:fldChar w:fldCharType="end"/>
          </w:r>
          <w:r>
            <w:rPr>
              <w:color w:val="auto"/>
              <w:highlight w:val="none"/>
            </w:rPr>
            <w:fldChar w:fldCharType="end"/>
          </w:r>
        </w:p>
        <w:p w14:paraId="496E8FB4">
          <w:pPr>
            <w:pStyle w:val="29"/>
            <w:tabs>
              <w:tab w:val="right" w:leader="dot" w:pos="9061"/>
            </w:tabs>
            <w:spacing w:line="240" w:lineRule="auto"/>
            <w:ind w:left="0"/>
            <w:rPr>
              <w:rFonts w:hint="eastAsia" w:ascii="宋体" w:hAnsi="宋体"/>
              <w:color w:val="auto"/>
              <w:highlight w:val="none"/>
            </w:rPr>
          </w:pPr>
          <w:r>
            <w:rPr>
              <w:rFonts w:ascii="宋体" w:hAnsi="宋体"/>
              <w:bCs/>
              <w:color w:val="auto"/>
              <w:highlight w:val="none"/>
              <w:lang w:val="zh-CN"/>
            </w:rPr>
            <w:fldChar w:fldCharType="end"/>
          </w:r>
        </w:p>
      </w:sdtContent>
    </w:sdt>
    <w:p w14:paraId="318BBC1E">
      <w:pPr>
        <w:rPr>
          <w:rStyle w:val="54"/>
          <w:rFonts w:hint="eastAsia" w:ascii="宋体" w:hAnsi="宋体" w:eastAsia="宋体"/>
          <w:color w:val="auto"/>
          <w:highlight w:val="none"/>
        </w:rPr>
      </w:pPr>
      <w:bookmarkStart w:id="0" w:name="_Toc3400"/>
      <w:bookmarkStart w:id="1" w:name="_Toc17906"/>
      <w:bookmarkStart w:id="2" w:name="_Toc492478714"/>
      <w:bookmarkStart w:id="3" w:name="_Toc3658"/>
      <w:bookmarkStart w:id="4" w:name="_Toc1227"/>
      <w:bookmarkStart w:id="5" w:name="_Toc15211"/>
      <w:bookmarkStart w:id="6" w:name="_Toc481"/>
      <w:bookmarkStart w:id="7" w:name="_Toc237"/>
      <w:bookmarkStart w:id="8" w:name="_Toc26939"/>
      <w:bookmarkStart w:id="9" w:name="_Toc23367"/>
      <w:bookmarkStart w:id="10" w:name="_Toc23476"/>
      <w:bookmarkStart w:id="11" w:name="_Toc1363"/>
      <w:bookmarkStart w:id="12" w:name="_Toc5910"/>
      <w:bookmarkStart w:id="13" w:name="_Toc26620"/>
      <w:bookmarkStart w:id="14" w:name="_Toc375039061"/>
      <w:bookmarkStart w:id="15" w:name="_Toc25355"/>
      <w:bookmarkStart w:id="16" w:name="_Toc26192"/>
      <w:bookmarkStart w:id="17" w:name="_Toc14762"/>
      <w:bookmarkStart w:id="18" w:name="_Toc30647"/>
      <w:r>
        <w:rPr>
          <w:rStyle w:val="54"/>
          <w:rFonts w:hint="eastAsia" w:ascii="宋体" w:hAnsi="宋体" w:eastAsia="宋体"/>
          <w:color w:val="auto"/>
          <w:highlight w:val="none"/>
        </w:rPr>
        <w:br w:type="page"/>
      </w:r>
    </w:p>
    <w:p w14:paraId="58BC8890">
      <w:pPr>
        <w:pStyle w:val="17"/>
        <w:pageBreakBefore/>
        <w:ind w:right="-57"/>
        <w:outlineLvl w:val="0"/>
        <w:rPr>
          <w:rStyle w:val="54"/>
          <w:rFonts w:hint="eastAsia" w:ascii="宋体" w:hAnsi="宋体" w:eastAsia="宋体"/>
          <w:color w:val="auto"/>
          <w:highlight w:val="none"/>
        </w:rPr>
        <w:sectPr>
          <w:footerReference r:id="rId7"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p>
    <w:p w14:paraId="53CFE8F5">
      <w:pPr>
        <w:pStyle w:val="17"/>
        <w:pageBreakBefore/>
        <w:ind w:right="-57"/>
        <w:jc w:val="center"/>
        <w:outlineLvl w:val="0"/>
        <w:rPr>
          <w:rStyle w:val="54"/>
          <w:rFonts w:hint="eastAsia" w:ascii="宋体" w:hAnsi="宋体" w:eastAsia="宋体"/>
          <w:color w:val="auto"/>
          <w:highlight w:val="none"/>
        </w:rPr>
      </w:pPr>
      <w:bookmarkStart w:id="19" w:name="_Toc21345"/>
      <w:r>
        <w:rPr>
          <w:rStyle w:val="54"/>
          <w:rFonts w:hint="eastAsia" w:ascii="宋体" w:hAnsi="宋体" w:eastAsia="宋体"/>
          <w:color w:val="auto"/>
          <w:highlight w:val="none"/>
        </w:rPr>
        <w:t>第一章</w:t>
      </w:r>
      <w:r>
        <w:rPr>
          <w:rStyle w:val="54"/>
          <w:rFonts w:hint="eastAsia" w:hAnsi="宋体"/>
          <w:color w:val="auto"/>
          <w:highlight w:val="none"/>
        </w:rPr>
        <w:t xml:space="preserve">  </w:t>
      </w:r>
      <w:r>
        <w:rPr>
          <w:rStyle w:val="54"/>
          <w:rFonts w:hint="eastAsia" w:ascii="宋体" w:hAnsi="宋体" w:eastAsia="宋体"/>
          <w:color w:val="auto"/>
          <w:highlight w:val="none"/>
        </w:rPr>
        <w:t>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28E760">
      <w:pPr>
        <w:spacing w:before="0" w:after="0" w:afterAutospacing="0"/>
        <w:ind w:right="-57" w:firstLine="0"/>
        <w:jc w:val="center"/>
        <w:rPr>
          <w:rFonts w:hint="eastAsia" w:ascii="宋体" w:hAnsi="宋体"/>
          <w:b/>
          <w:color w:val="auto"/>
          <w:sz w:val="28"/>
          <w:szCs w:val="28"/>
          <w:highlight w:val="none"/>
          <w:lang w:val="zh-CN"/>
        </w:rPr>
      </w:pPr>
      <w:r>
        <w:rPr>
          <w:rFonts w:hint="eastAsia" w:ascii="宋体" w:hAnsi="宋体"/>
          <w:b/>
          <w:color w:val="auto"/>
          <w:sz w:val="28"/>
          <w:szCs w:val="28"/>
          <w:highlight w:val="none"/>
          <w:lang w:val="zh-CN"/>
        </w:rPr>
        <w:t>轨道云著（北区）项目样板房（138户型）精装修设计</w:t>
      </w:r>
    </w:p>
    <w:p w14:paraId="3E414F0D">
      <w:pPr>
        <w:spacing w:before="0" w:after="0" w:afterAutospacing="0"/>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比选公告</w:t>
      </w:r>
    </w:p>
    <w:p w14:paraId="6A828541">
      <w:pPr>
        <w:spacing w:before="0" w:after="0" w:afterAutospacing="0"/>
        <w:ind w:left="0" w:right="0" w:firstLine="422" w:firstLineChars="200"/>
        <w:rPr>
          <w:rFonts w:hint="eastAsia" w:ascii="宋体" w:hAnsi="宋体"/>
          <w:b/>
          <w:color w:val="auto"/>
          <w:highlight w:val="none"/>
        </w:rPr>
      </w:pPr>
      <w:bookmarkStart w:id="20" w:name="OLE_LINK4"/>
      <w:bookmarkEnd w:id="20"/>
      <w:r>
        <w:rPr>
          <w:rFonts w:hint="eastAsia" w:ascii="宋体" w:hAnsi="宋体"/>
          <w:b/>
          <w:color w:val="auto"/>
          <w:highlight w:val="none"/>
        </w:rPr>
        <w:t>1.比选条件</w:t>
      </w:r>
    </w:p>
    <w:p w14:paraId="2C3EFF2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val="zh-CN"/>
        </w:rPr>
        <w:t>轨道云著（北区）项目样板房（138户型）精装修设计</w:t>
      </w:r>
      <w:r>
        <w:rPr>
          <w:rFonts w:hint="eastAsia" w:ascii="宋体" w:hAnsi="宋体"/>
          <w:color w:val="auto"/>
          <w:highlight w:val="none"/>
        </w:rPr>
        <w:t>比选人为</w:t>
      </w:r>
      <w:r>
        <w:rPr>
          <w:rFonts w:hint="eastAsia" w:ascii="宋体" w:hAnsi="宋体"/>
          <w:color w:val="auto"/>
          <w:highlight w:val="none"/>
          <w:u w:val="single"/>
        </w:rPr>
        <w:t>南宁轨道盛拓天和房地产有限公司</w:t>
      </w:r>
      <w:r>
        <w:rPr>
          <w:rFonts w:hint="eastAsia" w:ascii="宋体" w:hAnsi="宋体"/>
          <w:color w:val="auto"/>
          <w:highlight w:val="none"/>
        </w:rPr>
        <w:t>，比选项目资金来源为企业自有资金。</w:t>
      </w:r>
    </w:p>
    <w:p w14:paraId="07CF74A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2.项目概况与比选范围</w:t>
      </w:r>
    </w:p>
    <w:p w14:paraId="3CBA08D3">
      <w:pPr>
        <w:spacing w:afterAutospacing="0"/>
        <w:ind w:left="0" w:right="0" w:firstLine="420" w:firstLineChars="200"/>
        <w:textAlignment w:val="baseline"/>
        <w:rPr>
          <w:rFonts w:hint="eastAsia" w:ascii="宋体" w:hAnsi="宋体"/>
          <w:color w:val="auto"/>
          <w:highlight w:val="none"/>
        </w:rPr>
      </w:pPr>
      <w:r>
        <w:rPr>
          <w:rFonts w:hint="eastAsia" w:ascii="宋体" w:hAnsi="宋体"/>
          <w:color w:val="auto"/>
          <w:highlight w:val="none"/>
        </w:rPr>
        <w:t>2.1项目概况：样板房装修设计面积暂定为</w:t>
      </w:r>
      <w:r>
        <w:rPr>
          <w:rFonts w:hint="eastAsia" w:ascii="宋体" w:hAnsi="宋体"/>
          <w:b/>
          <w:bCs/>
          <w:color w:val="auto"/>
          <w:highlight w:val="none"/>
          <w:u w:val="single"/>
          <w:lang w:val="en-US" w:eastAsia="zh-CN"/>
        </w:rPr>
        <w:t>138</w:t>
      </w:r>
      <w:r>
        <w:rPr>
          <w:rFonts w:hint="eastAsia" w:ascii="宋体" w:hAnsi="宋体"/>
          <w:color w:val="auto"/>
          <w:highlight w:val="none"/>
        </w:rPr>
        <w:t>平方米，最终以双方确认的实际精装设计面积为准。</w:t>
      </w:r>
    </w:p>
    <w:p w14:paraId="47F1534E">
      <w:pPr>
        <w:spacing w:before="0" w:after="0" w:afterAutospacing="0"/>
        <w:ind w:left="707" w:leftChars="200" w:right="0" w:hanging="287" w:hangingChars="137"/>
        <w:rPr>
          <w:rFonts w:hint="eastAsia" w:ascii="宋体" w:hAnsi="宋体"/>
          <w:color w:val="auto"/>
          <w:highlight w:val="none"/>
          <w:u w:val="single"/>
        </w:rPr>
      </w:pPr>
      <w:r>
        <w:rPr>
          <w:rFonts w:hint="eastAsia" w:ascii="宋体" w:hAnsi="宋体"/>
          <w:color w:val="auto"/>
          <w:highlight w:val="none"/>
        </w:rPr>
        <w:t>2.2项目名称：</w:t>
      </w:r>
      <w:r>
        <w:rPr>
          <w:rFonts w:hint="eastAsia" w:ascii="宋体" w:hAnsi="宋体"/>
          <w:color w:val="auto"/>
          <w:highlight w:val="none"/>
          <w:u w:val="single"/>
          <w:lang w:val="zh-CN"/>
        </w:rPr>
        <w:t>轨道云著（北区）项目样板房（1</w:t>
      </w:r>
      <w:bookmarkStart w:id="1854" w:name="_GoBack"/>
      <w:bookmarkEnd w:id="1854"/>
      <w:r>
        <w:rPr>
          <w:rFonts w:hint="eastAsia" w:ascii="宋体" w:hAnsi="宋体"/>
          <w:color w:val="auto"/>
          <w:highlight w:val="none"/>
          <w:u w:val="single"/>
          <w:lang w:val="zh-CN"/>
        </w:rPr>
        <w:t>38户型）精装修设计</w:t>
      </w:r>
    </w:p>
    <w:p w14:paraId="1015AA3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1550元</w:t>
      </w:r>
      <w:r>
        <w:rPr>
          <w:rFonts w:hint="eastAsia" w:ascii="宋体" w:hAnsi="宋体"/>
          <w:b/>
          <w:bCs/>
          <w:color w:val="auto"/>
          <w:highlight w:val="none"/>
          <w:lang w:val="en-US" w:eastAsia="zh-CN"/>
        </w:rPr>
        <w:t>/㎡</w:t>
      </w:r>
      <w:r>
        <w:rPr>
          <w:rFonts w:hint="eastAsia" w:ascii="宋体" w:hAnsi="宋体"/>
          <w:color w:val="auto"/>
          <w:highlight w:val="none"/>
          <w:lang w:val="en-US" w:eastAsia="zh-CN"/>
        </w:rPr>
        <w:t>，</w:t>
      </w:r>
      <w:r>
        <w:rPr>
          <w:rFonts w:hint="eastAsia" w:ascii="宋体" w:hAnsi="宋体"/>
          <w:color w:val="auto"/>
          <w:highlight w:val="none"/>
        </w:rPr>
        <w:t>人民币</w:t>
      </w:r>
      <w:r>
        <w:rPr>
          <w:rFonts w:hint="eastAsia" w:ascii="宋体" w:hAnsi="宋体"/>
          <w:b/>
          <w:bCs/>
          <w:color w:val="auto"/>
          <w:highlight w:val="none"/>
          <w:u w:val="single"/>
          <w:lang w:val="en-US" w:eastAsia="zh-CN"/>
        </w:rPr>
        <w:t>213,900‬.00</w:t>
      </w:r>
      <w:r>
        <w:rPr>
          <w:rFonts w:hint="eastAsia" w:ascii="宋体" w:hAnsi="宋体"/>
          <w:b/>
          <w:bCs/>
          <w:color w:val="auto"/>
          <w:highlight w:val="none"/>
          <w:u w:val="single"/>
        </w:rPr>
        <w:t>元</w:t>
      </w:r>
      <w:r>
        <w:rPr>
          <w:rFonts w:hint="eastAsia" w:ascii="宋体" w:hAnsi="宋体"/>
          <w:color w:val="auto"/>
          <w:highlight w:val="none"/>
        </w:rPr>
        <w:t>。比选申请报价高于上限控制价（或分项上限控制价）的比选申请文件将按否决比选申请处理。</w:t>
      </w:r>
    </w:p>
    <w:p w14:paraId="2A2F890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2.4比选范围：样板房方案设计及施工图设计，设计服务包含方案设计及工程估算、效果图、施工图设计及工程概算等设计成果、施工阶段配合等。</w:t>
      </w:r>
    </w:p>
    <w:p w14:paraId="7CA96A5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2.5合同服务期：自比选人与中选人签订的合同生效之日起至项目竣工验收。</w:t>
      </w:r>
    </w:p>
    <w:p w14:paraId="0A62B6A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2.6设计周期：</w:t>
      </w:r>
      <w:r>
        <w:rPr>
          <w:rFonts w:ascii="宋体" w:hAnsi="宋体"/>
          <w:color w:val="auto"/>
          <w:highlight w:val="none"/>
        </w:rPr>
        <w:t>自招标人发出通知开始之日起至工程完成竣工验收之日止。</w:t>
      </w:r>
      <w:r>
        <w:rPr>
          <w:rFonts w:hint="eastAsia" w:ascii="宋体" w:hAnsi="宋体"/>
          <w:color w:val="auto"/>
          <w:highlight w:val="none"/>
        </w:rPr>
        <w:t>概念方案设计阶段合同签订且乙方收到甲方设计任务书后5日内提交成果；正式方案及效果图设计阶段（含深化方案设计和扩初方案设计）概念方案经甲方书</w:t>
      </w:r>
      <w:r>
        <w:rPr>
          <w:rFonts w:ascii="宋体" w:hAnsi="宋体"/>
          <w:color w:val="auto"/>
          <w:highlight w:val="none"/>
        </w:rPr>
        <w:t>面</w:t>
      </w:r>
      <w:r>
        <w:rPr>
          <w:rFonts w:hint="eastAsia" w:ascii="宋体" w:hAnsi="宋体"/>
          <w:color w:val="auto"/>
          <w:highlight w:val="none"/>
        </w:rPr>
        <w:t>确认后10日内提交成果；施工图设计阶段正式方案经甲方书</w:t>
      </w:r>
      <w:r>
        <w:rPr>
          <w:rFonts w:ascii="宋体" w:hAnsi="宋体"/>
          <w:color w:val="auto"/>
          <w:highlight w:val="none"/>
        </w:rPr>
        <w:t>面</w:t>
      </w:r>
      <w:r>
        <w:rPr>
          <w:rFonts w:hint="eastAsia" w:ascii="宋体" w:hAnsi="宋体"/>
          <w:color w:val="auto"/>
          <w:highlight w:val="none"/>
        </w:rPr>
        <w:t>确认后20日内提交成果</w:t>
      </w:r>
      <w:r>
        <w:rPr>
          <w:rFonts w:hint="eastAsia"/>
          <w:color w:val="auto"/>
          <w:highlight w:val="none"/>
        </w:rPr>
        <w:t>。</w:t>
      </w:r>
    </w:p>
    <w:p w14:paraId="0804D233">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2.7项目地点：南宁市良庆区那黄大道122号。</w:t>
      </w:r>
    </w:p>
    <w:p w14:paraId="3C00993D">
      <w:pPr>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3.比选申请人资格要求</w:t>
      </w:r>
    </w:p>
    <w:p w14:paraId="7E03812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3.1比选申请人为中华人民共和国境内依法设立的法人或其他组织。</w:t>
      </w:r>
    </w:p>
    <w:p w14:paraId="677F177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3.2资质要求：具有</w:t>
      </w:r>
      <w:r>
        <w:rPr>
          <w:rFonts w:hint="eastAsia" w:ascii="宋体" w:hAnsi="宋体"/>
          <w:color w:val="auto"/>
          <w:highlight w:val="none"/>
          <w:lang w:val="en-US" w:eastAsia="zh-CN"/>
        </w:rPr>
        <w:t>建筑装饰工程设计专项</w:t>
      </w:r>
      <w:r>
        <w:rPr>
          <w:rFonts w:hint="eastAsia" w:ascii="宋体" w:hAnsi="宋体"/>
          <w:color w:val="auto"/>
          <w:highlight w:val="none"/>
        </w:rPr>
        <w:t>乙级资质</w:t>
      </w:r>
      <w:r>
        <w:rPr>
          <w:rFonts w:hint="eastAsia" w:ascii="宋体" w:hAnsi="宋体"/>
          <w:color w:val="auto"/>
          <w:highlight w:val="none"/>
          <w:lang w:val="en-US" w:eastAsia="zh-CN"/>
        </w:rPr>
        <w:t>及以上</w:t>
      </w:r>
      <w:r>
        <w:rPr>
          <w:rFonts w:hint="eastAsia" w:ascii="宋体" w:hAnsi="宋体"/>
          <w:color w:val="auto"/>
          <w:highlight w:val="none"/>
        </w:rPr>
        <w:t>。</w:t>
      </w:r>
    </w:p>
    <w:p w14:paraId="2DD20959">
      <w:pPr>
        <w:spacing w:before="0" w:after="0" w:afterAutospacing="0"/>
        <w:ind w:left="0" w:right="0" w:firstLine="420" w:firstLineChars="200"/>
        <w:rPr>
          <w:rFonts w:hint="eastAsia" w:ascii="宋体" w:hAnsi="宋体"/>
          <w:strike/>
          <w:dstrike w:val="0"/>
          <w:color w:val="auto"/>
          <w:highlight w:val="none"/>
          <w:lang w:val="en-US" w:eastAsia="zh-CN"/>
        </w:rPr>
      </w:pPr>
      <w:r>
        <w:rPr>
          <w:rFonts w:hint="eastAsia" w:ascii="宋体" w:hAnsi="宋体"/>
          <w:color w:val="auto"/>
          <w:highlight w:val="none"/>
        </w:rPr>
        <w:t>3.3业绩条件：</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strike w:val="0"/>
          <w:dstrike w:val="0"/>
          <w:color w:val="auto"/>
          <w:highlight w:val="none"/>
          <w:lang w:val="en-US" w:eastAsia="zh-CN"/>
        </w:rPr>
        <w:t>。</w:t>
      </w:r>
    </w:p>
    <w:p w14:paraId="2F248A5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3.4人员要求：</w:t>
      </w:r>
      <w:r>
        <w:rPr>
          <w:rFonts w:hint="eastAsia"/>
          <w:color w:val="auto"/>
          <w:highlight w:val="none"/>
          <w:lang w:val="en-US" w:eastAsia="zh-CN"/>
        </w:rPr>
        <w:t>项目设计负责人要求负责过1个及以上的房地产项目样板间或展示区设计项目业绩，提供所负责项目单项业绩设计单价为达1550元/㎡及以上的设计业绩，提供合同或者方案文本案例（含项目名称和效果图即可无需全套文本）作为项目负责人的证明材料，提供业绩列表加盖公司公章作为证明</w:t>
      </w:r>
      <w:r>
        <w:rPr>
          <w:rFonts w:hint="eastAsia" w:ascii="宋体" w:hAnsi="宋体"/>
          <w:color w:val="auto"/>
          <w:highlight w:val="none"/>
        </w:rPr>
        <w:t>。</w:t>
      </w:r>
    </w:p>
    <w:p w14:paraId="27DC17E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418CD84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3.6单位负责人为同一人或者存在控股、管理关系的不同单位，不得参加同一标段比选申请或者未划分标段的同一比选项目比选申请。</w:t>
      </w:r>
    </w:p>
    <w:p w14:paraId="5351BE7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3.7本项目不接受联合体比选申请。</w:t>
      </w:r>
    </w:p>
    <w:p w14:paraId="020578B6">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4.资格审查方式</w:t>
      </w:r>
    </w:p>
    <w:p w14:paraId="26F4938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0FCD0289">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5.比选文件的获取</w:t>
      </w:r>
    </w:p>
    <w:p w14:paraId="46E6ED6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5.1比选文件获取：</w:t>
      </w:r>
    </w:p>
    <w:p w14:paraId="242D712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w:t>
      </w:r>
    </w:p>
    <w:p w14:paraId="7E5A2FD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64E9588A">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66F68A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rPr>
        <w:t xml:space="preserve">2026年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13</w:t>
      </w:r>
      <w:r>
        <w:rPr>
          <w:rFonts w:hint="eastAsia" w:ascii="宋体" w:hAnsi="宋体"/>
          <w:b/>
          <w:color w:val="auto"/>
          <w:highlight w:val="none"/>
        </w:rPr>
        <w:t xml:space="preserve"> 日 当日9 时</w:t>
      </w:r>
      <w:r>
        <w:rPr>
          <w:rFonts w:ascii="宋体" w:hAnsi="宋体"/>
          <w:b/>
          <w:color w:val="auto"/>
          <w:highlight w:val="none"/>
        </w:rPr>
        <w:t>3</w:t>
      </w:r>
      <w:r>
        <w:rPr>
          <w:rFonts w:hint="eastAsia" w:ascii="宋体" w:hAnsi="宋体"/>
          <w:b/>
          <w:color w:val="auto"/>
          <w:highlight w:val="none"/>
        </w:rPr>
        <w:t>0 分</w:t>
      </w:r>
      <w:r>
        <w:rPr>
          <w:rFonts w:hint="eastAsia" w:ascii="宋体" w:hAnsi="宋体"/>
          <w:color w:val="auto"/>
          <w:highlight w:val="none"/>
        </w:rPr>
        <w:t>（北京时间）前递交，递交地点在广西南宁市青秀区凤岭北路111号南宁国际旅游中心A座907</w:t>
      </w:r>
      <w:r>
        <w:rPr>
          <w:rFonts w:hint="eastAsia" w:ascii="宋体" w:hAnsi="宋体"/>
          <w:color w:val="auto"/>
          <w:highlight w:val="none"/>
          <w:lang w:val="en-US" w:eastAsia="zh-CN"/>
        </w:rPr>
        <w:t>合约招采部</w:t>
      </w:r>
      <w:r>
        <w:rPr>
          <w:rFonts w:hint="eastAsia" w:ascii="宋体" w:hAnsi="宋体"/>
          <w:color w:val="auto"/>
          <w:highlight w:val="none"/>
        </w:rPr>
        <w:t>；</w:t>
      </w:r>
    </w:p>
    <w:p w14:paraId="1B2AB30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5022C51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6.3请比选申请人法定代表人或其授权代表携法人委托书原件准时参加。</w:t>
      </w:r>
      <w:r>
        <w:rPr>
          <w:rFonts w:ascii="宋体" w:hAnsi="宋体"/>
          <w:color w:val="auto"/>
          <w:highlight w:val="none"/>
        </w:rPr>
        <w:t>比选申请文件必须由</w:t>
      </w:r>
      <w:r>
        <w:rPr>
          <w:rFonts w:hint="eastAsia" w:ascii="宋体" w:hAnsi="宋体"/>
          <w:color w:val="auto"/>
          <w:highlight w:val="none"/>
        </w:rPr>
        <w:t>比选申请人</w:t>
      </w:r>
      <w:r>
        <w:rPr>
          <w:rFonts w:ascii="宋体" w:hAnsi="宋体"/>
          <w:color w:val="auto"/>
          <w:highlight w:val="none"/>
        </w:rPr>
        <w:t>法定代表人或其授权代表递交，否则比选人不予受理。</w:t>
      </w:r>
    </w:p>
    <w:p w14:paraId="60EF1FD9">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7.发布公告的媒介</w:t>
      </w:r>
    </w:p>
    <w:p w14:paraId="50A5BFA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本次比选公告在南宁轨道地产集团有限责任公司官网(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）发布。</w:t>
      </w:r>
    </w:p>
    <w:p w14:paraId="01B5E16E">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8.联系方式</w:t>
      </w:r>
    </w:p>
    <w:p w14:paraId="3995ED30">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比选 人：南宁轨道盛拓天和房地产有限公司</w:t>
      </w:r>
    </w:p>
    <w:p w14:paraId="47B91511">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地    址：南宁市青秀区凤岭北路111号</w:t>
      </w:r>
    </w:p>
    <w:p w14:paraId="226A1AB9">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 xml:space="preserve">邮    编：530022                         </w:t>
      </w:r>
    </w:p>
    <w:p w14:paraId="5B8FF41C">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rPr>
        <w:t xml:space="preserve">李先生          </w:t>
      </w:r>
    </w:p>
    <w:p w14:paraId="3C94CC42">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rPr>
        <w:t>0771-5522035</w:t>
      </w:r>
    </w:p>
    <w:p w14:paraId="336CE402">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传真：</w:t>
      </w:r>
    </w:p>
    <w:p w14:paraId="7373E70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电子邮件：</w:t>
      </w:r>
    </w:p>
    <w:p w14:paraId="4072201A">
      <w:pPr>
        <w:pStyle w:val="2"/>
        <w:ind w:firstLine="480"/>
        <w:rPr>
          <w:color w:val="auto"/>
          <w:highlight w:val="none"/>
        </w:rPr>
      </w:pPr>
    </w:p>
    <w:p w14:paraId="75466055">
      <w:pPr>
        <w:pStyle w:val="17"/>
        <w:pageBreakBefore/>
        <w:ind w:right="-57" w:firstLine="0"/>
        <w:jc w:val="center"/>
        <w:outlineLvl w:val="0"/>
        <w:rPr>
          <w:rStyle w:val="54"/>
          <w:rFonts w:hint="eastAsia" w:ascii="宋体" w:hAnsi="宋体" w:eastAsia="宋体"/>
          <w:color w:val="auto"/>
          <w:highlight w:val="none"/>
        </w:rPr>
      </w:pPr>
      <w:bookmarkStart w:id="21" w:name="_Toc322528192"/>
      <w:bookmarkEnd w:id="21"/>
      <w:bookmarkStart w:id="22" w:name="_Toc512357502"/>
      <w:bookmarkStart w:id="23" w:name="_Toc12635"/>
      <w:bookmarkStart w:id="24" w:name="_Toc29836"/>
      <w:bookmarkStart w:id="25" w:name="_Toc30725"/>
      <w:bookmarkStart w:id="26" w:name="_Toc3495"/>
      <w:bookmarkStart w:id="27" w:name="_Toc17735"/>
      <w:bookmarkStart w:id="28" w:name="_Toc18454"/>
      <w:bookmarkStart w:id="29" w:name="_Toc24390"/>
      <w:bookmarkStart w:id="30" w:name="_Toc22273"/>
      <w:bookmarkStart w:id="31" w:name="_Toc21830"/>
      <w:bookmarkStart w:id="32" w:name="_Toc17594"/>
      <w:bookmarkStart w:id="33" w:name="_Toc1230"/>
      <w:bookmarkStart w:id="34" w:name="_Toc17240"/>
      <w:bookmarkStart w:id="35" w:name="_Toc30883"/>
      <w:bookmarkStart w:id="36" w:name="_Toc15976"/>
      <w:bookmarkStart w:id="37" w:name="_Toc30950"/>
      <w:bookmarkStart w:id="38" w:name="_Toc27010"/>
      <w:bookmarkStart w:id="39" w:name="_Toc20201"/>
      <w:bookmarkStart w:id="40" w:name="_Toc24972"/>
      <w:r>
        <w:rPr>
          <w:rStyle w:val="54"/>
          <w:rFonts w:hint="eastAsia" w:ascii="宋体" w:hAnsi="宋体" w:eastAsia="宋体"/>
          <w:color w:val="auto"/>
          <w:highlight w:val="none"/>
        </w:rPr>
        <w:t>第二章</w:t>
      </w:r>
      <w:bookmarkEnd w:id="22"/>
      <w:r>
        <w:rPr>
          <w:rStyle w:val="54"/>
          <w:rFonts w:hint="eastAsia" w:hAnsi="宋体"/>
          <w:color w:val="auto"/>
          <w:highlight w:val="none"/>
        </w:rPr>
        <w:t xml:space="preserve">  </w:t>
      </w:r>
      <w:r>
        <w:rPr>
          <w:rStyle w:val="54"/>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7EA8362">
      <w:pPr>
        <w:pStyle w:val="17"/>
        <w:spacing w:before="0" w:after="0"/>
        <w:ind w:right="0" w:firstLine="0"/>
        <w:jc w:val="center"/>
        <w:rPr>
          <w:rFonts w:hint="eastAsia" w:hAnsi="宋体"/>
          <w:b/>
          <w:color w:val="auto"/>
          <w:sz w:val="30"/>
          <w:szCs w:val="30"/>
          <w:highlight w:val="none"/>
        </w:rPr>
      </w:pPr>
      <w:r>
        <w:rPr>
          <w:rFonts w:hint="eastAsia" w:hAnsi="宋体"/>
          <w:b/>
          <w:color w:val="auto"/>
          <w:sz w:val="30"/>
          <w:szCs w:val="30"/>
          <w:highlight w:val="none"/>
        </w:rPr>
        <w:t>比选申请须知前附表</w:t>
      </w:r>
    </w:p>
    <w:tbl>
      <w:tblPr>
        <w:tblStyle w:val="36"/>
        <w:tblW w:w="9117" w:type="dxa"/>
        <w:tblInd w:w="112" w:type="dxa"/>
        <w:tblLayout w:type="fixed"/>
        <w:tblCellMar>
          <w:top w:w="0" w:type="dxa"/>
          <w:left w:w="108" w:type="dxa"/>
          <w:bottom w:w="0" w:type="dxa"/>
          <w:right w:w="108" w:type="dxa"/>
        </w:tblCellMar>
      </w:tblPr>
      <w:tblGrid>
        <w:gridCol w:w="847"/>
        <w:gridCol w:w="1559"/>
        <w:gridCol w:w="6711"/>
      </w:tblGrid>
      <w:tr w14:paraId="5FB17046">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6ABF0CA8">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3E5582DD">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718A3F75">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详细内容</w:t>
            </w:r>
          </w:p>
        </w:tc>
      </w:tr>
      <w:tr w14:paraId="2DF9F26F">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352D288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2078FA5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5C27DA8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名称：南宁轨道盛拓天和房地产有限公司</w:t>
            </w:r>
          </w:p>
          <w:p w14:paraId="7FF661F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地址：南宁市青秀区凤岭北路111号</w:t>
            </w:r>
          </w:p>
          <w:p w14:paraId="2A1988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联系人：李先生</w:t>
            </w:r>
          </w:p>
          <w:p w14:paraId="30A4666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联系电话：0771-5522035</w:t>
            </w:r>
          </w:p>
        </w:tc>
      </w:tr>
      <w:tr w14:paraId="536E66C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8D664D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03E66D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39FA53D2">
            <w:pPr>
              <w:spacing w:before="0" w:after="0" w:afterAutospacing="0"/>
              <w:ind w:left="0" w:right="0" w:firstLine="0"/>
              <w:rPr>
                <w:rFonts w:hint="eastAsia" w:ascii="宋体" w:hAnsi="宋体"/>
                <w:color w:val="auto"/>
                <w:highlight w:val="none"/>
              </w:rPr>
            </w:pPr>
            <w:r>
              <w:rPr>
                <w:rFonts w:hint="eastAsia" w:ascii="宋体" w:hAnsi="宋体"/>
                <w:color w:val="auto"/>
                <w:highlight w:val="none"/>
                <w:lang w:val="zh-CN"/>
              </w:rPr>
              <w:t>轨道云著（北区）项目样板房（138户型）精装修设计</w:t>
            </w:r>
          </w:p>
        </w:tc>
      </w:tr>
      <w:tr w14:paraId="24F35C3D">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D69785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623AAD9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00219F9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无</w:t>
            </w:r>
          </w:p>
        </w:tc>
      </w:tr>
      <w:tr w14:paraId="1C1948B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7264C7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0350D5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4F08B51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样板房方案设计及施工图设计，设计服务包含方案设计及工程估算、效果图、施工图设计及工程概算等设计成果、施工阶段配合等</w:t>
            </w:r>
            <w:r>
              <w:rPr>
                <w:rFonts w:hint="eastAsia" w:ascii="宋体" w:hAnsi="宋体"/>
                <w:color w:val="auto"/>
                <w:highlight w:val="none"/>
                <w:lang w:val="zh-CN"/>
              </w:rPr>
              <w:t>。</w:t>
            </w:r>
          </w:p>
        </w:tc>
      </w:tr>
      <w:tr w14:paraId="28C107C3">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1079F4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6C751D0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服务期</w:t>
            </w:r>
          </w:p>
        </w:tc>
        <w:tc>
          <w:tcPr>
            <w:tcW w:w="6711" w:type="dxa"/>
            <w:tcBorders>
              <w:top w:val="single" w:color="auto" w:sz="4" w:space="0"/>
              <w:left w:val="nil"/>
              <w:bottom w:val="single" w:color="auto" w:sz="4" w:space="0"/>
              <w:right w:val="single" w:color="auto" w:sz="4" w:space="0"/>
            </w:tcBorders>
            <w:vAlign w:val="center"/>
          </w:tcPr>
          <w:p w14:paraId="63E6CFDC">
            <w:pPr>
              <w:spacing w:before="0" w:after="0" w:afterAutospacing="0"/>
              <w:ind w:right="0"/>
              <w:rPr>
                <w:rFonts w:hint="eastAsia" w:ascii="宋体" w:hAnsi="宋体"/>
                <w:color w:val="auto"/>
                <w:highlight w:val="none"/>
              </w:rPr>
            </w:pPr>
            <w:r>
              <w:rPr>
                <w:rFonts w:hint="eastAsia" w:ascii="宋体" w:hAnsi="宋体"/>
                <w:color w:val="auto"/>
                <w:highlight w:val="none"/>
              </w:rPr>
              <w:t>自比选人与中选人签订的合同生效之日起至项目竣工验收。</w:t>
            </w:r>
          </w:p>
        </w:tc>
      </w:tr>
      <w:tr w14:paraId="59D54DA8">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053795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6D62CC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025033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企业自有资金</w:t>
            </w:r>
          </w:p>
        </w:tc>
      </w:tr>
      <w:tr w14:paraId="6FAE9127">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671105C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13180C7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1CA33BA0">
            <w:pPr>
              <w:spacing w:before="0" w:after="0" w:afterAutospacing="0"/>
              <w:ind w:left="0" w:right="0" w:firstLine="0"/>
              <w:rPr>
                <w:rFonts w:hint="eastAsia" w:ascii="宋体" w:hAnsi="宋体"/>
                <w:color w:val="auto"/>
                <w:sz w:val="20"/>
                <w:szCs w:val="20"/>
                <w:highlight w:val="none"/>
              </w:rPr>
            </w:pPr>
            <w:r>
              <w:rPr>
                <w:rFonts w:hint="eastAsia" w:ascii="宋体" w:hAnsi="宋体"/>
                <w:color w:val="auto"/>
                <w:sz w:val="20"/>
                <w:szCs w:val="20"/>
                <w:highlight w:val="none"/>
              </w:rPr>
              <w:t>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1550元</w:t>
            </w:r>
            <w:r>
              <w:rPr>
                <w:rFonts w:hint="eastAsia" w:ascii="宋体" w:hAnsi="宋体"/>
                <w:b/>
                <w:bCs/>
                <w:color w:val="auto"/>
                <w:highlight w:val="none"/>
                <w:lang w:val="en-US" w:eastAsia="zh-CN"/>
              </w:rPr>
              <w:t>/㎡</w:t>
            </w:r>
            <w:r>
              <w:rPr>
                <w:rFonts w:hint="eastAsia" w:ascii="宋体" w:hAnsi="宋体"/>
                <w:color w:val="auto"/>
                <w:highlight w:val="none"/>
                <w:lang w:val="en-US" w:eastAsia="zh-CN"/>
              </w:rPr>
              <w:t>，</w:t>
            </w:r>
            <w:r>
              <w:rPr>
                <w:rFonts w:hint="eastAsia" w:ascii="宋体" w:hAnsi="宋体"/>
                <w:color w:val="auto"/>
                <w:highlight w:val="none"/>
              </w:rPr>
              <w:t>人民币</w:t>
            </w:r>
            <w:r>
              <w:rPr>
                <w:rFonts w:hint="eastAsia" w:ascii="宋体" w:hAnsi="宋体"/>
                <w:b/>
                <w:bCs/>
                <w:color w:val="auto"/>
                <w:highlight w:val="none"/>
                <w:u w:val="single"/>
                <w:lang w:val="en-US" w:eastAsia="zh-CN"/>
              </w:rPr>
              <w:t>213,900‬.00</w:t>
            </w:r>
            <w:r>
              <w:rPr>
                <w:rFonts w:hint="eastAsia" w:ascii="宋体" w:hAnsi="宋体"/>
                <w:b/>
                <w:bCs/>
                <w:color w:val="auto"/>
                <w:highlight w:val="none"/>
                <w:u w:val="single"/>
              </w:rPr>
              <w:t>元</w:t>
            </w:r>
            <w:r>
              <w:rPr>
                <w:rFonts w:hint="eastAsia" w:ascii="宋体" w:hAnsi="宋体"/>
                <w:color w:val="auto"/>
                <w:sz w:val="20"/>
                <w:szCs w:val="20"/>
                <w:highlight w:val="none"/>
              </w:rPr>
              <w:t>。</w:t>
            </w:r>
          </w:p>
          <w:p w14:paraId="3D332F6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比选申请报价高于上限控制价（或分项上限控制价）的比选申请文件将按否决比选申请处理。</w:t>
            </w:r>
          </w:p>
        </w:tc>
      </w:tr>
      <w:tr w14:paraId="6F82A9A7">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170386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7D45BD8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7783C80A">
            <w:pPr>
              <w:numPr>
                <w:ilvl w:val="0"/>
                <w:numId w:val="1"/>
              </w:num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比选申请人为中华人民共和国境内</w:t>
            </w:r>
            <w:r>
              <w:rPr>
                <w:rFonts w:ascii="inherit" w:hAnsi="inherit"/>
                <w:color w:val="auto"/>
                <w:highlight w:val="none"/>
              </w:rPr>
              <w:t>依法设立独立合格法人</w:t>
            </w:r>
            <w:r>
              <w:rPr>
                <w:rFonts w:hint="eastAsia" w:ascii="宋体" w:hAnsi="宋体"/>
                <w:color w:val="auto"/>
                <w:highlight w:val="none"/>
              </w:rPr>
              <w:t>或其他组织。</w:t>
            </w:r>
          </w:p>
          <w:p w14:paraId="159E213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（2）资质条件：具有</w:t>
            </w:r>
            <w:r>
              <w:rPr>
                <w:rFonts w:hint="eastAsia" w:ascii="宋体" w:hAnsi="宋体"/>
                <w:color w:val="auto"/>
                <w:highlight w:val="none"/>
                <w:lang w:val="en-US" w:eastAsia="zh-CN"/>
              </w:rPr>
              <w:t>建筑装饰工程设计专项</w:t>
            </w:r>
            <w:r>
              <w:rPr>
                <w:rFonts w:hint="eastAsia" w:ascii="宋体" w:hAnsi="宋体"/>
                <w:color w:val="auto"/>
                <w:highlight w:val="none"/>
              </w:rPr>
              <w:t>乙级资质</w:t>
            </w:r>
            <w:r>
              <w:rPr>
                <w:rFonts w:hint="eastAsia" w:ascii="宋体" w:hAnsi="宋体"/>
                <w:color w:val="auto"/>
                <w:highlight w:val="none"/>
                <w:lang w:val="en-US" w:eastAsia="zh-CN"/>
              </w:rPr>
              <w:t>及以上</w:t>
            </w:r>
            <w:r>
              <w:rPr>
                <w:rFonts w:hint="eastAsia" w:ascii="宋体" w:hAnsi="宋体"/>
                <w:color w:val="auto"/>
                <w:highlight w:val="none"/>
              </w:rPr>
              <w:t>。</w:t>
            </w:r>
          </w:p>
          <w:p w14:paraId="15AF38AC">
            <w:pPr>
              <w:spacing w:before="0" w:after="0" w:afterAutospacing="0"/>
              <w:ind w:left="0" w:right="0" w:firstLine="0"/>
              <w:rPr>
                <w:rFonts w:hint="eastAsia" w:ascii="宋体" w:hAnsi="宋体"/>
                <w:color w:val="auto"/>
                <w:highlight w:val="none"/>
                <w:lang w:val="en-US" w:eastAsia="zh-CN"/>
              </w:rPr>
            </w:pPr>
            <w:r>
              <w:rPr>
                <w:rFonts w:hint="eastAsia" w:ascii="宋体" w:hAnsi="宋体"/>
                <w:color w:val="auto"/>
                <w:highlight w:val="none"/>
              </w:rPr>
              <w:t>（3）业绩条件：</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color w:val="auto"/>
                <w:highlight w:val="none"/>
                <w:lang w:val="en-US" w:eastAsia="zh-CN"/>
              </w:rPr>
              <w:t>。</w:t>
            </w:r>
          </w:p>
          <w:p w14:paraId="4D172313">
            <w:pPr>
              <w:spacing w:before="0" w:after="0" w:afterAutospacing="0"/>
              <w:ind w:left="0" w:right="0" w:firstLine="0"/>
              <w:rPr>
                <w:rFonts w:hint="default" w:ascii="宋体" w:hAnsi="宋体"/>
                <w:color w:val="auto"/>
                <w:highlight w:val="none"/>
                <w:lang w:val="en-US" w:eastAsia="zh-CN"/>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人员要求：</w:t>
            </w:r>
            <w:r>
              <w:rPr>
                <w:rFonts w:hint="eastAsia"/>
                <w:color w:val="auto"/>
                <w:highlight w:val="none"/>
                <w:lang w:val="en-US" w:eastAsia="zh-CN"/>
              </w:rPr>
              <w:t>项目设计负责人要求负责过1个及以上的房地产项目样板间或展示区设计项目业绩，提供所负责项目单项业绩设计单价为达1550元/㎡及以上的设计业绩，提供合同或者方案文本案例（含项目名称和效果图即可无需全套文本）作为项目负责人的证明材料，提供业绩列表加盖公司公章作为证明</w:t>
            </w:r>
          </w:p>
          <w:p w14:paraId="10E34B6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p w14:paraId="7AD00AF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1A41F5E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7</w:t>
            </w:r>
            <w:r>
              <w:rPr>
                <w:rFonts w:hint="eastAsia" w:ascii="宋体" w:hAnsi="宋体"/>
                <w:color w:val="auto"/>
                <w:highlight w:val="none"/>
              </w:rPr>
              <w:t>）本项目不接受联合体比选申请。</w:t>
            </w:r>
          </w:p>
        </w:tc>
      </w:tr>
      <w:tr w14:paraId="1E397372">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02B3619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36B44D8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比选申请人要求澄清比选文件</w:t>
            </w:r>
          </w:p>
          <w:p w14:paraId="3E0FF6B0">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05778DF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对比选文件提出疑问的截止时间：采购公告发布后的前3日</w:t>
            </w:r>
            <w:r>
              <w:rPr>
                <w:rFonts w:hint="eastAsia" w:ascii="宋体" w:hAnsi="宋体"/>
                <w:b/>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568DEFE8">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52973672">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1D0E9FED">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551A13D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64775F7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）发布</w:t>
            </w:r>
          </w:p>
        </w:tc>
      </w:tr>
      <w:tr w14:paraId="6FA3E4A7">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E108CCF">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BF6891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2BF4F69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2DD9EC90">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35D4B6CB">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7.1</w:t>
            </w:r>
          </w:p>
        </w:tc>
        <w:tc>
          <w:tcPr>
            <w:tcW w:w="1559" w:type="dxa"/>
            <w:tcBorders>
              <w:top w:val="single" w:color="auto" w:sz="4" w:space="0"/>
              <w:left w:val="nil"/>
              <w:bottom w:val="single" w:color="auto" w:sz="4" w:space="0"/>
              <w:right w:val="single" w:color="auto" w:sz="4" w:space="0"/>
            </w:tcBorders>
            <w:vAlign w:val="center"/>
          </w:tcPr>
          <w:p w14:paraId="3C7556A0">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7C88F989">
            <w:pPr>
              <w:spacing w:before="0" w:after="0" w:afterAutospacing="0"/>
              <w:ind w:left="0" w:leftChars="0" w:right="0" w:rightChars="0" w:firstLine="0" w:firstLineChars="0"/>
              <w:rPr>
                <w:rFonts w:hint="eastAsia"/>
                <w:color w:val="auto"/>
                <w:highlight w:val="none"/>
              </w:rPr>
            </w:pPr>
            <w:r>
              <w:rPr>
                <w:rFonts w:hint="eastAsia" w:ascii="宋体" w:hAnsi="宋体"/>
                <w:b/>
                <w:bCs/>
                <w:color w:val="auto"/>
                <w:highlight w:val="none"/>
              </w:rPr>
              <w:t>评标委员会根据技术总得分大于或等于技术分满分的60%（即36分）的投标人的综合评分排名情况，推荐3名（含3名）中选候选人（当中选候选人不足3名时按实际数量推荐），并标明排序。技术总得分低于技术分满分的60%（即</w:t>
            </w:r>
            <w:r>
              <w:rPr>
                <w:rFonts w:hint="eastAsia" w:ascii="宋体" w:hAnsi="宋体"/>
                <w:b/>
                <w:bCs/>
                <w:color w:val="auto"/>
                <w:highlight w:val="none"/>
                <w:lang w:val="en-US" w:eastAsia="zh-CN"/>
              </w:rPr>
              <w:t>36</w:t>
            </w:r>
            <w:r>
              <w:rPr>
                <w:rFonts w:hint="eastAsia" w:ascii="宋体" w:hAnsi="宋体"/>
                <w:b/>
                <w:bCs/>
                <w:color w:val="auto"/>
                <w:highlight w:val="none"/>
              </w:rPr>
              <w:t>分）的投标人不得推选为中标候选人，且不得进入综合得分评比，仅作为有效投标人。</w:t>
            </w:r>
          </w:p>
        </w:tc>
      </w:tr>
      <w:tr w14:paraId="04C03EDA">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7D87BB8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5B32E4D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4A81029D">
            <w:pPr>
              <w:spacing w:before="0" w:after="0" w:afterAutospacing="0"/>
              <w:ind w:left="0" w:right="0" w:firstLine="0"/>
              <w:rPr>
                <w:color w:val="auto"/>
                <w:highlight w:val="none"/>
              </w:rPr>
            </w:pPr>
            <w:r>
              <w:rPr>
                <w:rFonts w:hint="eastAsia"/>
                <w:color w:val="auto"/>
                <w:highlight w:val="none"/>
              </w:rPr>
              <w:t>比选申请文件组成部分：资格审查文件、价格文件、技术文件</w:t>
            </w:r>
          </w:p>
          <w:p w14:paraId="524E0EF6">
            <w:pPr>
              <w:spacing w:before="0" w:after="0" w:afterAutospacing="0" w:line="276" w:lineRule="auto"/>
              <w:ind w:left="0" w:right="0" w:firstLine="0"/>
              <w:rPr>
                <w:color w:val="auto"/>
                <w:highlight w:val="none"/>
              </w:rPr>
            </w:pPr>
            <w:r>
              <w:rPr>
                <w:rFonts w:hint="eastAsia"/>
                <w:color w:val="auto"/>
                <w:highlight w:val="none"/>
              </w:rPr>
              <w:t>资格审查文件</w:t>
            </w:r>
          </w:p>
          <w:p w14:paraId="652BF853">
            <w:pPr>
              <w:numPr>
                <w:ilvl w:val="0"/>
                <w:numId w:val="2"/>
              </w:numPr>
              <w:spacing w:before="0" w:after="0" w:afterAutospacing="0" w:line="276" w:lineRule="auto"/>
              <w:ind w:left="0" w:right="0" w:firstLine="0"/>
              <w:rPr>
                <w:rFonts w:hint="eastAsia"/>
                <w:color w:val="auto"/>
                <w:highlight w:val="none"/>
              </w:rPr>
            </w:pPr>
            <w:r>
              <w:rPr>
                <w:rFonts w:hint="eastAsia"/>
                <w:color w:val="auto"/>
                <w:highlight w:val="none"/>
              </w:rPr>
              <w:t>法定代表人授权书（格式见A1）及法定代表人资格证明书（如无授权时，只需提供法定代表人资格证明书，格式见A2），法定代表人及被授权人身份证复印件；</w:t>
            </w:r>
          </w:p>
          <w:p w14:paraId="0E634223">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）比选申请人有效的营业执照</w:t>
            </w:r>
            <w:r>
              <w:rPr>
                <w:rFonts w:hint="eastAsia"/>
                <w:color w:val="auto"/>
                <w:highlight w:val="none"/>
                <w:lang w:eastAsia="zh-CN"/>
              </w:rPr>
              <w:t>、资质证书、认定证书等</w:t>
            </w:r>
            <w:r>
              <w:rPr>
                <w:rFonts w:hint="eastAsia"/>
                <w:color w:val="auto"/>
                <w:highlight w:val="none"/>
              </w:rPr>
              <w:t>复印件；</w:t>
            </w:r>
          </w:p>
          <w:p w14:paraId="10ECF1BD">
            <w:pPr>
              <w:spacing w:before="0" w:after="0" w:afterAutospacing="0" w:line="276" w:lineRule="auto"/>
              <w:ind w:left="0" w:right="0" w:firstLine="0"/>
              <w:rPr>
                <w:rFonts w:hint="eastAsia"/>
                <w:color w:val="auto"/>
                <w:highlight w:val="none"/>
              </w:rPr>
            </w:pPr>
            <w:r>
              <w:rPr>
                <w:rFonts w:hint="eastAsia"/>
                <w:color w:val="auto"/>
                <w:highlight w:val="none"/>
              </w:rPr>
              <w:t>（</w:t>
            </w:r>
            <w:r>
              <w:rPr>
                <w:color w:val="auto"/>
                <w:highlight w:val="none"/>
              </w:rPr>
              <w:t>3</w:t>
            </w:r>
            <w:r>
              <w:rPr>
                <w:rFonts w:hint="eastAsia"/>
                <w:color w:val="auto"/>
                <w:highlight w:val="none"/>
              </w:rPr>
              <w:t>）承诺书（格式见A3）；</w:t>
            </w:r>
          </w:p>
          <w:p w14:paraId="2748C824">
            <w:pPr>
              <w:spacing w:before="0" w:after="0" w:afterAutospacing="0" w:line="276" w:lineRule="auto"/>
              <w:ind w:left="0" w:right="0" w:firstLine="0"/>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）项目类似业绩表（</w:t>
            </w:r>
            <w:r>
              <w:rPr>
                <w:rFonts w:hint="eastAsia" w:ascii="Times New Roman" w:hAnsi="Times New Roman" w:cs="Times New Roman"/>
                <w:color w:val="auto"/>
                <w:highlight w:val="none"/>
                <w:lang w:val="en-US" w:eastAsia="zh-CN"/>
              </w:rPr>
              <w:t>A4</w:t>
            </w:r>
            <w:r>
              <w:rPr>
                <w:rFonts w:hint="eastAsia" w:ascii="Times New Roman" w:hAnsi="Times New Roman" w:cs="Times New Roman"/>
                <w:color w:val="auto"/>
                <w:highlight w:val="none"/>
                <w:lang w:eastAsia="zh-CN"/>
              </w:rPr>
              <w:t>）</w:t>
            </w:r>
          </w:p>
          <w:p w14:paraId="3E2F37B8">
            <w:pPr>
              <w:spacing w:before="0" w:after="0" w:afterAutospacing="0" w:line="276" w:lineRule="auto"/>
              <w:ind w:left="0" w:right="0" w:firstLine="0"/>
              <w:rPr>
                <w:rFonts w:hint="eastAsia" w:ascii="Times New Roman" w:hAnsi="Times New Roman" w:eastAsia="宋体" w:cs="Times New Roman"/>
                <w:color w:val="auto"/>
                <w:highlight w:val="none"/>
                <w:lang w:val="en-US" w:eastAsia="zh-CN"/>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p w14:paraId="1823C842">
            <w:pPr>
              <w:spacing w:before="0" w:after="0" w:afterAutospacing="0"/>
              <w:ind w:left="0" w:right="0" w:firstLine="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2FC64FA3">
            <w:pPr>
              <w:spacing w:before="0" w:after="0" w:afterAutospacing="0" w:line="276" w:lineRule="auto"/>
              <w:ind w:left="0" w:right="0" w:firstLine="0"/>
              <w:rPr>
                <w:color w:val="auto"/>
                <w:highlight w:val="none"/>
              </w:rPr>
            </w:pPr>
            <w:r>
              <w:rPr>
                <w:rFonts w:hint="eastAsia"/>
                <w:color w:val="auto"/>
                <w:highlight w:val="none"/>
              </w:rPr>
              <w:t>价格文件</w:t>
            </w:r>
          </w:p>
          <w:p w14:paraId="65E9FAE0">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5C4A5B55">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B9EC4AA">
            <w:pPr>
              <w:spacing w:before="0" w:after="0" w:afterAutospacing="0" w:line="276" w:lineRule="auto"/>
              <w:ind w:left="0" w:right="0" w:firstLine="0"/>
              <w:rPr>
                <w:color w:val="auto"/>
                <w:highlight w:val="none"/>
              </w:rPr>
            </w:pPr>
            <w:r>
              <w:rPr>
                <w:rFonts w:hint="eastAsia"/>
                <w:color w:val="auto"/>
                <w:highlight w:val="none"/>
              </w:rPr>
              <w:t>（3）比选申请人认为应提交的其他比选申请资料（如有）。</w:t>
            </w:r>
          </w:p>
          <w:p w14:paraId="04EB801C">
            <w:pPr>
              <w:spacing w:before="0" w:after="0" w:afterAutospacing="0" w:line="276" w:lineRule="auto"/>
              <w:ind w:left="0" w:right="0" w:firstLine="0"/>
              <w:rPr>
                <w:color w:val="auto"/>
                <w:highlight w:val="none"/>
              </w:rPr>
            </w:pPr>
          </w:p>
          <w:p w14:paraId="2A839BF0">
            <w:pPr>
              <w:spacing w:before="0" w:after="0" w:afterAutospacing="0" w:line="276" w:lineRule="auto"/>
              <w:ind w:left="0" w:right="0" w:firstLine="0"/>
              <w:rPr>
                <w:color w:val="auto"/>
                <w:highlight w:val="none"/>
              </w:rPr>
            </w:pPr>
            <w:r>
              <w:rPr>
                <w:rFonts w:hint="eastAsia"/>
                <w:color w:val="auto"/>
                <w:highlight w:val="none"/>
              </w:rPr>
              <w:t>技术文件</w:t>
            </w:r>
          </w:p>
          <w:p w14:paraId="16021551">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）技术文件响应表（格式见C1）；</w:t>
            </w:r>
          </w:p>
          <w:p w14:paraId="68F870B5">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）商务响应表（格式见C2）；</w:t>
            </w:r>
          </w:p>
          <w:p w14:paraId="1E08B702">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）服务建议书（格式自拟，需包含工期，工期格式见C3）；</w:t>
            </w:r>
          </w:p>
          <w:p w14:paraId="4F6186BE">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）项目人员配置（格式见C4）；</w:t>
            </w:r>
          </w:p>
          <w:p w14:paraId="677B5FDD">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ascii="宋体" w:hAnsi="宋体"/>
                <w:color w:val="auto"/>
                <w:highlight w:val="none"/>
              </w:rPr>
              <w:t>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1550元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lang w:bidi="ar"/>
              </w:rPr>
              <w:t>②中标通知书；③</w:t>
            </w:r>
            <w:r>
              <w:rPr>
                <w:rFonts w:hint="eastAsia"/>
                <w:color w:val="auto"/>
                <w:highlight w:val="none"/>
                <w:lang w:val="en-US" w:eastAsia="zh-CN"/>
              </w:rPr>
              <w:t>方案文本案例（含项目名称和效果图即可无需全套文本）</w:t>
            </w:r>
            <w:r>
              <w:rPr>
                <w:rFonts w:hint="eastAsia" w:ascii="宋体" w:hAnsi="宋体" w:cs="宋体"/>
                <w:color w:val="auto"/>
                <w:highlight w:val="none"/>
                <w:lang w:val="en-US" w:eastAsia="zh-CN"/>
              </w:rPr>
              <w:t>④</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031982EC">
            <w:pPr>
              <w:pStyle w:val="2"/>
              <w:ind w:left="0" w:leftChars="0" w:firstLine="0" w:firstLineChars="0"/>
              <w:rPr>
                <w:rFonts w:eastAsia="宋体"/>
                <w:color w:val="auto"/>
                <w:highlight w:val="none"/>
              </w:rPr>
            </w:pPr>
            <w:r>
              <w:rPr>
                <w:rFonts w:hint="eastAsia" w:eastAsia="宋体"/>
                <w:color w:val="auto"/>
                <w:highlight w:val="none"/>
              </w:rPr>
              <w:t>注：以上所有文件如提供复印件的，必须加盖比选申请人公章。</w:t>
            </w:r>
          </w:p>
        </w:tc>
      </w:tr>
      <w:tr w14:paraId="5C50BB25">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5E37DDA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203E4F4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11754E7D">
            <w:pPr>
              <w:spacing w:before="0" w:after="0" w:afterAutospacing="0"/>
              <w:ind w:left="0" w:right="0" w:firstLine="0"/>
              <w:rPr>
                <w:rFonts w:hint="eastAsia"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含税总报价为合同暂定含税总价款，本合同最终税金在结算阶段，按实际产生的税金进行核算，但合同不含税价格不因国家税率调整而调整。</w:t>
            </w:r>
          </w:p>
        </w:tc>
      </w:tr>
      <w:tr w14:paraId="75AF030D">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20285AF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4735F45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7BEAB1A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不要求递交比选申请保证金</w:t>
            </w:r>
          </w:p>
        </w:tc>
      </w:tr>
      <w:tr w14:paraId="25472790">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5614F56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7D16FE4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7625DAC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自比选申请截止时间起90天</w:t>
            </w:r>
          </w:p>
        </w:tc>
      </w:tr>
      <w:tr w14:paraId="7AD41C59">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35C5915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77664C4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2A8992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纸质版本正本1份，副本4份，并同时递交比选申请文件电子版（电子版要求见本表第3</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项）。</w:t>
            </w:r>
          </w:p>
        </w:tc>
      </w:tr>
      <w:tr w14:paraId="182B5DF9">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36506A0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46009DB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20AFED32">
            <w:pPr>
              <w:spacing w:before="0" w:after="0" w:afterAutospacing="0"/>
              <w:ind w:left="0" w:right="0" w:firstLine="0"/>
              <w:rPr>
                <w:rFonts w:hint="eastAsia" w:ascii="宋体" w:hAnsi="宋体"/>
                <w:b/>
                <w:color w:val="auto"/>
                <w:highlight w:val="none"/>
              </w:rPr>
            </w:pPr>
            <w:bookmarkStart w:id="41" w:name="CgwjmbEntity：KBSJ3_0"/>
            <w:r>
              <w:rPr>
                <w:rFonts w:hint="eastAsia" w:ascii="宋体" w:hAnsi="宋体"/>
                <w:b/>
                <w:color w:val="auto"/>
                <w:highlight w:val="none"/>
              </w:rPr>
              <w:t>2026年</w:t>
            </w:r>
            <w:bookmarkEnd w:id="41"/>
            <w:r>
              <w:rPr>
                <w:rFonts w:hint="eastAsia" w:ascii="宋体" w:hAnsi="宋体"/>
                <w:b/>
                <w:color w:val="auto"/>
                <w:highlight w:val="none"/>
              </w:rPr>
              <w:t xml:space="preserve">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13</w:t>
            </w:r>
            <w:r>
              <w:rPr>
                <w:rFonts w:hint="eastAsia" w:ascii="宋体" w:hAnsi="宋体"/>
                <w:b/>
                <w:color w:val="auto"/>
                <w:highlight w:val="none"/>
              </w:rPr>
              <w:t xml:space="preserve"> 日当日 9时 </w:t>
            </w:r>
            <w:r>
              <w:rPr>
                <w:rFonts w:ascii="宋体" w:hAnsi="宋体"/>
                <w:b/>
                <w:color w:val="auto"/>
                <w:highlight w:val="none"/>
              </w:rPr>
              <w:t>3</w:t>
            </w:r>
            <w:r>
              <w:rPr>
                <w:rFonts w:hint="eastAsia" w:ascii="宋体" w:hAnsi="宋体"/>
                <w:b/>
                <w:color w:val="auto"/>
                <w:highlight w:val="none"/>
              </w:rPr>
              <w:t>0分</w:t>
            </w:r>
          </w:p>
        </w:tc>
      </w:tr>
      <w:tr w14:paraId="5EC7ECB1">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2C0E5E2">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4D3FF36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296AA51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单位：南宁轨道地产集团有限责任公司</w:t>
            </w:r>
          </w:p>
          <w:p w14:paraId="7B4D47C9">
            <w:pPr>
              <w:spacing w:before="0" w:after="0" w:afterAutospacing="0"/>
              <w:ind w:left="0" w:right="0" w:firstLine="0"/>
              <w:rPr>
                <w:b/>
                <w:color w:val="auto"/>
                <w:highlight w:val="none"/>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凤岭北路111号南宁国际旅游中心A座907招采管理中心</w:t>
            </w:r>
          </w:p>
        </w:tc>
      </w:tr>
      <w:tr w14:paraId="0723397D">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6D03A1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6D522F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4E2AD6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（评审价以不含税总报价为基准）</w:t>
            </w:r>
          </w:p>
        </w:tc>
      </w:tr>
      <w:tr w14:paraId="36D380D7">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6D61278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433766C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3F6F95D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按比选申请须知第40点执行。</w:t>
            </w:r>
          </w:p>
        </w:tc>
      </w:tr>
      <w:tr w14:paraId="4A319A6F">
        <w:tblPrEx>
          <w:tblCellMar>
            <w:top w:w="0" w:type="dxa"/>
            <w:left w:w="108" w:type="dxa"/>
            <w:bottom w:w="0" w:type="dxa"/>
            <w:right w:w="108" w:type="dxa"/>
          </w:tblCellMar>
        </w:tblPrEx>
        <w:trPr>
          <w:trHeight w:val="707" w:hRule="atLeast"/>
        </w:trPr>
        <w:tc>
          <w:tcPr>
            <w:tcW w:w="847" w:type="dxa"/>
            <w:tcBorders>
              <w:top w:val="single" w:color="auto" w:sz="4" w:space="0"/>
              <w:left w:val="single" w:color="auto" w:sz="4" w:space="0"/>
              <w:bottom w:val="single" w:color="auto" w:sz="4" w:space="0"/>
              <w:right w:val="single" w:color="auto" w:sz="4" w:space="0"/>
            </w:tcBorders>
            <w:vAlign w:val="center"/>
          </w:tcPr>
          <w:p w14:paraId="6B0292F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5CCE00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660098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履约担保的金额：</w:t>
            </w:r>
            <w:r>
              <w:rPr>
                <w:rFonts w:hint="eastAsia" w:ascii="宋体" w:hAnsi="宋体" w:cs="Arial"/>
                <w:color w:val="auto"/>
                <w:highlight w:val="none"/>
              </w:rPr>
              <w:t>无</w:t>
            </w:r>
            <w:r>
              <w:rPr>
                <w:rFonts w:hint="eastAsia" w:ascii="宋体" w:hAnsi="宋体"/>
                <w:color w:val="auto"/>
                <w:highlight w:val="none"/>
              </w:rPr>
              <w:t>；</w:t>
            </w:r>
          </w:p>
          <w:p w14:paraId="3FE1882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履约担保的形式：无。</w:t>
            </w:r>
          </w:p>
        </w:tc>
      </w:tr>
      <w:tr w14:paraId="33F0A425">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6BFE72B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37.5</w:t>
            </w:r>
          </w:p>
        </w:tc>
        <w:tc>
          <w:tcPr>
            <w:tcW w:w="1559" w:type="dxa"/>
            <w:vMerge w:val="restart"/>
            <w:tcBorders>
              <w:top w:val="single" w:color="auto" w:sz="4" w:space="0"/>
              <w:left w:val="nil"/>
              <w:right w:val="single" w:color="auto" w:sz="4" w:space="0"/>
            </w:tcBorders>
            <w:vAlign w:val="center"/>
          </w:tcPr>
          <w:p w14:paraId="1B846B0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420B494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1.比选申请人在递交纸质比选申请文件时，同时递交比选申请文件电子版。</w:t>
            </w:r>
          </w:p>
          <w:p w14:paraId="46062EA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7638E062">
            <w:pPr>
              <w:spacing w:before="0" w:after="0" w:afterAutospacing="0"/>
              <w:ind w:left="0" w:right="0" w:firstLine="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7F050B6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7F928B22">
            <w:pPr>
              <w:spacing w:before="0" w:after="0" w:afterAutospacing="0"/>
              <w:ind w:left="0" w:right="0" w:firstLine="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3CA82B10">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31D5DE9B">
            <w:pPr>
              <w:spacing w:before="0" w:after="0" w:afterAutospacing="0"/>
              <w:ind w:left="0" w:right="0" w:firstLine="0"/>
              <w:rPr>
                <w:rFonts w:hint="eastAsia" w:ascii="宋体" w:hAnsi="宋体"/>
                <w:color w:val="auto"/>
                <w:highlight w:val="none"/>
              </w:rPr>
            </w:pPr>
          </w:p>
        </w:tc>
        <w:tc>
          <w:tcPr>
            <w:tcW w:w="1559" w:type="dxa"/>
            <w:vMerge w:val="continue"/>
            <w:tcBorders>
              <w:left w:val="nil"/>
              <w:right w:val="single" w:color="auto" w:sz="4" w:space="0"/>
            </w:tcBorders>
            <w:vAlign w:val="center"/>
          </w:tcPr>
          <w:p w14:paraId="74C9BEDD">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7AAC2D5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A53D1E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1FD0D4F5">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1A88DBBB">
            <w:pPr>
              <w:spacing w:before="0" w:after="0" w:afterAutospacing="0"/>
              <w:ind w:left="0" w:right="0" w:firstLine="0"/>
              <w:rPr>
                <w:rFonts w:hint="eastAsia"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0F626363">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4C8B874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1.本项目比选文件的最终解释权归比选人。</w:t>
            </w:r>
          </w:p>
        </w:tc>
      </w:tr>
      <w:tr w14:paraId="66FCA21A">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298676A6">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68288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其他</w:t>
            </w:r>
          </w:p>
        </w:tc>
        <w:tc>
          <w:tcPr>
            <w:tcW w:w="6711" w:type="dxa"/>
            <w:tcBorders>
              <w:top w:val="single" w:color="auto" w:sz="4" w:space="0"/>
              <w:left w:val="nil"/>
              <w:bottom w:val="single" w:color="auto" w:sz="4" w:space="0"/>
              <w:right w:val="single" w:color="auto" w:sz="4" w:space="0"/>
            </w:tcBorders>
            <w:vAlign w:val="center"/>
          </w:tcPr>
          <w:p w14:paraId="78B2308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在保证设计质量的前提下，本项目中选人需根据比选人提供的设计任务书实行限额设计。</w:t>
            </w:r>
          </w:p>
        </w:tc>
      </w:tr>
    </w:tbl>
    <w:p w14:paraId="04E3B16A">
      <w:pPr>
        <w:pStyle w:val="7"/>
        <w:spacing w:after="0" w:afterAutospacing="0" w:line="360" w:lineRule="auto"/>
        <w:ind w:left="484" w:leftChars="200" w:right="0" w:hanging="64" w:hangingChars="20"/>
        <w:rPr>
          <w:rFonts w:hint="eastAsia" w:ascii="宋体" w:hAnsi="宋体" w:eastAsia="宋体"/>
          <w:color w:val="auto"/>
          <w:sz w:val="24"/>
          <w:szCs w:val="24"/>
          <w:highlight w:val="none"/>
        </w:rPr>
      </w:pPr>
      <w:r>
        <w:rPr>
          <w:rFonts w:ascii="宋体" w:hAnsi="宋体" w:eastAsia="宋体"/>
          <w:color w:val="auto"/>
          <w:highlight w:val="none"/>
        </w:rPr>
        <w:br w:type="page"/>
      </w:r>
      <w:bookmarkStart w:id="42" w:name="_Toc322528193"/>
      <w:bookmarkEnd w:id="42"/>
      <w:bookmarkStart w:id="43" w:name="_Toc853"/>
      <w:bookmarkStart w:id="44" w:name="_Toc3224"/>
      <w:bookmarkStart w:id="45" w:name="_Toc114134607"/>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3"/>
      <w:bookmarkEnd w:id="44"/>
      <w:bookmarkEnd w:id="45"/>
    </w:p>
    <w:p w14:paraId="2E19ED8D">
      <w:pPr>
        <w:pStyle w:val="8"/>
        <w:spacing w:before="0" w:after="0" w:afterAutospacing="0"/>
        <w:ind w:left="0" w:right="0" w:firstLine="422" w:firstLineChars="200"/>
        <w:rPr>
          <w:rFonts w:hint="eastAsia" w:ascii="宋体" w:hAnsi="宋体"/>
          <w:color w:val="auto"/>
          <w:sz w:val="21"/>
          <w:szCs w:val="21"/>
          <w:highlight w:val="none"/>
        </w:rPr>
      </w:pPr>
      <w:bookmarkStart w:id="46" w:name="_Toc463"/>
      <w:bookmarkStart w:id="47" w:name="_Toc21139"/>
      <w:bookmarkStart w:id="48" w:name="_Toc390098419"/>
      <w:bookmarkStart w:id="49" w:name="_Toc114134608"/>
      <w:bookmarkStart w:id="50" w:name="_Toc8166"/>
      <w:bookmarkStart w:id="51" w:name="_Toc3364"/>
      <w:bookmarkStart w:id="52" w:name="_Toc25750591"/>
      <w:bookmarkStart w:id="53" w:name="_Toc17845"/>
      <w:bookmarkStart w:id="54" w:name="_Toc27076"/>
      <w:bookmarkStart w:id="55" w:name="_Toc23660"/>
      <w:bookmarkStart w:id="56" w:name="_Toc492478718"/>
      <w:bookmarkStart w:id="57" w:name="_Toc9366"/>
      <w:bookmarkStart w:id="58" w:name="_Toc11224"/>
      <w:bookmarkStart w:id="59" w:name="_Toc12526"/>
      <w:bookmarkStart w:id="60" w:name="_Toc3804"/>
      <w:bookmarkStart w:id="61" w:name="_Toc385427793"/>
      <w:bookmarkStart w:id="62" w:name="_Toc30570"/>
      <w:bookmarkStart w:id="63" w:name="_Toc383891168"/>
      <w:bookmarkStart w:id="64" w:name="_Toc7778"/>
      <w:bookmarkStart w:id="65" w:name="_Toc28326"/>
      <w:bookmarkStart w:id="66" w:name="_Toc375039064"/>
      <w:bookmarkStart w:id="67" w:name="_Toc14066"/>
      <w:bookmarkStart w:id="68" w:name="_Toc6861"/>
      <w:bookmarkStart w:id="69" w:name="_Toc27079"/>
      <w:bookmarkStart w:id="70" w:name="_Toc12983505"/>
      <w:bookmarkStart w:id="71" w:name="_Toc31563"/>
      <w:bookmarkStart w:id="72" w:name="_Toc5495"/>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3BAFCF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2788235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2CBFB71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51E0A1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319F021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3C20C8A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50BDCE3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1C9DB668">
      <w:pPr>
        <w:pStyle w:val="8"/>
        <w:spacing w:before="0" w:after="0" w:afterAutospacing="0"/>
        <w:ind w:left="0" w:right="0" w:firstLine="422" w:firstLineChars="200"/>
        <w:rPr>
          <w:rFonts w:hint="eastAsia" w:ascii="宋体" w:hAnsi="宋体"/>
          <w:color w:val="auto"/>
          <w:sz w:val="21"/>
          <w:szCs w:val="21"/>
          <w:highlight w:val="none"/>
        </w:rPr>
      </w:pPr>
      <w:bookmarkStart w:id="73" w:name="_Toc6985"/>
      <w:bookmarkStart w:id="74" w:name="_Toc27847"/>
      <w:bookmarkStart w:id="75" w:name="_Toc16860"/>
      <w:bookmarkStart w:id="76" w:name="_Toc114134609"/>
      <w:bookmarkStart w:id="77" w:name="_Toc383891169"/>
      <w:bookmarkStart w:id="78" w:name="_Toc21874"/>
      <w:bookmarkStart w:id="79" w:name="_Toc492478719"/>
      <w:bookmarkStart w:id="80" w:name="_Toc27845"/>
      <w:bookmarkStart w:id="81" w:name="_Toc4780"/>
      <w:bookmarkStart w:id="82" w:name="_Toc375039065"/>
      <w:bookmarkStart w:id="83" w:name="_Toc1552"/>
      <w:bookmarkStart w:id="84" w:name="_Toc24429"/>
      <w:bookmarkStart w:id="85" w:name="_Toc6038"/>
      <w:bookmarkStart w:id="86" w:name="_Toc385427794"/>
      <w:bookmarkStart w:id="87" w:name="_Toc12983506"/>
      <w:bookmarkStart w:id="88" w:name="_Toc2536"/>
      <w:bookmarkStart w:id="89" w:name="_Toc8052"/>
      <w:bookmarkStart w:id="90" w:name="_Toc390098420"/>
      <w:bookmarkStart w:id="91" w:name="_Toc27621"/>
      <w:bookmarkStart w:id="92" w:name="_Toc31314"/>
      <w:bookmarkStart w:id="93" w:name="_Toc25750592"/>
      <w:bookmarkStart w:id="94" w:name="_Toc22987"/>
      <w:bookmarkStart w:id="95" w:name="_Toc10907"/>
      <w:r>
        <w:rPr>
          <w:rFonts w:hint="eastAsia" w:ascii="宋体" w:hAnsi="宋体"/>
          <w:color w:val="auto"/>
          <w:sz w:val="21"/>
          <w:szCs w:val="21"/>
          <w:highlight w:val="none"/>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96B68C1">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本比选文件使用的下列词汇具有如下规定的意义。</w:t>
      </w:r>
    </w:p>
    <w:p w14:paraId="589E9E1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w:t>
      </w:r>
      <w:r>
        <w:rPr>
          <w:rFonts w:ascii="宋体" w:hAnsi="宋体"/>
          <w:color w:val="auto"/>
          <w:highlight w:val="none"/>
        </w:rPr>
        <w:t>采购</w:t>
      </w:r>
      <w:r>
        <w:rPr>
          <w:rFonts w:hint="eastAsia" w:ascii="宋体" w:hAnsi="宋体"/>
          <w:color w:val="auto"/>
          <w:highlight w:val="none"/>
        </w:rPr>
        <w:t>项目</w:t>
      </w:r>
      <w:r>
        <w:rPr>
          <w:rFonts w:ascii="宋体" w:hAnsi="宋体"/>
          <w:color w:val="auto"/>
          <w:highlight w:val="none"/>
        </w:rPr>
        <w:t>的国家机关、企业、事业单位或其它组织。本比选文件中比选人是指</w:t>
      </w:r>
      <w:r>
        <w:rPr>
          <w:rFonts w:hint="eastAsia" w:ascii="宋体" w:hAnsi="宋体"/>
          <w:b/>
          <w:color w:val="auto"/>
          <w:highlight w:val="none"/>
        </w:rPr>
        <w:t>南宁轨道盛拓天和房地产有限公司</w:t>
      </w:r>
      <w:r>
        <w:rPr>
          <w:rFonts w:ascii="宋体" w:hAnsi="宋体"/>
          <w:color w:val="auto"/>
          <w:highlight w:val="none"/>
        </w:rPr>
        <w:t>。如无特别说明本比选文件中的“发包人、业主、甲方和比选人”均指：</w:t>
      </w:r>
      <w:r>
        <w:rPr>
          <w:rFonts w:hint="eastAsia" w:ascii="宋体" w:hAnsi="宋体"/>
          <w:b/>
          <w:color w:val="auto"/>
          <w:highlight w:val="none"/>
        </w:rPr>
        <w:t>南宁轨道盛拓天和房地产有限公司</w:t>
      </w:r>
      <w:r>
        <w:rPr>
          <w:rFonts w:ascii="宋体" w:hAnsi="宋体"/>
          <w:color w:val="auto"/>
          <w:highlight w:val="none"/>
        </w:rPr>
        <w:t>。</w:t>
      </w:r>
    </w:p>
    <w:p w14:paraId="58229F82">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434E13F2">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255FFCF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6E783F3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161EC0C8">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34D6865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2.7“保质期”系指质量三包的期限。</w:t>
      </w:r>
    </w:p>
    <w:p w14:paraId="24ED38C3">
      <w:pPr>
        <w:pStyle w:val="8"/>
        <w:spacing w:before="0" w:after="0" w:afterAutospacing="0"/>
        <w:ind w:left="0" w:right="0" w:firstLine="422" w:firstLineChars="200"/>
        <w:rPr>
          <w:rFonts w:hint="eastAsia" w:ascii="宋体" w:hAnsi="宋体"/>
          <w:color w:val="auto"/>
          <w:sz w:val="21"/>
          <w:szCs w:val="21"/>
          <w:highlight w:val="none"/>
        </w:rPr>
      </w:pPr>
      <w:bookmarkStart w:id="96" w:name="_Toc375039066"/>
      <w:bookmarkStart w:id="97" w:name="_Toc383891170"/>
      <w:bookmarkStart w:id="98" w:name="_Toc385427795"/>
      <w:bookmarkStart w:id="99" w:name="_Toc390098421"/>
      <w:bookmarkStart w:id="100" w:name="_Toc492478720"/>
      <w:bookmarkStart w:id="101" w:name="_Toc22845"/>
      <w:bookmarkStart w:id="102" w:name="_Toc8288"/>
      <w:bookmarkStart w:id="103" w:name="_Toc30498"/>
      <w:bookmarkStart w:id="104" w:name="_Toc17568"/>
      <w:bookmarkStart w:id="105" w:name="_Toc12983507"/>
      <w:bookmarkStart w:id="106" w:name="_Toc25786"/>
      <w:bookmarkStart w:id="107" w:name="_Toc7306"/>
      <w:bookmarkStart w:id="108" w:name="_Toc22115"/>
      <w:bookmarkStart w:id="109" w:name="_Toc29401"/>
      <w:bookmarkStart w:id="110" w:name="_Toc29859"/>
      <w:bookmarkStart w:id="111" w:name="_Toc24844"/>
      <w:bookmarkStart w:id="112" w:name="_Toc31477"/>
      <w:bookmarkStart w:id="113" w:name="_Toc7797"/>
      <w:bookmarkStart w:id="114" w:name="_Toc498"/>
      <w:bookmarkStart w:id="115" w:name="_Toc17075"/>
      <w:bookmarkStart w:id="116" w:name="_Toc114134610"/>
      <w:bookmarkStart w:id="117" w:name="_Toc9929"/>
      <w:bookmarkStart w:id="118" w:name="_Toc12940"/>
      <w:bookmarkStart w:id="119" w:name="_Toc307"/>
      <w:bookmarkStart w:id="120" w:name="_Toc10653"/>
      <w:bookmarkStart w:id="121" w:name="_Toc20853"/>
      <w:bookmarkStart w:id="122" w:name="_Toc25750593"/>
      <w:r>
        <w:rPr>
          <w:rFonts w:ascii="宋体" w:hAnsi="宋体"/>
          <w:color w:val="auto"/>
          <w:sz w:val="21"/>
          <w:szCs w:val="21"/>
          <w:highlight w:val="none"/>
        </w:rPr>
        <w:t>3. 比选申请人</w:t>
      </w:r>
      <w:bookmarkEnd w:id="96"/>
      <w:bookmarkEnd w:id="97"/>
      <w:bookmarkEnd w:id="98"/>
      <w:bookmarkEnd w:id="99"/>
      <w:bookmarkEnd w:id="100"/>
      <w:r>
        <w:rPr>
          <w:rFonts w:hint="eastAsia" w:ascii="宋体" w:hAnsi="宋体"/>
          <w:color w:val="auto"/>
          <w:sz w:val="21"/>
          <w:szCs w:val="21"/>
          <w:highlight w:val="none"/>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A7534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1D338F3C">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5E0AB79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5C3281B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（2）处于被责令停业，或比选申请资格被住建部、国家安监总局、广西区或南宁市建设行政主管部门取消，或财产被接管、冻结、破产状态；</w:t>
      </w:r>
    </w:p>
    <w:p w14:paraId="18A7EDA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（3）有骗取中选、严重违约或重大质量安全责任事故；</w:t>
      </w:r>
    </w:p>
    <w:p w14:paraId="7D53F54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18F5A30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（5）比选申请人向比选人或比选评审小组成员以行贿的手段谋取中选的；</w:t>
      </w:r>
    </w:p>
    <w:p w14:paraId="227CDFC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（6）串通比选申请或弄虚作假或有其他违法行为的；</w:t>
      </w:r>
    </w:p>
    <w:p w14:paraId="2BA07AC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（7）在比选申请文件中提供虚假文件或资料的。</w:t>
      </w:r>
    </w:p>
    <w:p w14:paraId="4693F133">
      <w:pPr>
        <w:pStyle w:val="8"/>
        <w:spacing w:before="0" w:after="0" w:afterAutospacing="0"/>
        <w:ind w:left="0" w:right="0" w:firstLine="422" w:firstLineChars="200"/>
        <w:rPr>
          <w:rFonts w:hint="eastAsia" w:ascii="宋体" w:hAnsi="宋体"/>
          <w:color w:val="auto"/>
          <w:sz w:val="21"/>
          <w:szCs w:val="21"/>
          <w:highlight w:val="none"/>
        </w:rPr>
      </w:pPr>
      <w:bookmarkStart w:id="123" w:name="_Toc24103"/>
      <w:bookmarkStart w:id="124" w:name="_Toc375039067"/>
      <w:bookmarkStart w:id="125" w:name="_Toc25750594"/>
      <w:bookmarkStart w:id="126" w:name="_Toc29779"/>
      <w:bookmarkStart w:id="127" w:name="_Toc12983508"/>
      <w:bookmarkStart w:id="128" w:name="_Toc1125"/>
      <w:bookmarkStart w:id="129" w:name="_Toc492478721"/>
      <w:bookmarkStart w:id="130" w:name="_Toc30752"/>
      <w:bookmarkStart w:id="131" w:name="_Toc7832"/>
      <w:bookmarkStart w:id="132" w:name="_Toc114134611"/>
      <w:bookmarkStart w:id="133" w:name="_Toc19709"/>
      <w:bookmarkStart w:id="134" w:name="_Toc21602"/>
      <w:bookmarkStart w:id="135" w:name="_Toc616"/>
      <w:bookmarkStart w:id="136" w:name="_Toc7103"/>
      <w:bookmarkStart w:id="137" w:name="_Toc383891171"/>
      <w:bookmarkStart w:id="138" w:name="_Toc3292"/>
      <w:bookmarkStart w:id="139" w:name="_Toc31789"/>
      <w:bookmarkStart w:id="140" w:name="_Toc21215"/>
      <w:bookmarkStart w:id="141" w:name="_Toc4438"/>
      <w:bookmarkStart w:id="142" w:name="_Toc19081"/>
      <w:bookmarkStart w:id="143" w:name="_Toc1737"/>
      <w:bookmarkStart w:id="144" w:name="_Toc390098422"/>
      <w:bookmarkStart w:id="145" w:name="_Toc18668"/>
      <w:bookmarkStart w:id="146" w:name="_Toc22030"/>
      <w:bookmarkStart w:id="147" w:name="_Toc23146"/>
      <w:bookmarkStart w:id="148" w:name="_Toc385427796"/>
      <w:bookmarkStart w:id="149" w:name="_Toc25914"/>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4990C7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6E8104E1">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150" w:name="_Toc12983509"/>
      <w:bookmarkStart w:id="151" w:name="_Toc5487"/>
      <w:bookmarkStart w:id="152" w:name="_Toc2986"/>
      <w:bookmarkStart w:id="153" w:name="_Toc3854"/>
      <w:bookmarkStart w:id="154" w:name="_Toc28220"/>
      <w:bookmarkStart w:id="155" w:name="_Toc16530"/>
      <w:bookmarkStart w:id="156" w:name="_Toc15763"/>
      <w:bookmarkStart w:id="157" w:name="_Toc18528"/>
      <w:bookmarkStart w:id="158" w:name="_Toc6528"/>
      <w:bookmarkStart w:id="159" w:name="_Toc16131"/>
      <w:bookmarkStart w:id="160" w:name="_Toc16608"/>
      <w:bookmarkStart w:id="161" w:name="_Toc114134612"/>
      <w:bookmarkStart w:id="162" w:name="_Toc5160"/>
      <w:bookmarkStart w:id="163" w:name="_Toc390098423"/>
      <w:bookmarkStart w:id="164" w:name="_Toc385427797"/>
      <w:bookmarkStart w:id="165" w:name="_Toc31991"/>
      <w:bookmarkStart w:id="166" w:name="_Toc492478722"/>
      <w:bookmarkStart w:id="167" w:name="_Toc383891172"/>
      <w:bookmarkStart w:id="168" w:name="_Toc29160"/>
      <w:bookmarkStart w:id="169" w:name="_Toc19617"/>
      <w:bookmarkStart w:id="170" w:name="_Toc7339"/>
      <w:bookmarkStart w:id="171" w:name="_Toc9677"/>
      <w:bookmarkStart w:id="172" w:name="_Toc2609"/>
      <w:bookmarkStart w:id="173" w:name="_Toc14788"/>
      <w:bookmarkStart w:id="174" w:name="_Toc8562"/>
      <w:bookmarkStart w:id="175" w:name="_Toc375039068"/>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6A51409">
      <w:pPr>
        <w:pStyle w:val="8"/>
        <w:spacing w:before="0" w:after="0" w:afterAutospacing="0"/>
        <w:ind w:left="0" w:right="0" w:firstLine="422" w:firstLineChars="200"/>
        <w:rPr>
          <w:rFonts w:hint="eastAsia" w:ascii="宋体" w:hAnsi="宋体"/>
          <w:color w:val="auto"/>
          <w:sz w:val="21"/>
          <w:szCs w:val="21"/>
          <w:highlight w:val="none"/>
        </w:rPr>
      </w:pPr>
      <w:bookmarkStart w:id="176" w:name="_Toc114134613"/>
      <w:bookmarkStart w:id="177" w:name="_Toc5877"/>
      <w:bookmarkStart w:id="178" w:name="_Toc26333"/>
      <w:bookmarkStart w:id="179" w:name="_Toc839"/>
      <w:bookmarkStart w:id="180" w:name="_Toc383891173"/>
      <w:bookmarkStart w:id="181" w:name="_Toc25750596"/>
      <w:bookmarkStart w:id="182" w:name="_Toc21811"/>
      <w:bookmarkStart w:id="183" w:name="_Toc18436"/>
      <w:bookmarkStart w:id="184" w:name="_Toc29225"/>
      <w:bookmarkStart w:id="185" w:name="_Toc22226"/>
      <w:bookmarkStart w:id="186" w:name="_Toc29472"/>
      <w:bookmarkStart w:id="187" w:name="_Toc4157"/>
      <w:bookmarkStart w:id="188" w:name="_Toc492478723"/>
      <w:bookmarkStart w:id="189" w:name="_Toc25378"/>
      <w:bookmarkStart w:id="190" w:name="_Toc6764"/>
      <w:bookmarkStart w:id="191" w:name="_Toc385427798"/>
      <w:bookmarkStart w:id="192" w:name="_Toc32710"/>
      <w:bookmarkStart w:id="193" w:name="_Toc9505"/>
      <w:bookmarkStart w:id="194" w:name="_Toc30401"/>
      <w:bookmarkStart w:id="195" w:name="_Toc27870"/>
      <w:bookmarkStart w:id="196" w:name="_Toc19561"/>
      <w:bookmarkStart w:id="197" w:name="_Toc6637"/>
      <w:bookmarkStart w:id="198" w:name="_Toc9756"/>
      <w:bookmarkStart w:id="199" w:name="_Toc12983510"/>
      <w:bookmarkStart w:id="200" w:name="_Toc390098424"/>
      <w:bookmarkStart w:id="201" w:name="_Toc375039069"/>
      <w:bookmarkStart w:id="202" w:name="_Toc13114"/>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5FE977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730606F9">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比选公告</w:t>
      </w:r>
    </w:p>
    <w:p w14:paraId="49466EA0">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比选申请人须知</w:t>
      </w:r>
    </w:p>
    <w:p w14:paraId="2E0EC6D2">
      <w:pPr>
        <w:numPr>
          <w:ilvl w:val="0"/>
          <w:numId w:val="3"/>
        </w:numPr>
        <w:spacing w:before="0"/>
        <w:ind w:right="0" w:firstLine="200"/>
        <w:rPr>
          <w:rFonts w:hint="eastAsia"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07EE1FD6">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比选申请文件格式</w:t>
      </w:r>
    </w:p>
    <w:p w14:paraId="55481B66">
      <w:pPr>
        <w:numPr>
          <w:ilvl w:val="0"/>
          <w:numId w:val="3"/>
        </w:numPr>
        <w:spacing w:before="0"/>
        <w:ind w:right="0" w:firstLine="200"/>
        <w:rPr>
          <w:rFonts w:hint="eastAsia" w:ascii="宋体" w:hAnsi="宋体"/>
          <w:color w:val="auto"/>
          <w:highlight w:val="none"/>
        </w:rPr>
      </w:pPr>
      <w:r>
        <w:rPr>
          <w:rFonts w:hint="eastAsia" w:ascii="宋体" w:hAnsi="宋体"/>
          <w:color w:val="auto"/>
          <w:highlight w:val="none"/>
        </w:rPr>
        <w:t>比选人需求</w:t>
      </w:r>
    </w:p>
    <w:p w14:paraId="4A4FFCE8">
      <w:pPr>
        <w:numPr>
          <w:ilvl w:val="0"/>
          <w:numId w:val="3"/>
        </w:numPr>
        <w:spacing w:before="0" w:after="0" w:afterAutospacing="0"/>
        <w:ind w:right="0" w:firstLine="198"/>
        <w:rPr>
          <w:rFonts w:hint="eastAsia"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79A63CD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7979589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3F48EAE1">
      <w:pPr>
        <w:pStyle w:val="8"/>
        <w:spacing w:before="0" w:after="0" w:afterAutospacing="0"/>
        <w:ind w:left="0" w:right="0" w:firstLine="422" w:firstLineChars="200"/>
        <w:rPr>
          <w:rFonts w:hint="eastAsia" w:ascii="宋体" w:hAnsi="宋体"/>
          <w:color w:val="auto"/>
          <w:sz w:val="21"/>
          <w:szCs w:val="21"/>
          <w:highlight w:val="none"/>
        </w:rPr>
      </w:pPr>
      <w:bookmarkStart w:id="203" w:name="_Toc21365"/>
      <w:bookmarkStart w:id="204" w:name="_Toc26811"/>
      <w:bookmarkStart w:id="205" w:name="_Toc15154"/>
      <w:bookmarkStart w:id="206" w:name="_Toc10162"/>
      <w:bookmarkStart w:id="207" w:name="_Toc29001"/>
      <w:bookmarkStart w:id="208" w:name="_Toc492478724"/>
      <w:bookmarkStart w:id="209" w:name="_Toc14426"/>
      <w:bookmarkStart w:id="210" w:name="_Toc31848"/>
      <w:bookmarkStart w:id="211" w:name="_Toc31386"/>
      <w:bookmarkStart w:id="212" w:name="_Toc375039070"/>
      <w:bookmarkStart w:id="213" w:name="_Toc25750597"/>
      <w:bookmarkStart w:id="214" w:name="_Toc22383"/>
      <w:bookmarkStart w:id="215" w:name="_Toc15278"/>
      <w:bookmarkStart w:id="216" w:name="_Toc28270"/>
      <w:bookmarkStart w:id="217" w:name="_Toc26909"/>
      <w:bookmarkStart w:id="218" w:name="_Toc12983511"/>
      <w:bookmarkStart w:id="219" w:name="_Toc2664"/>
      <w:bookmarkStart w:id="220" w:name="_Toc20903"/>
      <w:bookmarkStart w:id="221" w:name="_Toc385427799"/>
      <w:bookmarkStart w:id="222" w:name="_Toc383891174"/>
      <w:bookmarkStart w:id="223" w:name="_Toc11896"/>
      <w:bookmarkStart w:id="224" w:name="_Toc18631"/>
      <w:bookmarkStart w:id="225" w:name="_Toc2789"/>
      <w:bookmarkStart w:id="226" w:name="_Toc2489"/>
      <w:bookmarkStart w:id="227" w:name="_Toc114134614"/>
      <w:bookmarkStart w:id="228" w:name="_Toc390098425"/>
      <w:bookmarkStart w:id="229" w:name="_Toc17279"/>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B6798F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00645D2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 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2555785B">
      <w:pPr>
        <w:pStyle w:val="8"/>
        <w:spacing w:before="0" w:after="0" w:afterAutospacing="0"/>
        <w:ind w:left="0" w:right="0" w:firstLine="422" w:firstLineChars="200"/>
        <w:rPr>
          <w:rFonts w:hint="eastAsia" w:ascii="宋体" w:hAnsi="宋体"/>
          <w:color w:val="auto"/>
          <w:sz w:val="21"/>
          <w:szCs w:val="21"/>
          <w:highlight w:val="none"/>
        </w:rPr>
      </w:pPr>
      <w:bookmarkStart w:id="230" w:name="_Toc12983512"/>
      <w:bookmarkStart w:id="231" w:name="_Toc19345"/>
      <w:bookmarkStart w:id="232" w:name="_Toc25750598"/>
      <w:bookmarkStart w:id="233" w:name="_Toc24191"/>
      <w:bookmarkStart w:id="234" w:name="_Toc15498"/>
      <w:bookmarkStart w:id="235" w:name="_Toc29795"/>
      <w:bookmarkStart w:id="236" w:name="_Toc32060"/>
      <w:bookmarkStart w:id="237" w:name="_Toc24583"/>
      <w:bookmarkStart w:id="238" w:name="_Toc383891175"/>
      <w:bookmarkStart w:id="239" w:name="_Toc22529"/>
      <w:bookmarkStart w:id="240" w:name="_Toc15674"/>
      <w:bookmarkStart w:id="241" w:name="_Toc24128"/>
      <w:bookmarkStart w:id="242" w:name="_Toc14181"/>
      <w:bookmarkStart w:id="243" w:name="_Toc30378"/>
      <w:bookmarkStart w:id="244" w:name="_Toc375039071"/>
      <w:bookmarkStart w:id="245" w:name="_Toc114134615"/>
      <w:bookmarkStart w:id="246" w:name="_Toc2072"/>
      <w:bookmarkStart w:id="247" w:name="_Toc26952"/>
      <w:bookmarkStart w:id="248" w:name="_Toc7063"/>
      <w:bookmarkStart w:id="249" w:name="_Toc15137"/>
      <w:bookmarkStart w:id="250" w:name="_Toc27124"/>
      <w:bookmarkStart w:id="251" w:name="_Toc390098426"/>
      <w:bookmarkStart w:id="252" w:name="_Toc492478725"/>
      <w:bookmarkStart w:id="253" w:name="_Toc2831"/>
      <w:bookmarkStart w:id="254" w:name="_Toc385427800"/>
      <w:bookmarkStart w:id="255" w:name="_Toc2976"/>
      <w:bookmarkStart w:id="256" w:name="_Toc5364"/>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AF70BD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528DCB4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color w:val="auto"/>
          <w:highlight w:val="none"/>
        </w:rPr>
        <w:t>南宁轨道地产集团有限责任公司官网</w:t>
      </w:r>
      <w:r>
        <w:rPr>
          <w:rFonts w:ascii="宋体" w:hAnsi="宋体"/>
          <w:color w:val="auto"/>
          <w:highlight w:val="none"/>
        </w:rPr>
        <w:t>上发布之日起，视为比选申请人已收到该补充比选文件。比选申请人未及时关注</w:t>
      </w:r>
      <w:r>
        <w:rPr>
          <w:rFonts w:hint="eastAsia" w:ascii="宋体" w:hAnsi="宋体"/>
          <w:color w:val="auto"/>
          <w:highlight w:val="none"/>
        </w:rPr>
        <w:t>南宁轨道地产集团有限责任公司官网</w:t>
      </w:r>
      <w:r>
        <w:rPr>
          <w:rFonts w:ascii="宋体" w:hAnsi="宋体"/>
          <w:color w:val="auto"/>
          <w:highlight w:val="none"/>
        </w:rPr>
        <w:t>上发布的补充比选文件造成的损失，由比选申请人自行负责。</w:t>
      </w:r>
    </w:p>
    <w:p w14:paraId="24BB9DD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4CA3D69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446B43C1">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257" w:name="_Toc30363"/>
      <w:bookmarkStart w:id="258" w:name="_Toc7604"/>
      <w:bookmarkStart w:id="259" w:name="_Toc114134616"/>
      <w:bookmarkStart w:id="260" w:name="_Toc16406"/>
      <w:bookmarkStart w:id="261" w:name="_Toc492478726"/>
      <w:bookmarkStart w:id="262" w:name="_Toc31573"/>
      <w:bookmarkStart w:id="263" w:name="_Toc17692"/>
      <w:bookmarkStart w:id="264" w:name="_Toc14185"/>
      <w:bookmarkStart w:id="265" w:name="_Toc10869"/>
      <w:bookmarkStart w:id="266" w:name="_Toc25361"/>
      <w:bookmarkStart w:id="267" w:name="_Toc17335"/>
      <w:bookmarkStart w:id="268" w:name="_Toc24557"/>
      <w:bookmarkStart w:id="269" w:name="_Toc24155"/>
      <w:bookmarkStart w:id="270" w:name="_Toc27913"/>
      <w:bookmarkStart w:id="271" w:name="_Toc18679"/>
      <w:bookmarkStart w:id="272" w:name="_Toc95"/>
      <w:bookmarkStart w:id="273" w:name="_Toc4718"/>
      <w:bookmarkStart w:id="274" w:name="_Toc383891176"/>
      <w:bookmarkStart w:id="275" w:name="_Toc12983513"/>
      <w:bookmarkStart w:id="276" w:name="_Toc5805"/>
      <w:bookmarkStart w:id="277" w:name="_Toc385427801"/>
      <w:bookmarkStart w:id="278" w:name="_Toc390098427"/>
      <w:bookmarkStart w:id="279" w:name="_Toc24759"/>
      <w:bookmarkStart w:id="280" w:name="_Toc28044"/>
      <w:bookmarkStart w:id="281" w:name="_Toc375039072"/>
      <w:bookmarkStart w:id="282" w:name="_Toc2902"/>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2131D1A">
      <w:pPr>
        <w:pStyle w:val="8"/>
        <w:spacing w:before="0" w:after="0" w:afterAutospacing="0"/>
        <w:ind w:left="0" w:right="0" w:firstLine="422" w:firstLineChars="200"/>
        <w:rPr>
          <w:rFonts w:hint="eastAsia" w:ascii="宋体" w:hAnsi="宋体"/>
          <w:color w:val="auto"/>
          <w:sz w:val="21"/>
          <w:szCs w:val="21"/>
          <w:highlight w:val="none"/>
        </w:rPr>
      </w:pPr>
      <w:bookmarkStart w:id="283" w:name="_Toc11259"/>
      <w:bookmarkStart w:id="284" w:name="_Toc12456"/>
      <w:bookmarkStart w:id="285" w:name="_Toc375039073"/>
      <w:bookmarkStart w:id="286" w:name="_Toc23794"/>
      <w:bookmarkStart w:id="287" w:name="_Toc492478727"/>
      <w:bookmarkStart w:id="288" w:name="_Toc385427802"/>
      <w:bookmarkStart w:id="289" w:name="_Toc9592"/>
      <w:bookmarkStart w:id="290" w:name="_Toc13418"/>
      <w:bookmarkStart w:id="291" w:name="_Toc16186"/>
      <w:bookmarkStart w:id="292" w:name="_Toc21673"/>
      <w:bookmarkStart w:id="293" w:name="_Toc20025"/>
      <w:bookmarkStart w:id="294" w:name="_Toc25750600"/>
      <w:bookmarkStart w:id="295" w:name="_Toc390098428"/>
      <w:bookmarkStart w:id="296" w:name="_Toc16435"/>
      <w:bookmarkStart w:id="297" w:name="_Toc29862"/>
      <w:bookmarkStart w:id="298" w:name="_Toc18350"/>
      <w:bookmarkStart w:id="299" w:name="_Toc4384"/>
      <w:bookmarkStart w:id="300" w:name="_Toc2819"/>
      <w:bookmarkStart w:id="301" w:name="_Toc26680"/>
      <w:bookmarkStart w:id="302" w:name="_Toc1733"/>
      <w:bookmarkStart w:id="303" w:name="_Toc12983514"/>
      <w:bookmarkStart w:id="304" w:name="_Toc26150"/>
      <w:bookmarkStart w:id="305" w:name="_Toc383891177"/>
      <w:bookmarkStart w:id="306" w:name="_Toc10014"/>
      <w:bookmarkStart w:id="307" w:name="_Toc18054"/>
      <w:bookmarkStart w:id="308" w:name="_Toc12074"/>
      <w:bookmarkStart w:id="309" w:name="_Toc114134617"/>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2504E0F">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2DCF403C">
      <w:pPr>
        <w:pStyle w:val="8"/>
        <w:numPr>
          <w:ilvl w:val="0"/>
          <w:numId w:val="4"/>
        </w:numPr>
        <w:spacing w:before="0" w:after="0" w:afterAutospacing="0"/>
        <w:ind w:left="0" w:right="0" w:firstLine="422" w:firstLineChars="200"/>
        <w:rPr>
          <w:rFonts w:hint="eastAsia" w:ascii="宋体" w:hAnsi="宋体"/>
          <w:color w:val="auto"/>
          <w:sz w:val="21"/>
          <w:szCs w:val="21"/>
          <w:highlight w:val="none"/>
        </w:rPr>
      </w:pPr>
      <w:bookmarkStart w:id="310" w:name="_Toc7524"/>
      <w:bookmarkStart w:id="311" w:name="_Toc25770"/>
      <w:bookmarkStart w:id="312" w:name="_Toc28065"/>
      <w:bookmarkStart w:id="313" w:name="_Toc385427803"/>
      <w:bookmarkStart w:id="314" w:name="_Toc11161"/>
      <w:bookmarkStart w:id="315" w:name="_Toc19885"/>
      <w:bookmarkStart w:id="316" w:name="_Toc3492"/>
      <w:bookmarkStart w:id="317" w:name="_Toc24857"/>
      <w:bookmarkStart w:id="318" w:name="_Toc2662"/>
      <w:bookmarkStart w:id="319" w:name="_Toc25750601"/>
      <w:bookmarkStart w:id="320" w:name="_Toc6261"/>
      <w:bookmarkStart w:id="321" w:name="_Toc28296"/>
      <w:bookmarkStart w:id="322" w:name="_Toc26753"/>
      <w:bookmarkStart w:id="323" w:name="_Toc383891178"/>
      <w:bookmarkStart w:id="324" w:name="_Toc15570"/>
      <w:bookmarkStart w:id="325" w:name="_Toc375039074"/>
      <w:bookmarkStart w:id="326" w:name="_Toc12207"/>
      <w:bookmarkStart w:id="327" w:name="_Toc24935"/>
      <w:bookmarkStart w:id="328" w:name="_Toc11040"/>
      <w:bookmarkStart w:id="329" w:name="_Toc390098429"/>
      <w:bookmarkStart w:id="330" w:name="_Toc492478728"/>
      <w:bookmarkStart w:id="331" w:name="_Toc1047"/>
      <w:bookmarkStart w:id="332" w:name="_Toc114134618"/>
      <w:bookmarkStart w:id="333" w:name="_Toc16237"/>
      <w:bookmarkStart w:id="334" w:name="_Toc12983515"/>
      <w:bookmarkStart w:id="335" w:name="_Toc9887"/>
      <w:bookmarkStart w:id="336" w:name="_Toc22026"/>
      <w:r>
        <w:rPr>
          <w:rFonts w:ascii="宋体" w:hAnsi="宋体"/>
          <w:color w:val="auto"/>
          <w:sz w:val="21"/>
          <w:szCs w:val="21"/>
          <w:highlight w:val="none"/>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2E00CC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6856CCA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64F578B5">
      <w:pPr>
        <w:pStyle w:val="8"/>
        <w:numPr>
          <w:ilvl w:val="0"/>
          <w:numId w:val="4"/>
        </w:numPr>
        <w:spacing w:before="0" w:after="0" w:afterAutospacing="0"/>
        <w:ind w:left="0" w:right="0" w:firstLine="422" w:firstLineChars="200"/>
        <w:rPr>
          <w:rFonts w:hint="eastAsia" w:ascii="宋体" w:hAnsi="宋体"/>
          <w:color w:val="auto"/>
          <w:sz w:val="21"/>
          <w:szCs w:val="21"/>
          <w:highlight w:val="none"/>
        </w:rPr>
      </w:pPr>
      <w:bookmarkStart w:id="337" w:name="_Toc14323"/>
      <w:bookmarkStart w:id="338" w:name="_Toc18149"/>
      <w:bookmarkStart w:id="339" w:name="_Toc23229"/>
      <w:bookmarkStart w:id="340" w:name="_Toc12983516"/>
      <w:bookmarkStart w:id="341" w:name="_Toc19681"/>
      <w:bookmarkStart w:id="342" w:name="_Toc492478729"/>
      <w:bookmarkStart w:id="343" w:name="_Toc375039075"/>
      <w:bookmarkStart w:id="344" w:name="_Toc15809"/>
      <w:bookmarkStart w:id="345" w:name="_Toc29881"/>
      <w:bookmarkStart w:id="346" w:name="_Toc385427804"/>
      <w:bookmarkStart w:id="347" w:name="_Toc3877"/>
      <w:bookmarkStart w:id="348" w:name="_Toc25750602"/>
      <w:bookmarkStart w:id="349" w:name="_Toc3464"/>
      <w:bookmarkStart w:id="350" w:name="_Toc23364"/>
      <w:bookmarkStart w:id="351" w:name="_Toc24760"/>
      <w:bookmarkStart w:id="352" w:name="_Toc114134619"/>
      <w:bookmarkStart w:id="353" w:name="_Toc5785"/>
      <w:bookmarkStart w:id="354" w:name="_Toc18966"/>
      <w:bookmarkStart w:id="355" w:name="_Toc383891179"/>
      <w:bookmarkStart w:id="356" w:name="_Toc3411"/>
      <w:bookmarkStart w:id="357" w:name="_Toc30356"/>
      <w:bookmarkStart w:id="358" w:name="_Toc30991"/>
      <w:bookmarkStart w:id="359" w:name="_Toc53"/>
      <w:bookmarkStart w:id="360" w:name="_Toc16307"/>
      <w:bookmarkStart w:id="361" w:name="_Toc390098430"/>
      <w:bookmarkStart w:id="362" w:name="_Toc28164"/>
      <w:bookmarkStart w:id="363" w:name="_Toc22476"/>
      <w:r>
        <w:rPr>
          <w:rFonts w:ascii="宋体" w:hAnsi="宋体"/>
          <w:color w:val="auto"/>
          <w:sz w:val="21"/>
          <w:szCs w:val="21"/>
          <w:highlight w:val="none"/>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824B363">
      <w:pPr>
        <w:tabs>
          <w:tab w:val="left" w:pos="1134"/>
          <w:tab w:val="left" w:pos="1701"/>
          <w:tab w:val="left" w:pos="184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比选申请文件应提供足够、准确和真实的信息，以供比选评审小组判断比选申请人是否具备承担本项目的能力。比选申请人递交的比选申请文件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7302AB90">
      <w:pPr>
        <w:tabs>
          <w:tab w:val="left" w:pos="1134"/>
          <w:tab w:val="left" w:pos="1701"/>
          <w:tab w:val="left" w:pos="1843"/>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487CA1E8">
      <w:pPr>
        <w:pStyle w:val="8"/>
        <w:spacing w:before="0" w:after="0" w:afterAutospacing="0"/>
        <w:ind w:left="0" w:right="0" w:firstLine="422" w:firstLineChars="200"/>
        <w:rPr>
          <w:rFonts w:hint="eastAsia" w:ascii="宋体" w:hAnsi="宋体"/>
          <w:color w:val="auto"/>
          <w:sz w:val="21"/>
          <w:szCs w:val="21"/>
          <w:highlight w:val="none"/>
        </w:rPr>
      </w:pPr>
      <w:bookmarkStart w:id="364" w:name="_Toc3670"/>
      <w:bookmarkStart w:id="365" w:name="_Toc114134620"/>
      <w:bookmarkStart w:id="366" w:name="_Toc14630"/>
      <w:bookmarkStart w:id="367" w:name="_Toc20984"/>
      <w:bookmarkStart w:id="368" w:name="_Toc27194"/>
      <w:bookmarkStart w:id="369" w:name="_Toc675"/>
      <w:bookmarkStart w:id="370" w:name="_Toc12983517"/>
      <w:bookmarkStart w:id="371" w:name="_Toc390098431"/>
      <w:bookmarkStart w:id="372" w:name="_Toc20962"/>
      <w:bookmarkStart w:id="373" w:name="_Toc383891180"/>
      <w:bookmarkStart w:id="374" w:name="_Toc15448"/>
      <w:bookmarkStart w:id="375" w:name="_Toc21144"/>
      <w:bookmarkStart w:id="376" w:name="_Toc11211"/>
      <w:bookmarkStart w:id="377" w:name="_Toc16783"/>
      <w:bookmarkStart w:id="378" w:name="_Toc8151"/>
      <w:bookmarkStart w:id="379" w:name="_Toc25750603"/>
      <w:bookmarkStart w:id="380" w:name="_Toc23002"/>
      <w:bookmarkStart w:id="381" w:name="_Toc27019"/>
      <w:bookmarkStart w:id="382" w:name="_Toc14308"/>
      <w:bookmarkStart w:id="383" w:name="_Toc385427805"/>
      <w:bookmarkStart w:id="384" w:name="_Toc492478730"/>
      <w:bookmarkStart w:id="385" w:name="_Toc2395"/>
      <w:bookmarkStart w:id="386" w:name="_Toc7608"/>
      <w:bookmarkStart w:id="387" w:name="_Toc20490"/>
      <w:bookmarkStart w:id="388" w:name="_Toc375039076"/>
      <w:bookmarkStart w:id="389" w:name="_Toc20248"/>
      <w:bookmarkStart w:id="390" w:name="_Toc15919"/>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05C1F04">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191EBF36">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4B9A3DA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773D057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7B087EF9">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0FFC0C53">
      <w:pPr>
        <w:pStyle w:val="8"/>
        <w:spacing w:before="0" w:after="0" w:afterAutospacing="0"/>
        <w:ind w:left="0" w:right="0" w:firstLine="422" w:firstLineChars="200"/>
        <w:rPr>
          <w:rFonts w:hint="eastAsia" w:ascii="宋体" w:hAnsi="宋体"/>
          <w:color w:val="auto"/>
          <w:sz w:val="21"/>
          <w:szCs w:val="21"/>
          <w:highlight w:val="none"/>
        </w:rPr>
      </w:pPr>
      <w:bookmarkStart w:id="391" w:name="_Toc26974"/>
      <w:bookmarkStart w:id="392" w:name="_Toc2469"/>
      <w:bookmarkStart w:id="393" w:name="_Toc31743"/>
      <w:bookmarkStart w:id="394" w:name="_Toc375039077"/>
      <w:bookmarkStart w:id="395" w:name="_Toc383891181"/>
      <w:bookmarkStart w:id="396" w:name="_Toc6671"/>
      <w:bookmarkStart w:id="397" w:name="_Toc17526"/>
      <w:bookmarkStart w:id="398" w:name="_Toc3813"/>
      <w:bookmarkStart w:id="399" w:name="_Toc3799"/>
      <w:bookmarkStart w:id="400" w:name="_Toc12983518"/>
      <w:bookmarkStart w:id="401" w:name="_Toc492478731"/>
      <w:bookmarkStart w:id="402" w:name="_Toc114134621"/>
      <w:bookmarkStart w:id="403" w:name="_Toc25750604"/>
      <w:bookmarkStart w:id="404" w:name="_Toc17379"/>
      <w:bookmarkStart w:id="405" w:name="_Toc390098432"/>
      <w:bookmarkStart w:id="406" w:name="_Toc22295"/>
      <w:bookmarkStart w:id="407" w:name="_Toc385427806"/>
      <w:bookmarkStart w:id="408" w:name="_Toc9416"/>
      <w:bookmarkStart w:id="409" w:name="_Toc20685"/>
      <w:bookmarkStart w:id="410" w:name="_Toc14123"/>
      <w:bookmarkStart w:id="411" w:name="_Toc26482"/>
      <w:bookmarkStart w:id="412" w:name="_Toc7857"/>
      <w:bookmarkStart w:id="413" w:name="_Toc7046"/>
      <w:bookmarkStart w:id="414" w:name="_Toc24264"/>
      <w:bookmarkStart w:id="415" w:name="_Toc21084"/>
      <w:bookmarkStart w:id="416" w:name="_Toc17338"/>
      <w:bookmarkStart w:id="417" w:name="_Toc16653"/>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37174FD">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w:t>
      </w:r>
      <w:r>
        <w:rPr>
          <w:rFonts w:ascii="宋体" w:hAnsi="宋体"/>
          <w:b/>
          <w:bCs/>
          <w:color w:val="auto"/>
          <w:highlight w:val="none"/>
        </w:rPr>
        <w:t>含税</w:t>
      </w:r>
      <w:r>
        <w:rPr>
          <w:rFonts w:hint="eastAsia" w:ascii="宋体" w:hAnsi="宋体"/>
          <w:b/>
          <w:bCs/>
          <w:color w:val="auto"/>
          <w:highlight w:val="none"/>
        </w:rPr>
        <w:t>总</w:t>
      </w:r>
      <w:r>
        <w:rPr>
          <w:rFonts w:ascii="宋体" w:hAnsi="宋体"/>
          <w:b/>
          <w:bCs/>
          <w:color w:val="auto"/>
          <w:highlight w:val="none"/>
        </w:rPr>
        <w:t>报价为合同暂定</w:t>
      </w:r>
      <w:r>
        <w:rPr>
          <w:rFonts w:hint="eastAsia" w:ascii="宋体" w:hAnsi="宋体"/>
          <w:b/>
          <w:bCs/>
          <w:color w:val="auto"/>
          <w:highlight w:val="none"/>
        </w:rPr>
        <w:t>含税总</w:t>
      </w:r>
      <w:r>
        <w:rPr>
          <w:rFonts w:ascii="宋体" w:hAnsi="宋体"/>
          <w:b/>
          <w:bCs/>
          <w:color w:val="auto"/>
          <w:highlight w:val="none"/>
        </w:rPr>
        <w:t>价</w:t>
      </w:r>
      <w:r>
        <w:rPr>
          <w:rFonts w:hint="eastAsia" w:ascii="宋体" w:hAnsi="宋体"/>
          <w:b/>
          <w:bCs/>
          <w:color w:val="auto"/>
          <w:highlight w:val="none"/>
        </w:rPr>
        <w:t>款</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42A1E786">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比选申请报价应包括完成所有项目内容及质量保证期服务等履行合同全过程产生的所有成本、利润及其他费用等全部费用以及比选申请人应承担的费用。</w:t>
      </w:r>
    </w:p>
    <w:p w14:paraId="583BE2C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C7904F5">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 xml:space="preserve"> 同一规格、型号、标准、内容的项目在各分项报价中应为同一单价。比选申请人对同类项目只允许有一个报价，如有不同报价，则以最低报价为准。</w:t>
      </w:r>
    </w:p>
    <w:p w14:paraId="19BFD1BF">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6EDE3C57">
      <w:pPr>
        <w:tabs>
          <w:tab w:val="left" w:pos="8364"/>
        </w:tabs>
        <w:spacing w:before="0" w:after="0" w:afterAutospacing="0"/>
        <w:ind w:left="0" w:right="0" w:firstLine="420" w:firstLineChars="200"/>
        <w:rPr>
          <w:rFonts w:hint="eastAsia"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5EBDB909">
      <w:pPr>
        <w:tabs>
          <w:tab w:val="left" w:pos="8364"/>
        </w:tabs>
        <w:spacing w:before="0" w:after="0" w:afterAutospacing="0"/>
        <w:ind w:left="0" w:right="0" w:firstLine="420" w:firstLineChars="200"/>
        <w:rPr>
          <w:rFonts w:hint="eastAsia"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2F70699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12.8 比选人不接受比选申请人对任何未办理正常进口手续的非中华人民共和国境内生产的货物的比选申请报价。</w:t>
      </w:r>
    </w:p>
    <w:p w14:paraId="06904943">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12.9 比选申请人不得在价格文件之外的比选申请文件中出现任何有关本项目的报价信息。</w:t>
      </w:r>
    </w:p>
    <w:p w14:paraId="68573CAB">
      <w:pPr>
        <w:pStyle w:val="8"/>
        <w:numPr>
          <w:ilvl w:val="0"/>
          <w:numId w:val="5"/>
        </w:numPr>
        <w:spacing w:before="0" w:after="0" w:afterAutospacing="0"/>
        <w:ind w:left="0" w:right="0" w:firstLine="422" w:firstLineChars="200"/>
        <w:rPr>
          <w:rFonts w:hint="eastAsia" w:ascii="宋体" w:hAnsi="宋体"/>
          <w:color w:val="auto"/>
          <w:sz w:val="21"/>
          <w:szCs w:val="21"/>
          <w:highlight w:val="none"/>
        </w:rPr>
      </w:pPr>
      <w:bookmarkStart w:id="418" w:name="_Toc10220"/>
      <w:bookmarkStart w:id="419" w:name="_Toc21430"/>
      <w:bookmarkStart w:id="420" w:name="_Toc5836"/>
      <w:bookmarkStart w:id="421" w:name="_Toc21706"/>
      <w:bookmarkStart w:id="422" w:name="_Toc28880"/>
      <w:bookmarkStart w:id="423" w:name="_Toc18475"/>
      <w:bookmarkStart w:id="424" w:name="_Toc15940"/>
      <w:bookmarkStart w:id="425" w:name="_Toc12983519"/>
      <w:bookmarkStart w:id="426" w:name="_Toc28476"/>
      <w:bookmarkStart w:id="427" w:name="_Toc114134622"/>
      <w:bookmarkStart w:id="428" w:name="_Toc25750605"/>
      <w:bookmarkStart w:id="429" w:name="_Toc12947"/>
      <w:bookmarkStart w:id="430" w:name="_Toc390098433"/>
      <w:bookmarkStart w:id="431" w:name="_Toc21448"/>
      <w:bookmarkStart w:id="432" w:name="_Toc385427807"/>
      <w:bookmarkStart w:id="433" w:name="_Toc492478732"/>
      <w:bookmarkStart w:id="434" w:name="_Toc25459"/>
      <w:bookmarkStart w:id="435" w:name="_Toc375039078"/>
      <w:bookmarkStart w:id="436" w:name="_Toc20156"/>
      <w:bookmarkStart w:id="437" w:name="_Toc18875"/>
      <w:bookmarkStart w:id="438" w:name="_Toc7428"/>
      <w:bookmarkStart w:id="439" w:name="_Toc12762"/>
      <w:bookmarkStart w:id="440" w:name="_Toc1664"/>
      <w:bookmarkStart w:id="441" w:name="_Toc15220"/>
      <w:bookmarkStart w:id="442" w:name="_Toc383891182"/>
      <w:bookmarkStart w:id="443" w:name="_Toc26064"/>
      <w:bookmarkStart w:id="444" w:name="_Toc2710"/>
      <w:r>
        <w:rPr>
          <w:rFonts w:ascii="宋体" w:hAnsi="宋体"/>
          <w:color w:val="auto"/>
          <w:sz w:val="21"/>
          <w:szCs w:val="21"/>
          <w:highlight w:val="none"/>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5BF683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4B0D64F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5BE62121">
      <w:pPr>
        <w:pStyle w:val="8"/>
        <w:numPr>
          <w:ilvl w:val="0"/>
          <w:numId w:val="5"/>
        </w:numPr>
        <w:spacing w:before="0" w:after="0" w:afterAutospacing="0"/>
        <w:ind w:left="0" w:right="0" w:firstLine="422" w:firstLineChars="200"/>
        <w:rPr>
          <w:rFonts w:hint="eastAsia" w:ascii="宋体" w:hAnsi="宋体"/>
          <w:color w:val="auto"/>
          <w:sz w:val="21"/>
          <w:szCs w:val="21"/>
          <w:highlight w:val="none"/>
        </w:rPr>
      </w:pPr>
      <w:bookmarkStart w:id="445" w:name="_Toc25750606"/>
      <w:bookmarkStart w:id="446" w:name="_Toc492478735"/>
      <w:bookmarkStart w:id="447" w:name="_Toc5974"/>
      <w:bookmarkStart w:id="448" w:name="_Toc1624"/>
      <w:bookmarkStart w:id="449" w:name="_Toc24199"/>
      <w:bookmarkStart w:id="450" w:name="_Toc27508"/>
      <w:bookmarkStart w:id="451" w:name="_Toc390098436"/>
      <w:bookmarkStart w:id="452" w:name="_Toc30040"/>
      <w:bookmarkStart w:id="453" w:name="_Toc30606"/>
      <w:bookmarkStart w:id="454" w:name="_Toc13095"/>
      <w:bookmarkStart w:id="455" w:name="_Toc22051"/>
      <w:bookmarkStart w:id="456" w:name="_Toc375039081"/>
      <w:bookmarkStart w:id="457" w:name="_Toc12049"/>
      <w:bookmarkStart w:id="458" w:name="_Toc7417"/>
      <w:bookmarkStart w:id="459" w:name="_Toc30848"/>
      <w:bookmarkStart w:id="460" w:name="_Toc14309"/>
      <w:bookmarkStart w:id="461" w:name="_Toc12983520"/>
      <w:bookmarkStart w:id="462" w:name="_Toc16314"/>
      <w:bookmarkStart w:id="463" w:name="_Toc28665"/>
      <w:bookmarkStart w:id="464" w:name="_Toc14922"/>
      <w:bookmarkStart w:id="465" w:name="_Toc1530"/>
      <w:bookmarkStart w:id="466" w:name="_Toc17738"/>
      <w:bookmarkStart w:id="467" w:name="_Toc385427810"/>
      <w:bookmarkStart w:id="468" w:name="_Toc9237"/>
      <w:bookmarkStart w:id="469" w:name="_Toc114134623"/>
      <w:bookmarkStart w:id="470" w:name="_Toc11690"/>
      <w:bookmarkStart w:id="471" w:name="_Toc383891185"/>
      <w:r>
        <w:rPr>
          <w:rFonts w:ascii="宋体" w:hAnsi="宋体"/>
          <w:color w:val="auto"/>
          <w:sz w:val="21"/>
          <w:szCs w:val="21"/>
          <w:highlight w:val="none"/>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691D5F1">
      <w:pPr>
        <w:pStyle w:val="17"/>
        <w:spacing w:before="0" w:after="0" w:afterAutospacing="0"/>
        <w:ind w:left="0" w:right="0" w:firstLine="420" w:firstLineChars="200"/>
        <w:rPr>
          <w:rFonts w:hint="eastAsia"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43C9480E">
      <w:pPr>
        <w:pStyle w:val="8"/>
        <w:spacing w:before="0" w:after="0" w:afterAutospacing="0"/>
        <w:ind w:left="0" w:right="0" w:firstLine="422" w:firstLineChars="200"/>
        <w:rPr>
          <w:rFonts w:hint="eastAsia" w:ascii="宋体" w:hAnsi="宋体"/>
          <w:color w:val="auto"/>
          <w:sz w:val="21"/>
          <w:szCs w:val="21"/>
          <w:highlight w:val="none"/>
        </w:rPr>
      </w:pPr>
      <w:bookmarkStart w:id="472" w:name="_Toc25750607"/>
      <w:bookmarkStart w:id="473" w:name="_Toc28555"/>
      <w:bookmarkStart w:id="474" w:name="_Toc30499"/>
      <w:bookmarkStart w:id="475" w:name="_Toc383891186"/>
      <w:bookmarkStart w:id="476" w:name="_Toc845"/>
      <w:bookmarkStart w:id="477" w:name="_Toc2268"/>
      <w:bookmarkStart w:id="478" w:name="_Toc2645"/>
      <w:bookmarkStart w:id="479" w:name="_Toc691"/>
      <w:bookmarkStart w:id="480" w:name="_Toc390098437"/>
      <w:bookmarkStart w:id="481" w:name="_Toc23114"/>
      <w:bookmarkStart w:id="482" w:name="_Toc20643"/>
      <w:bookmarkStart w:id="483" w:name="_Toc385427811"/>
      <w:bookmarkStart w:id="484" w:name="_Toc375039082"/>
      <w:bookmarkStart w:id="485" w:name="_Toc10918"/>
      <w:bookmarkStart w:id="486" w:name="_Toc1604"/>
      <w:bookmarkStart w:id="487" w:name="_Toc4433"/>
      <w:bookmarkStart w:id="488" w:name="_Toc24656"/>
      <w:bookmarkStart w:id="489" w:name="_Toc7808"/>
      <w:bookmarkStart w:id="490" w:name="_Toc20070"/>
      <w:bookmarkStart w:id="491" w:name="_Toc5690"/>
      <w:bookmarkStart w:id="492" w:name="_Toc9117"/>
      <w:bookmarkStart w:id="493" w:name="_Toc20493"/>
      <w:bookmarkStart w:id="494" w:name="_Toc492478736"/>
      <w:bookmarkStart w:id="495" w:name="_Toc114134624"/>
      <w:bookmarkStart w:id="496" w:name="_Toc14590"/>
      <w:bookmarkStart w:id="497" w:name="_Toc12983521"/>
      <w:bookmarkStart w:id="498" w:name="_Toc28997"/>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BDE223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33D29B3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3199C95A">
      <w:pPr>
        <w:tabs>
          <w:tab w:val="left" w:pos="1134"/>
          <w:tab w:val="left" w:pos="8364"/>
        </w:tabs>
        <w:spacing w:before="0" w:after="0" w:afterAutospacing="0"/>
        <w:ind w:left="0" w:right="0" w:firstLine="422" w:firstLineChars="200"/>
        <w:rPr>
          <w:rFonts w:hint="eastAsia" w:ascii="宋体" w:hAnsi="宋体"/>
          <w:b/>
          <w:bCs/>
          <w:color w:val="auto"/>
          <w:highlight w:val="none"/>
        </w:rPr>
      </w:pPr>
      <w:bookmarkStart w:id="499" w:name="_Toc25684"/>
      <w:bookmarkStart w:id="500" w:name="_Toc27730"/>
      <w:bookmarkStart w:id="501" w:name="_Toc8100"/>
      <w:bookmarkStart w:id="502" w:name="_Toc19044"/>
      <w:bookmarkStart w:id="503" w:name="_Toc19603"/>
      <w:bookmarkStart w:id="504" w:name="_Toc385427812"/>
      <w:bookmarkStart w:id="505" w:name="_Toc14672"/>
      <w:bookmarkStart w:id="506" w:name="_Toc383891187"/>
      <w:bookmarkStart w:id="507" w:name="_Toc301"/>
      <w:bookmarkStart w:id="508" w:name="_Toc32525"/>
      <w:bookmarkStart w:id="509" w:name="_Toc6065"/>
      <w:bookmarkStart w:id="510" w:name="_Toc32020"/>
      <w:bookmarkStart w:id="511" w:name="_Toc25468"/>
      <w:bookmarkStart w:id="512" w:name="_Toc492478737"/>
      <w:bookmarkStart w:id="513" w:name="_Toc375039083"/>
      <w:bookmarkStart w:id="514" w:name="_Toc4216"/>
      <w:bookmarkStart w:id="515" w:name="_Toc12506"/>
      <w:bookmarkStart w:id="516" w:name="_Toc12435"/>
      <w:bookmarkStart w:id="517" w:name="_Toc3414"/>
      <w:bookmarkStart w:id="518" w:name="_Toc12983522"/>
      <w:bookmarkStart w:id="519" w:name="_Toc390098438"/>
      <w:bookmarkStart w:id="520" w:name="_Toc29108"/>
      <w:bookmarkStart w:id="521" w:name="_Toc24922"/>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3CE4DE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color w:val="auto"/>
          <w:highlight w:val="none"/>
        </w:rPr>
        <w:t>；</w:t>
      </w:r>
      <w:r>
        <w:rPr>
          <w:rFonts w:ascii="宋体" w:hAnsi="宋体"/>
          <w:color w:val="auto"/>
          <w:highlight w:val="none"/>
        </w:rPr>
        <w:t>电子版与纸</w:t>
      </w:r>
      <w:r>
        <w:rPr>
          <w:rFonts w:hint="eastAsia" w:ascii="宋体" w:hAnsi="宋体"/>
          <w:color w:val="auto"/>
          <w:highlight w:val="none"/>
        </w:rPr>
        <w:t>质</w:t>
      </w:r>
      <w:r>
        <w:rPr>
          <w:rFonts w:ascii="宋体" w:hAnsi="宋体"/>
          <w:color w:val="auto"/>
          <w:highlight w:val="none"/>
        </w:rPr>
        <w:t>文件不符</w:t>
      </w:r>
      <w:r>
        <w:rPr>
          <w:rFonts w:hint="eastAsia" w:ascii="宋体" w:hAnsi="宋体"/>
          <w:color w:val="auto"/>
          <w:highlight w:val="none"/>
        </w:rPr>
        <w:t>的，</w:t>
      </w:r>
      <w:r>
        <w:rPr>
          <w:rFonts w:ascii="宋体" w:hAnsi="宋体"/>
          <w:color w:val="auto"/>
          <w:highlight w:val="none"/>
        </w:rPr>
        <w:t>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4C8F3FFA">
      <w:pPr>
        <w:tabs>
          <w:tab w:val="left" w:pos="1134"/>
          <w:tab w:val="left" w:pos="8364"/>
        </w:tabs>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2E96485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5662085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16.4 </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09E80B64">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522" w:name="_Toc383891188"/>
      <w:bookmarkStart w:id="523" w:name="_Toc390098439"/>
      <w:bookmarkStart w:id="524" w:name="_Toc385427813"/>
      <w:bookmarkStart w:id="525" w:name="_Toc375039084"/>
      <w:bookmarkStart w:id="526" w:name="_Toc30452"/>
      <w:bookmarkStart w:id="527" w:name="_Toc30962"/>
      <w:bookmarkStart w:id="528" w:name="_Toc6101"/>
      <w:bookmarkStart w:id="529" w:name="_Toc1952"/>
      <w:bookmarkStart w:id="530" w:name="_Toc18322"/>
      <w:bookmarkStart w:id="531" w:name="_Toc759"/>
      <w:bookmarkStart w:id="532" w:name="_Toc26551"/>
      <w:bookmarkStart w:id="533" w:name="_Toc15116"/>
      <w:bookmarkStart w:id="534" w:name="_Toc25540"/>
      <w:bookmarkStart w:id="535" w:name="_Toc2975"/>
      <w:bookmarkStart w:id="536" w:name="_Toc30015"/>
      <w:bookmarkStart w:id="537" w:name="_Toc2113"/>
      <w:bookmarkStart w:id="538" w:name="_Toc23177"/>
      <w:bookmarkStart w:id="539" w:name="_Toc26776"/>
      <w:bookmarkStart w:id="540" w:name="_Toc16409"/>
      <w:bookmarkStart w:id="541" w:name="_Toc32054"/>
      <w:bookmarkStart w:id="542" w:name="_Toc12983523"/>
      <w:bookmarkStart w:id="543" w:name="_Toc30187"/>
      <w:bookmarkStart w:id="544" w:name="_Toc10234"/>
      <w:bookmarkStart w:id="545" w:name="_Toc492478738"/>
      <w:bookmarkStart w:id="546" w:name="_Toc1315"/>
      <w:bookmarkStart w:id="547" w:name="_Toc114134625"/>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22"/>
      <w:bookmarkEnd w:id="523"/>
      <w:bookmarkEnd w:id="524"/>
      <w:bookmarkEnd w:id="525"/>
      <w:r>
        <w:rPr>
          <w:rFonts w:hint="eastAsia" w:ascii="宋体" w:hAnsi="宋体" w:eastAsia="宋体"/>
          <w:color w:val="auto"/>
          <w:sz w:val="24"/>
          <w:szCs w:val="24"/>
          <w:highlight w:val="none"/>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609BDDE">
      <w:pPr>
        <w:pStyle w:val="8"/>
        <w:spacing w:before="0" w:after="0" w:afterAutospacing="0"/>
        <w:ind w:left="0" w:right="0" w:firstLine="422" w:firstLineChars="200"/>
        <w:rPr>
          <w:rFonts w:hint="eastAsia" w:ascii="宋体" w:hAnsi="宋体"/>
          <w:color w:val="auto"/>
          <w:sz w:val="21"/>
          <w:szCs w:val="21"/>
          <w:highlight w:val="none"/>
        </w:rPr>
      </w:pPr>
      <w:bookmarkStart w:id="548" w:name="_Toc24648"/>
      <w:bookmarkStart w:id="549" w:name="_Toc383891189"/>
      <w:bookmarkStart w:id="550" w:name="_Toc12983524"/>
      <w:bookmarkStart w:id="551" w:name="_Toc13829"/>
      <w:bookmarkStart w:id="552" w:name="_Toc19495"/>
      <w:bookmarkStart w:id="553" w:name="_Toc15735"/>
      <w:bookmarkStart w:id="554" w:name="_Toc9307"/>
      <w:bookmarkStart w:id="555" w:name="_Toc12117"/>
      <w:bookmarkStart w:id="556" w:name="_Toc15489"/>
      <w:bookmarkStart w:id="557" w:name="_Toc8531"/>
      <w:bookmarkStart w:id="558" w:name="_Toc390098440"/>
      <w:bookmarkStart w:id="559" w:name="_Toc13875"/>
      <w:bookmarkStart w:id="560" w:name="_Toc5922"/>
      <w:bookmarkStart w:id="561" w:name="_Toc13621"/>
      <w:bookmarkStart w:id="562" w:name="_Toc30196"/>
      <w:bookmarkStart w:id="563" w:name="_Toc25750609"/>
      <w:bookmarkStart w:id="564" w:name="_Toc385427814"/>
      <w:bookmarkStart w:id="565" w:name="_Toc15650"/>
      <w:bookmarkStart w:id="566" w:name="_Toc375039085"/>
      <w:bookmarkStart w:id="567" w:name="_Toc15071"/>
      <w:bookmarkStart w:id="568" w:name="_Toc17200"/>
      <w:bookmarkStart w:id="569" w:name="_Toc15663"/>
      <w:bookmarkStart w:id="570" w:name="_Toc12329"/>
      <w:bookmarkStart w:id="571" w:name="_Toc26249"/>
      <w:bookmarkStart w:id="572" w:name="_Toc114134626"/>
      <w:bookmarkStart w:id="573" w:name="_Toc492478739"/>
      <w:bookmarkStart w:id="574" w:name="_Toc18616"/>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EC5AC83">
      <w:pPr>
        <w:tabs>
          <w:tab w:val="left" w:pos="1134"/>
          <w:tab w:val="left" w:pos="8364"/>
        </w:tabs>
        <w:spacing w:before="0" w:after="0" w:afterAutospacing="0"/>
        <w:ind w:left="0" w:right="0" w:firstLine="420" w:firstLineChars="200"/>
        <w:rPr>
          <w:rFonts w:hint="eastAsia" w:ascii="宋体" w:hAnsi="宋体"/>
          <w:color w:val="auto"/>
          <w:highlight w:val="none"/>
        </w:rPr>
      </w:pPr>
      <w:bookmarkStart w:id="575" w:name="_Toc383891190"/>
      <w:bookmarkStart w:id="576" w:name="_Toc385427815"/>
      <w:bookmarkStart w:id="577" w:name="_Toc390098441"/>
      <w:bookmarkStart w:id="578" w:name="_Toc375039086"/>
      <w:r>
        <w:rPr>
          <w:rFonts w:hint="eastAsia" w:ascii="宋体" w:hAnsi="宋体"/>
          <w:color w:val="auto"/>
          <w:highlight w:val="none"/>
        </w:rPr>
        <w:t xml:space="preserve">17.1 </w:t>
      </w:r>
      <w:r>
        <w:rPr>
          <w:rFonts w:ascii="宋体" w:hAnsi="宋体"/>
          <w:color w:val="auto"/>
          <w:highlight w:val="none"/>
        </w:rPr>
        <w:t>封装方式</w:t>
      </w:r>
    </w:p>
    <w:p w14:paraId="607806A3">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77A38E60">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589A000B">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（3）所有密封箱/袋应保证其密封性，并骑缝加盖比选申请人单位公章。</w:t>
      </w:r>
    </w:p>
    <w:p w14:paraId="270099E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5D1D5968">
      <w:pPr>
        <w:tabs>
          <w:tab w:val="left" w:pos="1155"/>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u w:val="single"/>
          <w:lang w:val="zh-CN"/>
        </w:rPr>
        <w:t>轨道云著（北区）项目样板房（138户型）精装修设计</w:t>
      </w:r>
      <w:r>
        <w:rPr>
          <w:rFonts w:ascii="宋体" w:hAnsi="宋体"/>
          <w:color w:val="auto"/>
          <w:highlight w:val="none"/>
        </w:rPr>
        <w:t>；</w:t>
      </w:r>
    </w:p>
    <w:p w14:paraId="49FBDBD9">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5E2DF15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23908AD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7B2A698F">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579" w:name="_Toc12983525"/>
      <w:bookmarkStart w:id="580" w:name="_Toc11039"/>
      <w:bookmarkStart w:id="581" w:name="_Toc2337"/>
      <w:bookmarkStart w:id="582" w:name="_Toc17873"/>
      <w:bookmarkStart w:id="583" w:name="_Toc6482"/>
      <w:bookmarkStart w:id="584" w:name="_Toc4735"/>
      <w:bookmarkStart w:id="585" w:name="_Toc22180"/>
      <w:bookmarkStart w:id="586" w:name="_Toc15693"/>
      <w:bookmarkStart w:id="587" w:name="_Toc16818"/>
      <w:bookmarkStart w:id="588" w:name="_Toc32760"/>
      <w:bookmarkStart w:id="589" w:name="_Toc25750610"/>
      <w:bookmarkStart w:id="590" w:name="_Toc6339"/>
      <w:bookmarkStart w:id="591" w:name="_Toc492478740"/>
      <w:bookmarkStart w:id="592" w:name="_Toc13883"/>
      <w:bookmarkStart w:id="593" w:name="_Toc114134627"/>
      <w:bookmarkStart w:id="594" w:name="_Toc28071"/>
      <w:bookmarkStart w:id="595" w:name="_Toc22445"/>
      <w:bookmarkStart w:id="596" w:name="_Toc642"/>
      <w:bookmarkStart w:id="597" w:name="_Toc16266"/>
      <w:bookmarkStart w:id="598" w:name="_Toc23859"/>
      <w:bookmarkStart w:id="599" w:name="_Toc11255"/>
      <w:bookmarkStart w:id="600" w:name="_Toc11096"/>
      <w:bookmarkStart w:id="601" w:name="_Toc16755"/>
      <w:r>
        <w:rPr>
          <w:rFonts w:ascii="宋体" w:hAnsi="宋体"/>
          <w:color w:val="auto"/>
          <w:sz w:val="21"/>
          <w:szCs w:val="21"/>
          <w:highlight w:val="none"/>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52099E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6EBCC546">
      <w:pPr>
        <w:tabs>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5AE8FB8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37062F81">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602" w:name="_Toc22945"/>
      <w:bookmarkStart w:id="603" w:name="_Toc14239"/>
      <w:bookmarkStart w:id="604" w:name="_Toc21960"/>
      <w:bookmarkStart w:id="605" w:name="_Toc114134628"/>
      <w:bookmarkStart w:id="606" w:name="_Toc32621"/>
      <w:bookmarkStart w:id="607" w:name="_Toc29473"/>
      <w:bookmarkStart w:id="608" w:name="_Toc11373"/>
      <w:bookmarkStart w:id="609" w:name="_Toc9522"/>
      <w:bookmarkStart w:id="610" w:name="_Toc5975"/>
      <w:bookmarkStart w:id="611" w:name="_Toc492478741"/>
      <w:bookmarkStart w:id="612" w:name="_Toc12983526"/>
      <w:bookmarkStart w:id="613" w:name="_Toc10818"/>
      <w:bookmarkStart w:id="614" w:name="_Toc32252"/>
      <w:bookmarkStart w:id="615" w:name="_Toc23404"/>
      <w:bookmarkStart w:id="616" w:name="_Toc383891191"/>
      <w:bookmarkStart w:id="617" w:name="_Toc25750611"/>
      <w:bookmarkStart w:id="618" w:name="_Toc324"/>
      <w:bookmarkStart w:id="619" w:name="_Toc2226"/>
      <w:bookmarkStart w:id="620" w:name="_Toc390098442"/>
      <w:bookmarkStart w:id="621" w:name="_Toc29066"/>
      <w:bookmarkStart w:id="622" w:name="_Toc3597"/>
      <w:bookmarkStart w:id="623" w:name="_Toc375039087"/>
      <w:bookmarkStart w:id="624" w:name="_Toc13581"/>
      <w:bookmarkStart w:id="625" w:name="_Toc15252"/>
      <w:bookmarkStart w:id="626" w:name="_Toc20632"/>
      <w:bookmarkStart w:id="627" w:name="_Toc385427816"/>
      <w:bookmarkStart w:id="628" w:name="_Toc26431"/>
      <w:r>
        <w:rPr>
          <w:rFonts w:ascii="宋体" w:hAnsi="宋体"/>
          <w:color w:val="auto"/>
          <w:sz w:val="21"/>
          <w:szCs w:val="21"/>
          <w:highlight w:val="none"/>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35929F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0EAB3110">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629" w:name="_Toc28452"/>
      <w:bookmarkStart w:id="630" w:name="_Toc15262"/>
      <w:bookmarkStart w:id="631" w:name="_Toc23449"/>
      <w:bookmarkStart w:id="632" w:name="_Toc14522"/>
      <w:bookmarkStart w:id="633" w:name="_Toc4605"/>
      <w:bookmarkStart w:id="634" w:name="_Toc24030"/>
      <w:bookmarkStart w:id="635" w:name="_Toc27195"/>
      <w:bookmarkStart w:id="636" w:name="_Toc385427817"/>
      <w:bookmarkStart w:id="637" w:name="_Toc12682"/>
      <w:bookmarkStart w:id="638" w:name="_Toc383891192"/>
      <w:bookmarkStart w:id="639" w:name="_Toc114134629"/>
      <w:bookmarkStart w:id="640" w:name="_Toc390098443"/>
      <w:bookmarkStart w:id="641" w:name="_Toc243"/>
      <w:bookmarkStart w:id="642" w:name="_Toc12983527"/>
      <w:bookmarkStart w:id="643" w:name="_Toc17797"/>
      <w:bookmarkStart w:id="644" w:name="_Toc12332"/>
      <w:bookmarkStart w:id="645" w:name="_Toc26282"/>
      <w:bookmarkStart w:id="646" w:name="_Toc29208"/>
      <w:bookmarkStart w:id="647" w:name="_Toc9706"/>
      <w:bookmarkStart w:id="648" w:name="_Toc8636"/>
      <w:bookmarkStart w:id="649" w:name="_Toc25427"/>
      <w:bookmarkStart w:id="650" w:name="_Toc492478742"/>
      <w:bookmarkStart w:id="651" w:name="_Toc25750612"/>
      <w:bookmarkStart w:id="652" w:name="_Toc31033"/>
      <w:bookmarkStart w:id="653" w:name="_Toc21796"/>
      <w:bookmarkStart w:id="654" w:name="_Toc14411"/>
      <w:bookmarkStart w:id="655" w:name="_Toc375039088"/>
      <w:r>
        <w:rPr>
          <w:rFonts w:ascii="宋体" w:hAnsi="宋体"/>
          <w:color w:val="auto"/>
          <w:sz w:val="21"/>
          <w:szCs w:val="21"/>
          <w:highlight w:val="none"/>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885E7D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241CD3D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00F7AEA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38F51F4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2EBEC1DD">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656" w:name="_Toc22587"/>
      <w:bookmarkStart w:id="657" w:name="_Toc375039089"/>
      <w:bookmarkStart w:id="658" w:name="_Toc4291"/>
      <w:bookmarkStart w:id="659" w:name="_Toc12182"/>
      <w:bookmarkStart w:id="660" w:name="_Toc16856"/>
      <w:bookmarkStart w:id="661" w:name="_Toc25433"/>
      <w:bookmarkStart w:id="662" w:name="_Toc9549"/>
      <w:bookmarkStart w:id="663" w:name="_Toc492478743"/>
      <w:bookmarkStart w:id="664" w:name="_Toc10325"/>
      <w:bookmarkStart w:id="665" w:name="_Toc24485"/>
      <w:bookmarkStart w:id="666" w:name="_Toc28694"/>
      <w:bookmarkStart w:id="667" w:name="_Toc12983528"/>
      <w:bookmarkStart w:id="668" w:name="_Toc2306"/>
      <w:bookmarkStart w:id="669" w:name="_Toc385427818"/>
      <w:bookmarkStart w:id="670" w:name="_Toc383891193"/>
      <w:bookmarkStart w:id="671" w:name="_Toc390098444"/>
      <w:bookmarkStart w:id="672" w:name="_Toc5592"/>
      <w:bookmarkStart w:id="673" w:name="_Toc31978"/>
      <w:bookmarkStart w:id="674" w:name="_Toc3006"/>
      <w:bookmarkStart w:id="675" w:name="_Toc18076"/>
      <w:bookmarkStart w:id="676" w:name="_Toc11529"/>
      <w:bookmarkStart w:id="677" w:name="_Toc29264"/>
      <w:bookmarkStart w:id="678" w:name="_Toc9728"/>
      <w:bookmarkStart w:id="679" w:name="_Toc6055"/>
      <w:bookmarkStart w:id="680" w:name="_Toc114134630"/>
      <w:bookmarkStart w:id="681" w:name="_Toc8327"/>
      <w:r>
        <w:rPr>
          <w:rFonts w:hint="eastAsia" w:ascii="宋体" w:hAnsi="宋体" w:eastAsia="宋体"/>
          <w:color w:val="auto"/>
          <w:sz w:val="24"/>
          <w:szCs w:val="24"/>
          <w:highlight w:val="none"/>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auto"/>
          <w:sz w:val="24"/>
          <w:szCs w:val="24"/>
          <w:highlight w:val="none"/>
        </w:rPr>
        <w:t>比选申请文件递交与评审</w:t>
      </w:r>
      <w:bookmarkEnd w:id="679"/>
      <w:bookmarkEnd w:id="680"/>
      <w:bookmarkEnd w:id="681"/>
    </w:p>
    <w:p w14:paraId="67200802">
      <w:pPr>
        <w:pStyle w:val="8"/>
        <w:spacing w:before="0" w:after="0" w:afterAutospacing="0"/>
        <w:ind w:left="0" w:right="0" w:firstLine="422" w:firstLineChars="200"/>
        <w:rPr>
          <w:rFonts w:hint="eastAsia" w:ascii="宋体" w:hAnsi="宋体"/>
          <w:color w:val="auto"/>
          <w:sz w:val="21"/>
          <w:szCs w:val="21"/>
          <w:highlight w:val="none"/>
        </w:rPr>
      </w:pPr>
      <w:bookmarkStart w:id="682" w:name="_Toc4365"/>
      <w:bookmarkStart w:id="683" w:name="_Toc385427819"/>
      <w:bookmarkStart w:id="684" w:name="_Toc10292"/>
      <w:bookmarkStart w:id="685" w:name="_Toc390098445"/>
      <w:bookmarkStart w:id="686" w:name="_Toc6839"/>
      <w:bookmarkStart w:id="687" w:name="_Toc4674"/>
      <w:bookmarkStart w:id="688" w:name="_Toc18919"/>
      <w:bookmarkStart w:id="689" w:name="_Toc5182"/>
      <w:bookmarkStart w:id="690" w:name="_Toc9264"/>
      <w:bookmarkStart w:id="691" w:name="_Toc4638"/>
      <w:bookmarkStart w:id="692" w:name="_Toc4825"/>
      <w:bookmarkStart w:id="693" w:name="_Toc12983529"/>
      <w:bookmarkStart w:id="694" w:name="_Toc375039090"/>
      <w:bookmarkStart w:id="695" w:name="_Toc25116"/>
      <w:bookmarkStart w:id="696" w:name="_Toc23705"/>
      <w:bookmarkStart w:id="697" w:name="_Toc9309"/>
      <w:bookmarkStart w:id="698" w:name="_Toc10883"/>
      <w:bookmarkStart w:id="699" w:name="_Toc895"/>
      <w:bookmarkStart w:id="700" w:name="_Toc24196"/>
      <w:bookmarkStart w:id="701" w:name="_Toc383891194"/>
      <w:bookmarkStart w:id="702" w:name="_Toc492478744"/>
      <w:bookmarkStart w:id="703" w:name="_Toc6377"/>
      <w:bookmarkStart w:id="704" w:name="_Toc6974"/>
      <w:bookmarkStart w:id="705" w:name="_Toc31940"/>
      <w:bookmarkStart w:id="706" w:name="_Toc114134631"/>
      <w:bookmarkStart w:id="707" w:name="_Toc25750614"/>
      <w:bookmarkStart w:id="708" w:name="_Toc445"/>
      <w:r>
        <w:rPr>
          <w:rFonts w:hint="eastAsia" w:ascii="宋体" w:hAnsi="宋体"/>
          <w:color w:val="auto"/>
          <w:sz w:val="21"/>
          <w:szCs w:val="21"/>
          <w:highlight w:val="none"/>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auto"/>
          <w:sz w:val="21"/>
          <w:szCs w:val="21"/>
          <w:highlight w:val="none"/>
        </w:rPr>
        <w:t>比选申请文件递交</w:t>
      </w:r>
      <w:bookmarkEnd w:id="705"/>
      <w:bookmarkEnd w:id="706"/>
      <w:bookmarkEnd w:id="707"/>
      <w:bookmarkEnd w:id="708"/>
    </w:p>
    <w:p w14:paraId="52E034EE">
      <w:pPr>
        <w:tabs>
          <w:tab w:val="left" w:pos="945"/>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21.1 比选人将按本须知</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7E5B6021">
      <w:pPr>
        <w:tabs>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比选申请文件有下列情形之一的，比选人应当拒收：</w:t>
      </w:r>
    </w:p>
    <w:p w14:paraId="1283D1BE">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66123452">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636E26DF">
      <w:pPr>
        <w:tabs>
          <w:tab w:val="left" w:pos="945"/>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21.2 </w:t>
      </w:r>
      <w:r>
        <w:rPr>
          <w:rFonts w:ascii="宋体" w:hAnsi="宋体"/>
          <w:b/>
          <w:color w:val="auto"/>
          <w:highlight w:val="none"/>
        </w:rPr>
        <w:t>比选申请人的法定代表人或其授权代表（以下统称</w:t>
      </w:r>
      <w:r>
        <w:rPr>
          <w:rFonts w:hint="eastAsia" w:ascii="宋体" w:hAnsi="宋体"/>
          <w:b/>
          <w:color w:val="auto"/>
          <w:highlight w:val="none"/>
        </w:rPr>
        <w:t>“</w:t>
      </w:r>
      <w:r>
        <w:rPr>
          <w:rFonts w:ascii="宋体" w:hAnsi="宋体"/>
          <w:b/>
          <w:color w:val="auto"/>
          <w:highlight w:val="none"/>
        </w:rPr>
        <w:t>比选申请人代表</w:t>
      </w:r>
      <w:r>
        <w:rPr>
          <w:rFonts w:hint="eastAsia" w:ascii="宋体" w:hAnsi="宋体"/>
          <w:b/>
          <w:color w:val="auto"/>
          <w:highlight w:val="none"/>
        </w:rPr>
        <w:t>”</w:t>
      </w:r>
      <w:r>
        <w:rPr>
          <w:rFonts w:ascii="宋体" w:hAnsi="宋体"/>
          <w:b/>
          <w:color w:val="auto"/>
          <w:highlight w:val="none"/>
        </w:rPr>
        <w:t>）必须出示本人有效身份证</w:t>
      </w:r>
      <w:r>
        <w:rPr>
          <w:rFonts w:hint="eastAsia" w:ascii="宋体" w:hAnsi="宋体"/>
          <w:b/>
          <w:color w:val="auto"/>
          <w:highlight w:val="none"/>
        </w:rPr>
        <w:t>件</w:t>
      </w:r>
      <w:r>
        <w:rPr>
          <w:rFonts w:ascii="宋体" w:hAnsi="宋体"/>
          <w:b/>
          <w:color w:val="auto"/>
          <w:highlight w:val="none"/>
        </w:rPr>
        <w:t>（</w:t>
      </w:r>
      <w:r>
        <w:rPr>
          <w:rFonts w:hint="eastAsia" w:ascii="宋体" w:hAnsi="宋体"/>
          <w:b/>
          <w:color w:val="auto"/>
          <w:highlight w:val="none"/>
        </w:rPr>
        <w:t>限中国公民居民身份证、外籍有效护照</w:t>
      </w:r>
      <w:r>
        <w:rPr>
          <w:rFonts w:ascii="宋体" w:hAnsi="宋体"/>
          <w:b/>
          <w:color w:val="auto"/>
          <w:highlight w:val="none"/>
        </w:rPr>
        <w:t>，下同）的原件，比选申请人授权代表还必须同时出示比选申请授权书原件，以证明授权代表的身份和被授权范围，并由比选人验证确认。</w:t>
      </w:r>
      <w:bookmarkStart w:id="709" w:name="_Toc251051540"/>
      <w:r>
        <w:rPr>
          <w:rFonts w:ascii="宋体" w:hAnsi="宋体"/>
          <w:b/>
          <w:color w:val="auto"/>
          <w:highlight w:val="none"/>
        </w:rPr>
        <w:t>否则作无效</w:t>
      </w:r>
      <w:r>
        <w:rPr>
          <w:rFonts w:hint="eastAsia" w:ascii="宋体" w:hAnsi="宋体"/>
          <w:b/>
          <w:color w:val="auto"/>
          <w:highlight w:val="none"/>
        </w:rPr>
        <w:t>比选文件处理</w:t>
      </w:r>
      <w:bookmarkEnd w:id="709"/>
      <w:r>
        <w:rPr>
          <w:rFonts w:hint="eastAsia" w:ascii="宋体" w:hAnsi="宋体"/>
          <w:b/>
          <w:color w:val="auto"/>
          <w:highlight w:val="none"/>
        </w:rPr>
        <w:t>。</w:t>
      </w:r>
    </w:p>
    <w:p w14:paraId="13D6273C">
      <w:pPr>
        <w:pStyle w:val="8"/>
        <w:spacing w:before="0" w:after="0" w:afterAutospacing="0"/>
        <w:ind w:left="0" w:right="0" w:firstLine="422" w:firstLineChars="200"/>
        <w:rPr>
          <w:rFonts w:hint="eastAsia" w:ascii="宋体" w:hAnsi="宋体"/>
          <w:color w:val="auto"/>
          <w:sz w:val="21"/>
          <w:szCs w:val="21"/>
          <w:highlight w:val="none"/>
        </w:rPr>
      </w:pPr>
      <w:bookmarkStart w:id="710" w:name="_Toc383891195"/>
      <w:bookmarkStart w:id="711" w:name="_Toc385427820"/>
      <w:bookmarkStart w:id="712" w:name="_Toc375039091"/>
      <w:bookmarkStart w:id="713" w:name="_Toc390098446"/>
      <w:bookmarkStart w:id="714" w:name="_Toc492478745"/>
      <w:bookmarkStart w:id="715" w:name="_Toc16601"/>
      <w:bookmarkStart w:id="716" w:name="_Toc1920"/>
      <w:bookmarkStart w:id="717" w:name="_Toc30671"/>
      <w:bookmarkStart w:id="718" w:name="_Toc24630"/>
      <w:bookmarkStart w:id="719" w:name="_Toc21819"/>
      <w:bookmarkStart w:id="720" w:name="_Toc17785"/>
      <w:bookmarkStart w:id="721" w:name="_Toc25270"/>
      <w:bookmarkStart w:id="722" w:name="_Toc12336"/>
      <w:bookmarkStart w:id="723" w:name="_Toc27636"/>
      <w:bookmarkStart w:id="724" w:name="_Toc114134632"/>
      <w:bookmarkStart w:id="725" w:name="_Toc24687"/>
      <w:bookmarkStart w:id="726" w:name="_Toc9391"/>
      <w:bookmarkStart w:id="727" w:name="_Toc23699"/>
      <w:bookmarkStart w:id="728" w:name="_Toc24248"/>
      <w:bookmarkStart w:id="729" w:name="_Toc11013"/>
      <w:bookmarkStart w:id="730" w:name="_Toc5267"/>
      <w:bookmarkStart w:id="731" w:name="_Toc16068"/>
      <w:bookmarkStart w:id="732" w:name="_Toc15466"/>
      <w:bookmarkStart w:id="733" w:name="_Toc25750615"/>
      <w:bookmarkStart w:id="734" w:name="_Toc11263"/>
      <w:bookmarkStart w:id="735" w:name="_Toc12983530"/>
      <w:bookmarkStart w:id="736" w:name="_Toc13202"/>
      <w:r>
        <w:rPr>
          <w:rFonts w:hint="eastAsia" w:ascii="宋体" w:hAnsi="宋体"/>
          <w:color w:val="auto"/>
          <w:sz w:val="21"/>
          <w:szCs w:val="21"/>
          <w:highlight w:val="none"/>
        </w:rPr>
        <w:t>22.</w:t>
      </w:r>
      <w:r>
        <w:rPr>
          <w:rFonts w:ascii="宋体" w:hAnsi="宋体"/>
          <w:color w:val="auto"/>
          <w:sz w:val="21"/>
          <w:szCs w:val="21"/>
          <w:highlight w:val="none"/>
        </w:rPr>
        <w:t>评审</w:t>
      </w:r>
      <w:bookmarkEnd w:id="710"/>
      <w:bookmarkEnd w:id="711"/>
      <w:bookmarkEnd w:id="712"/>
      <w:bookmarkEnd w:id="713"/>
      <w:r>
        <w:rPr>
          <w:rFonts w:ascii="宋体" w:hAnsi="宋体"/>
          <w:color w:val="auto"/>
          <w:sz w:val="21"/>
          <w:szCs w:val="21"/>
          <w:highlight w:val="none"/>
        </w:rPr>
        <w:t>程序</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19ABE3B1">
      <w:pPr>
        <w:tabs>
          <w:tab w:val="left" w:pos="8364"/>
        </w:tabs>
        <w:spacing w:before="0" w:after="0" w:afterAutospacing="0"/>
        <w:ind w:left="0" w:right="0" w:firstLine="420" w:firstLineChars="200"/>
        <w:rPr>
          <w:rFonts w:hint="eastAsia" w:ascii="宋体" w:hAnsi="宋体"/>
          <w:b/>
          <w:color w:val="auto"/>
          <w:highlight w:val="none"/>
        </w:rPr>
      </w:pPr>
      <w:bookmarkStart w:id="737" w:name="_Toc375039092"/>
      <w:r>
        <w:rPr>
          <w:rFonts w:hint="eastAsia" w:ascii="宋体" w:hAnsi="宋体"/>
          <w:color w:val="auto"/>
          <w:highlight w:val="none"/>
        </w:rPr>
        <w:t>详见第六章《评分办法》。</w:t>
      </w:r>
      <w:bookmarkEnd w:id="737"/>
    </w:p>
    <w:p w14:paraId="724ACE4C">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38" w:name="_Toc18803"/>
      <w:bookmarkStart w:id="739" w:name="_Toc114134633"/>
      <w:bookmarkStart w:id="740" w:name="_Toc14719"/>
      <w:bookmarkStart w:id="741" w:name="_Toc390098447"/>
      <w:bookmarkStart w:id="742" w:name="_Toc29929"/>
      <w:bookmarkStart w:id="743" w:name="_Toc383891196"/>
      <w:bookmarkStart w:id="744" w:name="_Toc833"/>
      <w:bookmarkStart w:id="745" w:name="_Toc29860"/>
      <w:bookmarkStart w:id="746" w:name="_Toc26137"/>
      <w:bookmarkStart w:id="747" w:name="_Toc15"/>
      <w:bookmarkStart w:id="748" w:name="_Toc24755"/>
      <w:bookmarkStart w:id="749" w:name="_Toc3410"/>
      <w:bookmarkStart w:id="750" w:name="_Toc11716"/>
      <w:bookmarkStart w:id="751" w:name="_Toc18063"/>
      <w:bookmarkStart w:id="752" w:name="_Toc13421"/>
      <w:bookmarkStart w:id="753" w:name="_Toc1456"/>
      <w:bookmarkStart w:id="754" w:name="_Toc492478746"/>
      <w:bookmarkStart w:id="755" w:name="_Toc17980"/>
      <w:bookmarkStart w:id="756" w:name="_Toc27570"/>
      <w:bookmarkStart w:id="757" w:name="_Toc25750616"/>
      <w:bookmarkStart w:id="758" w:name="_Toc5386"/>
      <w:bookmarkStart w:id="759" w:name="_Toc375039093"/>
      <w:bookmarkStart w:id="760" w:name="_Toc385427821"/>
      <w:bookmarkStart w:id="761" w:name="_Toc16072"/>
      <w:bookmarkStart w:id="762" w:name="_Toc8295"/>
      <w:bookmarkStart w:id="763" w:name="_Toc25047"/>
      <w:bookmarkStart w:id="764" w:name="_Toc12983531"/>
      <w:r>
        <w:rPr>
          <w:rFonts w:ascii="宋体" w:hAnsi="宋体"/>
          <w:color w:val="auto"/>
          <w:sz w:val="21"/>
          <w:szCs w:val="21"/>
          <w:highlight w:val="none"/>
        </w:rPr>
        <w:t>与比选人和比选评审小组的接触</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AD92103">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从比选申请截止日起至授予合同期间，未经书面要求，比选申请人不得就与其比选申请文件有关的事项与比选评审小组、比选人接触（包括直接接触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36D43D0B">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比选申请人试图对比选评审小组的评审、比较或授予合同的决定进行影响，都可能导致其比选申请文件被否决。</w:t>
      </w:r>
    </w:p>
    <w:p w14:paraId="0736976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545A298C">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21F8BA60">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65" w:name="_Toc390098448"/>
      <w:bookmarkStart w:id="766" w:name="_Toc9602"/>
      <w:bookmarkStart w:id="767" w:name="_Toc12671"/>
      <w:bookmarkStart w:id="768" w:name="_Toc114134634"/>
      <w:bookmarkStart w:id="769" w:name="_Toc383891197"/>
      <w:bookmarkStart w:id="770" w:name="_Toc16963"/>
      <w:bookmarkStart w:id="771" w:name="_Toc20523"/>
      <w:bookmarkStart w:id="772" w:name="_Toc12909"/>
      <w:bookmarkStart w:id="773" w:name="_Toc24635"/>
      <w:bookmarkStart w:id="774" w:name="_Toc18515"/>
      <w:bookmarkStart w:id="775" w:name="_Toc9941"/>
      <w:bookmarkStart w:id="776" w:name="_Toc30207"/>
      <w:bookmarkStart w:id="777" w:name="_Toc492478747"/>
      <w:bookmarkStart w:id="778" w:name="_Toc25750617"/>
      <w:bookmarkStart w:id="779" w:name="_Toc19810"/>
      <w:bookmarkStart w:id="780" w:name="_Toc29504"/>
      <w:bookmarkStart w:id="781" w:name="_Toc28849"/>
      <w:bookmarkStart w:id="782" w:name="_Toc12983532"/>
      <w:bookmarkStart w:id="783" w:name="_Toc12555"/>
      <w:bookmarkStart w:id="784" w:name="_Toc12960"/>
      <w:bookmarkStart w:id="785" w:name="_Toc7858"/>
      <w:bookmarkStart w:id="786" w:name="_Toc654"/>
      <w:bookmarkStart w:id="787" w:name="_Toc15988"/>
      <w:bookmarkStart w:id="788" w:name="_Toc385427822"/>
      <w:bookmarkStart w:id="789" w:name="_Toc25734"/>
      <w:bookmarkStart w:id="790" w:name="_Toc21167"/>
      <w:bookmarkStart w:id="791" w:name="_Toc378514937"/>
      <w:bookmarkStart w:id="792" w:name="_Toc375039094"/>
      <w:bookmarkStart w:id="793" w:name="_Toc294723156"/>
      <w:r>
        <w:rPr>
          <w:rFonts w:hint="eastAsia" w:ascii="宋体" w:hAnsi="宋体"/>
          <w:color w:val="auto"/>
          <w:sz w:val="21"/>
          <w:szCs w:val="21"/>
          <w:highlight w:val="none"/>
        </w:rPr>
        <w:t>评审过程保密</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E12B88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0F3E3A70">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615485EB">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94" w:name="_Toc24327"/>
      <w:bookmarkStart w:id="795" w:name="_Toc14860"/>
      <w:bookmarkStart w:id="796" w:name="_Toc29554"/>
      <w:bookmarkStart w:id="797" w:name="_Toc28898"/>
      <w:bookmarkStart w:id="798" w:name="_Toc1983"/>
      <w:bookmarkStart w:id="799" w:name="_Toc8827"/>
      <w:bookmarkStart w:id="800" w:name="_Toc13768"/>
      <w:bookmarkStart w:id="801" w:name="_Toc12983533"/>
      <w:bookmarkStart w:id="802" w:name="_Toc27670"/>
      <w:bookmarkStart w:id="803" w:name="_Toc492478748"/>
      <w:bookmarkStart w:id="804" w:name="_Toc385427823"/>
      <w:bookmarkStart w:id="805" w:name="_Toc11077"/>
      <w:bookmarkStart w:id="806" w:name="_Toc25750618"/>
      <w:bookmarkStart w:id="807" w:name="_Toc14740"/>
      <w:bookmarkStart w:id="808" w:name="_Toc30429"/>
      <w:bookmarkStart w:id="809" w:name="_Toc6624"/>
      <w:bookmarkStart w:id="810" w:name="_Toc390098449"/>
      <w:bookmarkStart w:id="811" w:name="_Toc22510"/>
      <w:bookmarkStart w:id="812" w:name="_Toc28843"/>
      <w:bookmarkStart w:id="813" w:name="_Toc23267"/>
      <w:bookmarkStart w:id="814" w:name="_Toc28701"/>
      <w:bookmarkStart w:id="815" w:name="_Toc383891198"/>
      <w:bookmarkStart w:id="816" w:name="_Toc5983"/>
      <w:bookmarkStart w:id="817" w:name="_Toc14799"/>
      <w:bookmarkStart w:id="818" w:name="_Toc114134635"/>
      <w:bookmarkStart w:id="819" w:name="_Toc13743"/>
      <w:r>
        <w:rPr>
          <w:rFonts w:hint="eastAsia" w:ascii="宋体" w:hAnsi="宋体"/>
          <w:color w:val="auto"/>
          <w:sz w:val="21"/>
          <w:szCs w:val="21"/>
          <w:highlight w:val="none"/>
        </w:rPr>
        <w:t>比选申请文件的澄清</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2A2812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2F41ADE1">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20" w:name="_Toc6908"/>
      <w:bookmarkStart w:id="821" w:name="_Toc1915"/>
      <w:bookmarkStart w:id="822" w:name="_Toc26070"/>
      <w:bookmarkStart w:id="823" w:name="_Toc12983534"/>
      <w:bookmarkStart w:id="824" w:name="_Toc19714"/>
      <w:bookmarkStart w:id="825" w:name="_Toc25750619"/>
      <w:bookmarkStart w:id="826" w:name="_Toc5607"/>
      <w:bookmarkStart w:id="827" w:name="_Toc5926"/>
      <w:bookmarkStart w:id="828" w:name="_Toc11421"/>
      <w:bookmarkStart w:id="829" w:name="_Toc22681"/>
      <w:bookmarkStart w:id="830" w:name="_Toc26318"/>
      <w:bookmarkStart w:id="831" w:name="_Toc20519"/>
      <w:bookmarkStart w:id="832" w:name="_Toc29146"/>
      <w:bookmarkStart w:id="833" w:name="_Toc383891199"/>
      <w:bookmarkStart w:id="834" w:name="_Toc16884"/>
      <w:bookmarkStart w:id="835" w:name="_Toc4397"/>
      <w:bookmarkStart w:id="836" w:name="_Toc12795"/>
      <w:bookmarkStart w:id="837" w:name="_Toc492478749"/>
      <w:bookmarkStart w:id="838" w:name="_Toc5437"/>
      <w:bookmarkStart w:id="839" w:name="_Toc28992"/>
      <w:bookmarkStart w:id="840" w:name="_Toc9040"/>
      <w:bookmarkStart w:id="841" w:name="_Toc18093"/>
      <w:bookmarkStart w:id="842" w:name="_Toc30017"/>
      <w:bookmarkStart w:id="843" w:name="_Toc390098450"/>
      <w:bookmarkStart w:id="844" w:name="_Toc385427824"/>
      <w:bookmarkStart w:id="845" w:name="_Toc114134636"/>
      <w:r>
        <w:rPr>
          <w:rFonts w:hint="eastAsia" w:ascii="宋体" w:hAnsi="宋体"/>
          <w:color w:val="auto"/>
          <w:sz w:val="21"/>
          <w:szCs w:val="21"/>
          <w:highlight w:val="none"/>
        </w:rPr>
        <w:t>比选申请文件响应性的确定</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5B85C1F">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26.1 在详细评审之前，比选评审小组将首先审定每份比选申请文件是否在实质上响应了比选文件的要求和规定。</w:t>
      </w:r>
    </w:p>
    <w:p w14:paraId="0CB2D16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4318227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0FEF75CB">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46" w:name="_Toc31646"/>
      <w:bookmarkStart w:id="847" w:name="_Toc390098451"/>
      <w:bookmarkStart w:id="848" w:name="_Toc1027"/>
      <w:bookmarkStart w:id="849" w:name="_Toc26239"/>
      <w:bookmarkStart w:id="850" w:name="_Toc12983535"/>
      <w:bookmarkStart w:id="851" w:name="_Toc20912"/>
      <w:bookmarkStart w:id="852" w:name="_Toc15051"/>
      <w:bookmarkStart w:id="853" w:name="_Toc25750620"/>
      <w:bookmarkStart w:id="854" w:name="_Toc17236"/>
      <w:bookmarkStart w:id="855" w:name="_Toc8588"/>
      <w:bookmarkStart w:id="856" w:name="_Toc383891200"/>
      <w:bookmarkStart w:id="857" w:name="_Toc492478750"/>
      <w:bookmarkStart w:id="858" w:name="_Toc23999"/>
      <w:bookmarkStart w:id="859" w:name="_Toc22146"/>
      <w:bookmarkStart w:id="860" w:name="_Toc385427825"/>
      <w:bookmarkStart w:id="861" w:name="_Toc19477"/>
      <w:bookmarkStart w:id="862" w:name="_Toc20810"/>
      <w:bookmarkStart w:id="863" w:name="_Toc21468"/>
      <w:bookmarkStart w:id="864" w:name="_Toc7153"/>
      <w:bookmarkStart w:id="865" w:name="_Toc114134637"/>
      <w:bookmarkStart w:id="866" w:name="_Toc29398"/>
      <w:bookmarkStart w:id="867" w:name="_Toc23808"/>
      <w:bookmarkStart w:id="868" w:name="_Toc23956"/>
      <w:bookmarkStart w:id="869" w:name="_Toc12167"/>
      <w:bookmarkStart w:id="870" w:name="_Toc20874"/>
      <w:bookmarkStart w:id="871" w:name="_Toc22063"/>
      <w:r>
        <w:rPr>
          <w:rFonts w:hint="eastAsia" w:ascii="宋体" w:hAnsi="宋体"/>
          <w:color w:val="auto"/>
          <w:sz w:val="21"/>
          <w:szCs w:val="21"/>
          <w:highlight w:val="none"/>
        </w:rPr>
        <w:t>比选申请文件计算错误的修正</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086AD8E">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79BD255B">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684F0F2A">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72" w:name="_Toc5319"/>
      <w:bookmarkStart w:id="873" w:name="_Toc20854"/>
      <w:bookmarkStart w:id="874" w:name="_Toc3258"/>
      <w:bookmarkStart w:id="875" w:name="_Toc383891201"/>
      <w:bookmarkStart w:id="876" w:name="_Toc27112"/>
      <w:bookmarkStart w:id="877" w:name="_Toc23907"/>
      <w:bookmarkStart w:id="878" w:name="_Toc385427826"/>
      <w:bookmarkStart w:id="879" w:name="_Toc9812"/>
      <w:bookmarkStart w:id="880" w:name="_Toc4958"/>
      <w:bookmarkStart w:id="881" w:name="_Toc9737"/>
      <w:bookmarkStart w:id="882" w:name="_Toc8959"/>
      <w:bookmarkStart w:id="883" w:name="_Toc11312"/>
      <w:bookmarkStart w:id="884" w:name="_Toc492478751"/>
      <w:bookmarkStart w:id="885" w:name="_Toc22994"/>
      <w:bookmarkStart w:id="886" w:name="_Toc20444"/>
      <w:bookmarkStart w:id="887" w:name="_Toc20881"/>
      <w:bookmarkStart w:id="888" w:name="_Toc25496"/>
      <w:bookmarkStart w:id="889" w:name="_Toc1004"/>
      <w:bookmarkStart w:id="890" w:name="_Toc25750621"/>
      <w:bookmarkStart w:id="891" w:name="_Toc12983536"/>
      <w:bookmarkStart w:id="892" w:name="_Toc19936"/>
      <w:bookmarkStart w:id="893" w:name="_Toc16418"/>
      <w:bookmarkStart w:id="894" w:name="_Toc24176"/>
      <w:bookmarkStart w:id="895" w:name="_Toc29276"/>
      <w:bookmarkStart w:id="896" w:name="_Toc114134638"/>
      <w:bookmarkStart w:id="897" w:name="_Toc390098452"/>
      <w:r>
        <w:rPr>
          <w:rFonts w:hint="eastAsia" w:ascii="宋体" w:hAnsi="宋体"/>
          <w:color w:val="auto"/>
          <w:sz w:val="21"/>
          <w:szCs w:val="21"/>
          <w:highlight w:val="none"/>
        </w:rPr>
        <w:t>比选申请文件的评价与比较</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C05A8E2">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28.1 《评审办法》详见比选文件第六章，比选人将按照《评审办法》对本须知第26条确定为实质上响应比选文件要求的比选申请文件进行评价与比较。</w:t>
      </w:r>
    </w:p>
    <w:p w14:paraId="402CABC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28.2 评审将按《评审办法》规定执行。</w:t>
      </w:r>
      <w:bookmarkEnd w:id="791"/>
    </w:p>
    <w:p w14:paraId="0CC71504">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98" w:name="_Toc27289"/>
      <w:bookmarkStart w:id="899" w:name="_Toc19322"/>
      <w:bookmarkStart w:id="900" w:name="_Toc22500"/>
      <w:bookmarkStart w:id="901" w:name="_Toc1450"/>
      <w:bookmarkStart w:id="902" w:name="_Toc8074"/>
      <w:bookmarkStart w:id="903" w:name="_Toc383891202"/>
      <w:bookmarkStart w:id="904" w:name="_Toc3358"/>
      <w:bookmarkStart w:id="905" w:name="_Toc492478752"/>
      <w:bookmarkStart w:id="906" w:name="_Toc385427827"/>
      <w:bookmarkStart w:id="907" w:name="_Toc31774"/>
      <w:bookmarkStart w:id="908" w:name="_Toc16107"/>
      <w:bookmarkStart w:id="909" w:name="_Toc28489"/>
      <w:bookmarkStart w:id="910" w:name="_Toc12983537"/>
      <w:bookmarkStart w:id="911" w:name="_Toc11657"/>
      <w:bookmarkStart w:id="912" w:name="_Toc507"/>
      <w:bookmarkStart w:id="913" w:name="_Toc15146"/>
      <w:bookmarkStart w:id="914" w:name="_Toc25750622"/>
      <w:bookmarkStart w:id="915" w:name="_Toc11010"/>
      <w:bookmarkStart w:id="916" w:name="_Toc114134639"/>
      <w:bookmarkStart w:id="917" w:name="_Toc8845"/>
      <w:bookmarkStart w:id="918" w:name="_Toc18013"/>
      <w:bookmarkStart w:id="919" w:name="_Toc32344"/>
      <w:bookmarkStart w:id="920" w:name="_Toc17460"/>
      <w:bookmarkStart w:id="921" w:name="_Toc14300"/>
      <w:bookmarkStart w:id="922" w:name="_Toc390098453"/>
      <w:bookmarkStart w:id="923" w:name="_Toc27803"/>
      <w:r>
        <w:rPr>
          <w:rFonts w:hint="eastAsia" w:ascii="宋体" w:hAnsi="宋体"/>
          <w:color w:val="auto"/>
          <w:sz w:val="21"/>
          <w:szCs w:val="21"/>
          <w:highlight w:val="none"/>
        </w:rPr>
        <w:t>定标</w:t>
      </w:r>
      <w:bookmarkEnd w:id="792"/>
      <w:bookmarkEnd w:id="793"/>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C7DE982">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29.1</w:t>
      </w:r>
      <w:r>
        <w:rPr>
          <w:rFonts w:hint="eastAsia"/>
          <w:color w:val="auto"/>
          <w:highlight w:val="none"/>
        </w:rPr>
        <w:t>比选评审小组根据综合评分排名情况，推荐3名中标候选人（当中标候选人不足3名时按实际数量推荐），并标明排序</w:t>
      </w:r>
      <w:r>
        <w:rPr>
          <w:rFonts w:hint="eastAsia" w:ascii="宋体" w:hAnsi="宋体" w:cs="Arial"/>
          <w:color w:val="auto"/>
          <w:highlight w:val="none"/>
        </w:rPr>
        <w:t>。</w:t>
      </w:r>
    </w:p>
    <w:p w14:paraId="1573FCC4">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1DB4AB32">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37185549">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3B8CAD3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比选评审小组评审结束后，比选人经审查发现评审过程中有明显错误，可以组织原比选评审小组进行复评。</w:t>
      </w:r>
    </w:p>
    <w:p w14:paraId="1EDE96DD">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924" w:name="_Toc3761"/>
      <w:bookmarkStart w:id="925" w:name="_Toc13986"/>
      <w:bookmarkStart w:id="926" w:name="_Toc5257"/>
      <w:bookmarkStart w:id="927" w:name="_Toc26470"/>
      <w:bookmarkStart w:id="928" w:name="_Toc21947"/>
      <w:bookmarkStart w:id="929" w:name="_Toc27664"/>
      <w:bookmarkStart w:id="930" w:name="_Toc492478753"/>
      <w:bookmarkStart w:id="931" w:name="_Toc5172"/>
      <w:bookmarkStart w:id="932" w:name="_Toc37"/>
      <w:bookmarkStart w:id="933" w:name="_Toc21142"/>
      <w:bookmarkStart w:id="934" w:name="_Toc16732"/>
      <w:bookmarkStart w:id="935" w:name="_Toc14042"/>
      <w:bookmarkStart w:id="936" w:name="_Toc383891203"/>
      <w:bookmarkStart w:id="937" w:name="_Toc375039095"/>
      <w:bookmarkStart w:id="938" w:name="_Toc12983538"/>
      <w:bookmarkStart w:id="939" w:name="_Toc15932"/>
      <w:bookmarkStart w:id="940" w:name="_Toc385427828"/>
      <w:bookmarkStart w:id="941" w:name="_Toc17823"/>
      <w:bookmarkStart w:id="942" w:name="_Toc22182"/>
      <w:bookmarkStart w:id="943" w:name="_Toc1215"/>
      <w:bookmarkStart w:id="944" w:name="_Toc390098454"/>
      <w:bookmarkStart w:id="945" w:name="_Toc18192"/>
      <w:bookmarkStart w:id="946" w:name="_Toc19634"/>
      <w:bookmarkStart w:id="947" w:name="_Toc31887"/>
      <w:bookmarkStart w:id="948" w:name="_Toc114134640"/>
      <w:bookmarkStart w:id="949" w:name="_Toc15487"/>
      <w:bookmarkStart w:id="950" w:name="_Toc25750623"/>
      <w:r>
        <w:rPr>
          <w:rFonts w:hint="eastAsia" w:ascii="宋体" w:hAnsi="宋体"/>
          <w:color w:val="auto"/>
          <w:sz w:val="21"/>
          <w:szCs w:val="21"/>
          <w:highlight w:val="none"/>
        </w:rPr>
        <w:t>重新</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hint="eastAsia" w:ascii="宋体" w:hAnsi="宋体"/>
          <w:color w:val="auto"/>
          <w:sz w:val="21"/>
          <w:szCs w:val="21"/>
          <w:highlight w:val="none"/>
        </w:rPr>
        <w:t>比选</w:t>
      </w:r>
      <w:bookmarkEnd w:id="947"/>
      <w:bookmarkEnd w:id="948"/>
      <w:bookmarkEnd w:id="949"/>
      <w:bookmarkEnd w:id="950"/>
    </w:p>
    <w:p w14:paraId="5C4E5B60">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4514497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3653410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30.2</w:t>
      </w:r>
      <w:r>
        <w:rPr>
          <w:rFonts w:ascii="宋体" w:hAnsi="宋体"/>
          <w:color w:val="auto"/>
          <w:highlight w:val="none"/>
        </w:rPr>
        <w:t>比选评审小组否决不合格比选申请或者界定为否决比选申请后，因有效比选申请不足三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时，比选评审小组认为剩余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32F2B1D7">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30.</w:t>
      </w:r>
      <w:r>
        <w:rPr>
          <w:rFonts w:hint="eastAsia" w:ascii="宋体" w:hAnsi="宋体"/>
          <w:color w:val="auto"/>
          <w:highlight w:val="none"/>
        </w:rPr>
        <w:t>3</w:t>
      </w:r>
      <w:r>
        <w:rPr>
          <w:rFonts w:ascii="宋体" w:hAnsi="宋体"/>
          <w:color w:val="auto"/>
          <w:highlight w:val="none"/>
        </w:rPr>
        <w:t>比选评审小组决定否决全部比选申请的；</w:t>
      </w:r>
    </w:p>
    <w:p w14:paraId="239D481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63E3830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2A269A3B">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30.6比选文件中规定的其他情况。</w:t>
      </w:r>
    </w:p>
    <w:p w14:paraId="25F7987C">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951" w:name="_Toc10962"/>
      <w:bookmarkStart w:id="952" w:name="_Toc2422"/>
      <w:bookmarkStart w:id="953" w:name="_Toc385427829"/>
      <w:bookmarkStart w:id="954" w:name="_Toc26919"/>
      <w:bookmarkStart w:id="955" w:name="_Toc14454"/>
      <w:bookmarkStart w:id="956" w:name="_Toc31757"/>
      <w:bookmarkStart w:id="957" w:name="_Toc1116"/>
      <w:bookmarkStart w:id="958" w:name="_Toc375039096"/>
      <w:bookmarkStart w:id="959" w:name="_Toc5959"/>
      <w:bookmarkStart w:id="960" w:name="_Toc12983539"/>
      <w:bookmarkStart w:id="961" w:name="_Toc25257"/>
      <w:bookmarkStart w:id="962" w:name="_Toc1945"/>
      <w:bookmarkStart w:id="963" w:name="_Toc492478754"/>
      <w:bookmarkStart w:id="964" w:name="_Toc6886"/>
      <w:bookmarkStart w:id="965" w:name="_Toc390098455"/>
      <w:bookmarkStart w:id="966" w:name="_Toc11126"/>
      <w:bookmarkStart w:id="967" w:name="_Toc26954"/>
      <w:bookmarkStart w:id="968" w:name="_Toc14235"/>
      <w:bookmarkStart w:id="969" w:name="_Toc12031"/>
      <w:bookmarkStart w:id="970" w:name="_Toc3769"/>
      <w:bookmarkStart w:id="971" w:name="_Toc383891204"/>
      <w:bookmarkStart w:id="972" w:name="_Toc20979"/>
      <w:bookmarkStart w:id="973" w:name="_Toc17042"/>
      <w:bookmarkStart w:id="974" w:name="_Toc4738"/>
      <w:bookmarkStart w:id="975" w:name="_Toc24960"/>
      <w:bookmarkStart w:id="976" w:name="_Toc114134641"/>
      <w:bookmarkStart w:id="977" w:name="_Toc25750624"/>
      <w:r>
        <w:rPr>
          <w:rFonts w:hint="eastAsia" w:ascii="宋体" w:hAnsi="宋体"/>
          <w:color w:val="auto"/>
          <w:sz w:val="21"/>
          <w:szCs w:val="21"/>
          <w:highlight w:val="none"/>
        </w:rPr>
        <w:t>不再</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r>
        <w:rPr>
          <w:rFonts w:hint="eastAsia" w:ascii="宋体" w:hAnsi="宋体"/>
          <w:color w:val="auto"/>
          <w:sz w:val="21"/>
          <w:szCs w:val="21"/>
          <w:highlight w:val="none"/>
        </w:rPr>
        <w:t>比选</w:t>
      </w:r>
      <w:bookmarkEnd w:id="974"/>
      <w:bookmarkEnd w:id="975"/>
      <w:bookmarkEnd w:id="976"/>
      <w:bookmarkEnd w:id="977"/>
    </w:p>
    <w:p w14:paraId="26A198BA">
      <w:pPr>
        <w:tabs>
          <w:tab w:val="left" w:pos="1155"/>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206CDC95">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978" w:name="_Toc27839"/>
      <w:bookmarkStart w:id="979" w:name="_Toc18800"/>
      <w:bookmarkStart w:id="980" w:name="_Toc6000"/>
      <w:bookmarkStart w:id="981" w:name="_Toc12983540"/>
      <w:bookmarkStart w:id="982" w:name="_Toc114134642"/>
      <w:bookmarkStart w:id="983" w:name="_Toc29442"/>
      <w:bookmarkStart w:id="984" w:name="_Toc26653"/>
      <w:bookmarkStart w:id="985" w:name="_Toc2326"/>
      <w:bookmarkStart w:id="986" w:name="_Toc22975"/>
      <w:bookmarkStart w:id="987" w:name="_Toc9113"/>
      <w:bookmarkStart w:id="988" w:name="_Toc390098456"/>
      <w:bookmarkStart w:id="989" w:name="_Toc375039097"/>
      <w:bookmarkStart w:id="990" w:name="_Toc24681"/>
      <w:bookmarkStart w:id="991" w:name="_Toc19952"/>
      <w:bookmarkStart w:id="992" w:name="_Toc21516"/>
      <w:bookmarkStart w:id="993" w:name="_Toc4743"/>
      <w:bookmarkStart w:id="994" w:name="_Toc25431"/>
      <w:bookmarkStart w:id="995" w:name="_Toc385427830"/>
      <w:bookmarkStart w:id="996" w:name="_Toc383891205"/>
      <w:bookmarkStart w:id="997" w:name="_Toc31958"/>
      <w:bookmarkStart w:id="998" w:name="_Toc30278"/>
      <w:bookmarkStart w:id="999" w:name="_Toc29295"/>
      <w:bookmarkStart w:id="1000" w:name="_Toc12421"/>
      <w:bookmarkStart w:id="1001" w:name="_Toc492478755"/>
      <w:bookmarkStart w:id="1002" w:name="_Toc8834"/>
      <w:bookmarkStart w:id="1003" w:name="_Toc24580"/>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B56FEC6">
      <w:pPr>
        <w:pStyle w:val="8"/>
        <w:spacing w:before="0" w:after="0" w:afterAutospacing="0"/>
        <w:ind w:left="0" w:right="0" w:firstLine="422" w:firstLineChars="200"/>
        <w:rPr>
          <w:rFonts w:hint="eastAsia" w:ascii="宋体" w:hAnsi="宋体"/>
          <w:color w:val="auto"/>
          <w:sz w:val="21"/>
          <w:szCs w:val="21"/>
          <w:highlight w:val="none"/>
        </w:rPr>
      </w:pPr>
      <w:bookmarkStart w:id="1004" w:name="_Toc26143"/>
      <w:bookmarkStart w:id="1005" w:name="_Toc30026"/>
      <w:bookmarkStart w:id="1006" w:name="_Toc31011"/>
      <w:bookmarkStart w:id="1007" w:name="_Toc492478756"/>
      <w:bookmarkStart w:id="1008" w:name="_Toc22323"/>
      <w:bookmarkStart w:id="1009" w:name="_Toc10522"/>
      <w:bookmarkStart w:id="1010" w:name="_Toc19259"/>
      <w:bookmarkStart w:id="1011" w:name="_Toc21975"/>
      <w:bookmarkStart w:id="1012" w:name="_Toc30743"/>
      <w:bookmarkStart w:id="1013" w:name="_Toc8938"/>
      <w:bookmarkStart w:id="1014" w:name="_Toc1269"/>
      <w:bookmarkStart w:id="1015" w:name="_Toc114134643"/>
      <w:bookmarkStart w:id="1016" w:name="_Toc375039098"/>
      <w:bookmarkStart w:id="1017" w:name="_Toc22688"/>
      <w:bookmarkStart w:id="1018" w:name="_Toc28584"/>
      <w:bookmarkStart w:id="1019" w:name="_Toc20642"/>
      <w:bookmarkStart w:id="1020" w:name="_Toc383891206"/>
      <w:bookmarkStart w:id="1021" w:name="_Toc12983541"/>
      <w:bookmarkStart w:id="1022" w:name="_Toc11795"/>
      <w:bookmarkStart w:id="1023" w:name="_Toc25750626"/>
      <w:bookmarkStart w:id="1024" w:name="_Toc13914"/>
      <w:bookmarkStart w:id="1025" w:name="_Toc26525"/>
      <w:bookmarkStart w:id="1026" w:name="_Toc385427831"/>
      <w:bookmarkStart w:id="1027" w:name="_Toc18878"/>
      <w:bookmarkStart w:id="1028" w:name="_Toc390098457"/>
      <w:bookmarkStart w:id="1029" w:name="_Toc21728"/>
      <w:bookmarkStart w:id="1030" w:name="_Toc28661"/>
      <w:r>
        <w:rPr>
          <w:rFonts w:hint="eastAsia" w:ascii="宋体" w:hAnsi="宋体"/>
          <w:color w:val="auto"/>
          <w:sz w:val="21"/>
          <w:szCs w:val="21"/>
          <w:highlight w:val="none"/>
        </w:rPr>
        <w:t>32. 合同授予标准</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3789FB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6593E24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已中选的比选申请人不能按比选申请文件中承诺的条件履行签约行为，比选人有权按有关法律法规规定，在比选评审小组推荐的、合格的比选申请人名单中按照排名先后顺序选择新的合同授予人。</w:t>
      </w:r>
    </w:p>
    <w:p w14:paraId="755CC3D6">
      <w:pPr>
        <w:pStyle w:val="8"/>
        <w:spacing w:before="0" w:after="0" w:afterAutospacing="0"/>
        <w:ind w:left="0" w:right="0" w:firstLine="422" w:firstLineChars="200"/>
        <w:rPr>
          <w:rFonts w:hint="eastAsia" w:ascii="宋体" w:hAnsi="宋体"/>
          <w:color w:val="auto"/>
          <w:sz w:val="21"/>
          <w:szCs w:val="21"/>
          <w:highlight w:val="none"/>
        </w:rPr>
      </w:pPr>
      <w:bookmarkStart w:id="1031" w:name="_Toc12983542"/>
      <w:bookmarkStart w:id="1032" w:name="_Toc385427832"/>
      <w:bookmarkStart w:id="1033" w:name="_Toc20386"/>
      <w:bookmarkStart w:id="1034" w:name="_Toc1873"/>
      <w:bookmarkStart w:id="1035" w:name="_Toc17153"/>
      <w:bookmarkStart w:id="1036" w:name="_Toc31336"/>
      <w:bookmarkStart w:id="1037" w:name="_Toc492478757"/>
      <w:bookmarkStart w:id="1038" w:name="_Toc13417"/>
      <w:bookmarkStart w:id="1039" w:name="_Toc19128"/>
      <w:bookmarkStart w:id="1040" w:name="_Toc383891207"/>
      <w:bookmarkStart w:id="1041" w:name="_Toc17818"/>
      <w:bookmarkStart w:id="1042" w:name="_Toc14325"/>
      <w:bookmarkStart w:id="1043" w:name="_Toc11913"/>
      <w:bookmarkStart w:id="1044" w:name="_Toc114134644"/>
      <w:bookmarkStart w:id="1045" w:name="_Toc375039099"/>
      <w:bookmarkStart w:id="1046" w:name="_Toc25797"/>
      <w:bookmarkStart w:id="1047" w:name="_Toc14301"/>
      <w:bookmarkStart w:id="1048" w:name="_Toc19774"/>
      <w:bookmarkStart w:id="1049" w:name="_Toc24183"/>
      <w:bookmarkStart w:id="1050" w:name="_Toc23649"/>
      <w:bookmarkStart w:id="1051" w:name="_Toc18977"/>
      <w:bookmarkStart w:id="1052" w:name="_Toc16111"/>
      <w:bookmarkStart w:id="1053" w:name="_Toc377"/>
      <w:bookmarkStart w:id="1054" w:name="_Toc15313"/>
      <w:bookmarkStart w:id="1055" w:name="_Toc14832"/>
      <w:bookmarkStart w:id="1056" w:name="_Toc390098458"/>
      <w:bookmarkStart w:id="1057" w:name="_Toc25750627"/>
      <w:r>
        <w:rPr>
          <w:rFonts w:hint="eastAsia" w:ascii="宋体" w:hAnsi="宋体"/>
          <w:color w:val="auto"/>
          <w:sz w:val="21"/>
          <w:szCs w:val="21"/>
          <w:highlight w:val="none"/>
        </w:rPr>
        <w:t>33. 接受和否决任何或所有比选申请的权力</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2D1E73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49A0408F">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058" w:name="_Toc5061"/>
      <w:bookmarkStart w:id="1059" w:name="_Toc12065"/>
      <w:bookmarkStart w:id="1060" w:name="_Toc2061"/>
      <w:bookmarkStart w:id="1061" w:name="_Toc2829"/>
      <w:bookmarkStart w:id="1062" w:name="_Toc21798"/>
      <w:bookmarkStart w:id="1063" w:name="_Toc12701"/>
      <w:bookmarkStart w:id="1064" w:name="_Toc13596"/>
      <w:bookmarkStart w:id="1065" w:name="_Toc10348"/>
      <w:bookmarkStart w:id="1066" w:name="_Toc32424"/>
      <w:bookmarkStart w:id="1067" w:name="_Toc114134645"/>
      <w:bookmarkStart w:id="1068" w:name="_Toc921"/>
      <w:bookmarkStart w:id="1069" w:name="_Toc375039100"/>
      <w:bookmarkStart w:id="1070" w:name="_Toc27683"/>
      <w:bookmarkStart w:id="1071" w:name="_Toc19943"/>
      <w:bookmarkStart w:id="1072" w:name="_Toc9636"/>
      <w:bookmarkStart w:id="1073" w:name="_Toc13605"/>
      <w:bookmarkStart w:id="1074" w:name="_Toc20680"/>
      <w:bookmarkStart w:id="1075" w:name="_Toc385427833"/>
      <w:bookmarkStart w:id="1076" w:name="_Toc390098459"/>
      <w:bookmarkStart w:id="1077" w:name="_Toc25750628"/>
      <w:bookmarkStart w:id="1078" w:name="_Toc19556"/>
      <w:bookmarkStart w:id="1079" w:name="_Toc492478758"/>
      <w:bookmarkStart w:id="1080" w:name="_Toc17953"/>
      <w:bookmarkStart w:id="1081" w:name="_Toc22657"/>
      <w:bookmarkStart w:id="1082" w:name="_Toc673"/>
      <w:bookmarkStart w:id="1083" w:name="_Toc12983543"/>
      <w:bookmarkStart w:id="1084" w:name="_Toc383891208"/>
      <w:r>
        <w:rPr>
          <w:rFonts w:hint="eastAsia" w:ascii="宋体" w:hAnsi="宋体"/>
          <w:color w:val="auto"/>
          <w:sz w:val="21"/>
          <w:szCs w:val="21"/>
          <w:highlight w:val="none"/>
        </w:rPr>
        <w:t>中选通知书</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3D99967">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6DDEBAAA">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14ABF91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247F4EB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34.4放弃中选人资格的处罚详见前附表。</w:t>
      </w:r>
    </w:p>
    <w:p w14:paraId="42FB3272">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085" w:name="_Toc25750629"/>
      <w:bookmarkStart w:id="1086" w:name="_Toc28815"/>
      <w:bookmarkStart w:id="1087" w:name="_Toc5617"/>
      <w:bookmarkStart w:id="1088" w:name="_Toc30862"/>
      <w:bookmarkStart w:id="1089" w:name="_Toc21217"/>
      <w:bookmarkStart w:id="1090" w:name="_Toc18694"/>
      <w:bookmarkStart w:id="1091" w:name="_Toc383891209"/>
      <w:bookmarkStart w:id="1092" w:name="_Toc5767"/>
      <w:bookmarkStart w:id="1093" w:name="_Toc24240"/>
      <w:bookmarkStart w:id="1094" w:name="_Toc15048"/>
      <w:bookmarkStart w:id="1095" w:name="_Toc25208"/>
      <w:bookmarkStart w:id="1096" w:name="_Toc12983544"/>
      <w:bookmarkStart w:id="1097" w:name="_Toc375039101"/>
      <w:bookmarkStart w:id="1098" w:name="_Toc1862"/>
      <w:bookmarkStart w:id="1099" w:name="_Toc8628"/>
      <w:bookmarkStart w:id="1100" w:name="_Toc114134646"/>
      <w:bookmarkStart w:id="1101" w:name="_Toc385427834"/>
      <w:bookmarkStart w:id="1102" w:name="_Toc390098460"/>
      <w:bookmarkStart w:id="1103" w:name="_Toc1780"/>
      <w:bookmarkStart w:id="1104" w:name="_Toc29993"/>
      <w:bookmarkStart w:id="1105" w:name="_Toc22442"/>
      <w:bookmarkStart w:id="1106" w:name="_Toc15076"/>
      <w:bookmarkStart w:id="1107" w:name="_Toc4190"/>
      <w:bookmarkStart w:id="1108" w:name="_Toc492478759"/>
      <w:bookmarkStart w:id="1109" w:name="_Toc24885"/>
      <w:bookmarkStart w:id="1110" w:name="_Toc21570"/>
      <w:bookmarkStart w:id="1111" w:name="_Toc17555"/>
      <w:r>
        <w:rPr>
          <w:rFonts w:hint="eastAsia" w:ascii="宋体" w:hAnsi="宋体"/>
          <w:color w:val="auto"/>
          <w:sz w:val="21"/>
          <w:szCs w:val="21"/>
          <w:highlight w:val="none"/>
        </w:rPr>
        <w:t>签订合同</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9CB1E3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35.1 中选人在收到中选通知书后，按比选文件的要求与比选人签订合同</w:t>
      </w:r>
      <w:r>
        <w:rPr>
          <w:rFonts w:ascii="宋体" w:hAnsi="宋体"/>
          <w:color w:val="auto"/>
          <w:highlight w:val="none"/>
        </w:rPr>
        <w:t>。</w:t>
      </w:r>
    </w:p>
    <w:p w14:paraId="40525BC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3296AAB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如果中选人没有按照上述第35.1条规定执行，比选人将有充分理由取消该中选决定。在此情况下，比选人可以按照比选评审小组提出的中选候选人名单排序依次确定其他中选候选人为中选人，也可以重新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591F2F4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1C649A1F">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112" w:name="_Toc24750"/>
      <w:bookmarkStart w:id="1113" w:name="_Toc20178"/>
      <w:bookmarkStart w:id="1114" w:name="_Toc12954"/>
      <w:bookmarkStart w:id="1115" w:name="_Toc25632"/>
      <w:bookmarkStart w:id="1116" w:name="_Toc114134647"/>
      <w:bookmarkStart w:id="1117" w:name="_Toc29857"/>
      <w:bookmarkStart w:id="1118" w:name="_Toc16589"/>
      <w:bookmarkStart w:id="1119" w:name="_Toc31814"/>
      <w:bookmarkStart w:id="1120" w:name="_Toc25750630"/>
      <w:bookmarkStart w:id="1121" w:name="_Toc385427835"/>
      <w:bookmarkStart w:id="1122" w:name="_Toc11412"/>
      <w:bookmarkStart w:id="1123" w:name="_Toc11079"/>
      <w:bookmarkStart w:id="1124" w:name="_Toc9433"/>
      <w:bookmarkStart w:id="1125" w:name="_Toc6599"/>
      <w:bookmarkStart w:id="1126" w:name="_Toc16371"/>
      <w:bookmarkStart w:id="1127" w:name="_Toc390098461"/>
      <w:bookmarkStart w:id="1128" w:name="_Toc492478760"/>
      <w:bookmarkStart w:id="1129" w:name="_Toc5576"/>
      <w:bookmarkStart w:id="1130" w:name="_Toc9981"/>
      <w:bookmarkStart w:id="1131" w:name="_Toc17348"/>
      <w:bookmarkStart w:id="1132" w:name="_Toc8104"/>
      <w:bookmarkStart w:id="1133" w:name="_Toc17281"/>
      <w:bookmarkStart w:id="1134" w:name="_Toc23817"/>
      <w:bookmarkStart w:id="1135" w:name="_Toc383891210"/>
      <w:bookmarkStart w:id="1136" w:name="_Toc12983545"/>
      <w:bookmarkStart w:id="1137" w:name="_Toc25483"/>
      <w:bookmarkStart w:id="1138" w:name="_Toc375039102"/>
      <w:r>
        <w:rPr>
          <w:rFonts w:hint="eastAsia" w:ascii="宋体" w:hAnsi="宋体"/>
          <w:color w:val="auto"/>
          <w:sz w:val="21"/>
          <w:szCs w:val="21"/>
          <w:highlight w:val="none"/>
        </w:rPr>
        <w:t>履约担保</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A79520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7B4BD9C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27EEE3A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12A0BD1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w:t>
      </w:r>
      <w:r>
        <w:rPr>
          <w:rFonts w:hint="eastAsia" w:ascii="宋体" w:hAnsi="宋体"/>
          <w:color w:val="auto"/>
          <w:highlight w:val="none"/>
        </w:rPr>
        <w:t>如为履约保证金形式的，</w:t>
      </w:r>
      <w:r>
        <w:rPr>
          <w:rFonts w:ascii="宋体" w:hAnsi="宋体"/>
          <w:color w:val="auto"/>
          <w:highlight w:val="none"/>
        </w:rPr>
        <w:t>在本合同结束后，</w:t>
      </w:r>
      <w:r>
        <w:rPr>
          <w:rFonts w:hint="eastAsia" w:ascii="宋体" w:hAnsi="宋体"/>
          <w:color w:val="auto"/>
          <w:highlight w:val="none"/>
        </w:rPr>
        <w:t>比选人将</w:t>
      </w:r>
      <w:r>
        <w:rPr>
          <w:rFonts w:ascii="宋体" w:hAnsi="宋体"/>
          <w:color w:val="auto"/>
          <w:highlight w:val="none"/>
        </w:rPr>
        <w:t>根据履约期间比选人的索赔情况，将剩余履约担保款项无息退还中选人。</w:t>
      </w:r>
    </w:p>
    <w:p w14:paraId="3B83B88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w:t>
      </w:r>
      <w:r>
        <w:rPr>
          <w:rFonts w:hint="eastAsia" w:ascii="宋体" w:hAnsi="宋体"/>
          <w:color w:val="auto"/>
          <w:highlight w:val="none"/>
        </w:rPr>
        <w:t>中选人</w:t>
      </w:r>
      <w:r>
        <w:rPr>
          <w:rFonts w:ascii="宋体" w:hAnsi="宋体"/>
          <w:color w:val="auto"/>
          <w:highlight w:val="none"/>
        </w:rPr>
        <w:t>应当按照比选人的要求及时补足担保金额。</w:t>
      </w:r>
    </w:p>
    <w:p w14:paraId="474B1FA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280B5418">
      <w:pPr>
        <w:tabs>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55A5D63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5616D57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45090562">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06206CC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w:t>
      </w:r>
      <w:r>
        <w:rPr>
          <w:rFonts w:hint="eastAsia" w:ascii="宋体" w:hAnsi="宋体"/>
          <w:color w:val="auto"/>
          <w:highlight w:val="none"/>
        </w:rPr>
        <w:t>比选申请人</w:t>
      </w:r>
      <w:r>
        <w:rPr>
          <w:rFonts w:ascii="宋体" w:hAnsi="宋体"/>
          <w:color w:val="auto"/>
          <w:highlight w:val="none"/>
        </w:rPr>
        <w:t>不能向任何第三方透露。</w:t>
      </w:r>
    </w:p>
    <w:p w14:paraId="24FAB30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40B353CF">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3AA3097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1BAFB95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3F66B3B2">
      <w:pPr>
        <w:tabs>
          <w:tab w:val="left" w:pos="425"/>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39.3 分包：本项目不允许分包、禁止转包。</w:t>
      </w:r>
    </w:p>
    <w:p w14:paraId="6208931F">
      <w:pPr>
        <w:pStyle w:val="17"/>
        <w:spacing w:before="0" w:after="0" w:afterAutospacing="0"/>
        <w:ind w:left="0" w:right="0" w:firstLine="400" w:firstLineChars="200"/>
        <w:rPr>
          <w:rFonts w:hint="eastAsia" w:hAnsi="宋体"/>
          <w:color w:val="auto"/>
          <w:highlight w:val="none"/>
        </w:rPr>
      </w:pPr>
      <w:r>
        <w:rPr>
          <w:rFonts w:hint="eastAsia" w:hAnsi="宋体"/>
          <w:color w:val="auto"/>
          <w:highlight w:val="none"/>
        </w:rPr>
        <w:t>39.4需要补充的其他内容：详见比选申请须知前附表</w:t>
      </w:r>
    </w:p>
    <w:p w14:paraId="7E00F5D5">
      <w:pPr>
        <w:tabs>
          <w:tab w:val="left" w:pos="425"/>
          <w:tab w:val="left" w:pos="1134"/>
          <w:tab w:val="left" w:pos="8364"/>
        </w:tabs>
        <w:spacing w:before="0" w:after="0" w:afterAutospacing="0" w:line="240" w:lineRule="auto"/>
        <w:ind w:left="0" w:right="0" w:firstLine="422" w:firstLineChars="200"/>
        <w:rPr>
          <w:rFonts w:hint="eastAsia" w:ascii="宋体" w:hAnsi="宋体"/>
          <w:b/>
          <w:bCs/>
          <w:color w:val="auto"/>
          <w:highlight w:val="none"/>
        </w:rPr>
      </w:pPr>
      <w:r>
        <w:rPr>
          <w:rFonts w:hint="eastAsia" w:ascii="宋体" w:hAnsi="宋体"/>
          <w:b/>
          <w:bCs/>
          <w:color w:val="auto"/>
          <w:highlight w:val="none"/>
        </w:rPr>
        <w:t>40其他</w:t>
      </w:r>
    </w:p>
    <w:p w14:paraId="05E3E9F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r>
        <w:rPr>
          <w:rFonts w:ascii="宋体" w:hAnsi="宋体"/>
          <w:color w:val="auto"/>
          <w:highlight w:val="none"/>
        </w:rPr>
        <w:t>：</w:t>
      </w:r>
    </w:p>
    <w:p w14:paraId="13934655">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40.1比选申请人在比选申请截止期后撤回其比选申请的。</w:t>
      </w:r>
    </w:p>
    <w:p w14:paraId="13FDD4B1">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40.2提供虚假材料谋取中选的。</w:t>
      </w:r>
    </w:p>
    <w:p w14:paraId="0BD54B6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40.3采取不正当手段诋毁、排挤其他供应商的。</w:t>
      </w:r>
    </w:p>
    <w:p w14:paraId="10BAF56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40.4恶意串通等不正当竞争行为的。</w:t>
      </w:r>
    </w:p>
    <w:p w14:paraId="6F664138">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40.5中标后无正当理由拒不与</w:t>
      </w:r>
      <w:r>
        <w:rPr>
          <w:rFonts w:hint="eastAsia" w:ascii="宋体" w:hAnsi="宋体"/>
          <w:color w:val="auto"/>
          <w:highlight w:val="none"/>
        </w:rPr>
        <w:t>比选</w:t>
      </w:r>
      <w:r>
        <w:rPr>
          <w:rFonts w:ascii="宋体" w:hAnsi="宋体"/>
          <w:color w:val="auto"/>
          <w:highlight w:val="none"/>
        </w:rPr>
        <w:t>人签订采购合同的。</w:t>
      </w:r>
    </w:p>
    <w:p w14:paraId="40E0ED6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40.6未照比选、比选申请文件确定的事项签订采购合同的。</w:t>
      </w:r>
    </w:p>
    <w:p w14:paraId="0FFFEC79">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40.7将</w:t>
      </w:r>
      <w:r>
        <w:rPr>
          <w:rFonts w:hint="eastAsia" w:ascii="宋体" w:hAnsi="宋体"/>
          <w:color w:val="auto"/>
          <w:highlight w:val="none"/>
        </w:rPr>
        <w:t>与比选人签订的</w:t>
      </w:r>
      <w:r>
        <w:rPr>
          <w:rFonts w:ascii="宋体" w:hAnsi="宋体"/>
          <w:color w:val="auto"/>
          <w:highlight w:val="none"/>
        </w:rPr>
        <w:t>合同转包的。</w:t>
      </w:r>
    </w:p>
    <w:p w14:paraId="681F9AF2">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40.8提供假冒伪劣产品的。</w:t>
      </w:r>
    </w:p>
    <w:p w14:paraId="1F883093">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40.9擅自变更、中止或者终止合同的。</w:t>
      </w:r>
    </w:p>
    <w:p w14:paraId="46BC382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40.10中选人签订合同后，不能履约或无故拖延履约期的。</w:t>
      </w:r>
    </w:p>
    <w:p w14:paraId="3DC29485">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40.11 中选人未按比选申请须知要求在比选申请阶段提出异议或疑问，在成交后无法满足采购需求被认定为无效报价或主动放弃成交资格的。</w:t>
      </w:r>
    </w:p>
    <w:p w14:paraId="6CC88B2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40.12 中选人在成交后无正当理由放弃成交资格的。</w:t>
      </w:r>
    </w:p>
    <w:p w14:paraId="64904DE2">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40.13比选文件、法律、法规规定的其他情形。</w:t>
      </w:r>
    </w:p>
    <w:p w14:paraId="0F08BFC8">
      <w:pPr>
        <w:tabs>
          <w:tab w:val="left" w:pos="1134"/>
          <w:tab w:val="left" w:pos="8364"/>
        </w:tabs>
        <w:spacing w:before="0" w:after="0" w:afterAutospacing="0"/>
        <w:ind w:left="0" w:right="0" w:firstLine="420" w:firstLineChars="200"/>
        <w:rPr>
          <w:rFonts w:hint="eastAsia" w:ascii="宋体" w:hAnsi="宋体"/>
          <w:color w:val="auto"/>
          <w:highlight w:val="none"/>
        </w:rPr>
      </w:pPr>
    </w:p>
    <w:p w14:paraId="5DB2059D">
      <w:pPr>
        <w:pStyle w:val="17"/>
        <w:pageBreakBefore/>
        <w:ind w:left="0" w:right="0" w:firstLine="0"/>
        <w:jc w:val="center"/>
        <w:outlineLvl w:val="0"/>
        <w:rPr>
          <w:rFonts w:hint="eastAsia" w:hAnsi="宋体"/>
          <w:b/>
          <w:color w:val="auto"/>
          <w:sz w:val="32"/>
          <w:szCs w:val="32"/>
          <w:highlight w:val="none"/>
        </w:rPr>
      </w:pPr>
      <w:bookmarkStart w:id="1139" w:name="_Toc13323"/>
      <w:bookmarkStart w:id="1140" w:name="_Toc28464"/>
      <w:bookmarkStart w:id="1141" w:name="_Toc23292"/>
      <w:bookmarkStart w:id="1142" w:name="_Toc4003"/>
      <w:bookmarkStart w:id="1143" w:name="_Toc16340"/>
      <w:bookmarkStart w:id="1144" w:name="_Toc27971"/>
      <w:bookmarkStart w:id="1145" w:name="_Toc15740"/>
      <w:bookmarkStart w:id="1146" w:name="_Toc14991"/>
      <w:bookmarkStart w:id="1147" w:name="_Toc25920"/>
      <w:bookmarkStart w:id="1148" w:name="_Toc12281"/>
      <w:bookmarkStart w:id="1149" w:name="_Toc9991"/>
      <w:bookmarkStart w:id="1150" w:name="_Toc1179"/>
      <w:bookmarkStart w:id="1151" w:name="_Toc7547"/>
      <w:bookmarkStart w:id="1152" w:name="_Toc11424"/>
      <w:bookmarkStart w:id="1153" w:name="_Toc21919"/>
      <w:bookmarkStart w:id="1154" w:name="_Toc9725"/>
      <w:bookmarkStart w:id="1155" w:name="_Toc17022"/>
      <w:bookmarkStart w:id="1156" w:name="_Toc9458"/>
      <w:r>
        <w:rPr>
          <w:rStyle w:val="54"/>
          <w:rFonts w:hint="eastAsia" w:ascii="宋体" w:hAnsi="宋体" w:eastAsia="宋体"/>
          <w:color w:val="auto"/>
          <w:highlight w:val="none"/>
        </w:rPr>
        <w:t>第三章</w:t>
      </w:r>
      <w:r>
        <w:rPr>
          <w:rStyle w:val="54"/>
          <w:rFonts w:hint="eastAsia" w:hAnsi="宋体"/>
          <w:color w:val="auto"/>
          <w:highlight w:val="none"/>
        </w:rPr>
        <w:t xml:space="preserve">  </w:t>
      </w:r>
      <w:r>
        <w:rPr>
          <w:rStyle w:val="54"/>
          <w:rFonts w:hint="eastAsia" w:ascii="宋体" w:hAnsi="宋体" w:eastAsia="宋体"/>
          <w:color w:val="auto"/>
          <w:highlight w:val="none"/>
        </w:rPr>
        <w:t>合同条款及格式</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Start w:id="1157" w:name="_Toc14997"/>
      <w:bookmarkStart w:id="1158" w:name="_Toc16443"/>
      <w:bookmarkStart w:id="1159" w:name="_Toc12470"/>
      <w:bookmarkStart w:id="1160" w:name="_Toc5186"/>
      <w:bookmarkStart w:id="1161" w:name="_Toc12983548"/>
      <w:bookmarkStart w:id="1162" w:name="_Toc16716"/>
      <w:bookmarkStart w:id="1163" w:name="_Toc5644"/>
      <w:bookmarkStart w:id="1164" w:name="_Toc2753"/>
      <w:bookmarkStart w:id="1165" w:name="_Toc21659"/>
      <w:bookmarkStart w:id="1166" w:name="_Toc21635"/>
      <w:bookmarkStart w:id="1167" w:name="_Toc6194"/>
      <w:bookmarkStart w:id="1168" w:name="_Toc13288"/>
      <w:bookmarkStart w:id="1169" w:name="_Toc27258"/>
      <w:bookmarkStart w:id="1170" w:name="_Toc19448"/>
      <w:bookmarkStart w:id="1171" w:name="_Toc29249"/>
      <w:bookmarkStart w:id="1172" w:name="_Toc27316"/>
      <w:bookmarkStart w:id="1173" w:name="_Toc21372"/>
      <w:bookmarkStart w:id="1174" w:name="_Toc21033"/>
    </w:p>
    <w:p w14:paraId="1B3E0075">
      <w:pPr>
        <w:pStyle w:val="33"/>
        <w:spacing w:line="500" w:lineRule="exact"/>
        <w:jc w:val="both"/>
        <w:rPr>
          <w:rFonts w:hint="eastAsia" w:ascii="仿宋_GB2312" w:eastAsia="仿宋_GB2312"/>
          <w:b/>
          <w:bCs/>
          <w:color w:val="auto"/>
          <w:sz w:val="44"/>
          <w:szCs w:val="44"/>
          <w:highlight w:val="none"/>
        </w:rPr>
      </w:pPr>
    </w:p>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14:paraId="10474172">
      <w:pPr>
        <w:wordWrap w:val="0"/>
        <w:rPr>
          <w:rFonts w:ascii="华文中宋" w:hAnsi="华文中宋" w:eastAsia="华文中宋" w:cs="华文中宋"/>
          <w:color w:val="auto"/>
          <w:sz w:val="28"/>
          <w:szCs w:val="28"/>
          <w:highlight w:val="none"/>
        </w:rPr>
      </w:pPr>
      <w:r>
        <w:rPr>
          <w:rFonts w:hint="eastAsia" w:ascii="华文中宋" w:hAnsi="华文中宋" w:eastAsia="华文中宋" w:cs="华文中宋"/>
          <w:bCs/>
          <w:color w:val="auto"/>
          <w:sz w:val="28"/>
          <w:szCs w:val="28"/>
          <w:highlight w:val="none"/>
        </w:rPr>
        <w:t>合同编号：</w:t>
      </w:r>
    </w:p>
    <w:p w14:paraId="1FC9C2B9">
      <w:pPr>
        <w:wordWrap w:val="0"/>
        <w:rPr>
          <w:rFonts w:ascii="华文中宋" w:hAnsi="华文中宋" w:eastAsia="华文中宋" w:cs="华文中宋"/>
          <w:color w:val="auto"/>
          <w:sz w:val="30"/>
          <w:szCs w:val="30"/>
          <w:highlight w:val="none"/>
        </w:rPr>
      </w:pPr>
      <w:r>
        <w:rPr>
          <w:rFonts w:hint="eastAsia" w:ascii="华文中宋" w:hAnsi="华文中宋" w:eastAsia="华文中宋" w:cs="华文中宋"/>
          <w:color w:val="auto"/>
          <w:sz w:val="30"/>
          <w:szCs w:val="30"/>
          <w:highlight w:val="none"/>
        </w:rPr>
        <w:t xml:space="preserve">                               </w:t>
      </w:r>
    </w:p>
    <w:p w14:paraId="79C0F93B">
      <w:pPr>
        <w:wordWrap w:val="0"/>
        <w:ind w:right="840"/>
        <w:jc w:val="right"/>
        <w:rPr>
          <w:rFonts w:ascii="华文中宋" w:hAnsi="华文中宋" w:eastAsia="华文中宋" w:cs="华文中宋"/>
          <w:b/>
          <w:bCs/>
          <w:color w:val="auto"/>
          <w:sz w:val="30"/>
          <w:szCs w:val="30"/>
          <w:highlight w:val="none"/>
        </w:rPr>
      </w:pPr>
      <w:r>
        <w:rPr>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5107305</wp:posOffset>
                </wp:positionH>
                <wp:positionV relativeFrom="paragraph">
                  <wp:posOffset>64770</wp:posOffset>
                </wp:positionV>
                <wp:extent cx="865505" cy="367030"/>
                <wp:effectExtent l="12700" t="12700" r="17145" b="20320"/>
                <wp:wrapNone/>
                <wp:docPr id="6" name="矩形 6"/>
                <wp:cNvGraphicFramePr/>
                <a:graphic xmlns:a="http://schemas.openxmlformats.org/drawingml/2006/main">
                  <a:graphicData uri="http://schemas.microsoft.com/office/word/2010/wordprocessingShape">
                    <wps:wsp>
                      <wps:cNvSpPr/>
                      <wps:spPr>
                        <a:xfrm>
                          <a:off x="0" y="0"/>
                          <a:ext cx="865505" cy="367030"/>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txb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2.15pt;margin-top:5.1pt;height:28.9pt;width:68.15pt;z-index:251659264;v-text-anchor:middle;mso-width-relative:page;mso-height-relative:page;" filled="f" stroked="t" coordsize="21600,21600" o:gfxdata="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7aslm9cAAAAJAQAADwAAAAAAAAABACAAAAAiAAAAZHJz&#10;L2Rvd25yZXYueG1sUEsBAhQAFAAAAAgAh07iQFy+wbp3AgAA4AQAAA4AAAAAAAAAAQAgAAAAJgEA&#10;AGRycy9lMm9Eb2MueG1sUEsFBgAAAAAGAAYAWQEAAA8GAAAAAA==&#10;">
                <v:fill on="f" focussize="0,0"/>
                <v:stroke weight="2pt" color="#376092 [2404]" joinstyle="round"/>
                <v:imagedata o:title=""/>
                <o:lock v:ext="edit" aspectratio="f"/>
                <v:textbo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v:textbox>
              </v:rect>
            </w:pict>
          </mc:Fallback>
        </mc:AlternateContent>
      </w:r>
    </w:p>
    <w:p w14:paraId="5B9C77A1">
      <w:pPr>
        <w:jc w:val="center"/>
        <w:rPr>
          <w:rFonts w:ascii="华文中宋" w:hAnsi="华文中宋" w:eastAsia="华文中宋" w:cs="华文中宋"/>
          <w:b/>
          <w:bCs/>
          <w:color w:val="auto"/>
          <w:sz w:val="30"/>
          <w:szCs w:val="30"/>
          <w:highlight w:val="none"/>
        </w:rPr>
      </w:pPr>
    </w:p>
    <w:p w14:paraId="488F16B3">
      <w:pPr>
        <w:jc w:val="center"/>
        <w:rPr>
          <w:rFonts w:hint="eastAsia" w:ascii="华文中宋" w:hAnsi="华文中宋" w:eastAsia="仿宋_GB2312" w:cs="华文中宋"/>
          <w:b/>
          <w:bCs/>
          <w:color w:val="auto"/>
          <w:sz w:val="30"/>
          <w:szCs w:val="30"/>
          <w:highlight w:val="none"/>
          <w:lang w:val="en-US" w:eastAsia="zh-CN"/>
        </w:rPr>
      </w:pPr>
      <w:r>
        <w:rPr>
          <w:rStyle w:val="38"/>
          <w:rFonts w:hint="eastAsia" w:ascii="宋体" w:hAnsi="宋体" w:cs="Arial Unicode MS"/>
          <w:b/>
          <w:bCs/>
          <w:color w:val="auto"/>
          <w:kern w:val="2"/>
          <w:sz w:val="48"/>
          <w:szCs w:val="48"/>
          <w:highlight w:val="none"/>
          <w:lang w:val="zh-CN" w:eastAsia="zh-CN" w:bidi="ar-SA"/>
        </w:rPr>
        <w:t>轨道云著（北区）项目样板房（138户型）精装修设计</w:t>
      </w:r>
      <w:r>
        <w:rPr>
          <w:rStyle w:val="38"/>
          <w:rFonts w:hint="eastAsia" w:ascii="宋体" w:hAnsi="宋体" w:eastAsia="宋体" w:cs="Arial Unicode MS"/>
          <w:b/>
          <w:bCs/>
          <w:color w:val="auto"/>
          <w:kern w:val="2"/>
          <w:sz w:val="48"/>
          <w:szCs w:val="48"/>
          <w:highlight w:val="none"/>
          <w:lang w:val="en-US" w:eastAsia="zh-CN" w:bidi="ar-SA"/>
        </w:rPr>
        <w:t>合同</w:t>
      </w:r>
    </w:p>
    <w:p w14:paraId="4F673D02">
      <w:pPr>
        <w:ind w:left="0" w:leftChars="0" w:firstLine="0" w:firstLineChars="0"/>
        <w:rPr>
          <w:rFonts w:ascii="华文中宋" w:hAnsi="华文中宋" w:eastAsia="华文中宋" w:cs="华文中宋"/>
          <w:color w:val="auto"/>
          <w:sz w:val="30"/>
          <w:szCs w:val="30"/>
          <w:highlight w:val="none"/>
        </w:rPr>
      </w:pPr>
    </w:p>
    <w:p w14:paraId="4E95D738">
      <w:pPr>
        <w:rPr>
          <w:rFonts w:ascii="华文中宋" w:hAnsi="华文中宋" w:eastAsia="华文中宋" w:cs="华文中宋"/>
          <w:color w:val="auto"/>
          <w:sz w:val="30"/>
          <w:szCs w:val="30"/>
          <w:highlight w:val="none"/>
        </w:rPr>
      </w:pPr>
    </w:p>
    <w:p w14:paraId="715355FE">
      <w:pPr>
        <w:spacing w:line="360" w:lineRule="auto"/>
        <w:rPr>
          <w:rFonts w:hint="eastAsia"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发包人（甲方）：南宁轨道盛拓天和房地产有限公司</w:t>
      </w:r>
    </w:p>
    <w:p w14:paraId="1780CCDD">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设计人（乙方）： </w:t>
      </w:r>
    </w:p>
    <w:p w14:paraId="4115DBB0">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             </w:t>
      </w:r>
    </w:p>
    <w:p w14:paraId="78F779CA">
      <w:pPr>
        <w:spacing w:line="480" w:lineRule="auto"/>
        <w:jc w:val="center"/>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年   月</w:t>
      </w:r>
    </w:p>
    <w:p w14:paraId="30AE2B08">
      <w:pPr>
        <w:pStyle w:val="6"/>
        <w:rPr>
          <w:color w:val="auto"/>
          <w:highlight w:val="none"/>
        </w:rPr>
        <w:sectPr>
          <w:footerReference r:id="rId8" w:type="default"/>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175" w:name="_Toc9291"/>
      <w:bookmarkStart w:id="1176" w:name="_Toc30050"/>
      <w:bookmarkStart w:id="1177" w:name="_Toc120"/>
      <w:bookmarkStart w:id="1178" w:name="_Toc19403"/>
      <w:bookmarkStart w:id="1179" w:name="_Toc30613"/>
    </w:p>
    <w:p w14:paraId="06373746">
      <w:pPr>
        <w:pStyle w:val="6"/>
        <w:ind w:left="0" w:leftChars="0" w:firstLine="0" w:firstLineChars="0"/>
        <w:rPr>
          <w:color w:val="auto"/>
          <w:highlight w:val="none"/>
        </w:rPr>
      </w:pPr>
      <w:r>
        <w:rPr>
          <w:color w:val="auto"/>
          <w:highlight w:val="none"/>
        </w:rPr>
        <w:t>第一</w:t>
      </w:r>
      <w:r>
        <w:rPr>
          <w:rFonts w:hint="eastAsia"/>
          <w:color w:val="auto"/>
          <w:highlight w:val="none"/>
        </w:rPr>
        <w:t>部分</w:t>
      </w:r>
      <w:r>
        <w:rPr>
          <w:color w:val="auto"/>
          <w:highlight w:val="none"/>
        </w:rPr>
        <w:t xml:space="preserve"> </w:t>
      </w:r>
      <w:r>
        <w:rPr>
          <w:rFonts w:hint="eastAsia"/>
          <w:color w:val="auto"/>
          <w:highlight w:val="none"/>
        </w:rPr>
        <w:t xml:space="preserve"> </w:t>
      </w:r>
      <w:r>
        <w:rPr>
          <w:color w:val="auto"/>
          <w:highlight w:val="none"/>
        </w:rPr>
        <w:t>合同协议书</w:t>
      </w:r>
      <w:bookmarkEnd w:id="1175"/>
      <w:bookmarkEnd w:id="1176"/>
      <w:bookmarkEnd w:id="1177"/>
      <w:bookmarkEnd w:id="1178"/>
      <w:bookmarkEnd w:id="1179"/>
    </w:p>
    <w:p w14:paraId="252CE17C">
      <w:pPr>
        <w:pStyle w:val="79"/>
        <w:spacing w:after="0" w:line="360" w:lineRule="auto"/>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3"/>
          <w:sz w:val="30"/>
          <w:szCs w:val="30"/>
          <w:highlight w:val="none"/>
        </w:rPr>
        <w:t>发包人（甲方</w:t>
      </w:r>
      <w:r>
        <w:rPr>
          <w:rFonts w:hint="eastAsia" w:ascii="仿宋_GB2312" w:hAnsi="仿宋_GB2312" w:eastAsia="仿宋_GB2312" w:cs="仿宋_GB2312"/>
          <w:color w:val="auto"/>
          <w:spacing w:val="-19"/>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180F44A1">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2"/>
          <w:sz w:val="30"/>
          <w:szCs w:val="30"/>
          <w:highlight w:val="none"/>
        </w:rPr>
        <w:t>设计人（乙方</w:t>
      </w:r>
      <w:r>
        <w:rPr>
          <w:rFonts w:hint="eastAsia" w:ascii="仿宋_GB2312" w:hAnsi="仿宋_GB2312" w:eastAsia="仿宋_GB2312" w:cs="仿宋_GB2312"/>
          <w:color w:val="auto"/>
          <w:spacing w:val="-21"/>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4FCA1450">
      <w:pPr>
        <w:pStyle w:val="79"/>
        <w:spacing w:after="0" w:line="360" w:lineRule="auto"/>
        <w:ind w:firstLine="596"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1"/>
          <w:sz w:val="30"/>
          <w:szCs w:val="30"/>
          <w:highlight w:val="none"/>
        </w:rPr>
        <w:t>及有关事项协商一致，共同达成如下协议：</w:t>
      </w:r>
    </w:p>
    <w:p w14:paraId="4ED81387">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一、</w:t>
      </w:r>
      <w:r>
        <w:rPr>
          <w:rFonts w:hint="eastAsia" w:ascii="仿宋_GB2312" w:hAnsi="仿宋_GB2312" w:eastAsia="仿宋_GB2312" w:cs="仿宋_GB2312"/>
          <w:b/>
          <w:bCs/>
          <w:color w:val="auto"/>
          <w:spacing w:val="-3"/>
          <w:sz w:val="30"/>
          <w:szCs w:val="30"/>
          <w:highlight w:val="none"/>
        </w:rPr>
        <w:t>工程概况</w:t>
      </w:r>
    </w:p>
    <w:p w14:paraId="56AE7BEF">
      <w:pPr>
        <w:pStyle w:val="79"/>
        <w:spacing w:after="0" w:line="360" w:lineRule="auto"/>
        <w:ind w:firstLine="596"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
          <w:sz w:val="30"/>
          <w:szCs w:val="30"/>
          <w:highlight w:val="none"/>
        </w:rPr>
        <w:t>1.工程名称：</w:t>
      </w:r>
      <w:r>
        <w:rPr>
          <w:rFonts w:hint="eastAsia" w:ascii="仿宋_GB2312" w:hAnsi="仿宋_GB2312" w:eastAsia="仿宋_GB2312" w:cs="仿宋_GB2312"/>
          <w:color w:val="auto"/>
          <w:spacing w:val="4"/>
          <w:sz w:val="30"/>
          <w:szCs w:val="30"/>
          <w:highlight w:val="none"/>
        </w:rPr>
        <w:t xml:space="preserve"> </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eastAsia="zh-CN"/>
        </w:rPr>
        <w:t>轨道云著（北区）项目样板房（138户型）精装修设计</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52E2A30A">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2.工程地点：</w:t>
      </w:r>
      <w:r>
        <w:rPr>
          <w:rFonts w:hint="eastAsia" w:ascii="仿宋_GB2312" w:hAnsi="仿宋_GB2312" w:eastAsia="仿宋_GB2312" w:cs="仿宋_GB2312"/>
          <w:color w:val="auto"/>
          <w:spacing w:val="4"/>
          <w:sz w:val="30"/>
          <w:szCs w:val="30"/>
          <w:highlight w:val="none"/>
          <w:u w:val="single"/>
        </w:rPr>
        <w:t xml:space="preserve"> 南宁市良庆区平乐大道以东、夏林路以南  </w:t>
      </w:r>
      <w:r>
        <w:rPr>
          <w:rFonts w:hint="eastAsia" w:ascii="仿宋_GB2312" w:hAnsi="仿宋_GB2312" w:eastAsia="仿宋_GB2312" w:cs="仿宋_GB2312"/>
          <w:color w:val="auto"/>
          <w:spacing w:val="4"/>
          <w:sz w:val="30"/>
          <w:szCs w:val="30"/>
          <w:highlight w:val="none"/>
        </w:rPr>
        <w:t>。</w:t>
      </w:r>
    </w:p>
    <w:p w14:paraId="4FDCAC0B">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3.工程内容及规模：</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样板房面积：138㎡，包含样板房方案设计及施工图设计，设计服务包含方案设计及工程估算、效果图、施工图设计及工程概算等设计成果、施工阶段配合等</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4F4E97C4">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4.工程主要技术标准：</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A2513CE">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5.投资估算：约</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635838.00</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万元，</w:t>
      </w:r>
      <w:r>
        <w:rPr>
          <w:rFonts w:hint="eastAsia" w:ascii="仿宋_GB2312" w:hAnsi="仿宋_GB2312" w:eastAsia="仿宋_GB2312" w:cs="仿宋_GB2312"/>
          <w:color w:val="auto"/>
          <w:sz w:val="30"/>
          <w:szCs w:val="30"/>
          <w:highlight w:val="none"/>
        </w:rPr>
        <w:t>建安费约</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万元</w:t>
      </w:r>
      <w:r>
        <w:rPr>
          <w:rFonts w:hint="eastAsia" w:ascii="仿宋_GB2312" w:hAnsi="仿宋_GB2312" w:eastAsia="仿宋_GB2312" w:cs="仿宋_GB2312"/>
          <w:color w:val="auto"/>
          <w:spacing w:val="-5"/>
          <w:sz w:val="30"/>
          <w:szCs w:val="30"/>
          <w:highlight w:val="none"/>
        </w:rPr>
        <w:t>。</w:t>
      </w:r>
    </w:p>
    <w:p w14:paraId="236D5CBA">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6.工程批准、核准或备案文号：</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93BFB70">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二、工程设计范围、阶段与服务内容</w:t>
      </w:r>
    </w:p>
    <w:p w14:paraId="3A6663F4">
      <w:pPr>
        <w:pStyle w:val="79"/>
        <w:spacing w:after="0" w:line="360" w:lineRule="auto"/>
        <w:ind w:firstLine="580" w:firstLineChars="200"/>
        <w:rPr>
          <w:rStyle w:val="45"/>
          <w:rFonts w:ascii="仿宋_GB2312" w:hAnsi="仿宋_GB2312" w:eastAsia="仿宋_GB2312" w:cs="仿宋_GB2312"/>
          <w:color w:val="auto"/>
          <w:spacing w:val="-5"/>
          <w:sz w:val="30"/>
          <w:szCs w:val="30"/>
          <w:highlight w:val="none"/>
          <w:u w:val="single"/>
        </w:rPr>
      </w:pPr>
      <w:r>
        <w:rPr>
          <w:rFonts w:hint="eastAsia" w:ascii="仿宋_GB2312" w:hAnsi="仿宋_GB2312" w:eastAsia="仿宋_GB2312" w:cs="仿宋_GB2312"/>
          <w:color w:val="auto"/>
          <w:spacing w:val="-5"/>
          <w:sz w:val="30"/>
          <w:szCs w:val="30"/>
          <w:highlight w:val="none"/>
        </w:rPr>
        <w:t>工程设计范围：</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主体施工图设计；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 xml:space="preserve">供配电设计   </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景观设计；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智能化设计；</w:t>
      </w:r>
      <w:r>
        <w:rPr>
          <w:rFonts w:hint="eastAsia"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pacing w:val="-5"/>
          <w:sz w:val="30"/>
          <w:szCs w:val="30"/>
          <w:highlight w:val="none"/>
        </w:rPr>
        <w:t>装修设计；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其他</w:t>
      </w:r>
      <w:r>
        <w:rPr>
          <w:rFonts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，具体的服务阶段及服务内容专用合同条款</w:t>
      </w:r>
      <w:r>
        <w:rPr>
          <w:rFonts w:hint="eastAsia" w:ascii="仿宋_GB2312" w:hAnsi="仿宋_GB2312" w:eastAsia="仿宋_GB2312" w:cs="仿宋_GB2312"/>
          <w:color w:val="auto"/>
          <w:spacing w:val="-5"/>
          <w:sz w:val="30"/>
          <w:szCs w:val="30"/>
          <w:highlight w:val="none"/>
          <w:u w:val="single"/>
        </w:rPr>
        <w:t>附件1</w:t>
      </w:r>
      <w:r>
        <w:rPr>
          <w:rFonts w:hint="eastAsia" w:ascii="仿宋_GB2312" w:hAnsi="仿宋_GB2312" w:eastAsia="仿宋_GB2312" w:cs="仿宋_GB2312"/>
          <w:color w:val="auto"/>
          <w:spacing w:val="-5"/>
          <w:sz w:val="30"/>
          <w:szCs w:val="30"/>
          <w:highlight w:val="none"/>
        </w:rPr>
        <w:t>。</w:t>
      </w:r>
    </w:p>
    <w:p w14:paraId="4C3544D6">
      <w:pPr>
        <w:pStyle w:val="79"/>
        <w:spacing w:after="0" w:line="360" w:lineRule="auto"/>
        <w:ind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三、工程设计周期</w:t>
      </w:r>
    </w:p>
    <w:p w14:paraId="5A6D8029">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1.计划开始设计日期：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B8BAE03">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2.计划完成设计日期：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4D2DA99">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3.实际设计开始日期按照发包人在《开始设计通知》中载明的开始设计日期为准。</w:t>
      </w:r>
    </w:p>
    <w:p w14:paraId="3B32DCE0">
      <w:pPr>
        <w:pStyle w:val="79"/>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4.具体设计周期以专用合同条款及其附件的约定为准。</w:t>
      </w:r>
    </w:p>
    <w:p w14:paraId="0A308D14">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四、合同价格形式与签约合同价</w:t>
      </w:r>
    </w:p>
    <w:p w14:paraId="7B5F02FD">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1.合同价格形式</w:t>
      </w:r>
      <w:r>
        <w:rPr>
          <w:rFonts w:hint="eastAsia" w:ascii="仿宋_GB2312" w:hAnsi="仿宋_GB2312" w:eastAsia="仿宋_GB2312" w:cs="仿宋_GB2312"/>
          <w:color w:val="auto"/>
          <w:spacing w:val="-5"/>
          <w:sz w:val="30"/>
          <w:szCs w:val="30"/>
          <w:highlight w:val="none"/>
          <w:u w:val="none"/>
        </w:rPr>
        <w:t>：</w:t>
      </w:r>
      <w:r>
        <w:rPr>
          <w:rFonts w:hint="eastAsia" w:ascii="仿宋_GB2312" w:hAnsi="仿宋_GB2312" w:eastAsia="仿宋_GB2312" w:cs="仿宋_GB2312"/>
          <w:color w:val="auto"/>
          <w:spacing w:val="-5"/>
          <w:sz w:val="30"/>
          <w:szCs w:val="30"/>
          <w:highlight w:val="none"/>
          <w:u w:val="none"/>
        </w:rPr>
        <w:sym w:font="Wingdings" w:char="00FE"/>
      </w:r>
      <w:r>
        <w:rPr>
          <w:rFonts w:hint="eastAsia" w:ascii="仿宋_GB2312" w:hAnsi="仿宋_GB2312" w:eastAsia="仿宋_GB2312" w:cs="仿宋_GB2312"/>
          <w:color w:val="auto"/>
          <w:spacing w:val="-5"/>
          <w:sz w:val="30"/>
          <w:szCs w:val="30"/>
          <w:highlight w:val="none"/>
          <w:u w:val="none"/>
        </w:rPr>
        <w:t>固定单价：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lang w:eastAsia="zh-CN"/>
        </w:rPr>
        <w:t>；</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元</w:t>
      </w:r>
      <w:r>
        <w:rPr>
          <w:rFonts w:hint="eastAsia" w:ascii="仿宋_GB2312" w:hAnsi="仿宋_GB2312" w:eastAsia="仿宋_GB2312" w:cs="仿宋_GB2312"/>
          <w:color w:val="auto"/>
          <w:spacing w:val="-5"/>
          <w:sz w:val="30"/>
          <w:szCs w:val="30"/>
          <w:highlight w:val="none"/>
        </w:rPr>
        <w:t>。</w:t>
      </w:r>
    </w:p>
    <w:p w14:paraId="3F632B62">
      <w:pPr>
        <w:adjustRightInd w:val="0"/>
        <w:snapToGrid w:val="0"/>
        <w:spacing w:line="360" w:lineRule="auto"/>
        <w:ind w:firstLine="580" w:firstLineChars="200"/>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pacing w:val="-5"/>
          <w:sz w:val="30"/>
          <w:szCs w:val="30"/>
          <w:highlight w:val="none"/>
        </w:rPr>
        <w:t>2.</w:t>
      </w:r>
      <w:r>
        <w:rPr>
          <w:rFonts w:hint="eastAsia" w:ascii="Cambria" w:hAnsi="Cambria" w:eastAsia="仿宋_GB2312" w:cs="Cambria"/>
          <w:color w:val="auto"/>
          <w:spacing w:val="-5"/>
          <w:sz w:val="30"/>
          <w:szCs w:val="30"/>
          <w:highlight w:val="none"/>
        </w:rPr>
        <w:t>签约合同价</w:t>
      </w:r>
      <w:r>
        <w:rPr>
          <w:rFonts w:hint="eastAsia" w:ascii="仿宋_GB2312" w:hAnsi="仿宋_GB2312" w:eastAsia="仿宋_GB2312" w:cs="仿宋_GB2312"/>
          <w:color w:val="auto"/>
          <w:spacing w:val="-5"/>
          <w:sz w:val="30"/>
          <w:szCs w:val="30"/>
          <w:highlight w:val="none"/>
        </w:rPr>
        <w:t>：</w:t>
      </w:r>
      <w:r>
        <w:rPr>
          <w:rFonts w:hint="eastAsia" w:ascii="仿宋_GB2312" w:hAnsi="仿宋_GB2312" w:eastAsia="仿宋_GB2312" w:cs="仿宋_GB2312"/>
          <w:color w:val="auto"/>
          <w:kern w:val="0"/>
          <w:sz w:val="30"/>
          <w:szCs w:val="30"/>
          <w:highlight w:val="none"/>
        </w:rPr>
        <w:t>不含税价格为：人民币（大写）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），增值税税额为：人民币（大写）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），税率：</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，价税合计为人民币（大写）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w:t>
      </w:r>
    </w:p>
    <w:p w14:paraId="0F94787E">
      <w:pPr>
        <w:pStyle w:val="83"/>
        <w:spacing w:line="440" w:lineRule="exact"/>
        <w:jc w:val="both"/>
        <w:rPr>
          <w:rStyle w:val="38"/>
          <w:rFonts w:hint="eastAsia" w:ascii="宋体" w:hAnsi="宋体" w:eastAsia="宋体" w:cs="Times New Roman"/>
          <w:color w:val="auto"/>
          <w:szCs w:val="21"/>
          <w:highlight w:val="none"/>
        </w:rPr>
      </w:pPr>
      <w:r>
        <w:rPr>
          <w:rFonts w:hint="eastAsia" w:ascii="仿宋_GB2312" w:hAnsi="仿宋_GB2312" w:eastAsia="仿宋_GB2312" w:cs="仿宋_GB2312"/>
          <w:color w:val="auto"/>
          <w:kern w:val="0"/>
          <w:sz w:val="30"/>
          <w:szCs w:val="30"/>
          <w:highlight w:val="none"/>
          <w:lang w:val="en-US" w:eastAsia="zh-CN"/>
        </w:rPr>
        <w:t>附：设计费用清单</w:t>
      </w:r>
    </w:p>
    <w:p w14:paraId="34CCE8D7">
      <w:pPr>
        <w:pStyle w:val="83"/>
        <w:spacing w:line="440" w:lineRule="exact"/>
        <w:jc w:val="right"/>
        <w:rPr>
          <w:rStyle w:val="38"/>
          <w:rFonts w:hint="eastAsia" w:ascii="仿宋_GB2312" w:hAnsi="仿宋_GB2312" w:eastAsia="仿宋_GB2312" w:cs="仿宋_GB2312"/>
          <w:color w:val="auto"/>
          <w:sz w:val="30"/>
          <w:szCs w:val="30"/>
          <w:highlight w:val="none"/>
        </w:rPr>
      </w:pPr>
      <w:r>
        <w:rPr>
          <w:rStyle w:val="38"/>
          <w:rFonts w:hint="eastAsia" w:ascii="仿宋_GB2312" w:hAnsi="仿宋_GB2312" w:eastAsia="仿宋_GB2312" w:cs="仿宋_GB2312"/>
          <w:color w:val="auto"/>
          <w:sz w:val="30"/>
          <w:szCs w:val="30"/>
          <w:highlight w:val="none"/>
        </w:rPr>
        <w:t>单位：人民币元</w:t>
      </w:r>
    </w:p>
    <w:tbl>
      <w:tblPr>
        <w:tblStyle w:val="36"/>
        <w:tblW w:w="5343" w:type="pct"/>
        <w:tblInd w:w="-380" w:type="dxa"/>
        <w:tblLayout w:type="fixed"/>
        <w:tblCellMar>
          <w:top w:w="0" w:type="dxa"/>
          <w:left w:w="108" w:type="dxa"/>
          <w:bottom w:w="0" w:type="dxa"/>
          <w:right w:w="108" w:type="dxa"/>
        </w:tblCellMar>
      </w:tblPr>
      <w:tblGrid>
        <w:gridCol w:w="727"/>
        <w:gridCol w:w="2341"/>
        <w:gridCol w:w="1470"/>
        <w:gridCol w:w="1495"/>
        <w:gridCol w:w="882"/>
        <w:gridCol w:w="1049"/>
        <w:gridCol w:w="1486"/>
      </w:tblGrid>
      <w:tr w14:paraId="0983AEE0">
        <w:tblPrEx>
          <w:tblCellMar>
            <w:top w:w="0" w:type="dxa"/>
            <w:left w:w="108" w:type="dxa"/>
            <w:bottom w:w="0" w:type="dxa"/>
            <w:right w:w="108" w:type="dxa"/>
          </w:tblCellMar>
        </w:tblPrEx>
        <w:trPr>
          <w:trHeight w:val="567" w:hRule="atLeast"/>
          <w:tblHeader/>
        </w:trPr>
        <w:tc>
          <w:tcPr>
            <w:tcW w:w="384" w:type="pct"/>
            <w:tcBorders>
              <w:top w:val="single" w:color="000000" w:sz="4" w:space="0"/>
              <w:left w:val="single" w:color="000000" w:sz="8" w:space="0"/>
              <w:bottom w:val="single" w:color="000000" w:sz="4" w:space="0"/>
              <w:right w:val="single" w:color="000000" w:sz="4" w:space="0"/>
            </w:tcBorders>
            <w:noWrap/>
            <w:vAlign w:val="center"/>
          </w:tcPr>
          <w:p w14:paraId="07FF6A4D">
            <w:pPr>
              <w:pStyle w:val="84"/>
              <w:snapToGrid w:val="0"/>
              <w:jc w:val="center"/>
              <w:rPr>
                <w:rStyle w:val="38"/>
                <w:rFonts w:hint="eastAsia" w:ascii="仿宋_GB2312" w:hAnsi="仿宋_GB2312" w:eastAsia="仿宋_GB2312" w:cs="仿宋_GB2312"/>
                <w:b/>
                <w:bCs/>
                <w:color w:val="auto"/>
                <w:sz w:val="30"/>
                <w:szCs w:val="30"/>
                <w:highlight w:val="none"/>
              </w:rPr>
            </w:pPr>
            <w:r>
              <w:rPr>
                <w:rStyle w:val="38"/>
                <w:rFonts w:hint="eastAsia" w:ascii="仿宋_GB2312" w:hAnsi="仿宋_GB2312" w:eastAsia="仿宋_GB2312" w:cs="仿宋_GB2312"/>
                <w:b/>
                <w:bCs/>
                <w:color w:val="auto"/>
                <w:sz w:val="30"/>
                <w:szCs w:val="30"/>
                <w:highlight w:val="none"/>
              </w:rPr>
              <w:t>序号</w:t>
            </w:r>
          </w:p>
        </w:tc>
        <w:tc>
          <w:tcPr>
            <w:tcW w:w="1238" w:type="pct"/>
            <w:tcBorders>
              <w:top w:val="single" w:color="000000" w:sz="4" w:space="0"/>
              <w:left w:val="single" w:color="000000" w:sz="4" w:space="0"/>
              <w:bottom w:val="single" w:color="000000" w:sz="4" w:space="0"/>
              <w:right w:val="single" w:color="000000" w:sz="4" w:space="0"/>
            </w:tcBorders>
            <w:noWrap/>
            <w:vAlign w:val="center"/>
          </w:tcPr>
          <w:p w14:paraId="2D9AE58D">
            <w:pPr>
              <w:pStyle w:val="84"/>
              <w:widowControl/>
              <w:snapToGrid w:val="0"/>
              <w:jc w:val="center"/>
              <w:textAlignment w:val="center"/>
              <w:rPr>
                <w:rStyle w:val="38"/>
                <w:rFonts w:hint="eastAsia" w:ascii="仿宋_GB2312" w:hAnsi="仿宋_GB2312" w:eastAsia="仿宋_GB2312" w:cs="仿宋_GB2312"/>
                <w:b/>
                <w:bCs/>
                <w:color w:val="auto"/>
                <w:sz w:val="30"/>
                <w:szCs w:val="30"/>
                <w:highlight w:val="none"/>
              </w:rPr>
            </w:pPr>
            <w:r>
              <w:rPr>
                <w:rStyle w:val="38"/>
                <w:rFonts w:hint="eastAsia" w:ascii="仿宋_GB2312" w:hAnsi="仿宋_GB2312" w:eastAsia="仿宋_GB2312" w:cs="仿宋_GB2312"/>
                <w:b/>
                <w:bCs/>
                <w:color w:val="auto"/>
                <w:kern w:val="0"/>
                <w:sz w:val="30"/>
                <w:szCs w:val="30"/>
                <w:highlight w:val="none"/>
                <w:lang w:bidi="ar"/>
              </w:rPr>
              <w:t>分项费用名称</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30295DBD">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bidi="ar"/>
              </w:rPr>
              <w:t>数量</w:t>
            </w:r>
          </w:p>
        </w:tc>
        <w:tc>
          <w:tcPr>
            <w:tcW w:w="791" w:type="pct"/>
            <w:tcBorders>
              <w:top w:val="single" w:color="000000" w:sz="4" w:space="0"/>
              <w:left w:val="single" w:color="000000" w:sz="4" w:space="0"/>
              <w:bottom w:val="single" w:color="auto" w:sz="4" w:space="0"/>
              <w:right w:val="single" w:color="000000" w:sz="4" w:space="0"/>
            </w:tcBorders>
            <w:noWrap/>
            <w:vAlign w:val="center"/>
          </w:tcPr>
          <w:p w14:paraId="3D063D99">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bidi="ar"/>
              </w:rPr>
              <w:t>单位</w:t>
            </w:r>
          </w:p>
        </w:tc>
        <w:tc>
          <w:tcPr>
            <w:tcW w:w="466" w:type="pct"/>
            <w:tcBorders>
              <w:top w:val="single" w:color="000000" w:sz="4" w:space="0"/>
              <w:left w:val="single" w:color="000000" w:sz="4" w:space="0"/>
              <w:bottom w:val="single" w:color="auto" w:sz="4" w:space="0"/>
              <w:right w:val="single" w:color="000000" w:sz="4" w:space="0"/>
            </w:tcBorders>
            <w:noWrap/>
            <w:vAlign w:val="center"/>
          </w:tcPr>
          <w:p w14:paraId="29E8139A">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val="en-US" w:eastAsia="zh-CN" w:bidi="ar"/>
              </w:rPr>
              <w:t>综合</w:t>
            </w:r>
            <w:r>
              <w:rPr>
                <w:rStyle w:val="38"/>
                <w:rFonts w:hint="eastAsia" w:ascii="仿宋_GB2312" w:hAnsi="仿宋_GB2312" w:eastAsia="仿宋_GB2312" w:cs="仿宋_GB2312"/>
                <w:b/>
                <w:bCs/>
                <w:color w:val="auto"/>
                <w:kern w:val="0"/>
                <w:sz w:val="30"/>
                <w:szCs w:val="30"/>
                <w:highlight w:val="none"/>
                <w:lang w:bidi="ar"/>
              </w:rPr>
              <w:t>单价</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3CB70DD7">
            <w:pPr>
              <w:pStyle w:val="84"/>
              <w:widowControl/>
              <w:snapToGrid w:val="0"/>
              <w:jc w:val="center"/>
              <w:textAlignment w:val="center"/>
              <w:rPr>
                <w:rStyle w:val="38"/>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val="en-US" w:eastAsia="zh-CN" w:bidi="ar"/>
              </w:rPr>
              <w:t>税率</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73CC57F2">
            <w:pPr>
              <w:pStyle w:val="84"/>
              <w:widowControl/>
              <w:snapToGrid w:val="0"/>
              <w:jc w:val="center"/>
              <w:textAlignment w:val="center"/>
              <w:rPr>
                <w:rStyle w:val="38"/>
                <w:rFonts w:hint="eastAsia" w:ascii="仿宋_GB2312" w:hAnsi="仿宋_GB2312" w:eastAsia="仿宋_GB2312" w:cs="仿宋_GB2312"/>
                <w:b/>
                <w:bCs/>
                <w:color w:val="auto"/>
                <w:kern w:val="0"/>
                <w:sz w:val="30"/>
                <w:szCs w:val="30"/>
                <w:highlight w:val="none"/>
                <w:lang w:bidi="ar"/>
              </w:rPr>
            </w:pPr>
            <w:r>
              <w:rPr>
                <w:rStyle w:val="38"/>
                <w:rFonts w:hint="eastAsia" w:ascii="仿宋_GB2312" w:hAnsi="仿宋_GB2312" w:eastAsia="仿宋_GB2312" w:cs="仿宋_GB2312"/>
                <w:b/>
                <w:bCs/>
                <w:color w:val="auto"/>
                <w:kern w:val="0"/>
                <w:sz w:val="30"/>
                <w:szCs w:val="30"/>
                <w:highlight w:val="none"/>
                <w:lang w:val="en-US" w:eastAsia="zh-CN" w:bidi="ar"/>
              </w:rPr>
              <w:t>含税</w:t>
            </w:r>
            <w:r>
              <w:rPr>
                <w:rStyle w:val="38"/>
                <w:rFonts w:hint="eastAsia" w:ascii="仿宋_GB2312" w:hAnsi="仿宋_GB2312" w:eastAsia="仿宋_GB2312" w:cs="仿宋_GB2312"/>
                <w:b/>
                <w:bCs/>
                <w:color w:val="auto"/>
                <w:kern w:val="0"/>
                <w:sz w:val="30"/>
                <w:szCs w:val="30"/>
                <w:highlight w:val="none"/>
                <w:lang w:bidi="ar"/>
              </w:rPr>
              <w:t>合价</w:t>
            </w:r>
          </w:p>
        </w:tc>
      </w:tr>
      <w:tr w14:paraId="218FA270">
        <w:tblPrEx>
          <w:tblCellMar>
            <w:top w:w="0" w:type="dxa"/>
            <w:left w:w="108" w:type="dxa"/>
            <w:bottom w:w="0" w:type="dxa"/>
            <w:right w:w="108" w:type="dxa"/>
          </w:tblCellMar>
        </w:tblPrEx>
        <w:trPr>
          <w:trHeight w:val="567" w:hRule="atLeast"/>
        </w:trPr>
        <w:tc>
          <w:tcPr>
            <w:tcW w:w="384" w:type="pct"/>
            <w:tcBorders>
              <w:top w:val="single" w:color="000000" w:sz="4" w:space="0"/>
              <w:left w:val="single" w:color="000000" w:sz="8" w:space="0"/>
              <w:bottom w:val="single" w:color="000000" w:sz="4" w:space="0"/>
              <w:right w:val="single" w:color="000000" w:sz="4" w:space="0"/>
            </w:tcBorders>
            <w:noWrap/>
            <w:vAlign w:val="center"/>
          </w:tcPr>
          <w:p w14:paraId="15C5CED1">
            <w:pPr>
              <w:pStyle w:val="88"/>
              <w:keepNext w:val="0"/>
              <w:keepLines w:val="0"/>
              <w:widowControl/>
              <w:suppressLineNumbers w:val="0"/>
              <w:jc w:val="center"/>
              <w:textAlignment w:val="center"/>
              <w:rPr>
                <w:rStyle w:val="38"/>
                <w:rFonts w:hint="eastAsia" w:ascii="仿宋_GB2312" w:hAnsi="仿宋_GB2312" w:eastAsia="仿宋_GB2312" w:cs="仿宋_GB2312"/>
                <w:i w:val="0"/>
                <w:iCs w:val="0"/>
                <w:color w:val="auto"/>
                <w:kern w:val="0"/>
                <w:sz w:val="30"/>
                <w:szCs w:val="30"/>
                <w:highlight w:val="none"/>
                <w:u w:val="none"/>
                <w:lang w:val="en-US" w:eastAsia="zh-CN" w:bidi="ar"/>
              </w:rPr>
            </w:pPr>
            <w:r>
              <w:rPr>
                <w:rStyle w:val="38"/>
                <w:rFonts w:hint="eastAsia" w:ascii="仿宋_GB2312" w:hAnsi="仿宋_GB2312" w:eastAsia="仿宋_GB2312" w:cs="仿宋_GB2312"/>
                <w:i w:val="0"/>
                <w:iCs w:val="0"/>
                <w:color w:val="auto"/>
                <w:kern w:val="0"/>
                <w:sz w:val="30"/>
                <w:szCs w:val="30"/>
                <w:highlight w:val="none"/>
                <w:u w:val="none"/>
                <w:lang w:val="en-US" w:eastAsia="zh-CN" w:bidi="ar"/>
              </w:rPr>
              <w:t>1</w:t>
            </w:r>
          </w:p>
        </w:tc>
        <w:tc>
          <w:tcPr>
            <w:tcW w:w="1238" w:type="pct"/>
            <w:tcBorders>
              <w:top w:val="single" w:color="000000" w:sz="4" w:space="0"/>
              <w:left w:val="single" w:color="000000" w:sz="4" w:space="0"/>
              <w:bottom w:val="single" w:color="000000" w:sz="4" w:space="0"/>
              <w:right w:val="single" w:color="000000" w:sz="4" w:space="0"/>
            </w:tcBorders>
            <w:noWrap/>
            <w:vAlign w:val="center"/>
          </w:tcPr>
          <w:p w14:paraId="31E3EB3F">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lang w:val="en-US" w:eastAsia="zh-CN"/>
              </w:rPr>
              <w:t>样板房</w:t>
            </w:r>
          </w:p>
        </w:tc>
        <w:tc>
          <w:tcPr>
            <w:tcW w:w="777" w:type="pct"/>
            <w:tcBorders>
              <w:top w:val="single" w:color="000000" w:sz="4" w:space="0"/>
              <w:left w:val="single" w:color="000000" w:sz="4" w:space="0"/>
              <w:bottom w:val="single" w:color="000000" w:sz="4" w:space="0"/>
              <w:right w:val="single" w:color="000000" w:sz="4" w:space="0"/>
            </w:tcBorders>
            <w:noWrap/>
            <w:vAlign w:val="center"/>
          </w:tcPr>
          <w:p w14:paraId="281B2528">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30"/>
                <w:szCs w:val="30"/>
                <w:highlight w:val="none"/>
                <w:u w:val="none"/>
                <w:lang w:val="en-US" w:eastAsia="zh-CN" w:bidi="ar"/>
              </w:rPr>
            </w:pPr>
            <w:r>
              <w:rPr>
                <w:rFonts w:hint="eastAsia" w:ascii="仿宋_GB2312" w:hAnsi="仿宋_GB2312" w:eastAsia="仿宋_GB2312" w:cs="仿宋_GB2312"/>
                <w:i w:val="0"/>
                <w:iCs w:val="0"/>
                <w:color w:val="auto"/>
                <w:kern w:val="0"/>
                <w:sz w:val="30"/>
                <w:szCs w:val="30"/>
                <w:highlight w:val="none"/>
                <w:u w:val="none"/>
                <w:lang w:val="en-US" w:eastAsia="zh-CN" w:bidi="ar"/>
              </w:rPr>
              <w:t>138</w:t>
            </w:r>
          </w:p>
        </w:tc>
        <w:tc>
          <w:tcPr>
            <w:tcW w:w="791" w:type="pct"/>
            <w:tcBorders>
              <w:top w:val="single" w:color="auto" w:sz="4" w:space="0"/>
              <w:left w:val="single" w:color="000000" w:sz="4" w:space="0"/>
              <w:bottom w:val="single" w:color="000000" w:sz="4" w:space="0"/>
              <w:right w:val="single" w:color="000000" w:sz="4" w:space="0"/>
            </w:tcBorders>
            <w:noWrap/>
            <w:vAlign w:val="center"/>
          </w:tcPr>
          <w:p w14:paraId="5CCD268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30"/>
                <w:szCs w:val="30"/>
                <w:highlight w:val="none"/>
                <w:u w:val="none"/>
                <w:lang w:val="en-US" w:eastAsia="zh-CN" w:bidi="ar"/>
              </w:rPr>
            </w:pPr>
            <w:r>
              <w:rPr>
                <w:rStyle w:val="38"/>
                <w:rFonts w:hint="eastAsia" w:ascii="仿宋_GB2312" w:hAnsi="仿宋_GB2312" w:eastAsia="仿宋_GB2312" w:cs="仿宋_GB2312"/>
                <w:i w:val="0"/>
                <w:iCs w:val="0"/>
                <w:color w:val="auto"/>
                <w:kern w:val="0"/>
                <w:sz w:val="30"/>
                <w:szCs w:val="30"/>
                <w:highlight w:val="none"/>
                <w:u w:val="none"/>
                <w:lang w:val="en-US" w:eastAsia="zh-CN" w:bidi="ar"/>
              </w:rPr>
              <w:t>㎡</w:t>
            </w:r>
          </w:p>
        </w:tc>
        <w:tc>
          <w:tcPr>
            <w:tcW w:w="466" w:type="pct"/>
            <w:tcBorders>
              <w:top w:val="single" w:color="auto" w:sz="4" w:space="0"/>
              <w:left w:val="single" w:color="000000" w:sz="4" w:space="0"/>
              <w:bottom w:val="single" w:color="000000" w:sz="4" w:space="0"/>
              <w:right w:val="single" w:color="000000" w:sz="4" w:space="0"/>
            </w:tcBorders>
            <w:noWrap/>
            <w:vAlign w:val="center"/>
          </w:tcPr>
          <w:p w14:paraId="45FE8853">
            <w:pPr>
              <w:pStyle w:val="88"/>
              <w:keepNext w:val="0"/>
              <w:keepLines w:val="0"/>
              <w:widowControl/>
              <w:suppressLineNumbers w:val="0"/>
              <w:jc w:val="center"/>
              <w:textAlignment w:val="center"/>
              <w:rPr>
                <w:rFonts w:hint="eastAsia" w:ascii="仿宋_GB2312" w:hAnsi="仿宋_GB2312" w:eastAsia="仿宋_GB2312" w:cs="仿宋_GB2312"/>
                <w:b w:val="0"/>
                <w:bCs w:val="0"/>
                <w:color w:val="auto"/>
                <w:kern w:val="0"/>
                <w:sz w:val="30"/>
                <w:szCs w:val="30"/>
                <w:highlight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51DF0DA">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kern w:val="0"/>
                <w:sz w:val="30"/>
                <w:szCs w:val="30"/>
                <w:highlight w:val="none"/>
                <w:lang w:val="en-US" w:eastAsia="zh-CN" w:bidi="ar"/>
              </w:rPr>
            </w:pP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5DDBFA4D">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kern w:val="0"/>
                <w:sz w:val="30"/>
                <w:szCs w:val="30"/>
                <w:highlight w:val="none"/>
                <w:lang w:bidi="ar"/>
              </w:rPr>
            </w:pPr>
          </w:p>
        </w:tc>
      </w:tr>
      <w:tr w14:paraId="7EB07E9A">
        <w:tblPrEx>
          <w:tblCellMar>
            <w:top w:w="0" w:type="dxa"/>
            <w:left w:w="108" w:type="dxa"/>
            <w:bottom w:w="0" w:type="dxa"/>
            <w:right w:w="108" w:type="dxa"/>
          </w:tblCellMar>
        </w:tblPrEx>
        <w:trPr>
          <w:trHeight w:val="567" w:hRule="atLeast"/>
        </w:trPr>
        <w:tc>
          <w:tcPr>
            <w:tcW w:w="384" w:type="pct"/>
            <w:tcBorders>
              <w:top w:val="single" w:color="000000" w:sz="4" w:space="0"/>
              <w:left w:val="single" w:color="000000" w:sz="8" w:space="0"/>
              <w:bottom w:val="single" w:color="000000" w:sz="4" w:space="0"/>
              <w:right w:val="single" w:color="000000" w:sz="4" w:space="0"/>
            </w:tcBorders>
            <w:noWrap w:val="0"/>
            <w:vAlign w:val="center"/>
          </w:tcPr>
          <w:p w14:paraId="78C78492">
            <w:pPr>
              <w:pStyle w:val="84"/>
              <w:widowControl/>
              <w:snapToGrid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lang w:val="en-US" w:eastAsia="zh-CN"/>
              </w:rPr>
              <w:t>2</w:t>
            </w:r>
          </w:p>
        </w:tc>
        <w:tc>
          <w:tcPr>
            <w:tcW w:w="3274" w:type="pct"/>
            <w:gridSpan w:val="4"/>
            <w:tcBorders>
              <w:top w:val="single" w:color="000000" w:sz="4" w:space="0"/>
              <w:left w:val="single" w:color="000000" w:sz="4" w:space="0"/>
              <w:bottom w:val="single" w:color="000000" w:sz="4" w:space="0"/>
              <w:right w:val="single" w:color="000000" w:sz="4" w:space="0"/>
            </w:tcBorders>
            <w:noWrap w:val="0"/>
            <w:vAlign w:val="center"/>
          </w:tcPr>
          <w:p w14:paraId="33EB0145">
            <w:pPr>
              <w:pStyle w:val="84"/>
              <w:widowControl/>
              <w:snapToGrid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rPr>
              <w:t>注：</w:t>
            </w:r>
            <w:r>
              <w:rPr>
                <w:rStyle w:val="38"/>
                <w:rFonts w:hint="eastAsia" w:ascii="仿宋_GB2312" w:hAnsi="仿宋_GB2312" w:eastAsia="仿宋_GB2312" w:cs="仿宋_GB2312"/>
                <w:b w:val="0"/>
                <w:bCs w:val="0"/>
                <w:color w:val="auto"/>
                <w:kern w:val="0"/>
                <w:sz w:val="30"/>
                <w:szCs w:val="30"/>
                <w:highlight w:val="none"/>
                <w:lang w:bidi="ar"/>
              </w:rPr>
              <w:t>合价的合计</w:t>
            </w:r>
            <w:r>
              <w:rPr>
                <w:rStyle w:val="38"/>
                <w:rFonts w:hint="eastAsia" w:ascii="仿宋_GB2312" w:hAnsi="仿宋_GB2312" w:eastAsia="仿宋_GB2312" w:cs="仿宋_GB2312"/>
                <w:b w:val="0"/>
                <w:bCs w:val="0"/>
                <w:color w:val="auto"/>
                <w:kern w:val="0"/>
                <w:sz w:val="30"/>
                <w:szCs w:val="30"/>
                <w:highlight w:val="none"/>
                <w:lang w:eastAsia="zh-CN" w:bidi="ar"/>
              </w:rPr>
              <w:t>（</w:t>
            </w:r>
            <w:r>
              <w:rPr>
                <w:rStyle w:val="38"/>
                <w:rFonts w:hint="eastAsia" w:ascii="仿宋_GB2312" w:hAnsi="仿宋_GB2312" w:eastAsia="仿宋_GB2312" w:cs="仿宋_GB2312"/>
                <w:b w:val="0"/>
                <w:bCs w:val="0"/>
                <w:color w:val="auto"/>
                <w:kern w:val="0"/>
                <w:sz w:val="30"/>
                <w:szCs w:val="30"/>
                <w:highlight w:val="none"/>
                <w:lang w:val="en-US" w:eastAsia="zh-CN" w:bidi="ar"/>
              </w:rPr>
              <w:t>含税</w:t>
            </w:r>
            <w:r>
              <w:rPr>
                <w:rStyle w:val="38"/>
                <w:rFonts w:hint="eastAsia" w:ascii="仿宋_GB2312" w:hAnsi="仿宋_GB2312" w:eastAsia="仿宋_GB2312" w:cs="仿宋_GB2312"/>
                <w:b w:val="0"/>
                <w:bCs w:val="0"/>
                <w:color w:val="auto"/>
                <w:kern w:val="0"/>
                <w:sz w:val="30"/>
                <w:szCs w:val="30"/>
                <w:highlight w:val="none"/>
                <w:lang w:eastAsia="zh-CN" w:bidi="ar"/>
              </w:rPr>
              <w:t>）</w:t>
            </w:r>
          </w:p>
        </w:tc>
        <w:tc>
          <w:tcPr>
            <w:tcW w:w="1341" w:type="pct"/>
            <w:gridSpan w:val="2"/>
            <w:tcBorders>
              <w:top w:val="single" w:color="000000" w:sz="4" w:space="0"/>
              <w:left w:val="single" w:color="000000" w:sz="4" w:space="0"/>
              <w:bottom w:val="single" w:color="000000" w:sz="4" w:space="0"/>
              <w:right w:val="single" w:color="000000" w:sz="4" w:space="0"/>
            </w:tcBorders>
            <w:noWrap/>
            <w:vAlign w:val="center"/>
          </w:tcPr>
          <w:p w14:paraId="21125C5E">
            <w:pPr>
              <w:pStyle w:val="84"/>
              <w:widowControl/>
              <w:snapToGrid w:val="0"/>
              <w:jc w:val="center"/>
              <w:textAlignment w:val="center"/>
              <w:rPr>
                <w:rStyle w:val="38"/>
                <w:rFonts w:hint="eastAsia" w:ascii="仿宋_GB2312" w:hAnsi="仿宋_GB2312" w:eastAsia="仿宋_GB2312" w:cs="仿宋_GB2312"/>
                <w:b w:val="0"/>
                <w:bCs w:val="0"/>
                <w:color w:val="auto"/>
                <w:kern w:val="0"/>
                <w:sz w:val="30"/>
                <w:szCs w:val="30"/>
                <w:highlight w:val="none"/>
                <w:lang w:bidi="ar"/>
              </w:rPr>
            </w:pPr>
          </w:p>
        </w:tc>
      </w:tr>
    </w:tbl>
    <w:p w14:paraId="6E58E2F5">
      <w:pPr>
        <w:pStyle w:val="2"/>
        <w:rPr>
          <w:color w:val="auto"/>
          <w:highlight w:val="none"/>
        </w:rPr>
      </w:pPr>
    </w:p>
    <w:p w14:paraId="4433CD49">
      <w:pPr>
        <w:adjustRightInd w:val="0"/>
        <w:snapToGri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注：在合同履约过程中，本合同税率必须遵照国家现行税法执行。本合同最终税金在结算阶段，按实际产生的税金进行核算。</w:t>
      </w:r>
    </w:p>
    <w:p w14:paraId="2434BE17">
      <w:pPr>
        <w:pStyle w:val="78"/>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五、发包人代表与设计人项目负责人</w:t>
      </w:r>
    </w:p>
    <w:p w14:paraId="489BAF8B">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 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FC3173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 设计项目负责人：</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D06371D">
      <w:pPr>
        <w:adjustRightInd w:val="0"/>
        <w:snapToGrid w:val="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六、合同文件构成</w:t>
      </w:r>
    </w:p>
    <w:p w14:paraId="7014D158">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1.下列文件一起构成合同文件：</w:t>
      </w:r>
    </w:p>
    <w:p w14:paraId="64256CBE">
      <w:pPr>
        <w:pStyle w:val="78"/>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1538040E">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5B99E300">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3D98312E">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285377DF">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096F9FE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2D5EB28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344AA40B">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68D62DCA">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1D5000D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06F1D100">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058BC61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 投标文件（如有）；</w:t>
      </w:r>
    </w:p>
    <w:p w14:paraId="178055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19360D1F">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2.上述合同文件互相补充和解释。如果合同文件之间存在矛盾或不一致之处，以上述文件</w:t>
      </w:r>
      <w:r>
        <w:rPr>
          <w:rFonts w:hint="eastAsia" w:ascii="仿宋_GB2312" w:hAnsi="仿宋_GB2312" w:eastAsia="仿宋_GB2312" w:cs="仿宋_GB2312"/>
          <w:color w:val="auto"/>
          <w:spacing w:val="-4"/>
          <w:sz w:val="30"/>
          <w:szCs w:val="30"/>
          <w:highlight w:val="none"/>
        </w:rPr>
        <w:t>的排列顺序在先者为准。</w:t>
      </w:r>
    </w:p>
    <w:p w14:paraId="57E2106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3.上述各项合同文件包括合同当事人就该项合同文件所作出的补充和修改，属</w:t>
      </w:r>
      <w:r>
        <w:rPr>
          <w:rFonts w:hint="eastAsia" w:ascii="仿宋_GB2312" w:hAnsi="仿宋_GB2312" w:eastAsia="仿宋_GB2312" w:cs="仿宋_GB2312"/>
          <w:color w:val="auto"/>
          <w:spacing w:val="-1"/>
          <w:sz w:val="30"/>
          <w:szCs w:val="30"/>
          <w:highlight w:val="none"/>
        </w:rPr>
        <w:t>于同一类内容的文件，应以最新签署的为准。</w:t>
      </w:r>
    </w:p>
    <w:p w14:paraId="139B84BE">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2"/>
          <w:sz w:val="30"/>
          <w:szCs w:val="30"/>
          <w:highlight w:val="none"/>
        </w:rPr>
        <w:t>七、质量标准和要求</w:t>
      </w:r>
    </w:p>
    <w:p w14:paraId="7D0AB9D8">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1.设计工作质量符合的标准和要求：</w:t>
      </w:r>
      <w:r>
        <w:rPr>
          <w:rFonts w:hint="eastAsia" w:ascii="仿宋_GB2312" w:hAnsi="仿宋_GB2312" w:eastAsia="仿宋_GB2312" w:cs="仿宋_GB2312"/>
          <w:color w:val="auto"/>
          <w:sz w:val="30"/>
          <w:szCs w:val="30"/>
          <w:highlight w:val="none"/>
          <w:u w:val="single"/>
        </w:rPr>
        <w:t xml:space="preserve"> 符合国家、地方规范及甲方要求</w:t>
      </w:r>
      <w:r>
        <w:rPr>
          <w:rFonts w:hint="eastAsia" w:ascii="仿宋_GB2312" w:hAnsi="仿宋_GB2312" w:eastAsia="仿宋_GB2312" w:cs="仿宋_GB2312"/>
          <w:color w:val="auto"/>
          <w:spacing w:val="-1"/>
          <w:sz w:val="30"/>
          <w:szCs w:val="30"/>
          <w:highlight w:val="none"/>
        </w:rPr>
        <w:t>。</w:t>
      </w:r>
    </w:p>
    <w:p w14:paraId="4398AD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2.奖项要求：</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个国家级的设计优秀奖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个省部级的设计优秀奖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个市级的设计优秀奖</w:t>
      </w:r>
      <w:r>
        <w:rPr>
          <w:rFonts w:hint="eastAsia" w:ascii="仿宋_GB2312" w:hAnsi="仿宋_GB2312" w:eastAsia="仿宋_GB2312" w:cs="仿宋_GB2312"/>
          <w:color w:val="auto"/>
          <w:sz w:val="30"/>
          <w:szCs w:val="30"/>
          <w:highlight w:val="none"/>
        </w:rPr>
        <w:t>。</w:t>
      </w:r>
    </w:p>
    <w:p w14:paraId="3E211E89">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八、承诺</w:t>
      </w:r>
    </w:p>
    <w:p w14:paraId="7FD76C93">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1.发包人承诺按照法律规定履行项目审批</w:t>
      </w:r>
      <w:r>
        <w:rPr>
          <w:rFonts w:hint="eastAsia" w:ascii="仿宋_GB2312" w:hAnsi="仿宋_GB2312" w:eastAsia="仿宋_GB2312" w:cs="仿宋_GB2312"/>
          <w:color w:val="auto"/>
          <w:spacing w:val="-1"/>
          <w:sz w:val="30"/>
          <w:szCs w:val="30"/>
          <w:highlight w:val="none"/>
        </w:rPr>
        <w:t>手续，按照合同约定提供设计依据，并按合同约定的条件、期限和方式支付合同价款。</w:t>
      </w:r>
    </w:p>
    <w:p w14:paraId="2D7A6100">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2.设计人承诺按照法律和技术标准规定及合同约定提供工程设计服务。</w:t>
      </w:r>
    </w:p>
    <w:p w14:paraId="6732D43D">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九、词语含义</w:t>
      </w:r>
    </w:p>
    <w:p w14:paraId="0D8C197A">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本协议书中词语含义与第五部分通用合同条款中赋予的含义相同。</w:t>
      </w:r>
    </w:p>
    <w:p w14:paraId="6FE663F4">
      <w:pPr>
        <w:pStyle w:val="78"/>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十、签订时间</w:t>
      </w:r>
    </w:p>
    <w:p w14:paraId="65B66C45">
      <w:pPr>
        <w:snapToGrid w:val="0"/>
        <w:spacing w:line="360" w:lineRule="auto"/>
        <w:ind w:firstLine="600" w:firstLineChars="200"/>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本合同于</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年</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月</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日签订。</w:t>
      </w:r>
    </w:p>
    <w:p w14:paraId="5D9369B0">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十一、签订地点</w:t>
      </w:r>
    </w:p>
    <w:p w14:paraId="18C754D9">
      <w:pPr>
        <w:pStyle w:val="79"/>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本合同在</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single"/>
          <w:lang w:val="en-US" w:eastAsia="zh-CN"/>
        </w:rPr>
        <w:t xml:space="preserve"> </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签订。</w:t>
      </w:r>
    </w:p>
    <w:p w14:paraId="4F1A7689">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十二、补充协议</w:t>
      </w:r>
    </w:p>
    <w:p w14:paraId="3B5D97C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合同未尽事宜，合同当事人另行签订补充协议，补充协议是合同的组</w:t>
      </w:r>
      <w:r>
        <w:rPr>
          <w:rFonts w:hint="eastAsia" w:ascii="仿宋_GB2312" w:hAnsi="仿宋_GB2312" w:eastAsia="仿宋_GB2312" w:cs="仿宋_GB2312"/>
          <w:color w:val="auto"/>
          <w:spacing w:val="-1"/>
          <w:sz w:val="30"/>
          <w:szCs w:val="30"/>
          <w:highlight w:val="none"/>
        </w:rPr>
        <w:t>成部分。</w:t>
      </w:r>
    </w:p>
    <w:p w14:paraId="2FD557BE">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十三、合同生效</w:t>
      </w:r>
    </w:p>
    <w:p w14:paraId="10160DF1">
      <w:pPr>
        <w:pStyle w:val="80"/>
        <w:spacing w:line="50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本合同经双方法定代表人或委托代理人签字或（盖章）并加盖双方单位公章（或合同专用章）后生效。</w:t>
      </w:r>
    </w:p>
    <w:p w14:paraId="1EBC282C">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十四、合同份数</w:t>
      </w:r>
    </w:p>
    <w:p w14:paraId="7F244B77">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ascii="Times New Roman" w:hAnsi="Times New Roman" w:eastAsia="仿宋_GB2312"/>
          <w:bCs/>
          <w:color w:val="auto"/>
          <w:sz w:val="30"/>
          <w:szCs w:val="30"/>
          <w:highlight w:val="none"/>
        </w:rPr>
        <w:t>本</w:t>
      </w:r>
      <w:r>
        <w:rPr>
          <w:rFonts w:hint="eastAsia" w:ascii="Times New Roman" w:hAnsi="Times New Roman" w:eastAsia="仿宋_GB2312"/>
          <w:bCs/>
          <w:color w:val="auto"/>
          <w:sz w:val="30"/>
          <w:szCs w:val="30"/>
          <w:highlight w:val="none"/>
          <w:lang w:val="en-US" w:eastAsia="zh-CN"/>
        </w:rPr>
        <w:t>合同</w:t>
      </w:r>
      <w:r>
        <w:rPr>
          <w:rFonts w:ascii="Times New Roman" w:hAnsi="Times New Roman" w:eastAsia="仿宋_GB2312"/>
          <w:bCs/>
          <w:color w:val="auto"/>
          <w:sz w:val="30"/>
          <w:szCs w:val="30"/>
          <w:highlight w:val="none"/>
        </w:rPr>
        <w:t>正本</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hint="eastAsia" w:ascii="Times New Roman" w:hAnsi="Times New Roman" w:eastAsia="仿宋_GB2312"/>
          <w:bCs/>
          <w:color w:val="auto"/>
          <w:sz w:val="30"/>
          <w:szCs w:val="30"/>
          <w:highlight w:val="none"/>
        </w:rPr>
        <w:t>二</w:t>
      </w:r>
      <w:r>
        <w:rPr>
          <w:rFonts w:ascii="Times New Roman" w:hAnsi="Times New Roman" w:eastAsia="仿宋_GB2312"/>
          <w:bCs/>
          <w:color w:val="auto"/>
          <w:sz w:val="30"/>
          <w:szCs w:val="30"/>
          <w:highlight w:val="none"/>
        </w:rPr>
        <w:t>份，甲方和乙方各执</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份。副本</w:t>
      </w:r>
      <w:r>
        <w:rPr>
          <w:rFonts w:hint="eastAsia"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份，甲方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份，乙方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w:t>
      </w:r>
      <w:r>
        <w:rPr>
          <w:rFonts w:hint="eastAsia" w:ascii="Times New Roman" w:hAnsi="Times New Roman" w:eastAsia="仿宋_GB2312"/>
          <w:bCs/>
          <w:color w:val="auto"/>
          <w:sz w:val="30"/>
          <w:szCs w:val="30"/>
          <w:highlight w:val="none"/>
        </w:rPr>
        <w:t>均</w:t>
      </w:r>
      <w:r>
        <w:rPr>
          <w:rFonts w:ascii="Times New Roman" w:hAnsi="Times New Roman" w:eastAsia="仿宋_GB2312"/>
          <w:bCs/>
          <w:color w:val="auto"/>
          <w:sz w:val="30"/>
          <w:szCs w:val="30"/>
          <w:highlight w:val="none"/>
        </w:rPr>
        <w:t>具有同等法律效力。</w:t>
      </w:r>
    </w:p>
    <w:p w14:paraId="2B9A8F3D">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（以下无正文）</w:t>
      </w:r>
    </w:p>
    <w:p w14:paraId="72F1A70C">
      <w:pPr>
        <w:pStyle w:val="78"/>
        <w:spacing w:line="360" w:lineRule="auto"/>
        <w:rPr>
          <w:rFonts w:ascii="仿宋_GB2312" w:hAnsi="仿宋_GB2312" w:eastAsia="仿宋_GB2312" w:cs="仿宋_GB2312"/>
          <w:color w:val="auto"/>
          <w:sz w:val="30"/>
          <w:szCs w:val="30"/>
          <w:highlight w:val="none"/>
        </w:rPr>
      </w:pPr>
    </w:p>
    <w:p w14:paraId="0908B58E">
      <w:pPr>
        <w:pStyle w:val="78"/>
        <w:spacing w:line="360" w:lineRule="auto"/>
        <w:rPr>
          <w:rFonts w:ascii="仿宋_GB2312" w:hAnsi="仿宋_GB2312" w:eastAsia="仿宋_GB2312" w:cs="仿宋_GB2312"/>
          <w:color w:val="auto"/>
          <w:sz w:val="30"/>
          <w:szCs w:val="30"/>
          <w:highlight w:val="none"/>
        </w:rPr>
      </w:pPr>
    </w:p>
    <w:p w14:paraId="36DA9784">
      <w:pPr>
        <w:pStyle w:val="78"/>
        <w:spacing w:line="360" w:lineRule="auto"/>
        <w:rPr>
          <w:rFonts w:ascii="仿宋_GB2312" w:hAnsi="仿宋_GB2312" w:eastAsia="仿宋_GB2312" w:cs="仿宋_GB2312"/>
          <w:color w:val="auto"/>
          <w:sz w:val="30"/>
          <w:szCs w:val="30"/>
          <w:highlight w:val="none"/>
        </w:rPr>
      </w:pPr>
    </w:p>
    <w:p w14:paraId="1AC75A1A">
      <w:pPr>
        <w:pStyle w:val="78"/>
        <w:spacing w:line="360" w:lineRule="auto"/>
        <w:rPr>
          <w:rFonts w:ascii="仿宋_GB2312" w:hAnsi="仿宋_GB2312" w:eastAsia="仿宋_GB2312" w:cs="仿宋_GB2312"/>
          <w:color w:val="auto"/>
          <w:sz w:val="30"/>
          <w:szCs w:val="30"/>
          <w:highlight w:val="none"/>
        </w:rPr>
      </w:pPr>
    </w:p>
    <w:p w14:paraId="2EF818EE">
      <w:pPr>
        <w:pStyle w:val="78"/>
        <w:spacing w:line="360" w:lineRule="auto"/>
        <w:rPr>
          <w:rFonts w:ascii="仿宋_GB2312" w:hAnsi="仿宋_GB2312" w:eastAsia="仿宋_GB2312" w:cs="仿宋_GB2312"/>
          <w:color w:val="auto"/>
          <w:sz w:val="30"/>
          <w:szCs w:val="30"/>
          <w:highlight w:val="none"/>
        </w:rPr>
      </w:pPr>
    </w:p>
    <w:p w14:paraId="08D47CB0">
      <w:pPr>
        <w:pStyle w:val="78"/>
        <w:spacing w:line="360" w:lineRule="auto"/>
        <w:rPr>
          <w:rFonts w:ascii="仿宋_GB2312" w:hAnsi="仿宋_GB2312" w:eastAsia="仿宋_GB2312" w:cs="仿宋_GB2312"/>
          <w:color w:val="auto"/>
          <w:sz w:val="30"/>
          <w:szCs w:val="30"/>
          <w:highlight w:val="none"/>
        </w:rPr>
      </w:pPr>
    </w:p>
    <w:p w14:paraId="12DB6B15">
      <w:pPr>
        <w:pStyle w:val="78"/>
        <w:spacing w:line="360" w:lineRule="auto"/>
        <w:rPr>
          <w:rFonts w:ascii="仿宋_GB2312" w:hAnsi="仿宋_GB2312" w:eastAsia="仿宋_GB2312" w:cs="仿宋_GB2312"/>
          <w:color w:val="auto"/>
          <w:sz w:val="30"/>
          <w:szCs w:val="30"/>
          <w:highlight w:val="none"/>
        </w:rPr>
      </w:pPr>
    </w:p>
    <w:p w14:paraId="085AD062">
      <w:pPr>
        <w:pStyle w:val="78"/>
        <w:spacing w:line="360" w:lineRule="auto"/>
        <w:rPr>
          <w:rFonts w:ascii="仿宋_GB2312" w:hAnsi="仿宋_GB2312" w:eastAsia="仿宋_GB2312" w:cs="仿宋_GB2312"/>
          <w:color w:val="auto"/>
          <w:sz w:val="30"/>
          <w:szCs w:val="30"/>
          <w:highlight w:val="none"/>
        </w:rPr>
      </w:pPr>
    </w:p>
    <w:p w14:paraId="023FE2E2">
      <w:pPr>
        <w:pStyle w:val="78"/>
        <w:spacing w:after="200" w:line="360"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（此页为签署页，无正文）</w:t>
      </w:r>
    </w:p>
    <w:p w14:paraId="759F055C">
      <w:pPr>
        <w:pStyle w:val="78"/>
        <w:spacing w:line="360" w:lineRule="auto"/>
        <w:rPr>
          <w:rFonts w:ascii="仿宋_GB2312" w:hAnsi="仿宋_GB2312" w:eastAsia="仿宋_GB2312" w:cs="仿宋_GB2312"/>
          <w:color w:val="auto"/>
          <w:sz w:val="30"/>
          <w:szCs w:val="30"/>
          <w:highlight w:val="none"/>
        </w:rPr>
      </w:pP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8"/>
        <w:gridCol w:w="4258"/>
      </w:tblGrid>
      <w:tr w14:paraId="37B6D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CFFE5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w:t>
            </w:r>
          </w:p>
        </w:tc>
        <w:tc>
          <w:tcPr>
            <w:tcW w:w="4258" w:type="dxa"/>
            <w:tcBorders>
              <w:tl2br w:val="nil"/>
              <w:tr2bl w:val="nil"/>
            </w:tcBorders>
          </w:tcPr>
          <w:p w14:paraId="48B2A76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设计人：(盖章)</w:t>
            </w:r>
          </w:p>
        </w:tc>
      </w:tr>
      <w:tr w14:paraId="2215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7B1430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c>
          <w:tcPr>
            <w:tcW w:w="4258" w:type="dxa"/>
            <w:tcBorders>
              <w:tl2br w:val="nil"/>
              <w:tr2bl w:val="nil"/>
            </w:tcBorders>
          </w:tcPr>
          <w:p w14:paraId="5B24A1A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r>
      <w:tr w14:paraId="21FA7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trPr>
        <w:tc>
          <w:tcPr>
            <w:tcW w:w="4258" w:type="dxa"/>
            <w:tcBorders>
              <w:tl2br w:val="nil"/>
              <w:tr2bl w:val="nil"/>
            </w:tcBorders>
          </w:tcPr>
          <w:p w14:paraId="48119CA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c>
          <w:tcPr>
            <w:tcW w:w="4258" w:type="dxa"/>
            <w:tcBorders>
              <w:tl2br w:val="nil"/>
              <w:tr2bl w:val="nil"/>
            </w:tcBorders>
          </w:tcPr>
          <w:p w14:paraId="5140CE02">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r>
      <w:tr w14:paraId="5269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C7D1CA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c>
          <w:tcPr>
            <w:tcW w:w="4258" w:type="dxa"/>
            <w:tcBorders>
              <w:tl2br w:val="nil"/>
              <w:tr2bl w:val="nil"/>
            </w:tcBorders>
          </w:tcPr>
          <w:p w14:paraId="00D3A35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r>
      <w:tr w14:paraId="6F28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58" w:type="dxa"/>
            <w:tcBorders>
              <w:tl2br w:val="nil"/>
              <w:tr2bl w:val="nil"/>
            </w:tcBorders>
          </w:tcPr>
          <w:p w14:paraId="6768B9C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p>
        </w:tc>
        <w:tc>
          <w:tcPr>
            <w:tcW w:w="4258" w:type="dxa"/>
            <w:tcBorders>
              <w:tl2br w:val="nil"/>
              <w:tr2bl w:val="nil"/>
            </w:tcBorders>
          </w:tcPr>
          <w:p w14:paraId="55883DF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r>
              <w:rPr>
                <w:rFonts w:ascii="仿宋_GB2312" w:hAnsi="仿宋_GB2312" w:eastAsia="仿宋_GB2312" w:cs="仿宋_GB2312"/>
                <w:color w:val="auto"/>
                <w:sz w:val="30"/>
                <w:szCs w:val="30"/>
                <w:highlight w:val="none"/>
              </w:rPr>
              <w:t>：</w:t>
            </w:r>
          </w:p>
        </w:tc>
      </w:tr>
      <w:tr w14:paraId="7AEB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BE7323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c>
          <w:tcPr>
            <w:tcW w:w="4258" w:type="dxa"/>
            <w:tcBorders>
              <w:tl2br w:val="nil"/>
              <w:tr2bl w:val="nil"/>
            </w:tcBorders>
          </w:tcPr>
          <w:p w14:paraId="48D00CB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r>
      <w:tr w14:paraId="1B68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58BDB7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c>
          <w:tcPr>
            <w:tcW w:w="4258" w:type="dxa"/>
            <w:tcBorders>
              <w:tl2br w:val="nil"/>
              <w:tr2bl w:val="nil"/>
            </w:tcBorders>
          </w:tcPr>
          <w:p w14:paraId="7485369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r>
      <w:tr w14:paraId="281B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2F12A4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c>
          <w:tcPr>
            <w:tcW w:w="4258" w:type="dxa"/>
            <w:tcBorders>
              <w:tl2br w:val="nil"/>
              <w:tr2bl w:val="nil"/>
            </w:tcBorders>
          </w:tcPr>
          <w:p w14:paraId="52FA7E7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r>
      <w:tr w14:paraId="2BDA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992409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c>
          <w:tcPr>
            <w:tcW w:w="4258" w:type="dxa"/>
            <w:tcBorders>
              <w:tl2br w:val="nil"/>
              <w:tr2bl w:val="nil"/>
            </w:tcBorders>
          </w:tcPr>
          <w:p w14:paraId="398A720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r>
      <w:tr w14:paraId="4FBF8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34DC782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c>
          <w:tcPr>
            <w:tcW w:w="4258" w:type="dxa"/>
            <w:tcBorders>
              <w:tl2br w:val="nil"/>
              <w:tr2bl w:val="nil"/>
            </w:tcBorders>
          </w:tcPr>
          <w:p w14:paraId="12B700F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r>
    </w:tbl>
    <w:p w14:paraId="1C2B6378">
      <w:pPr>
        <w:pStyle w:val="79"/>
        <w:spacing w:before="156" w:line="221" w:lineRule="auto"/>
        <w:ind w:left="2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br w:type="page"/>
      </w:r>
    </w:p>
    <w:p w14:paraId="5A4E1A88">
      <w:pPr>
        <w:pStyle w:val="6"/>
        <w:rPr>
          <w:color w:val="auto"/>
          <w:highlight w:val="none"/>
        </w:rPr>
        <w:sectPr>
          <w:footerReference r:id="rId9" w:type="default"/>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180" w:name="_Toc256000293"/>
      <w:bookmarkStart w:id="1181" w:name="_Toc137596542"/>
      <w:bookmarkStart w:id="1182" w:name="_Toc3572"/>
    </w:p>
    <w:p w14:paraId="1A590A6C">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83" w:name="_Toc21034"/>
      <w:bookmarkStart w:id="1184" w:name="_Toc15086"/>
      <w:bookmarkStart w:id="1185" w:name="_Toc20677"/>
      <w:bookmarkStart w:id="1186" w:name="_Toc22114"/>
      <w:bookmarkStart w:id="1187" w:name="_Toc17470"/>
      <w:bookmarkStart w:id="1188" w:name="_Toc15109"/>
      <w:r>
        <w:rPr>
          <w:color w:val="auto"/>
          <w:highlight w:val="none"/>
        </w:rPr>
        <w:t>第二部分　合同澄清文件</w:t>
      </w:r>
      <w:bookmarkEnd w:id="1183"/>
      <w:r>
        <w:rPr>
          <w:rFonts w:hint="eastAsia"/>
          <w:color w:val="auto"/>
          <w:highlight w:val="none"/>
        </w:rPr>
        <w:t>（如有）</w:t>
      </w:r>
      <w:bookmarkEnd w:id="1184"/>
      <w:bookmarkEnd w:id="1185"/>
      <w:bookmarkEnd w:id="1186"/>
      <w:bookmarkEnd w:id="1187"/>
      <w:bookmarkEnd w:id="1188"/>
    </w:p>
    <w:p w14:paraId="50089F32">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89" w:name="_Toc3843"/>
      <w:bookmarkStart w:id="1190" w:name="_Toc29533"/>
      <w:bookmarkStart w:id="1191" w:name="_Toc18937"/>
      <w:bookmarkStart w:id="1192" w:name="_Toc2858"/>
      <w:bookmarkStart w:id="1193" w:name="_Toc11262"/>
      <w:bookmarkStart w:id="1194" w:name="_Toc25773"/>
      <w:bookmarkStart w:id="1195" w:name="_Toc14780"/>
      <w:r>
        <w:rPr>
          <w:rFonts w:hint="eastAsia"/>
          <w:color w:val="auto"/>
          <w:highlight w:val="none"/>
        </w:rPr>
        <w:t>第三部分 中标</w:t>
      </w:r>
      <w:bookmarkEnd w:id="1189"/>
      <w:bookmarkEnd w:id="1190"/>
      <w:r>
        <w:rPr>
          <w:rFonts w:hint="eastAsia"/>
          <w:color w:val="auto"/>
          <w:highlight w:val="none"/>
        </w:rPr>
        <w:t>（选）通知书或委托书（如有）</w:t>
      </w:r>
      <w:bookmarkEnd w:id="1191"/>
      <w:bookmarkEnd w:id="1192"/>
      <w:bookmarkEnd w:id="1193"/>
      <w:bookmarkEnd w:id="1194"/>
      <w:bookmarkEnd w:id="1195"/>
    </w:p>
    <w:p w14:paraId="145A7AC3">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96" w:name="_Toc24005"/>
      <w:bookmarkStart w:id="1197" w:name="_Toc84"/>
      <w:bookmarkStart w:id="1198" w:name="_Toc24283"/>
      <w:bookmarkStart w:id="1199" w:name="_Toc17513"/>
      <w:bookmarkStart w:id="1200" w:name="_Toc19752"/>
      <w:bookmarkStart w:id="1201" w:name="_Toc18379"/>
      <w:bookmarkStart w:id="1202" w:name="_Toc5598"/>
      <w:bookmarkStart w:id="1203" w:name="_Toc7915"/>
      <w:bookmarkStart w:id="1204" w:name="_Toc23818"/>
      <w:bookmarkStart w:id="1205" w:name="_Toc3930"/>
      <w:bookmarkStart w:id="1206" w:name="_Toc13888"/>
      <w:bookmarkStart w:id="1207" w:name="_Toc10009"/>
      <w:bookmarkStart w:id="1208" w:name="_Toc30884"/>
      <w:r>
        <w:rPr>
          <w:rFonts w:hint="eastAsia"/>
          <w:color w:val="auto"/>
          <w:highlight w:val="none"/>
        </w:rPr>
        <w:t>第四部分 投标函及其附录</w:t>
      </w:r>
      <w:bookmarkEnd w:id="1196"/>
      <w:bookmarkEnd w:id="1197"/>
      <w:bookmarkEnd w:id="1198"/>
      <w:bookmarkEnd w:id="1199"/>
      <w:bookmarkEnd w:id="1200"/>
      <w:bookmarkEnd w:id="1201"/>
      <w:bookmarkEnd w:id="1202"/>
      <w:bookmarkEnd w:id="1203"/>
      <w:r>
        <w:rPr>
          <w:rFonts w:hint="eastAsia"/>
          <w:color w:val="auto"/>
          <w:highlight w:val="none"/>
        </w:rPr>
        <w:t>（如有）</w:t>
      </w:r>
      <w:bookmarkEnd w:id="1204"/>
      <w:bookmarkEnd w:id="1205"/>
      <w:bookmarkEnd w:id="1206"/>
      <w:bookmarkEnd w:id="1207"/>
      <w:bookmarkEnd w:id="1208"/>
    </w:p>
    <w:p w14:paraId="4C55F204">
      <w:pPr>
        <w:pStyle w:val="6"/>
        <w:rPr>
          <w:rFonts w:ascii="仿宋_GB2312" w:hAnsi="仿宋_GB2312" w:cs="仿宋_GB2312"/>
          <w:bCs/>
          <w:color w:val="auto"/>
          <w:szCs w:val="30"/>
          <w:highlight w:val="none"/>
        </w:rPr>
      </w:pPr>
      <w:bookmarkStart w:id="1209" w:name="_Toc337"/>
      <w:bookmarkStart w:id="1210" w:name="_Toc20520"/>
      <w:bookmarkStart w:id="1211" w:name="_Toc15524"/>
      <w:bookmarkStart w:id="1212" w:name="_Toc30516"/>
      <w:bookmarkStart w:id="1213" w:name="_Toc19701"/>
      <w:r>
        <w:rPr>
          <w:rFonts w:hint="eastAsia"/>
          <w:color w:val="auto"/>
          <w:highlight w:val="none"/>
        </w:rPr>
        <w:t>第五部分  通用合同</w:t>
      </w:r>
      <w:bookmarkEnd w:id="1209"/>
      <w:bookmarkEnd w:id="1210"/>
      <w:bookmarkEnd w:id="1211"/>
      <w:r>
        <w:rPr>
          <w:rFonts w:hint="eastAsia"/>
          <w:color w:val="auto"/>
          <w:highlight w:val="none"/>
        </w:rPr>
        <w:t>条款</w:t>
      </w:r>
      <w:bookmarkEnd w:id="1212"/>
      <w:bookmarkEnd w:id="1213"/>
    </w:p>
    <w:p w14:paraId="13B14EF6">
      <w:pPr>
        <w:keepNext/>
        <w:keepLines/>
        <w:spacing w:line="360" w:lineRule="auto"/>
        <w:outlineLvl w:val="1"/>
        <w:rPr>
          <w:rFonts w:ascii="Times New Roman" w:hAnsi="Times New Roman" w:eastAsia="黑体"/>
          <w:b/>
          <w:bCs/>
          <w:color w:val="auto"/>
          <w:sz w:val="32"/>
          <w:szCs w:val="32"/>
          <w:highlight w:val="none"/>
        </w:rPr>
      </w:pPr>
      <w:bookmarkStart w:id="1214" w:name="_Toc19518"/>
      <w:bookmarkStart w:id="1215" w:name="_Toc24981"/>
      <w:bookmarkStart w:id="1216" w:name="_Toc21818"/>
      <w:bookmarkStart w:id="1217" w:name="_Toc28527"/>
      <w:bookmarkStart w:id="1218" w:name="_Toc351203495"/>
      <w:r>
        <w:rPr>
          <w:rFonts w:hint="eastAsia" w:ascii="Times New Roman" w:hAnsi="Times New Roman" w:eastAsia="黑体"/>
          <w:b/>
          <w:bCs/>
          <w:color w:val="auto"/>
          <w:sz w:val="32"/>
          <w:szCs w:val="32"/>
          <w:highlight w:val="none"/>
        </w:rPr>
        <w:t>1. 一</w:t>
      </w:r>
      <w:r>
        <w:rPr>
          <w:rFonts w:hint="eastAsia" w:ascii="Arial" w:hAnsi="Arial" w:eastAsia="黑体"/>
          <w:b/>
          <w:bCs/>
          <w:color w:val="auto"/>
          <w:sz w:val="32"/>
          <w:szCs w:val="32"/>
          <w:highlight w:val="none"/>
        </w:rPr>
        <w:t>般约定</w:t>
      </w:r>
      <w:bookmarkEnd w:id="1214"/>
      <w:bookmarkEnd w:id="1215"/>
      <w:bookmarkEnd w:id="1216"/>
      <w:bookmarkEnd w:id="1217"/>
    </w:p>
    <w:p w14:paraId="758768F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1.1 词语定义与解释</w:t>
      </w:r>
    </w:p>
    <w:p w14:paraId="721DA84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合同协议书、通用合同条款、专用合同条款中的下列词语具有本款所赋予的含义：</w:t>
      </w:r>
    </w:p>
    <w:p w14:paraId="5F1AFA0B">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1.1.1 合同</w:t>
      </w:r>
    </w:p>
    <w:p w14:paraId="01ACE27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1.1.1.1 合同：是指根据法律规定和合同当事人约定具有约束力的文件，构成合同的文件包括合同协议书、专用合同条款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、通用合同条款、中标通知书（如果有）、投标函及其附录（如果有）、发包人要求、技术标准、发包人提供的上一阶段图纸（如果有）以及其他合同文件。</w:t>
      </w:r>
    </w:p>
    <w:p w14:paraId="534B57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1.1.1.2 合同协议书：是指构成合同的由发包人和设计人共同签署的称为“合同协议书”的书面文件。</w:t>
      </w:r>
    </w:p>
    <w:p w14:paraId="47A276A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1.1.1.3 </w:t>
      </w:r>
      <w:r>
        <w:rPr>
          <w:rFonts w:hint="eastAsia" w:ascii="仿宋_GB2312" w:hAnsi="仿宋_GB2312" w:eastAsia="仿宋_GB2312" w:cs="仿宋_GB2312"/>
          <w:color w:val="auto"/>
          <w:kern w:val="0"/>
          <w:sz w:val="30"/>
          <w:szCs w:val="30"/>
          <w:highlight w:val="none"/>
        </w:rPr>
        <w:t>中标通知书：是指构成合同的由发包人通知设计人中标的书面文件。</w:t>
      </w:r>
    </w:p>
    <w:p w14:paraId="0593906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1.1.1.4 投标函：是指构成合同的由设计人填写并签署的用于投标的称为“投标函”的文件。</w:t>
      </w:r>
    </w:p>
    <w:p w14:paraId="6F6A822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1.1.1.5 投标函附录：是指构成合同的附在投标函后的称为“投标函附录”的文件。</w:t>
      </w:r>
    </w:p>
    <w:p w14:paraId="237168A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1.1.1.6 </w:t>
      </w:r>
      <w:r>
        <w:rPr>
          <w:rFonts w:hint="eastAsia" w:ascii="仿宋_GB2312" w:hAnsi="仿宋_GB2312" w:eastAsia="仿宋_GB2312" w:cs="仿宋_GB2312"/>
          <w:color w:val="auto"/>
          <w:sz w:val="30"/>
          <w:szCs w:val="30"/>
          <w:highlight w:val="none"/>
        </w:rPr>
        <w:t>发包人要求：是指构成合同文件组成部分的，由发包人就工程项目的目的、范围、功能要求及工程设计文件审查的范围和内容等提出相应要求的书面文件，又称设计任务书。</w:t>
      </w:r>
    </w:p>
    <w:p w14:paraId="049237D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1.1.1.7 技术标准：是指构成合同的设计应当遵守的或指导设计的国家、行业或地方的技术标准和要求，以及合同约定的技术标准和要求。</w:t>
      </w:r>
    </w:p>
    <w:p w14:paraId="082F7CD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1.1.1.8 其他合同文件：是指经合同当事人约定的与工程设计有关的具有合同约束力的文件或书面协议。合同当事人可以在专用合同条款中进行约定。</w:t>
      </w:r>
    </w:p>
    <w:p w14:paraId="6FE061D6">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1.1.2 合同当事人及其他相关方</w:t>
      </w:r>
    </w:p>
    <w:p w14:paraId="4F29E0D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1.1.2.1 合同当事人：是指发包人和（或）设计人。</w:t>
      </w:r>
    </w:p>
    <w:p w14:paraId="3BA1448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1.1.2.2 发包人：是指与设计人签订合同协议书的当事人及取得该当事人资格的合法继承人。</w:t>
      </w:r>
    </w:p>
    <w:p w14:paraId="2FE9D8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1.1.2.3 设计人：是指与发包人签订合同协议书的，具有相应工程设计资质的当事人及取得该当事人资格的合法继承人。</w:t>
      </w:r>
    </w:p>
    <w:p w14:paraId="5FFAFF7C">
      <w:pPr>
        <w:spacing w:line="360" w:lineRule="auto"/>
        <w:ind w:firstLine="585" w:firstLineChars="195"/>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1.1.2.4 分包人：是指按照法律规定和合同约定，分包部分工程设计工作，并与设计人签订分包合同的具有相应资质的法人。</w:t>
      </w:r>
    </w:p>
    <w:p w14:paraId="4FDB09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1.1.2.5 发包人代表：是指由发包人指定负责工程设计方面在发包人授权范围内行使发包人权利的人。</w:t>
      </w:r>
    </w:p>
    <w:p w14:paraId="01ED5E7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1.1.2.6 项目负责人：是指由设计人任命负责工程设计，在设计人授权范围内负责合同履行，且按照法律规定具有相应资格的项目主持人。</w:t>
      </w:r>
    </w:p>
    <w:p w14:paraId="0BE5EF8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1.1.2.7 联合体：是指两个以上设计人联合，以一个设计人身份为发包人提供工程设计服务的临时性组织。</w:t>
      </w:r>
    </w:p>
    <w:p w14:paraId="0B46778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 工程设计服务、资料与文件</w:t>
      </w:r>
    </w:p>
    <w:p w14:paraId="4126FDB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1.1.3.1 工程设计服务：是指设计人按照合同约定履行的服务，包括工程设计基本服务、工程设计其他服务。</w:t>
      </w:r>
    </w:p>
    <w:p w14:paraId="5D7E72A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0DCB8E9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E49B09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1.1.3.4 暂停设计：是指发生设计人不能按照合同约定履行全部或部分义务情形而暂时中断工程设计服务的行为。</w:t>
      </w:r>
    </w:p>
    <w:p w14:paraId="15DB595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1.1.3.5 工程设计资料：是指</w:t>
      </w:r>
      <w:r>
        <w:rPr>
          <w:rFonts w:hint="eastAsia" w:ascii="仿宋_GB2312" w:hAnsi="仿宋_GB2312" w:eastAsia="仿宋_GB2312" w:cs="仿宋_GB2312"/>
          <w:color w:val="auto"/>
          <w:sz w:val="30"/>
          <w:szCs w:val="30"/>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36566E2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1.1.3.6 工程设计文件：指按照合同约定和技术要求，由设计人向发包人提供的阶段性成果、最终工作成果等，且应当采用合同中双方约定的载体。</w:t>
      </w:r>
    </w:p>
    <w:p w14:paraId="3F9BC9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日期和期限</w:t>
      </w:r>
    </w:p>
    <w:p w14:paraId="06E95DD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6E6FE7E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BCBA6AA">
      <w:pPr>
        <w:spacing w:line="360" w:lineRule="auto"/>
        <w:ind w:firstLine="608" w:firstLineChars="20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1.1.4.3 设计周期又称设计工期：是指在合同协议书约定的设计人完成工程设计及相关服务所需的期限，包括按照合同约定所作的期限变更。</w:t>
      </w:r>
    </w:p>
    <w:p w14:paraId="457794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1.1.4.4 基准日期：招标发包的工程设计以投标截止日前28天的日期为基准日期，直接发包的工程设计以合同签订日前28天的日期为基准日期。</w:t>
      </w:r>
    </w:p>
    <w:p w14:paraId="61EC966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1.1.4.5 天：除特别指明外，均指日历天。合同中按天计算时间的，开始当天不计入，从次日开始计算，期限最后一天的截止时间为当天24:00时。</w:t>
      </w:r>
    </w:p>
    <w:p w14:paraId="27FAA0C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合同价格</w:t>
      </w:r>
    </w:p>
    <w:p w14:paraId="72D09EE8">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1.1.5.1 签约合同价：是指</w:t>
      </w:r>
      <w:r>
        <w:rPr>
          <w:rFonts w:hint="eastAsia" w:ascii="仿宋_GB2312" w:hAnsi="仿宋_GB2312" w:eastAsia="仿宋_GB2312" w:cs="仿宋_GB2312"/>
          <w:color w:val="auto"/>
          <w:sz w:val="30"/>
          <w:szCs w:val="30"/>
          <w:highlight w:val="none"/>
        </w:rPr>
        <w:t>发包人和设计人在合同协议书中确定的总金额。</w:t>
      </w:r>
    </w:p>
    <w:p w14:paraId="2C73A15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1.1.5.2 合同价格又称设计费：是指发包人用于支付设计人按照合同约定完成工程设计范围内全部工作的金额，包括合同履行过程中按合同约定发生的价格变化。</w:t>
      </w:r>
    </w:p>
    <w:p w14:paraId="460AF766">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1.1.6 其他</w:t>
      </w:r>
    </w:p>
    <w:p w14:paraId="2BA64F6E">
      <w:pPr>
        <w:spacing w:line="360" w:lineRule="auto"/>
        <w:ind w:firstLine="600" w:firstLineChars="200"/>
        <w:jc w:val="left"/>
        <w:rPr>
          <w:rFonts w:ascii="Times New Roman" w:hAnsi="Times New Roman"/>
          <w:color w:val="auto"/>
          <w:highlight w:val="none"/>
        </w:rPr>
      </w:pPr>
      <w:r>
        <w:rPr>
          <w:rFonts w:hint="eastAsia" w:ascii="仿宋_GB2312" w:hAnsi="仿宋_GB2312" w:eastAsia="仿宋_GB2312" w:cs="仿宋_GB2312"/>
          <w:color w:val="auto"/>
          <w:sz w:val="30"/>
          <w:szCs w:val="30"/>
          <w:highlight w:val="none"/>
        </w:rPr>
        <w:t>1.1.6.1 书面形式：是指合同书、信件和数据电文（包括电报、电传、传真、电子数据交换和电子邮件）等可以有形地表现所载内容的形式。</w:t>
      </w:r>
    </w:p>
    <w:p w14:paraId="7968710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1.2 语言文字</w:t>
      </w:r>
    </w:p>
    <w:p w14:paraId="6839DC5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合同以中国的汉语简体文字编写、解释和说明。合同当事人在专用合同条款中约定使用两种以上语言时，汉语为优先解释和说明合同的语言。</w:t>
      </w:r>
    </w:p>
    <w:p w14:paraId="5EEE6A8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1.3 法律</w:t>
      </w:r>
    </w:p>
    <w:p w14:paraId="323762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合同所称法律是指中华人民共和国法律、行政法规、部门规章，以及工程所在地的地方性法规、自治条例、单行条例和地方政府规章等。</w:t>
      </w:r>
    </w:p>
    <w:p w14:paraId="3930FE7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合同当事人可以在专用合同条款中约定合同适用的其他规范性文件。</w:t>
      </w:r>
    </w:p>
    <w:p w14:paraId="4DFDFAC5">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1.4 技术标准</w:t>
      </w:r>
    </w:p>
    <w:p w14:paraId="0027CE50">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 适用于工程的现行有效的国家标准、行业标准、工程所在地的地方性标准，以及相应的规范、规程等，合同当事人有特别要求的，应在专用合同条款中约定。</w:t>
      </w:r>
    </w:p>
    <w:p w14:paraId="4762D576">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 发包人要求使用国外技术标准的，发包人与设计人在专用合同条款中约定原文版本和中文译本提供方及提供标准的名称、份数、时间及费用承担等事项。</w:t>
      </w:r>
    </w:p>
    <w:p w14:paraId="724A0FFC">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28DB42E">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1.5 合同文件的优先顺序</w:t>
      </w:r>
    </w:p>
    <w:p w14:paraId="1CB17A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组成合同的各项文件应互相解释，互为说明。除专用合同条款另有约定外，解释合同文件的优先顺序如下：</w:t>
      </w:r>
    </w:p>
    <w:p w14:paraId="038407B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（1）合同协议书；</w:t>
      </w:r>
    </w:p>
    <w:p w14:paraId="5568E3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 xml:space="preserve">； </w:t>
      </w:r>
    </w:p>
    <w:p w14:paraId="0D81E5E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（3）通用合同条款； </w:t>
      </w:r>
    </w:p>
    <w:p w14:paraId="5D54BFB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（4）中标通知书（如果有）；</w:t>
      </w:r>
    </w:p>
    <w:p w14:paraId="48725A70">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（5）投标函及其附录（如果有）；</w:t>
      </w:r>
    </w:p>
    <w:p w14:paraId="2B5713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（6）发包人要求；</w:t>
      </w:r>
    </w:p>
    <w:p w14:paraId="0B4AD0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（7）技术标准；</w:t>
      </w:r>
    </w:p>
    <w:p w14:paraId="07ACBA2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（8）发包人提供的上一阶段图纸（如果有）；</w:t>
      </w:r>
    </w:p>
    <w:p w14:paraId="48A15051">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（9）其他合同文件。</w:t>
      </w:r>
    </w:p>
    <w:p w14:paraId="29CD848B">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上述各项合同文件包括合同当事人就该项合同文件所作出的补充和修改，属于同一类内容的文件，应以最新签署的为准。</w:t>
      </w:r>
    </w:p>
    <w:p w14:paraId="1A2F8BA9">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在合同履行过程中形成的与合同有关的文件均构成合同文件组成部分，并根据其性质确定优先解释顺序。</w:t>
      </w:r>
    </w:p>
    <w:p w14:paraId="45A1192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1.6 联络</w:t>
      </w:r>
    </w:p>
    <w:p w14:paraId="02075DE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1.6.1 与合同有关的通知、批准、证明、证书、指示、指令、要求、请求、同意</w:t>
      </w:r>
      <w:r>
        <w:rPr>
          <w:rFonts w:hint="eastAsia" w:ascii="仿宋_GB2312" w:hAnsi="仿宋_GB2312" w:eastAsia="仿宋_GB2312" w:cs="仿宋_GB2312"/>
          <w:b/>
          <w:color w:val="auto"/>
          <w:kern w:val="0"/>
          <w:sz w:val="30"/>
          <w:szCs w:val="30"/>
          <w:highlight w:val="none"/>
        </w:rPr>
        <w:t>、</w:t>
      </w:r>
      <w:r>
        <w:rPr>
          <w:rFonts w:hint="eastAsia" w:ascii="仿宋_GB2312" w:hAnsi="仿宋_GB2312" w:eastAsia="仿宋_GB2312" w:cs="仿宋_GB2312"/>
          <w:color w:val="auto"/>
          <w:kern w:val="0"/>
          <w:sz w:val="30"/>
          <w:szCs w:val="30"/>
          <w:highlight w:val="none"/>
        </w:rPr>
        <w:t>确定和决定等，均应采用书面形式，并应在合同约定的期限内送达接收人和送达地点。</w:t>
      </w:r>
    </w:p>
    <w:p w14:paraId="60979D6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30710C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1.6.3 发包人和设计人应当及时签收另一方送达至送达地点和指定接收人的来往信函，如确有充分证据证明一方无正当理由拒不签收的，视为拒绝签收一方认可往来信函的内容。</w:t>
      </w:r>
    </w:p>
    <w:p w14:paraId="099EA500">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 严禁贿赂</w:t>
      </w:r>
    </w:p>
    <w:p w14:paraId="17A0F1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合同当事人不得以贿赂或变相贿赂的方式，谋取非法利益或损害对方权益。因一方合同当事人的贿赂造成对方损失的，应赔偿损失，并承担相应的法律责任。</w:t>
      </w:r>
    </w:p>
    <w:p w14:paraId="6A5E9D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1.8 保密</w:t>
      </w:r>
    </w:p>
    <w:p w14:paraId="169929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除法律规定或合同另有约定外，未经发包人同意，设计人不得将发包人提供的图纸、文件以及声明需要保密的资料信息等商业秘密泄露给第三方。</w:t>
      </w:r>
    </w:p>
    <w:p w14:paraId="1DE8EB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除法律规定或合同另有约定外，未经设计人同意，发包人不得将设计人提供的技术文件、技术成果、技术秘密及声明需要保密的资料信息等商业秘密泄露给第三方。</w:t>
      </w:r>
    </w:p>
    <w:p w14:paraId="2CE4B07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保密期限由发包人与设计人在专用合同条款中约定。</w:t>
      </w:r>
    </w:p>
    <w:p w14:paraId="6605DF8D">
      <w:pPr>
        <w:keepNext/>
        <w:keepLines/>
        <w:spacing w:line="360" w:lineRule="auto"/>
        <w:outlineLvl w:val="1"/>
        <w:rPr>
          <w:rFonts w:ascii="Arial" w:hAnsi="Arial" w:eastAsia="黑体"/>
          <w:b/>
          <w:bCs/>
          <w:color w:val="auto"/>
          <w:sz w:val="32"/>
          <w:szCs w:val="32"/>
          <w:highlight w:val="none"/>
        </w:rPr>
      </w:pPr>
      <w:bookmarkStart w:id="1219" w:name="_Toc23120"/>
      <w:bookmarkStart w:id="1220" w:name="_Toc27410"/>
      <w:bookmarkStart w:id="1221" w:name="_Toc24812"/>
      <w:bookmarkStart w:id="1222" w:name="_Toc12330"/>
      <w:r>
        <w:rPr>
          <w:rFonts w:hint="eastAsia" w:ascii="Arial" w:hAnsi="Arial" w:eastAsia="黑体"/>
          <w:b/>
          <w:bCs/>
          <w:color w:val="auto"/>
          <w:sz w:val="32"/>
          <w:szCs w:val="32"/>
          <w:highlight w:val="none"/>
        </w:rPr>
        <w:t>2. 发包人</w:t>
      </w:r>
      <w:bookmarkEnd w:id="1219"/>
      <w:bookmarkEnd w:id="1220"/>
      <w:bookmarkEnd w:id="1221"/>
      <w:bookmarkEnd w:id="1222"/>
    </w:p>
    <w:p w14:paraId="08FA51AF">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2.1 发包人一般义务</w:t>
      </w:r>
    </w:p>
    <w:p w14:paraId="17E225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2.1.1 发包人应遵守法律，并办理法律规定由其办理的许可、核准或备案，包括但不限于建设用地规划许可证、建设工程规划许可证等许可、核准或备案。</w:t>
      </w:r>
    </w:p>
    <w:p w14:paraId="4124FAE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发包人负责本项目各阶段设计文件向有关管理部门的送审报批工作，并负责将报批结果书面通知设计人。</w:t>
      </w:r>
      <w:r>
        <w:rPr>
          <w:rFonts w:hint="eastAsia" w:ascii="仿宋_GB2312" w:hAnsi="仿宋_GB2312" w:eastAsia="仿宋_GB2312" w:cs="仿宋_GB2312"/>
          <w:color w:val="auto"/>
          <w:kern w:val="0"/>
          <w:sz w:val="30"/>
          <w:szCs w:val="30"/>
          <w:highlight w:val="none"/>
        </w:rPr>
        <w:t>因发包人原因未能及时办理完毕前述许可、核准或备案手续，导致设计工作量增加和（或）设计周期延长时，由发包人承担由此增加的设计费用和（或）延长的设计周期。</w:t>
      </w:r>
    </w:p>
    <w:p w14:paraId="393E48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2.1.2 发包人应当负责工程设计的所有外部关系的协调（包括但不限于当地政府主管部门等），为设计人履行合同提供必要的外部条件。</w:t>
      </w:r>
    </w:p>
    <w:p w14:paraId="5C1D356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2.1.3 专用合同条款约定的其他义务。</w:t>
      </w:r>
    </w:p>
    <w:p w14:paraId="16195F3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2.2 发包人代表</w:t>
      </w:r>
    </w:p>
    <w:p w14:paraId="15E097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21BFAE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发包人代表不能按照合同约定履行其职责及义务，并导致合同无法继续正常履行的，设计人可以要求发包人撤换发包人代表。</w:t>
      </w:r>
    </w:p>
    <w:p w14:paraId="4B1F461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2.3 发包人决定</w:t>
      </w:r>
    </w:p>
    <w:p w14:paraId="622286AA">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 xml:space="preserve">2.3.1 </w:t>
      </w:r>
      <w:r>
        <w:rPr>
          <w:rFonts w:hint="eastAsia" w:ascii="仿宋_GB2312" w:hAnsi="仿宋_GB2312" w:eastAsia="仿宋_GB2312" w:cs="仿宋_GB2312"/>
          <w:color w:val="auto"/>
          <w:sz w:val="30"/>
          <w:szCs w:val="30"/>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F15F1AA">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2.3.2 发包人应在专用合同条款约定的期限内对设计人书面提出的事项作出书面决定，如发包人不在确定时间内作出书面决定，设计人的设计周期相应延长。</w:t>
      </w:r>
    </w:p>
    <w:p w14:paraId="6502668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2.4 支付合同价款</w:t>
      </w:r>
    </w:p>
    <w:p w14:paraId="3593AF0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发包人应按合同约定向设计人及时足额支付合同价款。</w:t>
      </w:r>
    </w:p>
    <w:p w14:paraId="3003CF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2.5 设计文件接收</w:t>
      </w:r>
    </w:p>
    <w:p w14:paraId="1B79570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发包人应按合同约定及时接收设计人提交的工程设计文件。</w:t>
      </w:r>
    </w:p>
    <w:p w14:paraId="7F6844C7">
      <w:pPr>
        <w:keepNext/>
        <w:keepLines/>
        <w:spacing w:line="360" w:lineRule="auto"/>
        <w:outlineLvl w:val="1"/>
        <w:rPr>
          <w:rFonts w:ascii="Arial" w:hAnsi="Arial" w:eastAsia="黑体"/>
          <w:b/>
          <w:bCs/>
          <w:color w:val="auto"/>
          <w:sz w:val="32"/>
          <w:szCs w:val="32"/>
          <w:highlight w:val="none"/>
        </w:rPr>
      </w:pPr>
      <w:bookmarkStart w:id="1223" w:name="_Toc5496"/>
      <w:bookmarkStart w:id="1224" w:name="_Toc8614"/>
      <w:bookmarkStart w:id="1225" w:name="_Toc16833"/>
      <w:bookmarkStart w:id="1226" w:name="_Toc30729"/>
      <w:r>
        <w:rPr>
          <w:rFonts w:hint="eastAsia" w:ascii="Arial" w:hAnsi="Arial" w:eastAsia="黑体"/>
          <w:b/>
          <w:bCs/>
          <w:color w:val="auto"/>
          <w:sz w:val="32"/>
          <w:szCs w:val="32"/>
          <w:highlight w:val="none"/>
        </w:rPr>
        <w:t>3. 设计人</w:t>
      </w:r>
      <w:bookmarkEnd w:id="1223"/>
      <w:bookmarkEnd w:id="1224"/>
      <w:bookmarkEnd w:id="1225"/>
      <w:bookmarkEnd w:id="1226"/>
    </w:p>
    <w:p w14:paraId="024E0D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3.1 设计人一般义务</w:t>
      </w:r>
    </w:p>
    <w:p w14:paraId="32BDB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3.1.1 设计人应遵守法律和有关技术标准的强制性规定，完成合同约定范围内的专业建设工程初步设计、施工图设计，提供符合技术标准及合同要求的工程设计文件，提供施工配合服务。</w:t>
      </w:r>
    </w:p>
    <w:p w14:paraId="359EC28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23040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3.1.2 设计人应当完成合同约定的工程设计其他服务。</w:t>
      </w:r>
    </w:p>
    <w:p w14:paraId="4A489B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3.1.3 专用合同条款约定的其他义务。</w:t>
      </w:r>
    </w:p>
    <w:p w14:paraId="6BB3849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3.2 项目负责人</w:t>
      </w:r>
    </w:p>
    <w:p w14:paraId="5159613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7426039B">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592D39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6E5ED7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3.3 设计人人员</w:t>
      </w:r>
    </w:p>
    <w:p w14:paraId="15F71D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D0B2CA1">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06D38E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31007B7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3.4 设计分包</w:t>
      </w:r>
    </w:p>
    <w:p w14:paraId="3ABD6BE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3.4.1 设计分包的一般约定</w:t>
      </w:r>
    </w:p>
    <w:p w14:paraId="4DB3E57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325827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3.4.2 设计分包的确定</w:t>
      </w:r>
    </w:p>
    <w:p w14:paraId="642A2D4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35A9C6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3.4.3 设计分包管理</w:t>
      </w:r>
    </w:p>
    <w:p w14:paraId="0BD965D2">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设计人应按照专用合同条款的约定向发包人提交分包人的主要工程设计人员名单、注册执业资格或职称及执业经历等。</w:t>
      </w:r>
    </w:p>
    <w:p w14:paraId="16EC6B2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3.4.4 分包工程设计费</w:t>
      </w:r>
    </w:p>
    <w:p w14:paraId="4AA6AD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（1）除本项第（2）目约定的情况或专用合同条款另有约定外，分包工程设计费由设计人与分包人结算，未经设计人同意，发包人不得向分包人支付分包工程设计费；</w:t>
      </w:r>
    </w:p>
    <w:p w14:paraId="4FAE55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（2）生效的法院判决书或仲裁裁决书要求发包人向分包人支付分包工程设计费的，发包人有权从应付设计人合同价款中扣除该部分费用。</w:t>
      </w:r>
    </w:p>
    <w:p w14:paraId="0F02B3F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3.5 联合体</w:t>
      </w:r>
    </w:p>
    <w:p w14:paraId="4C7E90A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3.5.1 联合体各方应共同与发包人签订合同协议书。联合体各方应为履行合同向发包人承担连带责任。</w:t>
      </w:r>
    </w:p>
    <w:p w14:paraId="2034269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3.5.2 联合体协议，应当约定联合体各成员工作分工，经发包人确认后作为合同附件。在履行合同过程中，未经发包人同意，不得修改联合体协议。</w:t>
      </w:r>
    </w:p>
    <w:p w14:paraId="5FD78FB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3.5.3 联合体牵头人负责与发包人联系，并接受指示，负责组织联合体各成员全面履行合同。</w:t>
      </w:r>
    </w:p>
    <w:p w14:paraId="3562DD7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3.5.4 发包人向联合体支付设计费用的方式在专用合同条款中约定。</w:t>
      </w:r>
    </w:p>
    <w:p w14:paraId="733EB25E">
      <w:pPr>
        <w:keepNext/>
        <w:keepLines/>
        <w:spacing w:line="360" w:lineRule="auto"/>
        <w:outlineLvl w:val="1"/>
        <w:rPr>
          <w:rFonts w:ascii="Arial" w:hAnsi="Arial" w:eastAsia="黑体"/>
          <w:b/>
          <w:bCs/>
          <w:color w:val="auto"/>
          <w:sz w:val="32"/>
          <w:szCs w:val="32"/>
          <w:highlight w:val="none"/>
        </w:rPr>
      </w:pPr>
      <w:bookmarkStart w:id="1227" w:name="_Toc3708"/>
      <w:bookmarkStart w:id="1228" w:name="_Toc24973"/>
      <w:bookmarkStart w:id="1229" w:name="_Toc23815"/>
      <w:bookmarkStart w:id="1230" w:name="_Toc25177"/>
      <w:r>
        <w:rPr>
          <w:rFonts w:hint="eastAsia" w:ascii="Arial" w:hAnsi="Arial" w:eastAsia="黑体"/>
          <w:b/>
          <w:bCs/>
          <w:color w:val="auto"/>
          <w:sz w:val="32"/>
          <w:szCs w:val="32"/>
          <w:highlight w:val="none"/>
        </w:rPr>
        <w:t>4. 工程设计资料</w:t>
      </w:r>
      <w:bookmarkEnd w:id="1227"/>
      <w:bookmarkEnd w:id="1228"/>
      <w:bookmarkEnd w:id="1229"/>
      <w:bookmarkEnd w:id="1230"/>
    </w:p>
    <w:p w14:paraId="717D9D0F">
      <w:pPr>
        <w:autoSpaceDE w:val="0"/>
        <w:autoSpaceDN w:val="0"/>
        <w:adjustRightInd w:val="0"/>
        <w:spacing w:before="120" w:after="120" w:line="360" w:lineRule="auto"/>
        <w:ind w:firstLine="627" w:firstLineChars="209"/>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4.1 提供工程设计资料</w:t>
      </w:r>
    </w:p>
    <w:p w14:paraId="61C956A8">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发包人应当在工程设计前或专用合同条款附件2约定的时间向设计人提供工程设计所必需的工程设计资料，并对所提供资料的真实性、准确性和完整性负责。</w:t>
      </w:r>
    </w:p>
    <w:p w14:paraId="7B9388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按照法律规定确需在工程设计开始后方能提供的设计资料，发包人应及时地在相应工程设计文件提交给发包人前的合理期限内提供，合理期限应以不影响设计人的正常设计为限。</w:t>
      </w:r>
    </w:p>
    <w:p w14:paraId="7CB26FF7">
      <w:pPr>
        <w:autoSpaceDE w:val="0"/>
        <w:autoSpaceDN w:val="0"/>
        <w:adjustRightInd w:val="0"/>
        <w:spacing w:before="120" w:after="120" w:line="360" w:lineRule="auto"/>
        <w:ind w:firstLine="624" w:firstLineChars="208"/>
        <w:jc w:val="left"/>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4.2 逾期提供的责任</w:t>
      </w:r>
    </w:p>
    <w:p w14:paraId="13D3015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65C0878">
      <w:pPr>
        <w:keepNext/>
        <w:keepLines/>
        <w:spacing w:line="360" w:lineRule="auto"/>
        <w:outlineLvl w:val="1"/>
        <w:rPr>
          <w:rFonts w:ascii="Arial" w:hAnsi="Arial" w:eastAsia="黑体"/>
          <w:b/>
          <w:bCs/>
          <w:color w:val="auto"/>
          <w:sz w:val="32"/>
          <w:szCs w:val="32"/>
          <w:highlight w:val="none"/>
        </w:rPr>
      </w:pPr>
      <w:bookmarkStart w:id="1231" w:name="_Toc10656"/>
      <w:bookmarkStart w:id="1232" w:name="_Toc4161"/>
      <w:bookmarkStart w:id="1233" w:name="_Toc31695"/>
      <w:bookmarkStart w:id="1234" w:name="_Toc29118"/>
      <w:r>
        <w:rPr>
          <w:rFonts w:hint="eastAsia" w:ascii="Arial" w:hAnsi="Arial" w:eastAsia="黑体"/>
          <w:b/>
          <w:bCs/>
          <w:color w:val="auto"/>
          <w:sz w:val="32"/>
          <w:szCs w:val="32"/>
          <w:highlight w:val="none"/>
        </w:rPr>
        <w:t>5. 工程设计要求</w:t>
      </w:r>
      <w:bookmarkEnd w:id="1231"/>
      <w:bookmarkEnd w:id="1232"/>
      <w:bookmarkEnd w:id="1233"/>
      <w:bookmarkEnd w:id="1234"/>
    </w:p>
    <w:p w14:paraId="65D9199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5.1 工程设计一般要求</w:t>
      </w:r>
    </w:p>
    <w:p w14:paraId="48A1EA64">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5.1.1 对发包人的要求</w:t>
      </w:r>
    </w:p>
    <w:p w14:paraId="51364185">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F347A9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 对设计人的要求</w:t>
      </w:r>
    </w:p>
    <w:p w14:paraId="1B525C1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5.1.2.1设计人应当按法律和技术标准的强制性规定及发包人要求进行工程设计。有关工程设计的特殊标准或要求由合同当事人在专用合同条款中约定。</w:t>
      </w:r>
    </w:p>
    <w:p w14:paraId="0B3FB052">
      <w:pPr>
        <w:spacing w:line="360" w:lineRule="auto"/>
        <w:ind w:firstLine="65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kern w:val="0"/>
          <w:sz w:val="30"/>
          <w:szCs w:val="30"/>
          <w:highlight w:val="none"/>
        </w:rPr>
        <w:t>设计人发现发包人提供的工程设计资料有问题的，设计人应当及时通知发包人并经发包人确认。</w:t>
      </w:r>
    </w:p>
    <w:p w14:paraId="66832C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7C55593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5.1.2.3 设计人在工程设计中应当采用合同约定的技术、工艺和设备，满足质量、安全、节能、环保等要求。</w:t>
      </w:r>
    </w:p>
    <w:p w14:paraId="5D05BA4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5.2 工程设计保证措施</w:t>
      </w:r>
    </w:p>
    <w:p w14:paraId="232E99A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5.2.1 发包人的保证措施</w:t>
      </w:r>
    </w:p>
    <w:p w14:paraId="25D8A3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发包人应按照法律规定及合同约定完成与工程设计有关的各项工作。</w:t>
      </w:r>
    </w:p>
    <w:p w14:paraId="5E87903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5.2.2 设计人的保证措施</w:t>
      </w:r>
    </w:p>
    <w:p w14:paraId="54E01C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41F345E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5.3 工程设计文件的要求</w:t>
      </w:r>
    </w:p>
    <w:p w14:paraId="316887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5.3.1 工程设计文件的编制应符合法律、技术标准的强制性规定及合同的要求。</w:t>
      </w:r>
    </w:p>
    <w:p w14:paraId="6558371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5.3.2 工程设计依据应完整、准确、可靠，设计方案论证充分，计算成果可靠，并能够实施。</w:t>
      </w:r>
    </w:p>
    <w:p w14:paraId="1408938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5.3.3 工程设计文件的深度应满足本合同相应设计阶段的规定要求，并符合国家和行业现行有效的相关规定。</w:t>
      </w:r>
    </w:p>
    <w:p w14:paraId="17AE6F3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48FAB6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5.3.5 应根据法律、技术标准要求，保证专业建设工程的合理使用寿命年限，并应在工程设计文件中注明相应的合理使用寿命年限。</w:t>
      </w:r>
    </w:p>
    <w:p w14:paraId="78ED075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5.4 不合格工程设计文件的处理</w:t>
      </w:r>
    </w:p>
    <w:p w14:paraId="2F13241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5.4.1 因设计人原因造成工程设计文件不合格的，发包人有权要求设计人采取补救措施，直至达到合同要求的质量标准，并按第14.2款〔设计人违约责任〕的约定承担责任。 </w:t>
      </w:r>
    </w:p>
    <w:p w14:paraId="747F26E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5.4.2 因发包人原因造成工程设计文件不合格的，设计人应当采取补救措施，直至达到合同要求的质量标准，由此增加的设计费用和（或）设计周期的延长由发包人承担。</w:t>
      </w:r>
    </w:p>
    <w:p w14:paraId="54170B23">
      <w:pPr>
        <w:keepNext/>
        <w:keepLines/>
        <w:spacing w:line="360" w:lineRule="auto"/>
        <w:outlineLvl w:val="1"/>
        <w:rPr>
          <w:rFonts w:ascii="Arial" w:hAnsi="Arial" w:eastAsia="黑体"/>
          <w:b/>
          <w:bCs/>
          <w:color w:val="auto"/>
          <w:sz w:val="32"/>
          <w:szCs w:val="32"/>
          <w:highlight w:val="none"/>
        </w:rPr>
      </w:pPr>
      <w:bookmarkStart w:id="1235" w:name="_Toc11762"/>
      <w:bookmarkStart w:id="1236" w:name="_Toc15998"/>
      <w:bookmarkStart w:id="1237" w:name="_Toc26678"/>
      <w:bookmarkStart w:id="1238" w:name="_Toc14632"/>
      <w:r>
        <w:rPr>
          <w:rFonts w:hint="eastAsia" w:ascii="Arial" w:hAnsi="Arial" w:eastAsia="黑体"/>
          <w:b/>
          <w:bCs/>
          <w:color w:val="auto"/>
          <w:sz w:val="32"/>
          <w:szCs w:val="32"/>
          <w:highlight w:val="none"/>
        </w:rPr>
        <w:t>6. 工程设计进度与周期</w:t>
      </w:r>
      <w:bookmarkEnd w:id="1235"/>
      <w:bookmarkEnd w:id="1236"/>
      <w:bookmarkEnd w:id="1237"/>
      <w:bookmarkEnd w:id="1238"/>
    </w:p>
    <w:p w14:paraId="1B56A80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6.1 工程设计进度计划</w:t>
      </w:r>
    </w:p>
    <w:p w14:paraId="1D0C590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6.1.1 工程设计进度计划的编制</w:t>
      </w:r>
    </w:p>
    <w:p w14:paraId="40DEDB2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46C14E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工程设计进度计划中的设计周期应由发包人与设计人协商确定，明确约定各阶段设计任务的完成时间区间，</w:t>
      </w:r>
      <w:r>
        <w:rPr>
          <w:rFonts w:hint="eastAsia" w:ascii="仿宋_GB2312" w:hAnsi="仿宋_GB2312" w:eastAsia="仿宋_GB2312" w:cs="仿宋_GB2312"/>
          <w:color w:val="auto"/>
          <w:sz w:val="30"/>
          <w:szCs w:val="30"/>
          <w:highlight w:val="none"/>
        </w:rPr>
        <w:t>包括各阶段设计过程中设计人与发包人的交流时间，但不包括相关政府部门对设计成果的审批时间及发包人的审查时间。</w:t>
      </w:r>
    </w:p>
    <w:p w14:paraId="0089AB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5B3CE307">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F6FC1E6">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6.2 工程设计开始</w:t>
      </w:r>
    </w:p>
    <w:p w14:paraId="5D3F745F">
      <w:pPr>
        <w:adjustRightInd w:val="0"/>
        <w:spacing w:line="360" w:lineRule="auto"/>
        <w:ind w:firstLine="627" w:firstLineChars="209"/>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3430D1A">
      <w:pPr>
        <w:autoSpaceDE w:val="0"/>
        <w:autoSpaceDN w:val="0"/>
        <w:adjustRightInd w:val="0"/>
        <w:spacing w:line="360" w:lineRule="auto"/>
        <w:ind w:firstLine="630" w:firstLineChars="21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设计人应当在收到发包人提供的工程设计资料及专用合同条款约定的定金或预付款后，开始工程设计工作。</w:t>
      </w:r>
    </w:p>
    <w:p w14:paraId="56EAD8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各设计阶段的开始时间均以设计人收到的发包人发出开始设计工作的书面通知书中载明的</w:t>
      </w:r>
      <w:r>
        <w:rPr>
          <w:rFonts w:hint="eastAsia" w:ascii="仿宋_GB2312" w:hAnsi="仿宋_GB2312" w:eastAsia="仿宋_GB2312" w:cs="仿宋_GB2312"/>
          <w:color w:val="auto"/>
          <w:kern w:val="0"/>
          <w:sz w:val="30"/>
          <w:szCs w:val="30"/>
          <w:highlight w:val="none"/>
        </w:rPr>
        <w:t>开始设计的日期起算。</w:t>
      </w:r>
    </w:p>
    <w:p w14:paraId="7B45052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6.3 工程设计进度延误</w:t>
      </w:r>
    </w:p>
    <w:p w14:paraId="2D75B5B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6.3.1 因发包人原因导致工程设计进度延误</w:t>
      </w:r>
    </w:p>
    <w:p w14:paraId="7A581E8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在合同履行过程中，发包人导致工程设计进度延误的情形主要有： </w:t>
      </w:r>
    </w:p>
    <w:p w14:paraId="7B121A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（1）发包人未能按合同约定提供工程设计资料或所提供的工程设计资料不符合合同约定或存在错误或疏漏的；</w:t>
      </w:r>
    </w:p>
    <w:p w14:paraId="3D4B5F1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（2）发包人未能按合同约定日期足额支付定金或预付款、进度款的；</w:t>
      </w:r>
    </w:p>
    <w:p w14:paraId="1D098D4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（3）发包人提出影响设计周期的设计变更要求的；</w:t>
      </w:r>
    </w:p>
    <w:p w14:paraId="13C2EFC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（4）专用合同条款中约定的其他情形。</w:t>
      </w:r>
    </w:p>
    <w:p w14:paraId="5FF7AED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因发包人原因未按计划开始设计日期开始设计的，发包人应按实际开始设计日期顺延完成设计日期。</w:t>
      </w:r>
    </w:p>
    <w:p w14:paraId="57311C0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设计人应在发生上述情况后5天内向发包人发出要求延期的书面通知，在发生上述情况后10天内提交要求延期的详细说明供发包人审查。</w:t>
      </w: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发包人收到设计人要求延期的详细说明后，应在5天内进行审查并就是否延长设计周期及延期天数向设计人进行书面答复。</w:t>
      </w:r>
    </w:p>
    <w:p w14:paraId="327FB14D">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如果发包人在收到设计人</w:t>
      </w:r>
      <w:r>
        <w:rPr>
          <w:rFonts w:hint="eastAsia" w:ascii="仿宋_GB2312" w:hAnsi="仿宋_GB2312" w:eastAsia="仿宋_GB2312" w:cs="仿宋_GB2312"/>
          <w:color w:val="auto"/>
          <w:kern w:val="0"/>
          <w:sz w:val="30"/>
          <w:szCs w:val="30"/>
          <w:highlight w:val="none"/>
        </w:rPr>
        <w:t>提交要求</w:t>
      </w:r>
      <w:r>
        <w:rPr>
          <w:rFonts w:hint="eastAsia" w:ascii="仿宋_GB2312" w:hAnsi="仿宋_GB2312" w:eastAsia="仿宋_GB2312" w:cs="仿宋_GB2312"/>
          <w:color w:val="auto"/>
          <w:sz w:val="30"/>
          <w:szCs w:val="30"/>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36B1C40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发包人上述工程设计进度延误情形</w:t>
      </w:r>
      <w:r>
        <w:rPr>
          <w:rFonts w:hint="eastAsia" w:ascii="仿宋_GB2312" w:hAnsi="仿宋_GB2312" w:eastAsia="仿宋_GB2312" w:cs="仿宋_GB2312"/>
          <w:color w:val="auto"/>
          <w:sz w:val="30"/>
          <w:szCs w:val="30"/>
          <w:highlight w:val="none"/>
        </w:rPr>
        <w:t>导致增加了设计工作量的，发包人应当另行支付相应设计费用。</w:t>
      </w:r>
    </w:p>
    <w:p w14:paraId="638E706D">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6.3.2 因设计人原因导致工程设计进度延误</w:t>
      </w:r>
    </w:p>
    <w:p w14:paraId="06C298A2">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因设计人原因导致工程设计进度延误的，设计人应当按照第14.2款〔设计人违约责任〕承担责任。设计人支付逾期完成工程设计违约金后，不免除设计人继续完成工程设计的义务。</w:t>
      </w:r>
    </w:p>
    <w:p w14:paraId="67E346E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6.4 暂停设计</w:t>
      </w:r>
    </w:p>
    <w:p w14:paraId="3E70934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6.4.1 发包人原因引起的暂停设计</w:t>
      </w:r>
    </w:p>
    <w:p w14:paraId="6C1E829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因发包人原因引起暂停设计的，发包人应及时下达暂停设计指示。</w:t>
      </w:r>
    </w:p>
    <w:p w14:paraId="7F13A3B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因发包人原因引起的暂停设计，发包人应承担由此增加的设计费用和（或）延长的设计周期。</w:t>
      </w:r>
    </w:p>
    <w:p w14:paraId="28B55F3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6.4.2 设计人原因引起的暂停设计</w:t>
      </w:r>
    </w:p>
    <w:p w14:paraId="731434A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BE472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6.4.3 其他原因引起的暂停设计</w:t>
      </w:r>
    </w:p>
    <w:p w14:paraId="4B0601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当出现非设计人原因造成的暂停设计，设计人应当尽快向发包人发出书面通知。</w:t>
      </w:r>
    </w:p>
    <w:p w14:paraId="54ADC02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在上述情形下设计人的设计服务暂停，设计人的设计周期应当相应延长，复工应有发包人与设计人共同确认的合理期限。</w:t>
      </w:r>
    </w:p>
    <w:p w14:paraId="053A400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当发生本项约定的情况，导致设计人增加设计工作量的，发包人应当另行支付相应设计费用。</w:t>
      </w:r>
    </w:p>
    <w:p w14:paraId="2472A34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6.4.4 暂停设计后的复工</w:t>
      </w:r>
    </w:p>
    <w:p w14:paraId="6D0B9D9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暂停设计后，发包人和设计人应采取有效措施积极消除暂停设计的影响。当工程具备复工条件时，发包人向设计人发出复工通知，设计人应按照复工通知要求复工。</w:t>
      </w:r>
    </w:p>
    <w:p w14:paraId="406152E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除设计人原因导致暂停设计外，设计人暂停设计后复工所增加的设计工作量，发包人应当另行支付相应设计费用。</w:t>
      </w:r>
    </w:p>
    <w:p w14:paraId="77DED1C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6.5 提前交付工程设计文件</w:t>
      </w:r>
    </w:p>
    <w:p w14:paraId="282B78E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5BDA1F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C9DFB37">
      <w:pPr>
        <w:keepNext/>
        <w:keepLines/>
        <w:spacing w:line="360" w:lineRule="auto"/>
        <w:outlineLvl w:val="1"/>
        <w:rPr>
          <w:rFonts w:ascii="Arial" w:hAnsi="Arial" w:eastAsia="黑体"/>
          <w:b/>
          <w:bCs/>
          <w:color w:val="auto"/>
          <w:sz w:val="32"/>
          <w:szCs w:val="32"/>
          <w:highlight w:val="none"/>
        </w:rPr>
      </w:pPr>
      <w:bookmarkStart w:id="1239" w:name="_Toc23363"/>
      <w:bookmarkStart w:id="1240" w:name="_Toc30953"/>
      <w:bookmarkStart w:id="1241" w:name="_Toc31228"/>
      <w:bookmarkStart w:id="1242" w:name="_Toc26172"/>
      <w:r>
        <w:rPr>
          <w:rFonts w:hint="eastAsia" w:ascii="Arial" w:hAnsi="Arial" w:eastAsia="黑体"/>
          <w:b/>
          <w:bCs/>
          <w:color w:val="auto"/>
          <w:sz w:val="32"/>
          <w:szCs w:val="32"/>
          <w:highlight w:val="none"/>
        </w:rPr>
        <w:t>7. 工程设计文件交付</w:t>
      </w:r>
      <w:bookmarkEnd w:id="1239"/>
      <w:bookmarkEnd w:id="1240"/>
      <w:bookmarkEnd w:id="1241"/>
      <w:bookmarkEnd w:id="1242"/>
    </w:p>
    <w:p w14:paraId="2AA3814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7.1 工程设计文件交付的内容</w:t>
      </w:r>
    </w:p>
    <w:p w14:paraId="22D2DD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7.1.1 工程设计图纸及设计说明。</w:t>
      </w:r>
    </w:p>
    <w:p w14:paraId="10011E6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7.1.2 发包人可以要求设计人提交专用合同条款约定的具体形式的</w:t>
      </w:r>
      <w:r>
        <w:rPr>
          <w:rFonts w:hint="eastAsia" w:ascii="仿宋_GB2312" w:hAnsi="仿宋_GB2312" w:eastAsia="仿宋_GB2312" w:cs="仿宋_GB2312"/>
          <w:color w:val="auto"/>
          <w:sz w:val="30"/>
          <w:szCs w:val="30"/>
          <w:highlight w:val="none"/>
        </w:rPr>
        <w:t>电子版设计文件</w:t>
      </w:r>
      <w:r>
        <w:rPr>
          <w:rFonts w:hint="eastAsia" w:ascii="仿宋_GB2312" w:hAnsi="仿宋_GB2312" w:eastAsia="仿宋_GB2312" w:cs="仿宋_GB2312"/>
          <w:color w:val="auto"/>
          <w:kern w:val="0"/>
          <w:sz w:val="30"/>
          <w:szCs w:val="30"/>
          <w:highlight w:val="none"/>
        </w:rPr>
        <w:t>。</w:t>
      </w:r>
    </w:p>
    <w:p w14:paraId="6FCB05C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7.2 工程设计文件的交付方式</w:t>
      </w:r>
    </w:p>
    <w:p w14:paraId="4C1E773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设计人交付工程设计文件给发包人，发包人应当出具书面签收单，内容包括图纸名称、图纸内容、图纸形式、份数、提交和签收日期、提交人与接收人的亲笔签名。</w:t>
      </w:r>
    </w:p>
    <w:p w14:paraId="1981ABA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7.3 工程设计文件交付的时间和份数</w:t>
      </w:r>
    </w:p>
    <w:p w14:paraId="036A547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工程设计文件交付的名称、时间和份数在专用合同条款附件3中约定。</w:t>
      </w:r>
    </w:p>
    <w:p w14:paraId="4AFA682F">
      <w:pPr>
        <w:keepNext/>
        <w:keepLines/>
        <w:spacing w:line="360" w:lineRule="auto"/>
        <w:outlineLvl w:val="1"/>
        <w:rPr>
          <w:rFonts w:ascii="Arial" w:hAnsi="Arial" w:eastAsia="黑体"/>
          <w:b/>
          <w:bCs/>
          <w:color w:val="auto"/>
          <w:sz w:val="32"/>
          <w:szCs w:val="32"/>
          <w:highlight w:val="none"/>
        </w:rPr>
      </w:pPr>
      <w:bookmarkStart w:id="1243" w:name="_Toc19180"/>
      <w:bookmarkStart w:id="1244" w:name="_Toc1241"/>
      <w:bookmarkStart w:id="1245" w:name="_Toc31500"/>
      <w:bookmarkStart w:id="1246" w:name="_Toc6568"/>
      <w:r>
        <w:rPr>
          <w:rFonts w:hint="eastAsia" w:ascii="Arial" w:hAnsi="Arial" w:eastAsia="黑体"/>
          <w:b/>
          <w:bCs/>
          <w:color w:val="auto"/>
          <w:sz w:val="32"/>
          <w:szCs w:val="32"/>
          <w:highlight w:val="none"/>
        </w:rPr>
        <w:t>8. 工程设计文件审查</w:t>
      </w:r>
      <w:bookmarkEnd w:id="1243"/>
      <w:bookmarkEnd w:id="1244"/>
      <w:bookmarkEnd w:id="1245"/>
      <w:bookmarkEnd w:id="1246"/>
    </w:p>
    <w:p w14:paraId="14E5885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设计人的工程设计文件应报发包人审查同意。审查的范围和内容在发包人要求中约定。审查的具体标准应符合法律规定、技术标准要求和本合同约定。</w:t>
      </w:r>
    </w:p>
    <w:p w14:paraId="5A6BB7E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除专用合同条款对期限另有约定外，自发包人收到设计人的工程设计文件以及设计人的通知之日起，发包人对设计人的工程设计文件审查期不超过15天。</w:t>
      </w:r>
    </w:p>
    <w:p w14:paraId="0EF2A2D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5265F9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合同约定的审查期满，发包人没有做出审查结论也没有提出异议的，视为设计人的工程设计文件已获发包人同意。</w:t>
      </w:r>
    </w:p>
    <w:p w14:paraId="65F433B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2DBBE6D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w:t>
      </w:r>
      <w:r>
        <w:rPr>
          <w:rFonts w:hint="eastAsia" w:ascii="仿宋_GB2312" w:hAnsi="仿宋_GB2312" w:eastAsia="仿宋_GB2312" w:cs="仿宋_GB2312"/>
          <w:vanish/>
          <w:color w:val="auto"/>
          <w:sz w:val="30"/>
          <w:szCs w:val="30"/>
          <w:highlight w:val="none"/>
        </w:rPr>
        <w:t>（</w:t>
      </w:r>
      <w:r>
        <w:rPr>
          <w:rFonts w:hint="eastAsia" w:ascii="仿宋_GB2312" w:hAnsi="仿宋_GB2312" w:eastAsia="仿宋_GB2312" w:cs="仿宋_GB2312"/>
          <w:color w:val="auto"/>
          <w:sz w:val="30"/>
          <w:szCs w:val="30"/>
          <w:highlight w:val="none"/>
        </w:rPr>
        <w:t>设计文件需政府有关部门审查或批准的，发包人应在审查同意设计人的工程设计文件后在专用合同条款约定的期限内，向政府有关部门报送工程设计文件，设计人应予以协助。</w:t>
      </w:r>
    </w:p>
    <w:p w14:paraId="384E460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9B6E91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7E24EE50">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设计人按第7条〔工程设计文件交付〕的约定向发包人提交工程设计文件，有义务参加发包人组织的设计审查会议，向审查者介绍、解答、解释其工程设计文件，并提供有关补充资料。</w:t>
      </w:r>
    </w:p>
    <w:p w14:paraId="76509548">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0A81E38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仿宋_GB2312" w:hAnsi="仿宋_GB2312" w:eastAsia="仿宋_GB2312" w:cs="仿宋_GB2312"/>
          <w:color w:val="auto"/>
          <w:kern w:val="0"/>
          <w:sz w:val="30"/>
          <w:szCs w:val="30"/>
          <w:highlight w:val="none"/>
        </w:rPr>
        <w:t>按第14.2款〔设计人违约责任〕的约定承担责任</w:t>
      </w:r>
      <w:r>
        <w:rPr>
          <w:rFonts w:hint="eastAsia" w:ascii="仿宋_GB2312" w:hAnsi="仿宋_GB2312" w:eastAsia="仿宋_GB2312" w:cs="仿宋_GB2312"/>
          <w:color w:val="auto"/>
          <w:sz w:val="30"/>
          <w:szCs w:val="30"/>
          <w:highlight w:val="none"/>
        </w:rPr>
        <w:t>。</w:t>
      </w:r>
    </w:p>
    <w:p w14:paraId="24FC21F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因发包人原因，致使工程设计文件审查无法进行或无法按期进行，造成设计周期延长、窝工损失及设计人增加的费用，由发包人承担。</w:t>
      </w:r>
    </w:p>
    <w:p w14:paraId="13984D6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8.6 </w:t>
      </w:r>
      <w:r>
        <w:rPr>
          <w:rFonts w:hint="eastAsia" w:ascii="仿宋_GB2312" w:hAnsi="仿宋_GB2312" w:eastAsia="仿宋_GB2312" w:cs="仿宋_GB2312"/>
          <w:color w:val="auto"/>
          <w:kern w:val="0"/>
          <w:sz w:val="30"/>
          <w:szCs w:val="30"/>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5079BB0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因发包人原因造成工程设计文件不合格致使工程设计文件审查无法通过的，由此增加的设计费用和（或）延长的设计周期由发包人承担。</w:t>
      </w:r>
    </w:p>
    <w:p w14:paraId="7A65895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8.7 工程设计文件的审查，不减轻或免除设计人依据法律应当承担的责任。</w:t>
      </w:r>
    </w:p>
    <w:p w14:paraId="6693F3E4">
      <w:pPr>
        <w:keepNext/>
        <w:keepLines/>
        <w:spacing w:line="360" w:lineRule="auto"/>
        <w:outlineLvl w:val="1"/>
        <w:rPr>
          <w:rFonts w:ascii="Arial" w:hAnsi="Arial" w:eastAsia="黑体"/>
          <w:b/>
          <w:bCs/>
          <w:color w:val="auto"/>
          <w:sz w:val="32"/>
          <w:szCs w:val="32"/>
          <w:highlight w:val="none"/>
        </w:rPr>
      </w:pPr>
      <w:bookmarkStart w:id="1247" w:name="_Toc19231"/>
      <w:bookmarkStart w:id="1248" w:name="_Toc3255"/>
      <w:bookmarkStart w:id="1249" w:name="_Toc1157"/>
      <w:bookmarkStart w:id="1250" w:name="_Toc31068"/>
      <w:r>
        <w:rPr>
          <w:rFonts w:hint="eastAsia" w:ascii="Arial" w:hAnsi="Arial" w:eastAsia="黑体"/>
          <w:b/>
          <w:bCs/>
          <w:color w:val="auto"/>
          <w:sz w:val="32"/>
          <w:szCs w:val="32"/>
          <w:highlight w:val="none"/>
        </w:rPr>
        <w:t>9. 施工现场配合服务</w:t>
      </w:r>
      <w:bookmarkEnd w:id="1247"/>
      <w:bookmarkEnd w:id="1248"/>
      <w:bookmarkEnd w:id="1249"/>
      <w:bookmarkEnd w:id="1250"/>
    </w:p>
    <w:p w14:paraId="45F2FCC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9.1 除专用合同条款另有约定外，发包人应为设计人派赴现场的工作人员提供工作、生活及交通等方面的便利条件。</w:t>
      </w:r>
    </w:p>
    <w:p w14:paraId="5C0D7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3EEAA72E">
      <w:pPr>
        <w:keepNext/>
        <w:keepLines/>
        <w:spacing w:line="360" w:lineRule="auto"/>
        <w:outlineLvl w:val="1"/>
        <w:rPr>
          <w:rFonts w:ascii="Arial" w:hAnsi="Arial" w:eastAsia="黑体"/>
          <w:b/>
          <w:bCs/>
          <w:color w:val="auto"/>
          <w:sz w:val="32"/>
          <w:szCs w:val="32"/>
          <w:highlight w:val="none"/>
        </w:rPr>
      </w:pPr>
      <w:bookmarkStart w:id="1251" w:name="_Toc9483"/>
      <w:bookmarkStart w:id="1252" w:name="_Toc7463"/>
      <w:bookmarkStart w:id="1253" w:name="_Toc18275"/>
      <w:bookmarkStart w:id="1254" w:name="_Toc11509"/>
      <w:r>
        <w:rPr>
          <w:rFonts w:hint="eastAsia" w:ascii="Arial" w:hAnsi="Arial" w:eastAsia="黑体"/>
          <w:b/>
          <w:bCs/>
          <w:color w:val="auto"/>
          <w:sz w:val="32"/>
          <w:szCs w:val="32"/>
          <w:highlight w:val="none"/>
        </w:rPr>
        <w:t>10. 合同价款与支付</w:t>
      </w:r>
      <w:bookmarkEnd w:id="1251"/>
      <w:bookmarkEnd w:id="1252"/>
      <w:bookmarkEnd w:id="1253"/>
      <w:bookmarkEnd w:id="1254"/>
    </w:p>
    <w:p w14:paraId="23880C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10.1 合同价款组成</w:t>
      </w:r>
    </w:p>
    <w:p w14:paraId="0283F09B">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发包人和设计人应当在专用合同条款附件6中明确约定合同价款各组成部分的具体数额，主要包括：</w:t>
      </w:r>
    </w:p>
    <w:p w14:paraId="13E5E64A">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（1）工程设计基本服务费用；</w:t>
      </w:r>
    </w:p>
    <w:p w14:paraId="01FF46DF">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（2）工程设计其他服务费用；</w:t>
      </w:r>
    </w:p>
    <w:p w14:paraId="57F941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bCs/>
          <w:color w:val="auto"/>
          <w:kern w:val="0"/>
          <w:sz w:val="30"/>
          <w:szCs w:val="30"/>
          <w:highlight w:val="none"/>
        </w:rPr>
        <w:t>（3）</w:t>
      </w:r>
      <w:r>
        <w:rPr>
          <w:rFonts w:hint="eastAsia" w:ascii="仿宋_GB2312" w:hAnsi="仿宋_GB2312" w:eastAsia="仿宋_GB2312" w:cs="仿宋_GB2312"/>
          <w:color w:val="auto"/>
          <w:kern w:val="0"/>
          <w:sz w:val="30"/>
          <w:szCs w:val="30"/>
          <w:highlight w:val="none"/>
        </w:rPr>
        <w:t>在未签订合同前发包人已经同意或接受或已使用的设计人为发包人所做的各项工作的相应费用等。</w:t>
      </w:r>
    </w:p>
    <w:p w14:paraId="1559BF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10.2 合同价格形式</w:t>
      </w:r>
    </w:p>
    <w:p w14:paraId="36B354E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发包人和设计人应在合同协议书中选择下列一种合同价格形式： </w:t>
      </w:r>
    </w:p>
    <w:p w14:paraId="36D459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（1）单价合同</w:t>
      </w:r>
    </w:p>
    <w:p w14:paraId="02B1508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仿宋_GB2312" w:hAnsi="仿宋_GB2312" w:eastAsia="仿宋_GB2312" w:cs="仿宋_GB2312"/>
          <w:color w:val="auto"/>
          <w:sz w:val="30"/>
          <w:szCs w:val="30"/>
          <w:highlight w:val="none"/>
        </w:rPr>
        <w:t>在约定的范围内合同单价不作调整</w:t>
      </w:r>
      <w:r>
        <w:rPr>
          <w:rFonts w:hint="eastAsia" w:ascii="仿宋_GB2312" w:hAnsi="仿宋_GB2312" w:eastAsia="仿宋_GB2312" w:cs="仿宋_GB2312"/>
          <w:color w:val="auto"/>
          <w:kern w:val="0"/>
          <w:sz w:val="30"/>
          <w:szCs w:val="30"/>
          <w:highlight w:val="none"/>
        </w:rPr>
        <w:t>。合同当事人应在专用合同条款中约定单价包含的风险范围和风险费用的计算方法</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kern w:val="0"/>
          <w:sz w:val="30"/>
          <w:szCs w:val="30"/>
          <w:highlight w:val="none"/>
        </w:rPr>
        <w:t>并约定风险范围以外的合同价格的调整方法。</w:t>
      </w:r>
    </w:p>
    <w:p w14:paraId="1A1074F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（2）总价合同</w:t>
      </w:r>
    </w:p>
    <w:p w14:paraId="42F41B1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总价合同是指合同当事人约定以发包人提供的上一阶段工程设计文件及有关条件进行合同价格计算、调整和确认的建设工程设计合同，</w:t>
      </w:r>
      <w:r>
        <w:rPr>
          <w:rFonts w:hint="eastAsia" w:ascii="仿宋_GB2312" w:hAnsi="仿宋_GB2312" w:eastAsia="仿宋_GB2312" w:cs="仿宋_GB2312"/>
          <w:color w:val="auto"/>
          <w:sz w:val="30"/>
          <w:szCs w:val="30"/>
          <w:highlight w:val="none"/>
        </w:rPr>
        <w:t>在约定的范围内合同总价不作调整</w:t>
      </w:r>
      <w:r>
        <w:rPr>
          <w:rFonts w:hint="eastAsia" w:ascii="仿宋_GB2312" w:hAnsi="仿宋_GB2312" w:eastAsia="仿宋_GB2312" w:cs="仿宋_GB2312"/>
          <w:color w:val="auto"/>
          <w:kern w:val="0"/>
          <w:sz w:val="30"/>
          <w:szCs w:val="30"/>
          <w:highlight w:val="none"/>
        </w:rPr>
        <w:t>。合同当事人应在专用合同条款中约定总价包含的风险范围和风险费用的计算方法，并约定风险范围以外的合同价格的调整方法。</w:t>
      </w:r>
    </w:p>
    <w:p w14:paraId="590B905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（3）其它价格形式</w:t>
      </w:r>
    </w:p>
    <w:p w14:paraId="7089520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合同当事人可在专用合同条款中约定其他合同价格形式。</w:t>
      </w:r>
    </w:p>
    <w:p w14:paraId="79A46E3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10.3 定金或预付款</w:t>
      </w:r>
    </w:p>
    <w:p w14:paraId="4A498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10.3.1 </w:t>
      </w:r>
      <w:r>
        <w:rPr>
          <w:rFonts w:hint="eastAsia" w:ascii="仿宋_GB2312" w:hAnsi="仿宋_GB2312" w:eastAsia="仿宋_GB2312" w:cs="仿宋_GB2312"/>
          <w:color w:val="auto"/>
          <w:kern w:val="0"/>
          <w:sz w:val="30"/>
          <w:szCs w:val="30"/>
          <w:highlight w:val="none"/>
        </w:rPr>
        <w:t>定金或预付款的比例</w:t>
      </w:r>
    </w:p>
    <w:p w14:paraId="5EE8F8E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定金的比例不应超过合同总价款的20%。预付款的比例由发包人与设计人协商确定，一般不低于合同总价款的20%。</w:t>
      </w:r>
    </w:p>
    <w:p w14:paraId="22D537F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10.3.2 定金或预付款的支付</w:t>
      </w:r>
    </w:p>
    <w:p w14:paraId="779B708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定金或预付款的支付按照专用合同条款约定执行，但最迟应在开始设计通知载明的开始设计日期前专用合同条款约定的期限内支付。</w:t>
      </w:r>
    </w:p>
    <w:p w14:paraId="65F9C09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4F279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10.4 进度款支付</w:t>
      </w:r>
    </w:p>
    <w:p w14:paraId="5652F64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10.4.1 发包人应当按照专用合同条款附件6约定的付款条件及时向设计人支付进度款。</w:t>
      </w:r>
    </w:p>
    <w:p w14:paraId="2F57A9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10.4.2 进度付款的修正</w:t>
      </w:r>
    </w:p>
    <w:p w14:paraId="21DE79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在对已付进度款进行汇总和复核中发现错误、遗漏或重复的，发包人和设计人均有权提出修正申请。经发包人和设计人同意的修正，应在下期进度付款中支付或扣除。</w:t>
      </w:r>
    </w:p>
    <w:p w14:paraId="4D81758B">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 合同价款的结算与支付</w:t>
      </w:r>
    </w:p>
    <w:p w14:paraId="3FB1C407">
      <w:pPr>
        <w:spacing w:line="360" w:lineRule="auto"/>
        <w:ind w:firstLine="600" w:firstLineChars="200"/>
        <w:rPr>
          <w:rFonts w:ascii="仿宋_GB2312" w:hAnsi="仿宋_GB2312" w:eastAsia="仿宋_GB2312" w:cs="仿宋_GB2312"/>
          <w:bCs/>
          <w:color w:val="auto"/>
          <w:kern w:val="0"/>
          <w:sz w:val="30"/>
          <w:szCs w:val="30"/>
          <w:highlight w:val="none"/>
        </w:rPr>
      </w:pPr>
      <w:r>
        <w:rPr>
          <w:rFonts w:hint="eastAsia" w:ascii="仿宋_GB2312" w:hAnsi="仿宋_GB2312" w:eastAsia="仿宋_GB2312" w:cs="仿宋_GB2312"/>
          <w:bCs/>
          <w:color w:val="auto"/>
          <w:kern w:val="0"/>
          <w:sz w:val="30"/>
          <w:szCs w:val="30"/>
          <w:highlight w:val="none"/>
        </w:rPr>
        <w:t>10.5.1 对于采取固定总价形式的合同，发包人应当按照专用合同条款附件6的约定及时支付尾款。</w:t>
      </w:r>
    </w:p>
    <w:p w14:paraId="32578C3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10.5.2 对于采取固定单价形式的合同，发包人与设计人应当按照专用合同条款附件6约定的结算方式及时结清工程设计费，并将结清未支付的款项一次性支付给设计人。</w:t>
      </w:r>
    </w:p>
    <w:p w14:paraId="0E5BBD8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10.5.3 对于采取其他价格形式的，也应按专用合同条款的约定及时结算和支付。</w:t>
      </w:r>
    </w:p>
    <w:p w14:paraId="2D995ED6">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10.6支付账户</w:t>
      </w:r>
    </w:p>
    <w:p w14:paraId="6A2FDDC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发包人应将合同价款支付至合同协议书中约定的设计人账户。</w:t>
      </w:r>
    </w:p>
    <w:p w14:paraId="7B088984">
      <w:pPr>
        <w:keepNext/>
        <w:keepLines/>
        <w:spacing w:line="360" w:lineRule="auto"/>
        <w:outlineLvl w:val="1"/>
        <w:rPr>
          <w:rFonts w:ascii="Arial" w:hAnsi="Arial" w:eastAsia="黑体"/>
          <w:b/>
          <w:bCs/>
          <w:color w:val="auto"/>
          <w:sz w:val="32"/>
          <w:szCs w:val="32"/>
          <w:highlight w:val="none"/>
        </w:rPr>
      </w:pPr>
      <w:bookmarkStart w:id="1255" w:name="_Toc5002"/>
      <w:bookmarkStart w:id="1256" w:name="_Toc32077"/>
      <w:bookmarkStart w:id="1257" w:name="_Toc25343"/>
      <w:bookmarkStart w:id="1258" w:name="_Toc22407"/>
      <w:r>
        <w:rPr>
          <w:rFonts w:hint="eastAsia" w:ascii="Arial" w:hAnsi="Arial" w:eastAsia="黑体"/>
          <w:b/>
          <w:bCs/>
          <w:color w:val="auto"/>
          <w:sz w:val="32"/>
          <w:szCs w:val="32"/>
          <w:highlight w:val="none"/>
        </w:rPr>
        <w:t>11. 工程设计变更与索赔</w:t>
      </w:r>
      <w:bookmarkEnd w:id="1255"/>
      <w:bookmarkEnd w:id="1256"/>
      <w:bookmarkEnd w:id="1257"/>
      <w:bookmarkEnd w:id="1258"/>
    </w:p>
    <w:p w14:paraId="28B489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 发包人变更工程设计的内容、规模、功能、条件等，应当向设计人提供书面要求，设计人在不违反法律规定以及技术标准强制性规定的前提下应当按照发包人要求变更工程设计。</w:t>
      </w:r>
    </w:p>
    <w:p w14:paraId="4F951A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2D5AE62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11.3 </w:t>
      </w:r>
      <w:r>
        <w:rPr>
          <w:rFonts w:hint="eastAsia" w:ascii="仿宋_GB2312" w:hAnsi="仿宋_GB2312" w:eastAsia="仿宋_GB2312" w:cs="仿宋_GB2312"/>
          <w:color w:val="auto"/>
          <w:sz w:val="30"/>
          <w:szCs w:val="30"/>
          <w:highlight w:val="none"/>
        </w:rPr>
        <w:t>如果由于发包人要求更改而造成的项目复杂性的变更或性质的变更使得设计人的设计工作减少，发包人</w:t>
      </w:r>
      <w:r>
        <w:rPr>
          <w:rFonts w:hint="eastAsia" w:ascii="仿宋_GB2312" w:hAnsi="仿宋_GB2312" w:eastAsia="仿宋_GB2312" w:cs="仿宋_GB2312"/>
          <w:color w:val="auto"/>
          <w:kern w:val="0"/>
          <w:sz w:val="30"/>
          <w:szCs w:val="30"/>
          <w:highlight w:val="none"/>
        </w:rPr>
        <w:t>可按本条约定和专用合同条款附件7的约定，与设计人协商对合同价格和/或完工时间做可共同接受的修改。</w:t>
      </w:r>
    </w:p>
    <w:p w14:paraId="0F6C4FC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基准日期后，与工程设计服务有关的法律、技术标准的强制性规定的颁布及修改，由此增加的设计费用和（或）延长的设计周期由发包人承担。</w:t>
      </w:r>
    </w:p>
    <w:p w14:paraId="5B6052A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C71A7AF">
      <w:pPr>
        <w:keepNext/>
        <w:keepLines/>
        <w:spacing w:line="360" w:lineRule="auto"/>
        <w:outlineLvl w:val="1"/>
        <w:rPr>
          <w:rFonts w:ascii="Arial" w:hAnsi="Arial" w:eastAsia="黑体"/>
          <w:b/>
          <w:bCs/>
          <w:color w:val="auto"/>
          <w:sz w:val="32"/>
          <w:szCs w:val="32"/>
          <w:highlight w:val="none"/>
        </w:rPr>
      </w:pPr>
      <w:bookmarkStart w:id="1259" w:name="_Toc7724"/>
      <w:bookmarkStart w:id="1260" w:name="_Toc7591"/>
      <w:bookmarkStart w:id="1261" w:name="_Toc19167"/>
      <w:bookmarkStart w:id="1262" w:name="_Toc24909"/>
      <w:r>
        <w:rPr>
          <w:rFonts w:hint="eastAsia" w:ascii="Arial" w:hAnsi="Arial" w:eastAsia="黑体"/>
          <w:b/>
          <w:bCs/>
          <w:color w:val="auto"/>
          <w:sz w:val="32"/>
          <w:szCs w:val="32"/>
          <w:highlight w:val="none"/>
        </w:rPr>
        <w:t>12. 专业责任与保险</w:t>
      </w:r>
      <w:bookmarkEnd w:id="1259"/>
      <w:bookmarkEnd w:id="1260"/>
      <w:bookmarkEnd w:id="1261"/>
      <w:bookmarkEnd w:id="1262"/>
    </w:p>
    <w:p w14:paraId="2DB9B1A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12.1 设计人应运用一切合理的专业技术和经验知识，按照公认的职业标准尽其全部职责和谨慎、勤勉地履行其在本合同项下的责任和义务。</w:t>
      </w:r>
    </w:p>
    <w:p w14:paraId="2EB669D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 除专用合同条款另有约定外，设计人应具有发包人认可的、履行本合同所需要的工程设计责任保险并使其于合同责任期内保持有效。</w:t>
      </w:r>
    </w:p>
    <w:p w14:paraId="368714F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 工程设计责任保险应承担由于设计人的疏忽或过失而引发的工程质量事故所造成的建设工程本身的物质损失以及第三者人身伤亡、财产损失或费用的赔偿责任。</w:t>
      </w:r>
    </w:p>
    <w:p w14:paraId="130BA6A8">
      <w:pPr>
        <w:keepNext/>
        <w:keepLines/>
        <w:spacing w:line="360" w:lineRule="auto"/>
        <w:outlineLvl w:val="1"/>
        <w:rPr>
          <w:rFonts w:ascii="Arial" w:hAnsi="Arial" w:eastAsia="黑体"/>
          <w:b/>
          <w:bCs/>
          <w:color w:val="auto"/>
          <w:sz w:val="32"/>
          <w:szCs w:val="32"/>
          <w:highlight w:val="none"/>
        </w:rPr>
      </w:pPr>
      <w:bookmarkStart w:id="1263" w:name="_Toc30720"/>
      <w:bookmarkStart w:id="1264" w:name="_Toc1512"/>
      <w:bookmarkStart w:id="1265" w:name="_Toc21174"/>
      <w:bookmarkStart w:id="1266" w:name="_Toc11565"/>
      <w:r>
        <w:rPr>
          <w:rFonts w:hint="eastAsia" w:ascii="Arial" w:hAnsi="Arial" w:eastAsia="黑体"/>
          <w:b/>
          <w:bCs/>
          <w:color w:val="auto"/>
          <w:sz w:val="32"/>
          <w:szCs w:val="32"/>
          <w:highlight w:val="none"/>
        </w:rPr>
        <w:t>13. 知识产权</w:t>
      </w:r>
      <w:bookmarkEnd w:id="1263"/>
      <w:bookmarkEnd w:id="1264"/>
      <w:bookmarkEnd w:id="1265"/>
      <w:bookmarkEnd w:id="1266"/>
    </w:p>
    <w:p w14:paraId="2D331FE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A1E1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4D05BF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B3EEE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13.4 合同当事人双方均有权在不损害对方利益和保密约定的前提下，在自己宣传用的印刷品或其他出版物上，或申报奖项时等情形下公布有关项目的文字和图片材料。</w:t>
      </w:r>
    </w:p>
    <w:p w14:paraId="0D7EACCD">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13.5 除专用合同条款另有约定外，设计人在合同签订前和签订时已确定采用的专利、专有技术的使用费应包含在签约合同价中。</w:t>
      </w:r>
    </w:p>
    <w:p w14:paraId="4F3244F9">
      <w:pPr>
        <w:keepNext/>
        <w:keepLines/>
        <w:spacing w:line="360" w:lineRule="auto"/>
        <w:outlineLvl w:val="1"/>
        <w:rPr>
          <w:rFonts w:ascii="Arial" w:hAnsi="Arial" w:eastAsia="黑体"/>
          <w:b/>
          <w:bCs/>
          <w:color w:val="auto"/>
          <w:sz w:val="32"/>
          <w:szCs w:val="32"/>
          <w:highlight w:val="none"/>
        </w:rPr>
      </w:pPr>
      <w:bookmarkStart w:id="1267" w:name="_Toc21115"/>
      <w:bookmarkStart w:id="1268" w:name="_Toc15622"/>
      <w:bookmarkStart w:id="1269" w:name="_Toc21634"/>
      <w:bookmarkStart w:id="1270" w:name="_Toc7767"/>
      <w:r>
        <w:rPr>
          <w:rFonts w:hint="eastAsia" w:ascii="Arial" w:hAnsi="Arial" w:eastAsia="黑体"/>
          <w:b/>
          <w:bCs/>
          <w:color w:val="auto"/>
          <w:sz w:val="32"/>
          <w:szCs w:val="32"/>
          <w:highlight w:val="none"/>
        </w:rPr>
        <w:t>14. 违约责任</w:t>
      </w:r>
      <w:bookmarkEnd w:id="1267"/>
      <w:bookmarkEnd w:id="1268"/>
      <w:bookmarkEnd w:id="1269"/>
      <w:bookmarkEnd w:id="1270"/>
    </w:p>
    <w:p w14:paraId="048020E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14.1 发包人违约责任</w:t>
      </w:r>
    </w:p>
    <w:p w14:paraId="793EA75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14.1.1 合同生效后，发包人因非设计人原因要求终止或解除合同，设计人未开始设计工作的，退还发包人已付的定金；已开始设计工作的，发包人应按照设计人已完成的实际工作量计算设计费。</w:t>
      </w:r>
    </w:p>
    <w:p w14:paraId="3D1320D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A支付相应费用的，设计人应及时根据发包人要求恢复设计工作；自中止设计工作之日起超过15天后发包人支付相应费用的，设计人有权确定重新恢复设计工作的时间，且设计周期相应延长。</w:t>
      </w:r>
    </w:p>
    <w:p w14:paraId="03C5723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14.1.3 发包人的上级或设计审批部门对设计文件不进行审批或本合同工程停建、缓建，发包人应在事件发生之日起15天内按本合同第16条</w:t>
      </w:r>
      <w:r>
        <w:rPr>
          <w:rFonts w:hint="eastAsia" w:ascii="仿宋_GB2312" w:hAnsi="仿宋_GB2312" w:eastAsia="仿宋_GB2312" w:cs="仿宋_GB2312"/>
          <w:color w:val="auto"/>
          <w:sz w:val="30"/>
          <w:szCs w:val="30"/>
          <w:highlight w:val="none"/>
        </w:rPr>
        <w:t>〔合同解除〕</w:t>
      </w:r>
      <w:r>
        <w:rPr>
          <w:rFonts w:hint="eastAsia" w:ascii="仿宋_GB2312" w:hAnsi="仿宋_GB2312" w:eastAsia="仿宋_GB2312" w:cs="仿宋_GB2312"/>
          <w:color w:val="auto"/>
          <w:kern w:val="0"/>
          <w:sz w:val="30"/>
          <w:szCs w:val="30"/>
          <w:highlight w:val="none"/>
        </w:rPr>
        <w:t>的约定向设计人结算并支付设计费。</w:t>
      </w:r>
    </w:p>
    <w:p w14:paraId="512CA5C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14.1.4 发包人擅自将设计人的设计文件用于本工程以外的工程或交第三方使用时，应承担相应法律责任，并应赔偿设计人因此遭受的损失。</w:t>
      </w:r>
    </w:p>
    <w:p w14:paraId="0D89FAA4">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14.2 设计人违约责任</w:t>
      </w:r>
    </w:p>
    <w:p w14:paraId="4925C51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14.2.1 合同生效后，设计人因自身原因要求终止或解除合同，设计人应按发包人已支付的定金金额双倍返还给发包人或设计人按照专用合同条款的约定向发包人支付违约金。</w:t>
      </w:r>
    </w:p>
    <w:p w14:paraId="5EA235A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33B71B0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481AD2D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14.2.4 设计人未经发包人同意擅自对工程设计进行分包的，发包人有权要求设计人解除未经发包人同意的设计分包合同，设计人应当按照专用合同条款的约定承担违约责任。</w:t>
      </w:r>
    </w:p>
    <w:p w14:paraId="21BFC4FF">
      <w:pPr>
        <w:keepNext/>
        <w:keepLines/>
        <w:spacing w:line="360" w:lineRule="auto"/>
        <w:outlineLvl w:val="1"/>
        <w:rPr>
          <w:rFonts w:ascii="Arial" w:hAnsi="Arial" w:eastAsia="黑体"/>
          <w:b/>
          <w:bCs/>
          <w:color w:val="auto"/>
          <w:sz w:val="32"/>
          <w:szCs w:val="32"/>
          <w:highlight w:val="none"/>
        </w:rPr>
      </w:pPr>
      <w:bookmarkStart w:id="1271" w:name="_Toc28004"/>
      <w:bookmarkStart w:id="1272" w:name="_Toc30563"/>
      <w:bookmarkStart w:id="1273" w:name="_Toc14914"/>
      <w:bookmarkStart w:id="1274" w:name="_Toc26819"/>
      <w:r>
        <w:rPr>
          <w:rFonts w:hint="eastAsia" w:ascii="Arial" w:hAnsi="Arial" w:eastAsia="黑体"/>
          <w:b/>
          <w:bCs/>
          <w:color w:val="auto"/>
          <w:sz w:val="32"/>
          <w:szCs w:val="32"/>
          <w:highlight w:val="none"/>
        </w:rPr>
        <w:t>15. 不可抗力</w:t>
      </w:r>
      <w:bookmarkEnd w:id="1271"/>
      <w:bookmarkEnd w:id="1272"/>
      <w:bookmarkEnd w:id="1273"/>
      <w:bookmarkEnd w:id="1274"/>
      <w:r>
        <w:rPr>
          <w:rFonts w:hint="eastAsia" w:ascii="Arial" w:hAnsi="Arial" w:eastAsia="黑体"/>
          <w:b/>
          <w:bCs/>
          <w:color w:val="auto"/>
          <w:sz w:val="32"/>
          <w:szCs w:val="32"/>
          <w:highlight w:val="none"/>
        </w:rPr>
        <w:t xml:space="preserve"> </w:t>
      </w:r>
    </w:p>
    <w:p w14:paraId="1CDC33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15.1 不可抗力的确认</w:t>
      </w:r>
    </w:p>
    <w:p w14:paraId="6C7C66B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9E65894">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917C53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15.2 不可抗力的通知</w:t>
      </w:r>
    </w:p>
    <w:p w14:paraId="5A10F81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合同一方当事人遇到不可抗力事件，使其履行合同义务受到阻碍时，应立即通知合同另一方当事人，书面说明不可抗力和受阻碍的详细情况，并在合理期限内提供必要的证明。</w:t>
      </w:r>
    </w:p>
    <w:p w14:paraId="0903F20E">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不可抗力持续发生的，合同一方当事人应及时向合同另一方当事人提交中间报告，说明不可抗力和履行合同受阻的情况，并于不可抗力事件结束后28天内提交最终报告及有关资料。</w:t>
      </w:r>
    </w:p>
    <w:p w14:paraId="5529EDD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15.3 不可抗力后果的承担</w:t>
      </w:r>
    </w:p>
    <w:p w14:paraId="25FE335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不可抗力引起的后果及造成的损失由合同当事人按照法律规定及合同约定各自承担。不可抗力发生前已完成的工程设计应当按照合同约定进行支付。</w:t>
      </w:r>
    </w:p>
    <w:p w14:paraId="005D564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不可抗力发生后，合同当事人均应采取措施尽量避免和减少损失的扩大，任何一方当事人没有采取有效措施导致损失扩大的，应对扩大的损失承担责任。</w:t>
      </w:r>
    </w:p>
    <w:p w14:paraId="523F8E0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因合同一方迟延履行合同义务，在迟延履行期间遭遇不可抗力的，不免除其违约责任。</w:t>
      </w:r>
    </w:p>
    <w:p w14:paraId="651C9E52">
      <w:pPr>
        <w:keepNext/>
        <w:keepLines/>
        <w:spacing w:line="360" w:lineRule="auto"/>
        <w:outlineLvl w:val="1"/>
        <w:rPr>
          <w:rFonts w:ascii="Arial" w:hAnsi="Arial" w:eastAsia="黑体"/>
          <w:b/>
          <w:bCs/>
          <w:color w:val="auto"/>
          <w:sz w:val="32"/>
          <w:szCs w:val="32"/>
          <w:highlight w:val="none"/>
        </w:rPr>
      </w:pPr>
      <w:bookmarkStart w:id="1275" w:name="_Toc26280"/>
      <w:bookmarkStart w:id="1276" w:name="_Toc24923"/>
      <w:bookmarkStart w:id="1277" w:name="_Toc28230"/>
      <w:bookmarkStart w:id="1278" w:name="_Toc22736"/>
      <w:r>
        <w:rPr>
          <w:rFonts w:hint="eastAsia" w:ascii="Arial" w:hAnsi="Arial" w:eastAsia="黑体"/>
          <w:b/>
          <w:bCs/>
          <w:color w:val="auto"/>
          <w:sz w:val="32"/>
          <w:szCs w:val="32"/>
          <w:highlight w:val="none"/>
        </w:rPr>
        <w:t>16. 合同解除</w:t>
      </w:r>
      <w:bookmarkEnd w:id="1275"/>
      <w:bookmarkEnd w:id="1276"/>
      <w:bookmarkEnd w:id="1277"/>
      <w:bookmarkEnd w:id="1278"/>
    </w:p>
    <w:p w14:paraId="2DC5E1A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16.1 发包人与设计人协商一致，可以解除合同。</w:t>
      </w:r>
    </w:p>
    <w:p w14:paraId="257DFD2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16.2 有下列情形之一的，合同当事人一方或双方可以解除合同：</w:t>
      </w:r>
    </w:p>
    <w:p w14:paraId="606920C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（1）设计人工程设计文件存在重大质量问题，经发包人催告后，在合理期限内修改后仍不能满足国家现行深度要求或不能达到合同约定的设计质量要求的，发包人可以解除合同；</w:t>
      </w:r>
    </w:p>
    <w:p w14:paraId="5C6E38B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（2）发包人未按合同约定支付设计费用，经设计人催告后，在30天内仍未支付的，设计人可以解除合同；</w:t>
      </w:r>
    </w:p>
    <w:p w14:paraId="3FB8058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（3）暂停设计期限已连续超过180天，专用合同条款另有约定的除外；</w:t>
      </w:r>
    </w:p>
    <w:p w14:paraId="7C3960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（4）因不可抗力致使合同无法履行；</w:t>
      </w:r>
    </w:p>
    <w:p w14:paraId="2C200DC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（5）因一方违约致使合同无法实际履行或实际履行已无必要；</w:t>
      </w:r>
    </w:p>
    <w:p w14:paraId="7B13FA6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（6）因本工程项目条件发生重大变化，使合同无法继续履行。</w:t>
      </w:r>
    </w:p>
    <w:p w14:paraId="689AD32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16.3 任何一方因故需解除合同时，应提前30天书面通知对方，对合同中的遗留问题应取得一致意见并形成书面协议。</w:t>
      </w:r>
    </w:p>
    <w:p w14:paraId="2AD3A95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7EA9B14E">
      <w:pPr>
        <w:keepNext/>
        <w:keepLines/>
        <w:spacing w:line="360" w:lineRule="auto"/>
        <w:outlineLvl w:val="1"/>
        <w:rPr>
          <w:rFonts w:ascii="Arial" w:hAnsi="Arial" w:eastAsia="黑体"/>
          <w:b/>
          <w:bCs/>
          <w:color w:val="auto"/>
          <w:sz w:val="32"/>
          <w:szCs w:val="32"/>
          <w:highlight w:val="none"/>
        </w:rPr>
      </w:pPr>
      <w:bookmarkStart w:id="1279" w:name="_Toc13788"/>
      <w:bookmarkStart w:id="1280" w:name="_Toc15504"/>
      <w:bookmarkStart w:id="1281" w:name="_Toc3994"/>
      <w:bookmarkStart w:id="1282" w:name="_Toc15695"/>
      <w:r>
        <w:rPr>
          <w:rFonts w:hint="eastAsia" w:ascii="Arial" w:hAnsi="Arial" w:eastAsia="黑体"/>
          <w:b/>
          <w:bCs/>
          <w:color w:val="auto"/>
          <w:sz w:val="32"/>
          <w:szCs w:val="32"/>
          <w:highlight w:val="none"/>
        </w:rPr>
        <w:t>17. 争议解决</w:t>
      </w:r>
      <w:bookmarkEnd w:id="1279"/>
      <w:bookmarkEnd w:id="1280"/>
      <w:bookmarkEnd w:id="1281"/>
      <w:bookmarkEnd w:id="1282"/>
    </w:p>
    <w:p w14:paraId="770B275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17.1 和解</w:t>
      </w:r>
    </w:p>
    <w:p w14:paraId="5EA0985F">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合同当事人可以就争议自行和解，自行和解达成协议的经双方签字并盖章后作为合同补充文件，双方均应遵照执行。</w:t>
      </w:r>
    </w:p>
    <w:p w14:paraId="4B044E7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17.2 调解</w:t>
      </w:r>
    </w:p>
    <w:p w14:paraId="4EFC38C6">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合同当事人可以就争议请求相关行政主管部门、行业协会或其他第三方进行调解，调解达成协议的，经双方签字并盖章后作为合同补充文件，双方均应遵照执行。</w:t>
      </w:r>
    </w:p>
    <w:p w14:paraId="0DDD031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17.3 争议评审</w:t>
      </w:r>
    </w:p>
    <w:p w14:paraId="0C4999E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合同当事人在专用合同条款中约定采取争议评审方式解决争议以及评审规则，并按下列约定执行： </w:t>
      </w:r>
    </w:p>
    <w:p w14:paraId="7DC245B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17.3.1 争议评审小组的确定</w:t>
      </w:r>
    </w:p>
    <w:p w14:paraId="6D23D92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合同当事人可以共同选择一名或三名争议评审员，组成争议评审小组。除专用合同条款另有约定外，合同当事人应当自合同签订后28天内，或者争议发生后14天内，选定争议评审员。</w:t>
      </w:r>
    </w:p>
    <w:p w14:paraId="1CFE1E0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24672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除专用合同条款另有约定外，评审所发生的费用由发包人和设计人各承担一半。</w:t>
      </w:r>
    </w:p>
    <w:p w14:paraId="57BFCA1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17.3.2 争议评审小组的决定</w:t>
      </w:r>
    </w:p>
    <w:p w14:paraId="0F763E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7E0552D9">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17.3.3 争议评审小组决定的效力</w:t>
      </w:r>
    </w:p>
    <w:p w14:paraId="266AC20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争议评审小组作出的书面决定经合同当事人签字确认后，对双方具有约束力，双方应遵照执行。</w:t>
      </w:r>
    </w:p>
    <w:p w14:paraId="4CB8154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任何一方当事人不接受争议评审小组决定或不履行争议评审小组决定的，双方可选择采用其他争议解决方式。</w:t>
      </w:r>
    </w:p>
    <w:p w14:paraId="388863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17.4 仲裁或诉讼</w:t>
      </w:r>
    </w:p>
    <w:p w14:paraId="4FCC64F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因合同及合同有关事项产生的争议，合同当事人可以在专用合同条款中约定以下一种方式解决争议：</w:t>
      </w:r>
    </w:p>
    <w:p w14:paraId="23B8EF8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（1）向约定的仲裁委员会申请仲裁；</w:t>
      </w:r>
    </w:p>
    <w:p w14:paraId="28EC333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（2）向有管辖权的人民法院起诉。</w:t>
      </w:r>
    </w:p>
    <w:p w14:paraId="165C2AA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17.5 争议解决条款效力</w:t>
      </w:r>
    </w:p>
    <w:p w14:paraId="3390749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合同有关争议解决的条款独立存在，合同的变更、解除、终止、无效或者被撤销均不影响其效力。</w:t>
      </w:r>
    </w:p>
    <w:p w14:paraId="53856A95">
      <w:pPr>
        <w:outlineLvl w:val="9"/>
        <w:rPr>
          <w:rFonts w:ascii="Times New Roman" w:hAnsi="Times New Roman" w:eastAsia="黑体"/>
          <w:color w:val="auto"/>
          <w:sz w:val="32"/>
          <w:highlight w:val="none"/>
        </w:rPr>
      </w:pPr>
    </w:p>
    <w:p w14:paraId="26C45670">
      <w:pPr>
        <w:rPr>
          <w:rFonts w:ascii="Times New Roman" w:hAnsi="Times New Roman" w:eastAsia="黑体"/>
          <w:color w:val="auto"/>
          <w:sz w:val="32"/>
          <w:szCs w:val="32"/>
          <w:highlight w:val="none"/>
        </w:rPr>
      </w:pPr>
    </w:p>
    <w:p w14:paraId="782CCA45">
      <w:pPr>
        <w:pStyle w:val="2"/>
        <w:spacing w:after="0"/>
        <w:rPr>
          <w:rFonts w:ascii="Times New Roman" w:hAnsi="Times New Roman" w:eastAsia="黑体"/>
          <w:color w:val="auto"/>
          <w:sz w:val="32"/>
          <w:szCs w:val="32"/>
          <w:highlight w:val="none"/>
        </w:rPr>
      </w:pPr>
    </w:p>
    <w:p w14:paraId="4E688FF7">
      <w:pPr>
        <w:rPr>
          <w:rFonts w:ascii="Times New Roman" w:hAnsi="Times New Roman" w:eastAsia="黑体"/>
          <w:color w:val="auto"/>
          <w:sz w:val="32"/>
          <w:szCs w:val="32"/>
          <w:highlight w:val="none"/>
        </w:rPr>
      </w:pPr>
    </w:p>
    <w:p w14:paraId="530E8763">
      <w:pPr>
        <w:pStyle w:val="2"/>
        <w:spacing w:after="0"/>
        <w:rPr>
          <w:rFonts w:ascii="Times New Roman" w:hAnsi="Times New Roman" w:eastAsia="黑体"/>
          <w:color w:val="auto"/>
          <w:sz w:val="32"/>
          <w:szCs w:val="32"/>
          <w:highlight w:val="none"/>
        </w:rPr>
      </w:pPr>
    </w:p>
    <w:p w14:paraId="50C29372">
      <w:pPr>
        <w:rPr>
          <w:rFonts w:ascii="Times New Roman" w:hAnsi="Times New Roman" w:eastAsia="黑体"/>
          <w:color w:val="auto"/>
          <w:sz w:val="32"/>
          <w:szCs w:val="32"/>
          <w:highlight w:val="none"/>
        </w:rPr>
      </w:pPr>
    </w:p>
    <w:p w14:paraId="45505BC4">
      <w:pPr>
        <w:pStyle w:val="2"/>
        <w:spacing w:after="0"/>
        <w:rPr>
          <w:rFonts w:ascii="Times New Roman" w:hAnsi="Times New Roman" w:eastAsia="黑体"/>
          <w:color w:val="auto"/>
          <w:sz w:val="32"/>
          <w:szCs w:val="32"/>
          <w:highlight w:val="none"/>
        </w:rPr>
      </w:pPr>
    </w:p>
    <w:p w14:paraId="63895B99">
      <w:pPr>
        <w:rPr>
          <w:rFonts w:ascii="Times New Roman" w:hAnsi="Times New Roman" w:eastAsia="黑体"/>
          <w:color w:val="auto"/>
          <w:sz w:val="32"/>
          <w:szCs w:val="32"/>
          <w:highlight w:val="none"/>
        </w:rPr>
      </w:pPr>
    </w:p>
    <w:p w14:paraId="61CBE6EF">
      <w:pPr>
        <w:rPr>
          <w:rFonts w:ascii="Times New Roman" w:hAnsi="Times New Roman" w:eastAsia="黑体"/>
          <w:color w:val="auto"/>
          <w:sz w:val="32"/>
          <w:szCs w:val="32"/>
          <w:highlight w:val="none"/>
        </w:rPr>
      </w:pPr>
    </w:p>
    <w:p w14:paraId="3A652DF0">
      <w:pPr>
        <w:rPr>
          <w:rFonts w:ascii="Times New Roman" w:hAnsi="Times New Roman" w:eastAsia="黑体"/>
          <w:color w:val="auto"/>
          <w:sz w:val="32"/>
          <w:szCs w:val="32"/>
          <w:highlight w:val="none"/>
        </w:rPr>
      </w:pPr>
    </w:p>
    <w:p w14:paraId="2B79EE2F">
      <w:pPr>
        <w:rPr>
          <w:rFonts w:ascii="Times New Roman" w:hAnsi="Times New Roman" w:eastAsia="黑体"/>
          <w:color w:val="auto"/>
          <w:sz w:val="32"/>
          <w:szCs w:val="32"/>
          <w:highlight w:val="none"/>
        </w:rPr>
      </w:pPr>
    </w:p>
    <w:p w14:paraId="54FC2803">
      <w:pPr>
        <w:rPr>
          <w:rFonts w:ascii="Times New Roman" w:hAnsi="Times New Roman" w:eastAsia="黑体"/>
          <w:color w:val="auto"/>
          <w:sz w:val="32"/>
          <w:szCs w:val="32"/>
          <w:highlight w:val="none"/>
        </w:rPr>
      </w:pPr>
    </w:p>
    <w:p w14:paraId="2154DD3A">
      <w:pPr>
        <w:rPr>
          <w:rFonts w:ascii="Times New Roman" w:hAnsi="Times New Roman" w:eastAsia="黑体"/>
          <w:color w:val="auto"/>
          <w:sz w:val="32"/>
          <w:szCs w:val="32"/>
          <w:highlight w:val="none"/>
        </w:rPr>
      </w:pPr>
    </w:p>
    <w:p w14:paraId="36C45B5A">
      <w:pPr>
        <w:rPr>
          <w:rFonts w:ascii="Times New Roman" w:hAnsi="Times New Roman" w:eastAsia="黑体"/>
          <w:color w:val="auto"/>
          <w:sz w:val="32"/>
          <w:szCs w:val="32"/>
          <w:highlight w:val="none"/>
        </w:rPr>
      </w:pPr>
    </w:p>
    <w:p w14:paraId="5E6850F7">
      <w:pPr>
        <w:pStyle w:val="2"/>
        <w:spacing w:after="0"/>
        <w:rPr>
          <w:rFonts w:ascii="Times New Roman" w:hAnsi="Times New Roman" w:eastAsia="黑体"/>
          <w:color w:val="auto"/>
          <w:sz w:val="32"/>
          <w:szCs w:val="32"/>
          <w:highlight w:val="none"/>
        </w:rPr>
      </w:pPr>
    </w:p>
    <w:p w14:paraId="11D485C8">
      <w:pPr>
        <w:pStyle w:val="4"/>
        <w:rPr>
          <w:rFonts w:ascii="Times New Roman" w:hAnsi="Times New Roman" w:eastAsia="黑体"/>
          <w:color w:val="auto"/>
          <w:sz w:val="32"/>
          <w:szCs w:val="32"/>
          <w:highlight w:val="none"/>
        </w:rPr>
      </w:pPr>
    </w:p>
    <w:p w14:paraId="6690AFE7">
      <w:pPr>
        <w:pStyle w:val="5"/>
        <w:rPr>
          <w:rFonts w:ascii="Times New Roman" w:hAnsi="Times New Roman" w:eastAsia="黑体"/>
          <w:color w:val="auto"/>
          <w:sz w:val="32"/>
          <w:szCs w:val="32"/>
          <w:highlight w:val="none"/>
        </w:rPr>
      </w:pPr>
    </w:p>
    <w:p w14:paraId="277042B1">
      <w:pPr>
        <w:pStyle w:val="2"/>
        <w:rPr>
          <w:color w:val="auto"/>
          <w:highlight w:val="none"/>
        </w:rPr>
      </w:pPr>
    </w:p>
    <w:p w14:paraId="3243D03C">
      <w:pPr>
        <w:rPr>
          <w:rFonts w:ascii="Times New Roman" w:hAnsi="Times New Roman" w:eastAsia="黑体"/>
          <w:color w:val="auto"/>
          <w:sz w:val="32"/>
          <w:szCs w:val="32"/>
          <w:highlight w:val="none"/>
        </w:rPr>
      </w:pPr>
    </w:p>
    <w:bookmarkEnd w:id="1218"/>
    <w:p w14:paraId="6E5733EB">
      <w:pPr>
        <w:pStyle w:val="6"/>
        <w:rPr>
          <w:color w:val="auto"/>
          <w:highlight w:val="none"/>
        </w:rPr>
      </w:pPr>
      <w:bookmarkStart w:id="1283" w:name="_Toc14191"/>
      <w:bookmarkStart w:id="1284" w:name="_Toc22586"/>
      <w:bookmarkStart w:id="1285" w:name="_Toc18682"/>
      <w:bookmarkStart w:id="1286" w:name="_Toc26267"/>
      <w:bookmarkStart w:id="1287" w:name="_Toc20461"/>
      <w:r>
        <w:rPr>
          <w:rFonts w:hint="eastAsia"/>
          <w:color w:val="auto"/>
          <w:highlight w:val="none"/>
        </w:rPr>
        <w:t xml:space="preserve">第六部分 </w:t>
      </w:r>
      <w:bookmarkEnd w:id="1180"/>
      <w:bookmarkEnd w:id="1181"/>
      <w:bookmarkEnd w:id="1182"/>
      <w:bookmarkStart w:id="1288" w:name="_Toc542063760"/>
      <w:bookmarkStart w:id="1289" w:name="_Toc23980"/>
      <w:bookmarkStart w:id="1290" w:name="_Toc256000294"/>
      <w:r>
        <w:rPr>
          <w:rFonts w:hint="eastAsia"/>
          <w:color w:val="auto"/>
          <w:highlight w:val="none"/>
        </w:rPr>
        <w:t xml:space="preserve"> 专用合同条款</w:t>
      </w:r>
      <w:bookmarkEnd w:id="1283"/>
      <w:bookmarkEnd w:id="1284"/>
      <w:bookmarkEnd w:id="1285"/>
      <w:bookmarkEnd w:id="1286"/>
      <w:bookmarkEnd w:id="1287"/>
      <w:bookmarkEnd w:id="1288"/>
      <w:bookmarkEnd w:id="1289"/>
      <w:bookmarkEnd w:id="1290"/>
    </w:p>
    <w:p w14:paraId="42B813D6">
      <w:pPr>
        <w:pStyle w:val="7"/>
        <w:keepNext/>
        <w:keepLines/>
        <w:ind w:firstLine="0" w:firstLineChars="0"/>
        <w:jc w:val="both"/>
        <w:rPr>
          <w:rFonts w:eastAsia="黑体"/>
          <w:bCs/>
          <w:color w:val="auto"/>
          <w:sz w:val="32"/>
          <w:highlight w:val="none"/>
        </w:rPr>
      </w:pPr>
      <w:bookmarkStart w:id="1291" w:name="_Toc5610"/>
      <w:bookmarkStart w:id="1292" w:name="_Toc28286"/>
      <w:bookmarkStart w:id="1293" w:name="_Toc256000295"/>
      <w:bookmarkStart w:id="1294" w:name="_Toc21404"/>
      <w:bookmarkStart w:id="1295" w:name="_Toc493"/>
      <w:bookmarkStart w:id="1296" w:name="_Toc1674"/>
      <w:bookmarkStart w:id="1297" w:name="_Toc2630"/>
      <w:r>
        <w:rPr>
          <w:rFonts w:eastAsia="黑体"/>
          <w:bCs/>
          <w:color w:val="auto"/>
          <w:sz w:val="32"/>
          <w:highlight w:val="none"/>
        </w:rPr>
        <w:t>1.一般约定</w:t>
      </w:r>
      <w:bookmarkEnd w:id="1291"/>
      <w:bookmarkEnd w:id="1292"/>
      <w:bookmarkEnd w:id="1293"/>
      <w:bookmarkEnd w:id="1294"/>
      <w:bookmarkEnd w:id="1295"/>
      <w:bookmarkEnd w:id="1296"/>
      <w:bookmarkEnd w:id="1297"/>
    </w:p>
    <w:p w14:paraId="76052408">
      <w:pPr>
        <w:pStyle w:val="8"/>
        <w:spacing w:before="120" w:after="120"/>
        <w:ind w:firstLine="602"/>
        <w:rPr>
          <w:rFonts w:ascii="Times New Roman" w:hAnsi="Times New Roman" w:eastAsia="黑体"/>
          <w:color w:val="auto"/>
          <w:sz w:val="30"/>
          <w:highlight w:val="none"/>
        </w:rPr>
      </w:pPr>
      <w:bookmarkStart w:id="1298" w:name="_Toc256000296"/>
      <w:bookmarkStart w:id="1299" w:name="_Toc31515"/>
      <w:r>
        <w:rPr>
          <w:rFonts w:ascii="Times New Roman" w:hAnsi="Times New Roman" w:eastAsia="黑体"/>
          <w:color w:val="auto"/>
          <w:sz w:val="30"/>
          <w:highlight w:val="none"/>
        </w:rPr>
        <w:t>1.1 词语定义与解释</w:t>
      </w:r>
      <w:bookmarkEnd w:id="1298"/>
      <w:bookmarkEnd w:id="1299"/>
    </w:p>
    <w:p w14:paraId="6505288B">
      <w:pPr>
        <w:pStyle w:val="79"/>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1.1.1合同</w:t>
      </w:r>
    </w:p>
    <w:p w14:paraId="28904D30">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"1.1.1.8" </w:instrText>
      </w:r>
      <w:r>
        <w:rPr>
          <w:color w:val="auto"/>
          <w:highlight w:val="none"/>
        </w:rPr>
        <w:fldChar w:fldCharType="separate"/>
      </w:r>
      <w:r>
        <w:rPr>
          <w:rFonts w:hint="eastAsia" w:ascii="仿宋_GB2312" w:hAnsi="仿宋_GB2312" w:eastAsia="仿宋_GB2312" w:cs="仿宋_GB2312"/>
          <w:color w:val="auto"/>
          <w:sz w:val="30"/>
          <w:szCs w:val="30"/>
          <w:highlight w:val="none"/>
        </w:rPr>
        <w:t>1.1.1.8</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 xml:space="preserve"> 其他合同文件包括：</w:t>
      </w:r>
      <w:r>
        <w:rPr>
          <w:rFonts w:hint="eastAsia" w:ascii="仿宋_GB2312" w:hAnsi="仿宋_GB2312" w:eastAsia="仿宋_GB2312" w:cs="仿宋_GB2312"/>
          <w:b/>
          <w:bCs/>
          <w:color w:val="auto"/>
          <w:sz w:val="30"/>
          <w:szCs w:val="30"/>
          <w:highlight w:val="none"/>
          <w:u w:val="single"/>
        </w:rPr>
        <w:t>经合同双</w:t>
      </w:r>
      <w:r>
        <w:rPr>
          <w:rFonts w:hint="eastAsia" w:ascii="仿宋_GB2312" w:hAnsi="仿宋_GB2312" w:eastAsia="仿宋_GB2312" w:cs="仿宋_GB2312"/>
          <w:b/>
          <w:bCs/>
          <w:color w:val="auto"/>
          <w:spacing w:val="-1"/>
          <w:sz w:val="30"/>
          <w:szCs w:val="30"/>
          <w:highlight w:val="none"/>
          <w:u w:val="single"/>
        </w:rPr>
        <w:t>方当事人确认构成合同文件的其他文件：如双方认可的来往函件、会议纪要等，招标文件、招标文件澄清变更、设计人相关承诺、设计人投标文</w:t>
      </w:r>
      <w:r>
        <w:rPr>
          <w:rFonts w:hint="eastAsia" w:ascii="仿宋_GB2312" w:hAnsi="仿宋_GB2312" w:eastAsia="仿宋_GB2312" w:cs="仿宋_GB2312"/>
          <w:b/>
          <w:bCs/>
          <w:color w:val="auto"/>
          <w:spacing w:val="-2"/>
          <w:sz w:val="30"/>
          <w:szCs w:val="30"/>
          <w:highlight w:val="none"/>
          <w:u w:val="single"/>
        </w:rPr>
        <w:t>件、投标文件澄清等</w:t>
      </w:r>
      <w:r>
        <w:rPr>
          <w:rFonts w:hint="eastAsia" w:ascii="仿宋_GB2312" w:hAnsi="仿宋_GB2312" w:eastAsia="仿宋_GB2312" w:cs="仿宋_GB2312"/>
          <w:color w:val="auto"/>
          <w:spacing w:val="-2"/>
          <w:sz w:val="30"/>
          <w:szCs w:val="30"/>
          <w:highlight w:val="none"/>
        </w:rPr>
        <w:t>。</w:t>
      </w:r>
    </w:p>
    <w:p w14:paraId="4080F63B">
      <w:pPr>
        <w:pStyle w:val="8"/>
        <w:spacing w:before="120" w:after="120"/>
        <w:ind w:firstLine="602"/>
        <w:rPr>
          <w:rFonts w:ascii="Times New Roman" w:hAnsi="Times New Roman" w:eastAsia="黑体"/>
          <w:color w:val="auto"/>
          <w:sz w:val="30"/>
          <w:highlight w:val="none"/>
        </w:rPr>
      </w:pPr>
      <w:bookmarkStart w:id="1300" w:name="_Toc256000297"/>
      <w:r>
        <w:rPr>
          <w:rFonts w:ascii="Times New Roman" w:hAnsi="Times New Roman" w:eastAsia="黑体"/>
          <w:color w:val="auto"/>
          <w:sz w:val="30"/>
          <w:highlight w:val="none"/>
        </w:rPr>
        <w:t>1.3法律</w:t>
      </w:r>
      <w:bookmarkEnd w:id="1300"/>
    </w:p>
    <w:p w14:paraId="06C4EE9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适用于合同的其他规范性文件：</w:t>
      </w:r>
      <w:r>
        <w:rPr>
          <w:rFonts w:hint="eastAsia" w:ascii="仿宋_GB2312" w:hAnsi="仿宋_GB2312" w:eastAsia="仿宋_GB2312" w:cs="仿宋_GB2312"/>
          <w:color w:val="auto"/>
          <w:spacing w:val="-8"/>
          <w:sz w:val="30"/>
          <w:szCs w:val="30"/>
          <w:highlight w:val="none"/>
          <w:u w:val="single"/>
        </w:rPr>
        <w:t>《中华人民共和国民法典</w:t>
      </w:r>
      <w:r>
        <w:rPr>
          <w:rFonts w:hint="eastAsia" w:ascii="仿宋_GB2312" w:hAnsi="仿宋_GB2312" w:eastAsia="仿宋_GB2312" w:cs="仿宋_GB2312"/>
          <w:color w:val="auto"/>
          <w:spacing w:val="-9"/>
          <w:sz w:val="30"/>
          <w:szCs w:val="30"/>
          <w:highlight w:val="none"/>
          <w:u w:val="single"/>
        </w:rPr>
        <w:t>》、《中华人民共和国建筑法》和《建设</w:t>
      </w:r>
      <w:r>
        <w:rPr>
          <w:rFonts w:hint="eastAsia" w:ascii="仿宋_GB2312" w:hAnsi="仿宋_GB2312" w:eastAsia="仿宋_GB2312" w:cs="仿宋_GB2312"/>
          <w:color w:val="auto"/>
          <w:spacing w:val="-4"/>
          <w:sz w:val="30"/>
          <w:szCs w:val="30"/>
          <w:highlight w:val="none"/>
          <w:u w:val="single"/>
        </w:rPr>
        <w:t>工程勘察设计市场管理规定》；国家及地方有关建设工程勘察设计管理法规和规章；建设工程批</w:t>
      </w:r>
      <w:r>
        <w:rPr>
          <w:rFonts w:hint="eastAsia" w:ascii="仿宋_GB2312" w:hAnsi="仿宋_GB2312" w:eastAsia="仿宋_GB2312" w:cs="仿宋_GB2312"/>
          <w:color w:val="auto"/>
          <w:spacing w:val="-5"/>
          <w:sz w:val="30"/>
          <w:szCs w:val="30"/>
          <w:highlight w:val="none"/>
          <w:u w:val="single"/>
        </w:rPr>
        <w:t>准文件；</w:t>
      </w:r>
      <w:r>
        <w:rPr>
          <w:rFonts w:hint="eastAsia" w:ascii="仿宋_GB2312" w:hAnsi="仿宋_GB2312" w:eastAsia="仿宋_GB2312" w:cs="仿宋_GB2312"/>
          <w:color w:val="auto"/>
          <w:spacing w:val="-6"/>
          <w:sz w:val="30"/>
          <w:szCs w:val="30"/>
          <w:highlight w:val="none"/>
          <w:u w:val="single"/>
        </w:rPr>
        <w:t>《广西壮</w:t>
      </w:r>
      <w:r>
        <w:rPr>
          <w:rFonts w:hint="eastAsia" w:ascii="仿宋_GB2312" w:hAnsi="仿宋_GB2312" w:eastAsia="仿宋_GB2312" w:cs="仿宋_GB2312"/>
          <w:color w:val="auto"/>
          <w:spacing w:val="-4"/>
          <w:sz w:val="30"/>
          <w:szCs w:val="30"/>
          <w:highlight w:val="none"/>
          <w:u w:val="single"/>
        </w:rPr>
        <w:t>族自治区工程建设其他费用定额》（桂建标〔2018〕37</w:t>
      </w:r>
      <w:r>
        <w:rPr>
          <w:rFonts w:hint="eastAsia" w:ascii="仿宋_GB2312" w:hAnsi="仿宋_GB2312" w:eastAsia="仿宋_GB2312" w:cs="仿宋_GB2312"/>
          <w:color w:val="auto"/>
          <w:spacing w:val="-5"/>
          <w:sz w:val="30"/>
          <w:szCs w:val="30"/>
          <w:highlight w:val="none"/>
          <w:u w:val="single"/>
        </w:rPr>
        <w:t>号)等。</w:t>
      </w:r>
      <w:r>
        <w:rPr>
          <w:rFonts w:hint="eastAsia" w:ascii="仿宋_GB2312" w:hAnsi="仿宋_GB2312" w:eastAsia="仿宋_GB2312" w:cs="仿宋_GB2312"/>
          <w:color w:val="auto"/>
          <w:sz w:val="30"/>
          <w:szCs w:val="30"/>
          <w:highlight w:val="none"/>
          <w:u w:val="single"/>
        </w:rPr>
        <w:t>如有最新的规范性文件按最新的执行</w:t>
      </w:r>
      <w:r>
        <w:rPr>
          <w:rFonts w:hint="eastAsia" w:ascii="仿宋_GB2312" w:hAnsi="仿宋_GB2312" w:eastAsia="仿宋_GB2312" w:cs="仿宋_GB2312"/>
          <w:color w:val="auto"/>
          <w:sz w:val="30"/>
          <w:szCs w:val="30"/>
          <w:highlight w:val="none"/>
        </w:rPr>
        <w:t>。</w:t>
      </w:r>
    </w:p>
    <w:p w14:paraId="28B6ED47">
      <w:pPr>
        <w:pStyle w:val="8"/>
        <w:spacing w:before="120" w:after="120"/>
        <w:ind w:firstLine="602"/>
        <w:rPr>
          <w:rFonts w:ascii="Times New Roman" w:hAnsi="Times New Roman" w:eastAsia="黑体"/>
          <w:color w:val="auto"/>
          <w:sz w:val="30"/>
          <w:highlight w:val="none"/>
        </w:rPr>
      </w:pPr>
      <w:bookmarkStart w:id="1301" w:name="_Toc4045"/>
      <w:bookmarkStart w:id="1302" w:name="_Toc256000298"/>
      <w:r>
        <w:rPr>
          <w:rFonts w:ascii="Times New Roman" w:hAnsi="Times New Roman" w:eastAsia="黑体"/>
          <w:color w:val="auto"/>
          <w:sz w:val="30"/>
          <w:highlight w:val="none"/>
        </w:rPr>
        <w:t>1.4 技术标准</w:t>
      </w:r>
      <w:bookmarkEnd w:id="1301"/>
      <w:bookmarkEnd w:id="1302"/>
    </w:p>
    <w:p w14:paraId="0EFE164D">
      <w:pPr>
        <w:pStyle w:val="79"/>
        <w:spacing w:after="0" w:line="360" w:lineRule="auto"/>
        <w:ind w:firstLine="584" w:firstLineChars="200"/>
        <w:rPr>
          <w:rFonts w:ascii="仿宋_GB2312" w:hAnsi="仿宋_GB2312" w:eastAsia="仿宋_GB2312" w:cs="仿宋_GB2312"/>
          <w:color w:val="auto"/>
          <w:spacing w:val="-4"/>
          <w:sz w:val="30"/>
          <w:szCs w:val="30"/>
          <w:highlight w:val="none"/>
        </w:rPr>
      </w:pPr>
      <w:bookmarkStart w:id="1303" w:name="_Toc256000299"/>
      <w:r>
        <w:rPr>
          <w:rFonts w:hint="eastAsia" w:ascii="仿宋_GB2312" w:hAnsi="仿宋_GB2312" w:eastAsia="仿宋_GB2312" w:cs="仿宋_GB2312"/>
          <w:color w:val="auto"/>
          <w:spacing w:val="-4"/>
          <w:sz w:val="30"/>
          <w:szCs w:val="30"/>
          <w:highlight w:val="none"/>
        </w:rPr>
        <w:t>1.4.1  适用于工程的技术标准包括：</w:t>
      </w:r>
      <w:r>
        <w:rPr>
          <w:rFonts w:hint="eastAsia" w:ascii="仿宋_GB2312" w:hAnsi="仿宋_GB2312" w:eastAsia="仿宋_GB2312" w:cs="仿宋_GB2312"/>
          <w:color w:val="auto"/>
          <w:spacing w:val="-4"/>
          <w:sz w:val="30"/>
          <w:szCs w:val="30"/>
          <w:highlight w:val="none"/>
          <w:u w:val="single"/>
        </w:rPr>
        <w:t>国家、地方及行业现行有关规范及设计标准。</w:t>
      </w:r>
      <w:bookmarkEnd w:id="1303"/>
    </w:p>
    <w:p w14:paraId="1147E6B7">
      <w:pPr>
        <w:pStyle w:val="79"/>
        <w:spacing w:after="0" w:line="360" w:lineRule="auto"/>
        <w:ind w:firstLine="584" w:firstLineChars="200"/>
        <w:rPr>
          <w:rFonts w:ascii="仿宋_GB2312" w:hAnsi="仿宋_GB2312" w:eastAsia="仿宋_GB2312" w:cs="仿宋_GB2312"/>
          <w:color w:val="auto"/>
          <w:spacing w:val="-2"/>
          <w:sz w:val="30"/>
          <w:szCs w:val="30"/>
          <w:highlight w:val="none"/>
        </w:rPr>
      </w:pPr>
      <w:bookmarkStart w:id="1304" w:name="_Toc23749"/>
      <w:bookmarkStart w:id="1305" w:name="_Toc256000300"/>
      <w:r>
        <w:rPr>
          <w:rFonts w:hint="eastAsia" w:ascii="仿宋_GB2312" w:hAnsi="仿宋_GB2312" w:eastAsia="仿宋_GB2312" w:cs="仿宋_GB2312"/>
          <w:color w:val="auto"/>
          <w:spacing w:val="-4"/>
          <w:sz w:val="30"/>
          <w:szCs w:val="30"/>
          <w:highlight w:val="none"/>
        </w:rPr>
        <w:t>1.4.2国外技术标准原文版本</w:t>
      </w:r>
      <w:r>
        <w:rPr>
          <w:rFonts w:hint="eastAsia" w:ascii="仿宋_GB2312" w:hAnsi="仿宋_GB2312" w:eastAsia="仿宋_GB2312" w:cs="仿宋_GB2312"/>
          <w:color w:val="auto"/>
          <w:spacing w:val="-1"/>
          <w:sz w:val="30"/>
          <w:szCs w:val="30"/>
          <w:highlight w:val="none"/>
        </w:rPr>
        <w:t>和</w:t>
      </w:r>
      <w:r>
        <w:rPr>
          <w:rFonts w:hint="eastAsia" w:ascii="仿宋_GB2312" w:hAnsi="仿宋_GB2312" w:eastAsia="仿宋_GB2312" w:cs="仿宋_GB2312"/>
          <w:color w:val="auto"/>
          <w:spacing w:val="-4"/>
          <w:sz w:val="30"/>
          <w:szCs w:val="30"/>
          <w:highlight w:val="none"/>
        </w:rPr>
        <w:t>中文</w:t>
      </w:r>
      <w:r>
        <w:rPr>
          <w:rFonts w:hint="eastAsia" w:ascii="仿宋_GB2312" w:hAnsi="仿宋_GB2312" w:eastAsia="仿宋_GB2312" w:cs="仿宋_GB2312"/>
          <w:color w:val="auto"/>
          <w:spacing w:val="-1"/>
          <w:sz w:val="30"/>
          <w:szCs w:val="30"/>
          <w:highlight w:val="none"/>
        </w:rPr>
        <w:t>译本的提供方：</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bookmarkEnd w:id="1304"/>
      <w:bookmarkEnd w:id="1305"/>
    </w:p>
    <w:p w14:paraId="79CCAD3D">
      <w:pPr>
        <w:spacing w:line="360" w:lineRule="auto"/>
        <w:ind w:firstLine="600" w:firstLineChars="200"/>
        <w:rPr>
          <w:rFonts w:ascii="仿宋_GB2312" w:hAnsi="仿宋_GB2312" w:eastAsia="仿宋_GB2312" w:cs="仿宋_GB2312"/>
          <w:color w:val="auto"/>
          <w:sz w:val="30"/>
          <w:szCs w:val="30"/>
          <w:highlight w:val="none"/>
        </w:rPr>
      </w:pPr>
      <w:bookmarkStart w:id="1306" w:name="_Toc30665"/>
      <w:bookmarkStart w:id="1307" w:name="_Toc256000301"/>
      <w:r>
        <w:rPr>
          <w:rFonts w:hint="eastAsia" w:ascii="仿宋_GB2312" w:hAnsi="仿宋_GB2312" w:eastAsia="仿宋_GB2312" w:cs="仿宋_GB2312"/>
          <w:color w:val="auto"/>
          <w:sz w:val="30"/>
          <w:szCs w:val="30"/>
          <w:highlight w:val="none"/>
        </w:rPr>
        <w:t>提供国外技术标准的名称：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06"/>
      <w:bookmarkEnd w:id="1307"/>
    </w:p>
    <w:p w14:paraId="341FBC8B">
      <w:pPr>
        <w:spacing w:line="360" w:lineRule="auto"/>
        <w:ind w:firstLine="600" w:firstLineChars="200"/>
        <w:rPr>
          <w:rFonts w:ascii="仿宋_GB2312" w:hAnsi="仿宋_GB2312" w:eastAsia="仿宋_GB2312" w:cs="仿宋_GB2312"/>
          <w:color w:val="auto"/>
          <w:sz w:val="30"/>
          <w:szCs w:val="30"/>
          <w:highlight w:val="none"/>
        </w:rPr>
      </w:pPr>
      <w:bookmarkStart w:id="1308" w:name="_Toc9844"/>
      <w:bookmarkStart w:id="1309" w:name="_Toc256000302"/>
      <w:r>
        <w:rPr>
          <w:rFonts w:hint="eastAsia" w:ascii="仿宋_GB2312" w:hAnsi="仿宋_GB2312" w:eastAsia="仿宋_GB2312" w:cs="仿宋_GB2312"/>
          <w:color w:val="auto"/>
          <w:sz w:val="30"/>
          <w:szCs w:val="30"/>
          <w:highlight w:val="none"/>
        </w:rPr>
        <w:t>提供国外技术标准的份数：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08"/>
      <w:bookmarkEnd w:id="1309"/>
    </w:p>
    <w:p w14:paraId="71E0BC6E">
      <w:pPr>
        <w:spacing w:line="360" w:lineRule="auto"/>
        <w:ind w:firstLine="600" w:firstLineChars="200"/>
        <w:rPr>
          <w:rFonts w:ascii="仿宋_GB2312" w:hAnsi="仿宋_GB2312" w:eastAsia="仿宋_GB2312" w:cs="仿宋_GB2312"/>
          <w:color w:val="auto"/>
          <w:sz w:val="30"/>
          <w:szCs w:val="30"/>
          <w:highlight w:val="none"/>
        </w:rPr>
      </w:pPr>
      <w:bookmarkStart w:id="1310" w:name="_Toc24890"/>
      <w:bookmarkStart w:id="1311" w:name="_Toc256000303"/>
      <w:r>
        <w:rPr>
          <w:rFonts w:hint="eastAsia" w:ascii="仿宋_GB2312" w:hAnsi="仿宋_GB2312" w:eastAsia="仿宋_GB2312" w:cs="仿宋_GB2312"/>
          <w:color w:val="auto"/>
          <w:sz w:val="30"/>
          <w:szCs w:val="30"/>
          <w:highlight w:val="none"/>
        </w:rPr>
        <w:t>提供国外技术标准的时间：</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0"/>
      <w:bookmarkEnd w:id="1311"/>
    </w:p>
    <w:p w14:paraId="43924278">
      <w:pPr>
        <w:spacing w:line="360" w:lineRule="auto"/>
        <w:ind w:firstLine="600" w:firstLineChars="200"/>
        <w:rPr>
          <w:rFonts w:ascii="仿宋_GB2312" w:hAnsi="仿宋_GB2312" w:eastAsia="仿宋_GB2312" w:cs="仿宋_GB2312"/>
          <w:color w:val="auto"/>
          <w:sz w:val="30"/>
          <w:szCs w:val="30"/>
          <w:highlight w:val="none"/>
        </w:rPr>
      </w:pPr>
      <w:bookmarkStart w:id="1312" w:name="_Toc256000304"/>
      <w:bookmarkStart w:id="1313" w:name="_Toc19142"/>
      <w:r>
        <w:rPr>
          <w:rFonts w:hint="eastAsia" w:ascii="仿宋_GB2312" w:hAnsi="仿宋_GB2312" w:eastAsia="仿宋_GB2312" w:cs="仿宋_GB2312"/>
          <w:color w:val="auto"/>
          <w:sz w:val="30"/>
          <w:szCs w:val="30"/>
          <w:highlight w:val="none"/>
        </w:rPr>
        <w:t>提供国外技术标准的费用承担：</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2"/>
      <w:bookmarkEnd w:id="1313"/>
    </w:p>
    <w:p w14:paraId="09E46CF8">
      <w:pPr>
        <w:pStyle w:val="81"/>
        <w:spacing w:line="360" w:lineRule="auto"/>
        <w:ind w:firstLine="616" w:firstLineChars="200"/>
        <w:rPr>
          <w:rFonts w:ascii="仿宋_GB2312" w:hAnsi="仿宋_GB2312" w:eastAsia="仿宋_GB2312" w:cs="仿宋_GB2312"/>
          <w:color w:val="auto"/>
          <w:spacing w:val="4"/>
          <w:sz w:val="30"/>
          <w:szCs w:val="30"/>
          <w:highlight w:val="none"/>
        </w:rPr>
      </w:pPr>
      <w:bookmarkStart w:id="1314" w:name="_Toc13815"/>
      <w:bookmarkStart w:id="1315" w:name="_Toc256000305"/>
      <w:r>
        <w:rPr>
          <w:rFonts w:hint="eastAsia" w:ascii="仿宋_GB2312" w:hAnsi="仿宋_GB2312" w:eastAsia="仿宋_GB2312" w:cs="仿宋_GB2312"/>
          <w:color w:val="auto"/>
          <w:spacing w:val="4"/>
          <w:sz w:val="30"/>
          <w:szCs w:val="30"/>
          <w:highlight w:val="none"/>
        </w:rPr>
        <w:t>1.4.3  发包人对工程的技术标准和功能要求的特殊要求：</w:t>
      </w:r>
      <w:r>
        <w:rPr>
          <w:rFonts w:hint="eastAsia" w:ascii="仿宋_GB2312" w:hAnsi="仿宋_GB2312" w:eastAsia="仿宋_GB2312" w:cs="仿宋_GB2312"/>
          <w:color w:val="auto"/>
          <w:spacing w:val="4"/>
          <w:sz w:val="30"/>
          <w:szCs w:val="30"/>
          <w:highlight w:val="none"/>
          <w:u w:val="single"/>
        </w:rPr>
        <w:t>符合国家规定的工程设计质量标准、深度要求和现行技术规范、规程要求，并通过国家相关部门组织的审查。</w:t>
      </w:r>
      <w:bookmarkEnd w:id="1314"/>
      <w:bookmarkEnd w:id="1315"/>
    </w:p>
    <w:p w14:paraId="703ACDCC">
      <w:pPr>
        <w:pStyle w:val="8"/>
        <w:spacing w:before="120" w:after="120"/>
        <w:ind w:firstLine="602"/>
        <w:rPr>
          <w:rFonts w:ascii="Times New Roman" w:hAnsi="Times New Roman" w:eastAsia="黑体"/>
          <w:color w:val="auto"/>
          <w:sz w:val="30"/>
          <w:highlight w:val="none"/>
        </w:rPr>
      </w:pPr>
      <w:bookmarkStart w:id="1316" w:name="_Toc256000306"/>
      <w:bookmarkStart w:id="1317" w:name="_Toc23703"/>
      <w:r>
        <w:rPr>
          <w:rFonts w:ascii="Times New Roman" w:hAnsi="Times New Roman" w:eastAsia="黑体"/>
          <w:color w:val="auto"/>
          <w:sz w:val="30"/>
          <w:highlight w:val="none"/>
        </w:rPr>
        <w:t>1.5 合同文件的优先顺序</w:t>
      </w:r>
      <w:bookmarkEnd w:id="1316"/>
      <w:bookmarkEnd w:id="1317"/>
    </w:p>
    <w:p w14:paraId="11A33DBB">
      <w:pPr>
        <w:pStyle w:val="78"/>
        <w:spacing w:line="360" w:lineRule="auto"/>
        <w:ind w:firstLine="616" w:firstLineChars="200"/>
        <w:jc w:val="left"/>
        <w:rPr>
          <w:rFonts w:ascii="仿宋_GB2312" w:hAnsi="仿宋_GB2312" w:eastAsia="仿宋_GB2312" w:cs="仿宋_GB2312"/>
          <w:color w:val="auto"/>
          <w:spacing w:val="4"/>
          <w:sz w:val="30"/>
          <w:szCs w:val="30"/>
          <w:highlight w:val="none"/>
        </w:rPr>
      </w:pPr>
      <w:bookmarkStart w:id="1318" w:name="_Toc20748"/>
      <w:bookmarkStart w:id="1319" w:name="_Toc256000307"/>
      <w:r>
        <w:rPr>
          <w:rFonts w:hint="eastAsia" w:ascii="仿宋_GB2312" w:hAnsi="仿宋_GB2312" w:eastAsia="仿宋_GB2312" w:cs="仿宋_GB2312"/>
          <w:color w:val="auto"/>
          <w:spacing w:val="4"/>
          <w:sz w:val="30"/>
          <w:szCs w:val="30"/>
          <w:highlight w:val="none"/>
        </w:rPr>
        <w:t>1.5.1合同文件组成及优先顺序为：</w:t>
      </w:r>
    </w:p>
    <w:p w14:paraId="2083A39D">
      <w:pPr>
        <w:pStyle w:val="78"/>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0C5708C5">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7E7917E5">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1888D586">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48A9AEB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3A33C9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11728F4D">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75D1B8F8">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2631D99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5BE51EAC">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426F238C">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5036DE1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（12）投标文件（如有）；</w:t>
      </w:r>
    </w:p>
    <w:p w14:paraId="5032EF1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6F2C7150">
      <w:pPr>
        <w:pStyle w:val="82"/>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1.5.2 上述合同文件互相补充和解释。如果合同文件之间存在矛盾或不一致之处，以上述文件的排列顺序在先者为准。</w:t>
      </w:r>
    </w:p>
    <w:p w14:paraId="0F36332F">
      <w:pPr>
        <w:pStyle w:val="82"/>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1.5.3 上述各项合同文件包括合同当事人就该项合同文件所作出的补充和修改，属于同一类内容的文件，应以最新签署的为准。</w:t>
      </w:r>
    </w:p>
    <w:bookmarkEnd w:id="1318"/>
    <w:bookmarkEnd w:id="1319"/>
    <w:p w14:paraId="331DD2AB">
      <w:pPr>
        <w:pStyle w:val="8"/>
        <w:spacing w:before="120"/>
        <w:ind w:firstLine="602"/>
        <w:rPr>
          <w:rFonts w:ascii="Times New Roman" w:hAnsi="Times New Roman" w:eastAsia="黑体"/>
          <w:color w:val="auto"/>
          <w:sz w:val="30"/>
          <w:highlight w:val="none"/>
        </w:rPr>
      </w:pPr>
      <w:bookmarkStart w:id="1320" w:name="_Toc6108"/>
      <w:bookmarkStart w:id="1321" w:name="_Toc256000308"/>
      <w:r>
        <w:rPr>
          <w:rFonts w:ascii="Times New Roman" w:hAnsi="Times New Roman" w:eastAsia="黑体"/>
          <w:color w:val="auto"/>
          <w:sz w:val="30"/>
          <w:highlight w:val="none"/>
        </w:rPr>
        <w:t>1.6联络</w:t>
      </w:r>
      <w:bookmarkEnd w:id="1320"/>
      <w:bookmarkEnd w:id="1321"/>
    </w:p>
    <w:p w14:paraId="72C0C9BC">
      <w:pPr>
        <w:spacing w:line="360" w:lineRule="auto"/>
        <w:ind w:firstLine="600" w:firstLineChars="200"/>
        <w:rPr>
          <w:rFonts w:ascii="仿宋_GB2312" w:hAnsi="仿宋_GB2312" w:eastAsia="仿宋_GB2312" w:cs="仿宋_GB2312"/>
          <w:color w:val="auto"/>
          <w:sz w:val="30"/>
          <w:szCs w:val="30"/>
          <w:highlight w:val="none"/>
        </w:rPr>
      </w:pPr>
      <w:bookmarkStart w:id="1322" w:name="_Toc256000309"/>
      <w:bookmarkStart w:id="1323" w:name="_Toc32591"/>
      <w:r>
        <w:rPr>
          <w:rFonts w:hint="eastAsia" w:ascii="仿宋_GB2312" w:hAnsi="仿宋_GB2312" w:eastAsia="仿宋_GB2312" w:cs="仿宋_GB2312"/>
          <w:color w:val="auto"/>
          <w:sz w:val="30"/>
          <w:szCs w:val="30"/>
          <w:highlight w:val="none"/>
        </w:rPr>
        <w:t>1.6.1  发包人和设计人应当在</w:t>
      </w:r>
      <w:r>
        <w:rPr>
          <w:rFonts w:hint="eastAsia" w:ascii="仿宋_GB2312" w:hAnsi="仿宋_GB2312" w:eastAsia="仿宋_GB2312" w:cs="仿宋_GB2312"/>
          <w:color w:val="auto"/>
          <w:sz w:val="30"/>
          <w:szCs w:val="30"/>
          <w:highlight w:val="none"/>
          <w:u w:val="single"/>
        </w:rPr>
        <w:t xml:space="preserve"> 5 </w:t>
      </w:r>
      <w:r>
        <w:rPr>
          <w:rFonts w:hint="eastAsia" w:ascii="仿宋_GB2312" w:hAnsi="仿宋_GB2312" w:eastAsia="仿宋_GB2312" w:cs="仿宋_GB2312"/>
          <w:color w:val="auto"/>
          <w:sz w:val="30"/>
          <w:szCs w:val="30"/>
          <w:highlight w:val="none"/>
        </w:rPr>
        <w:t>天内将与合同有关的通知、批准、证明、证书、指示、指令、要求、请求、同意、确定和决定等书面函件通过当面送交、邮政快递、电子邮件等方式按下列指定的联系信息送达对方当事人。</w:t>
      </w:r>
      <w:bookmarkEnd w:id="1322"/>
      <w:bookmarkEnd w:id="1323"/>
    </w:p>
    <w:p w14:paraId="65AC61FD">
      <w:pPr>
        <w:pStyle w:val="8"/>
        <w:spacing w:before="120"/>
        <w:ind w:firstLine="602"/>
        <w:rPr>
          <w:rFonts w:ascii="Times New Roman" w:hAnsi="Times New Roman" w:eastAsia="黑体"/>
          <w:color w:val="auto"/>
          <w:sz w:val="30"/>
          <w:highlight w:val="none"/>
        </w:rPr>
      </w:pPr>
      <w:bookmarkStart w:id="1324" w:name="_Toc256000311"/>
      <w:bookmarkStart w:id="1325" w:name="_Toc30906"/>
      <w:r>
        <w:rPr>
          <w:rFonts w:ascii="Times New Roman" w:hAnsi="Times New Roman" w:eastAsia="黑体"/>
          <w:color w:val="auto"/>
          <w:sz w:val="30"/>
          <w:highlight w:val="none"/>
        </w:rPr>
        <w:t>1.8保密</w:t>
      </w:r>
      <w:bookmarkEnd w:id="1324"/>
      <w:bookmarkEnd w:id="1325"/>
    </w:p>
    <w:p w14:paraId="08C1936E">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保密义务：双方均应保护对方的知识产权，未经对方同意，任何一方均不得对对方的资料及文件擅自修改、复制或向第三方转让或用于本合同项目外的项目。如发生以上情况，泄密方承担一切由此引起的后果并承担赔偿责任。</w:t>
      </w:r>
    </w:p>
    <w:p w14:paraId="4D0820A1">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本保密条款为持续性条款，无论本合同变更、中止、解除、终止或无效，均不影响保密条款的有效性。</w:t>
      </w:r>
    </w:p>
    <w:p w14:paraId="4FD5AB4D">
      <w:pPr>
        <w:pStyle w:val="7"/>
        <w:keepNext/>
        <w:keepLines/>
        <w:ind w:firstLine="0" w:firstLineChars="0"/>
        <w:jc w:val="both"/>
        <w:rPr>
          <w:rFonts w:eastAsia="黑体"/>
          <w:bCs/>
          <w:color w:val="auto"/>
          <w:sz w:val="32"/>
          <w:highlight w:val="none"/>
        </w:rPr>
      </w:pPr>
      <w:bookmarkStart w:id="1326" w:name="_Toc1519"/>
      <w:bookmarkStart w:id="1327" w:name="_Toc9426"/>
      <w:bookmarkStart w:id="1328" w:name="_Toc20452"/>
      <w:bookmarkStart w:id="1329" w:name="_Toc256000312"/>
      <w:bookmarkStart w:id="1330" w:name="_Toc21809"/>
      <w:bookmarkStart w:id="1331" w:name="_Toc1613"/>
      <w:r>
        <w:rPr>
          <w:rFonts w:eastAsia="黑体"/>
          <w:bCs/>
          <w:color w:val="auto"/>
          <w:sz w:val="32"/>
          <w:highlight w:val="none"/>
        </w:rPr>
        <w:t>2.发包人</w:t>
      </w:r>
      <w:bookmarkEnd w:id="1326"/>
      <w:bookmarkEnd w:id="1327"/>
      <w:bookmarkEnd w:id="1328"/>
      <w:bookmarkEnd w:id="1329"/>
      <w:bookmarkEnd w:id="1330"/>
      <w:bookmarkEnd w:id="1331"/>
    </w:p>
    <w:p w14:paraId="25AB22B7">
      <w:pPr>
        <w:pStyle w:val="8"/>
        <w:spacing w:before="120"/>
        <w:ind w:firstLine="602"/>
        <w:rPr>
          <w:rFonts w:ascii="Times New Roman" w:hAnsi="Times New Roman" w:eastAsia="黑体"/>
          <w:color w:val="auto"/>
          <w:sz w:val="30"/>
          <w:highlight w:val="none"/>
        </w:rPr>
      </w:pPr>
      <w:bookmarkStart w:id="1332" w:name="_Toc32206"/>
      <w:bookmarkStart w:id="1333" w:name="_Toc256000313"/>
      <w:r>
        <w:rPr>
          <w:rFonts w:ascii="Times New Roman" w:hAnsi="Times New Roman" w:eastAsia="黑体"/>
          <w:color w:val="auto"/>
          <w:sz w:val="30"/>
          <w:highlight w:val="none"/>
        </w:rPr>
        <w:t>2.1 发包人一般义务</w:t>
      </w:r>
      <w:bookmarkEnd w:id="1332"/>
      <w:bookmarkEnd w:id="1333"/>
    </w:p>
    <w:p w14:paraId="4101C80B">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  发包人其他义务：</w:t>
      </w:r>
    </w:p>
    <w:p w14:paraId="4D240ADE">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2.1.3.1  发包人应在规定的时间内向设计人提交基础资料及文件，并对其完整性、正确性及时限性负责。发包人不得要求设计人违反国家有关标准进行设计。发包人提交上述资料及文件超过规定期限</w:t>
      </w:r>
      <w:r>
        <w:rPr>
          <w:rFonts w:hint="eastAsia" w:ascii="仿宋_GB2312" w:hAnsi="仿宋_GB2312" w:eastAsia="仿宋_GB2312" w:cs="仿宋_GB2312"/>
          <w:color w:val="auto"/>
          <w:spacing w:val="4"/>
          <w:sz w:val="30"/>
          <w:szCs w:val="30"/>
          <w:highlight w:val="none"/>
          <w:u w:val="single"/>
        </w:rPr>
        <w:t xml:space="preserve"> 15 </w:t>
      </w:r>
      <w:r>
        <w:rPr>
          <w:rFonts w:hint="eastAsia" w:ascii="仿宋_GB2312" w:hAnsi="仿宋_GB2312" w:eastAsia="仿宋_GB2312" w:cs="仿宋_GB2312"/>
          <w:color w:val="auto"/>
          <w:spacing w:val="4"/>
          <w:sz w:val="30"/>
          <w:szCs w:val="30"/>
          <w:highlight w:val="none"/>
        </w:rPr>
        <w:t>天以内，设计人按本合同第七条规定的交付设计文件时间顺延。</w:t>
      </w:r>
    </w:p>
    <w:p w14:paraId="7CDD9087">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2.1.3.2 发包人变更委托设计项目、规模、条件或因提交的资料错误，或所提交资料作较大修改，以致造成设计人设计返工时，双方需另行协商签订补充协议（或另订合同）重新明确有关条款。</w:t>
      </w:r>
    </w:p>
    <w:p w14:paraId="3EDAF1C1">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 xml:space="preserve"> 2.1.3.3  在合同履行期间，发包人无故要求解除合同时，已开始设计工作的，按经甲乙双方确认实际完成的工作量结算设计费。</w:t>
      </w:r>
    </w:p>
    <w:p w14:paraId="24381B67">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2.1.3.4 发包人应按本合同规定的金额和日期向设计人支付设计费。</w:t>
      </w:r>
    </w:p>
    <w:p w14:paraId="69937729">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2.1.3.5  发包人要求设计人比合同规定时间提前交付设计文件时，须征得设计人同意，不得严重背离合理设计周期。</w:t>
      </w:r>
    </w:p>
    <w:p w14:paraId="494BA3E9">
      <w:pPr>
        <w:pStyle w:val="8"/>
        <w:spacing w:before="120"/>
        <w:ind w:firstLine="602"/>
        <w:rPr>
          <w:rFonts w:ascii="Times New Roman" w:hAnsi="Times New Roman" w:eastAsia="黑体"/>
          <w:color w:val="auto"/>
          <w:sz w:val="30"/>
          <w:highlight w:val="none"/>
        </w:rPr>
      </w:pPr>
      <w:bookmarkStart w:id="1334" w:name="_Toc256000314"/>
      <w:bookmarkStart w:id="1335" w:name="_Toc5193"/>
      <w:r>
        <w:rPr>
          <w:rFonts w:ascii="Times New Roman" w:hAnsi="Times New Roman" w:eastAsia="黑体"/>
          <w:color w:val="auto"/>
          <w:sz w:val="30"/>
          <w:highlight w:val="none"/>
        </w:rPr>
        <w:t>2.2 发包人代表</w:t>
      </w:r>
      <w:bookmarkEnd w:id="1334"/>
      <w:bookmarkEnd w:id="1335"/>
    </w:p>
    <w:p w14:paraId="5B4C769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A7DBC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姓    名：</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65CBB7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身份证号：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5A1391D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职    务：</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3919B4D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联系电话：</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737AE0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B484AF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通信地址：</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6A15E39">
      <w:pPr>
        <w:pStyle w:val="79"/>
        <w:spacing w:after="0" w:line="360" w:lineRule="auto"/>
        <w:ind w:firstLine="42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发包人对发包人代表的授权范围如下：</w:t>
      </w:r>
      <w:r>
        <w:rPr>
          <w:rFonts w:hint="eastAsia" w:ascii="仿宋_GB2312" w:hAnsi="仿宋_GB2312" w:eastAsia="仿宋_GB2312" w:cs="仿宋_GB2312"/>
          <w:color w:val="auto"/>
          <w:spacing w:val="1"/>
          <w:sz w:val="30"/>
          <w:szCs w:val="30"/>
          <w:highlight w:val="none"/>
          <w:u w:val="single"/>
        </w:rPr>
        <w:t>发包人代表在发包人的授权范围内，负责处理合同履行过程中与发包人有关的具体事宜</w:t>
      </w:r>
      <w:r>
        <w:rPr>
          <w:rFonts w:hint="eastAsia" w:ascii="仿宋_GB2312" w:hAnsi="仿宋_GB2312" w:eastAsia="仿宋_GB2312" w:cs="仿宋_GB2312"/>
          <w:color w:val="auto"/>
          <w:spacing w:val="-1"/>
          <w:sz w:val="30"/>
          <w:szCs w:val="30"/>
          <w:highlight w:val="none"/>
        </w:rPr>
        <w:t>。</w:t>
      </w:r>
    </w:p>
    <w:p w14:paraId="6483031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发包人更换发包人代表的，应当提前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w:t>
      </w:r>
      <w:r>
        <w:rPr>
          <w:rFonts w:hint="eastAsia" w:ascii="仿宋_GB2312" w:hAnsi="仿宋_GB2312" w:eastAsia="仿宋_GB2312" w:cs="仿宋_GB2312"/>
          <w:color w:val="auto"/>
          <w:spacing w:val="-1"/>
          <w:sz w:val="30"/>
          <w:szCs w:val="30"/>
          <w:highlight w:val="none"/>
        </w:rPr>
        <w:t>书面</w:t>
      </w:r>
      <w:r>
        <w:rPr>
          <w:rFonts w:hint="eastAsia" w:ascii="仿宋_GB2312" w:hAnsi="仿宋_GB2312" w:eastAsia="仿宋_GB2312" w:cs="仿宋_GB2312"/>
          <w:color w:val="auto"/>
          <w:sz w:val="30"/>
          <w:szCs w:val="30"/>
          <w:highlight w:val="none"/>
        </w:rPr>
        <w:t>通知设计人。</w:t>
      </w:r>
    </w:p>
    <w:p w14:paraId="362298EF">
      <w:pPr>
        <w:pStyle w:val="8"/>
        <w:spacing w:before="120"/>
        <w:ind w:firstLine="602"/>
        <w:rPr>
          <w:rFonts w:ascii="Times New Roman" w:hAnsi="Times New Roman" w:eastAsia="黑体"/>
          <w:color w:val="auto"/>
          <w:sz w:val="30"/>
          <w:highlight w:val="none"/>
        </w:rPr>
      </w:pPr>
      <w:bookmarkStart w:id="1336" w:name="_Toc256000315"/>
      <w:bookmarkStart w:id="1337" w:name="_Toc210"/>
      <w:r>
        <w:rPr>
          <w:rFonts w:ascii="Times New Roman" w:hAnsi="Times New Roman" w:eastAsia="黑体"/>
          <w:color w:val="auto"/>
          <w:sz w:val="30"/>
          <w:highlight w:val="none"/>
        </w:rPr>
        <w:t>2.3 发包人决定</w:t>
      </w:r>
      <w:bookmarkEnd w:id="1336"/>
      <w:bookmarkEnd w:id="1337"/>
    </w:p>
    <w:p w14:paraId="177C2704">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2.3.2  发包人应在</w:t>
      </w:r>
      <w:r>
        <w:rPr>
          <w:rFonts w:hint="eastAsia" w:ascii="仿宋_GB2312" w:hAnsi="仿宋_GB2312" w:eastAsia="仿宋_GB2312" w:cs="仿宋_GB2312"/>
          <w:color w:val="auto"/>
          <w:spacing w:val="-1"/>
          <w:sz w:val="30"/>
          <w:szCs w:val="30"/>
          <w:highlight w:val="none"/>
          <w:u w:val="single"/>
        </w:rPr>
        <w:t>15</w:t>
      </w:r>
      <w:r>
        <w:rPr>
          <w:rFonts w:hint="eastAsia" w:ascii="仿宋_GB2312" w:hAnsi="仿宋_GB2312" w:eastAsia="仿宋_GB2312" w:cs="仿宋_GB2312"/>
          <w:color w:val="auto"/>
          <w:spacing w:val="-1"/>
          <w:sz w:val="30"/>
          <w:szCs w:val="30"/>
          <w:highlight w:val="none"/>
        </w:rPr>
        <w:t>天内对设计人书</w:t>
      </w:r>
      <w:r>
        <w:rPr>
          <w:rFonts w:hint="eastAsia" w:ascii="仿宋_GB2312" w:hAnsi="仿宋_GB2312" w:eastAsia="仿宋_GB2312" w:cs="仿宋_GB2312"/>
          <w:color w:val="auto"/>
          <w:spacing w:val="-2"/>
          <w:sz w:val="30"/>
          <w:szCs w:val="30"/>
          <w:highlight w:val="none"/>
        </w:rPr>
        <w:t>面提出的事项作出书面决定。</w:t>
      </w:r>
    </w:p>
    <w:p w14:paraId="2C319C5F">
      <w:pPr>
        <w:pStyle w:val="7"/>
        <w:keepNext/>
        <w:keepLines/>
        <w:ind w:firstLine="0" w:firstLineChars="0"/>
        <w:jc w:val="both"/>
        <w:rPr>
          <w:rFonts w:eastAsia="黑体"/>
          <w:bCs/>
          <w:color w:val="auto"/>
          <w:sz w:val="32"/>
          <w:highlight w:val="none"/>
        </w:rPr>
      </w:pPr>
      <w:bookmarkStart w:id="1338" w:name="_Toc12524"/>
      <w:bookmarkStart w:id="1339" w:name="_Toc25525"/>
      <w:bookmarkStart w:id="1340" w:name="_Toc17235"/>
      <w:bookmarkStart w:id="1341" w:name="_Toc6127"/>
      <w:bookmarkStart w:id="1342" w:name="_Toc26816"/>
      <w:r>
        <w:rPr>
          <w:rFonts w:eastAsia="黑体"/>
          <w:bCs/>
          <w:color w:val="auto"/>
          <w:sz w:val="32"/>
          <w:highlight w:val="none"/>
        </w:rPr>
        <w:t>3.设计人</w:t>
      </w:r>
      <w:bookmarkEnd w:id="1338"/>
      <w:bookmarkEnd w:id="1339"/>
      <w:bookmarkEnd w:id="1340"/>
      <w:bookmarkEnd w:id="1341"/>
      <w:bookmarkEnd w:id="1342"/>
    </w:p>
    <w:p w14:paraId="681F525F">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3.1设计人一般义务</w:t>
      </w:r>
    </w:p>
    <w:p w14:paraId="1819C2A9">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3.1.1  设计人</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i/>
          <w:iCs/>
          <w:color w:val="auto"/>
          <w:spacing w:val="-1"/>
          <w:sz w:val="30"/>
          <w:szCs w:val="30"/>
          <w:highlight w:val="none"/>
        </w:rPr>
        <w:t>（需/不需）</w:t>
      </w:r>
      <w:r>
        <w:rPr>
          <w:rFonts w:hint="eastAsia" w:ascii="仿宋_GB2312" w:hAnsi="仿宋_GB2312" w:eastAsia="仿宋_GB2312" w:cs="仿宋_GB2312"/>
          <w:color w:val="auto"/>
          <w:spacing w:val="-1"/>
          <w:sz w:val="30"/>
          <w:szCs w:val="30"/>
          <w:highlight w:val="none"/>
        </w:rPr>
        <w:t>配合发包人办理有关许可、批准或备案手续。</w:t>
      </w:r>
    </w:p>
    <w:p w14:paraId="1B4D976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3.1.2设计人其他义务：</w:t>
      </w:r>
    </w:p>
    <w:p w14:paraId="55184CCB">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 </w:instrText>
      </w:r>
      <w:r>
        <w:rPr>
          <w:color w:val="auto"/>
          <w:highlight w:val="none"/>
        </w:rPr>
        <w:fldChar w:fldCharType="separate"/>
      </w:r>
      <w:r>
        <w:rPr>
          <w:rFonts w:hint="eastAsia" w:ascii="仿宋_GB2312" w:hAnsi="仿宋_GB2312" w:eastAsia="仿宋_GB2312" w:cs="仿宋_GB2312"/>
          <w:color w:val="auto"/>
          <w:sz w:val="30"/>
          <w:szCs w:val="30"/>
          <w:highlight w:val="none"/>
        </w:rPr>
        <w:t>3.1.2.1</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设计人应按国家规定和合同约定的技术规范、标准进行设计，按本合同规定的内容、时</w:t>
      </w:r>
      <w:r>
        <w:rPr>
          <w:rFonts w:hint="eastAsia" w:ascii="仿宋_GB2312" w:hAnsi="仿宋_GB2312" w:eastAsia="仿宋_GB2312" w:cs="仿宋_GB2312"/>
          <w:color w:val="auto"/>
          <w:spacing w:val="-2"/>
          <w:sz w:val="30"/>
          <w:szCs w:val="30"/>
          <w:highlight w:val="none"/>
        </w:rPr>
        <w:t>间及份数向发包人交付设计文件（出现</w:t>
      </w:r>
      <w:r>
        <w:rPr>
          <w:color w:val="auto"/>
          <w:highlight w:val="none"/>
        </w:rPr>
        <w:fldChar w:fldCharType="begin"/>
      </w:r>
      <w:r>
        <w:rPr>
          <w:color w:val="auto"/>
          <w:highlight w:val="none"/>
        </w:rPr>
        <w:instrText xml:space="preserve"> HYPERLINK "2.1.1.1"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2.1.3.1</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"2.1.1.5"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2.1.3.5</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规定有关交付设计文件</w:t>
      </w:r>
      <w:r>
        <w:rPr>
          <w:rFonts w:hint="eastAsia" w:ascii="仿宋_GB2312" w:hAnsi="仿宋_GB2312" w:eastAsia="仿宋_GB2312" w:cs="仿宋_GB2312"/>
          <w:color w:val="auto"/>
          <w:spacing w:val="-5"/>
          <w:sz w:val="30"/>
          <w:szCs w:val="30"/>
          <w:highlight w:val="none"/>
        </w:rPr>
        <w:t>顺延的情况除外）。并对提交的设计文件的质量负责。</w:t>
      </w:r>
    </w:p>
    <w:p w14:paraId="39613A75">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"3.1.2.2"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3.1.2.2</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设计人应对其设计的准确度负责</w:t>
      </w:r>
      <w:r>
        <w:rPr>
          <w:rFonts w:hint="eastAsia" w:ascii="仿宋_GB2312" w:hAnsi="仿宋_GB2312" w:eastAsia="仿宋_GB2312" w:cs="仿宋_GB2312"/>
          <w:color w:val="auto"/>
          <w:spacing w:val="-3"/>
          <w:sz w:val="30"/>
          <w:szCs w:val="30"/>
          <w:highlight w:val="none"/>
        </w:rPr>
        <w:t>，在设计的基本条件、工艺、工法、规模不变的情况下，</w:t>
      </w:r>
      <w:r>
        <w:rPr>
          <w:rFonts w:hint="eastAsia" w:ascii="仿宋_GB2312" w:hAnsi="仿宋_GB2312" w:eastAsia="仿宋_GB2312" w:cs="仿宋_GB2312"/>
          <w:color w:val="auto"/>
          <w:spacing w:val="1"/>
          <w:sz w:val="30"/>
          <w:szCs w:val="30"/>
          <w:highlight w:val="none"/>
        </w:rPr>
        <w:t>原则上上一阶段的设计工程量应涵盖下一阶段的设计工程量，</w:t>
      </w:r>
      <w:r>
        <w:rPr>
          <w:rFonts w:ascii="仿宋_GB2312" w:hAnsi="仿宋_GB2312" w:eastAsia="仿宋_GB2312" w:cs="仿宋_GB2312"/>
          <w:color w:val="auto"/>
          <w:spacing w:val="1"/>
          <w:sz w:val="30"/>
          <w:szCs w:val="30"/>
          <w:highlight w:val="none"/>
        </w:rPr>
        <w:t>不应超过发包人提供的设计限额</w:t>
      </w:r>
      <w:r>
        <w:rPr>
          <w:rFonts w:hint="eastAsia" w:ascii="仿宋_GB2312" w:hAnsi="仿宋_GB2312" w:eastAsia="仿宋_GB2312" w:cs="仿宋_GB2312"/>
          <w:color w:val="auto"/>
          <w:sz w:val="30"/>
          <w:szCs w:val="30"/>
          <w:highlight w:val="none"/>
        </w:rPr>
        <w:t>。</w:t>
      </w:r>
    </w:p>
    <w:p w14:paraId="77A0C8F7">
      <w:pPr>
        <w:pStyle w:val="79"/>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"3.1.2.3"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3.1.2.3</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设计合理使用年限为按当前国家规范规定的使用年限。</w:t>
      </w:r>
    </w:p>
    <w:p w14:paraId="7FD32BFC">
      <w:pPr>
        <w:pStyle w:val="79"/>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设计人对设计文件出现的遗漏或错误负责修改或补充。</w:t>
      </w:r>
    </w:p>
    <w:p w14:paraId="7B1D87FD">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设计人应按合同约定时间交付设计资料及设计文件。</w:t>
      </w:r>
    </w:p>
    <w:p w14:paraId="342DBAB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"3.1.2.6"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3.1.2.6</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设计人交付设计文件后，按规定参加</w:t>
      </w:r>
      <w:r>
        <w:rPr>
          <w:rFonts w:hint="eastAsia" w:ascii="仿宋_GB2312" w:hAnsi="仿宋_GB2312" w:eastAsia="仿宋_GB2312" w:cs="仿宋_GB2312"/>
          <w:color w:val="auto"/>
          <w:spacing w:val="-3"/>
          <w:sz w:val="30"/>
          <w:szCs w:val="30"/>
          <w:highlight w:val="none"/>
        </w:rPr>
        <w:t>有关上级的设计审查，并根据审查结论做调整补充，</w:t>
      </w:r>
      <w:r>
        <w:rPr>
          <w:rFonts w:hint="eastAsia" w:ascii="仿宋_GB2312" w:hAnsi="仿宋_GB2312" w:eastAsia="仿宋_GB2312" w:cs="仿宋_GB2312"/>
          <w:color w:val="auto"/>
          <w:spacing w:val="-1"/>
          <w:sz w:val="30"/>
          <w:szCs w:val="30"/>
          <w:highlight w:val="none"/>
        </w:rPr>
        <w:t>向发包人及施工单位进行设计交底、处理有关设计问题和参加竣工验收。</w:t>
      </w:r>
    </w:p>
    <w:p w14:paraId="03ADA7CF">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"3.1.2.7" </w:instrText>
      </w:r>
      <w:r>
        <w:rPr>
          <w:color w:val="auto"/>
          <w:highlight w:val="none"/>
        </w:rPr>
        <w:fldChar w:fldCharType="separate"/>
      </w:r>
      <w:r>
        <w:rPr>
          <w:rFonts w:hint="eastAsia" w:ascii="仿宋_GB2312" w:hAnsi="仿宋_GB2312" w:eastAsia="仿宋_GB2312" w:cs="仿宋_GB2312"/>
          <w:color w:val="auto"/>
          <w:sz w:val="30"/>
          <w:szCs w:val="30"/>
          <w:highlight w:val="none"/>
        </w:rPr>
        <w:t>3.1.2.7</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设计人应按发包人及主管单位的要求积极组织各项与设计文件相关的评审或审查会，并</w:t>
      </w:r>
      <w:r>
        <w:rPr>
          <w:rFonts w:hint="eastAsia" w:ascii="仿宋_GB2312" w:hAnsi="仿宋_GB2312" w:eastAsia="仿宋_GB2312" w:cs="仿宋_GB2312"/>
          <w:color w:val="auto"/>
          <w:spacing w:val="-2"/>
          <w:sz w:val="30"/>
          <w:szCs w:val="30"/>
          <w:highlight w:val="none"/>
        </w:rPr>
        <w:t>承担全过程的相关费用。</w:t>
      </w:r>
    </w:p>
    <w:p w14:paraId="7E2317A2">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"3.1.2.8"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3.1.2.8</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设计人员需配合发包人共同完成工程招标及工程量清单编制等相关工作。</w:t>
      </w:r>
    </w:p>
    <w:p w14:paraId="5F9AEC6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"3.1.2.9" </w:instrText>
      </w:r>
      <w:r>
        <w:rPr>
          <w:color w:val="auto"/>
          <w:highlight w:val="none"/>
        </w:rPr>
        <w:fldChar w:fldCharType="separate"/>
      </w:r>
      <w:r>
        <w:rPr>
          <w:rFonts w:hint="eastAsia" w:ascii="仿宋_GB2312" w:hAnsi="仿宋_GB2312" w:eastAsia="仿宋_GB2312" w:cs="仿宋_GB2312"/>
          <w:color w:val="auto"/>
          <w:sz w:val="30"/>
          <w:szCs w:val="30"/>
          <w:highlight w:val="none"/>
        </w:rPr>
        <w:t>3.1.2.9</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项目在开展方案、施工图阶段时，设计人员配合发包人对专家、咨询</w:t>
      </w:r>
      <w:r>
        <w:rPr>
          <w:rFonts w:hint="eastAsia" w:ascii="仿宋_GB2312" w:hAnsi="仿宋_GB2312" w:eastAsia="仿宋_GB2312" w:cs="仿宋_GB2312"/>
          <w:color w:val="auto"/>
          <w:spacing w:val="-1"/>
          <w:sz w:val="30"/>
          <w:szCs w:val="30"/>
          <w:highlight w:val="none"/>
        </w:rPr>
        <w:t>事务所、施工图审查单位及市城建委完成图纸交接工作。</w:t>
      </w:r>
    </w:p>
    <w:p w14:paraId="0C24207E">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"3.1.2.10"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3.1.2.10</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设计人应按照发包人要求，编制合理的总进度计划及周密、细致的详细工作计划供发包</w:t>
      </w:r>
      <w:r>
        <w:rPr>
          <w:rFonts w:hint="eastAsia" w:ascii="仿宋_GB2312" w:hAnsi="仿宋_GB2312" w:eastAsia="仿宋_GB2312" w:cs="仿宋_GB2312"/>
          <w:color w:val="auto"/>
          <w:sz w:val="30"/>
          <w:szCs w:val="30"/>
          <w:highlight w:val="none"/>
        </w:rPr>
        <w:t xml:space="preserve"> 人审核，严格执行并接受发包人监督，确保有计划，</w:t>
      </w:r>
      <w:r>
        <w:rPr>
          <w:rFonts w:hint="eastAsia" w:ascii="仿宋_GB2312" w:hAnsi="仿宋_GB2312" w:eastAsia="仿宋_GB2312" w:cs="仿宋_GB2312"/>
          <w:color w:val="auto"/>
          <w:spacing w:val="-1"/>
          <w:sz w:val="30"/>
          <w:szCs w:val="30"/>
          <w:highlight w:val="none"/>
        </w:rPr>
        <w:t>更有实施。</w:t>
      </w:r>
    </w:p>
    <w:p w14:paraId="13F32E1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"3.1.2.11"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3.1.2.11</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设计人应从施工组织、重大</w:t>
      </w:r>
      <w:r>
        <w:rPr>
          <w:rFonts w:hint="eastAsia" w:ascii="仿宋_GB2312" w:hAnsi="仿宋_GB2312" w:eastAsia="仿宋_GB2312" w:cs="仿宋_GB2312"/>
          <w:color w:val="auto"/>
          <w:spacing w:val="-2"/>
          <w:sz w:val="30"/>
          <w:szCs w:val="30"/>
          <w:highlight w:val="none"/>
        </w:rPr>
        <w:t>施工方案的审查以及现场技术问题处理等方面，为业主提供</w:t>
      </w:r>
      <w:r>
        <w:rPr>
          <w:rFonts w:hint="eastAsia" w:ascii="仿宋_GB2312" w:hAnsi="仿宋_GB2312" w:eastAsia="仿宋_GB2312" w:cs="仿宋_GB2312"/>
          <w:color w:val="auto"/>
          <w:spacing w:val="-5"/>
          <w:sz w:val="30"/>
          <w:szCs w:val="30"/>
          <w:highlight w:val="none"/>
        </w:rPr>
        <w:t>技术支持。</w:t>
      </w:r>
    </w:p>
    <w:p w14:paraId="216658FA">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"3.1.2.12"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3.1.2.12</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施工过程中，设计人应有责任和义务及时到</w:t>
      </w:r>
      <w:r>
        <w:rPr>
          <w:rFonts w:hint="eastAsia" w:ascii="仿宋_GB2312" w:hAnsi="仿宋_GB2312" w:eastAsia="仿宋_GB2312" w:cs="仿宋_GB2312"/>
          <w:color w:val="auto"/>
          <w:spacing w:val="-2"/>
          <w:sz w:val="30"/>
          <w:szCs w:val="30"/>
          <w:highlight w:val="none"/>
        </w:rPr>
        <w:t>现场解决施工中出现的问题。设计人须按投</w:t>
      </w:r>
      <w:r>
        <w:rPr>
          <w:rFonts w:hint="eastAsia" w:ascii="仿宋_GB2312" w:hAnsi="仿宋_GB2312" w:eastAsia="仿宋_GB2312" w:cs="仿宋_GB2312"/>
          <w:color w:val="auto"/>
          <w:sz w:val="30"/>
          <w:szCs w:val="30"/>
          <w:highlight w:val="none"/>
        </w:rPr>
        <w:t>标承诺在处理工程存在问题时，在收到通知后</w:t>
      </w:r>
      <w:r>
        <w:rPr>
          <w:rFonts w:ascii="仿宋_GB2312" w:hAnsi="仿宋_GB2312" w:eastAsia="仿宋_GB2312" w:cs="仿宋_GB2312"/>
          <w:color w:val="auto"/>
          <w:sz w:val="30"/>
          <w:szCs w:val="30"/>
          <w:highlight w:val="none"/>
        </w:rPr>
        <w:t>尽快</w:t>
      </w:r>
      <w:r>
        <w:rPr>
          <w:rFonts w:hint="eastAsia" w:ascii="仿宋_GB2312" w:hAnsi="仿宋_GB2312" w:eastAsia="仿宋_GB2312" w:cs="仿宋_GB2312"/>
          <w:color w:val="auto"/>
          <w:sz w:val="30"/>
          <w:szCs w:val="30"/>
          <w:highlight w:val="none"/>
        </w:rPr>
        <w:t>到达现场并主动解决问题。</w:t>
      </w:r>
    </w:p>
    <w:p w14:paraId="41B27ABE">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"3.1.2.13"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3.1.2.13</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协助发包人确定相关建材的</w:t>
      </w:r>
      <w:r>
        <w:rPr>
          <w:rFonts w:hint="eastAsia" w:ascii="仿宋_GB2312" w:hAnsi="仿宋_GB2312" w:eastAsia="仿宋_GB2312" w:cs="仿宋_GB2312"/>
          <w:color w:val="auto"/>
          <w:spacing w:val="-2"/>
          <w:sz w:val="30"/>
          <w:szCs w:val="30"/>
          <w:highlight w:val="none"/>
        </w:rPr>
        <w:t>颜色、规格、样板；并对相关的设计图纸进行复核，对需要</w:t>
      </w:r>
      <w:r>
        <w:rPr>
          <w:rFonts w:hint="eastAsia" w:ascii="仿宋_GB2312" w:hAnsi="仿宋_GB2312" w:eastAsia="仿宋_GB2312" w:cs="仿宋_GB2312"/>
          <w:color w:val="auto"/>
          <w:spacing w:val="-1"/>
          <w:sz w:val="30"/>
          <w:szCs w:val="30"/>
          <w:highlight w:val="none"/>
        </w:rPr>
        <w:t>盖章的资料给予配合，确保项目整体实施顺利。</w:t>
      </w:r>
    </w:p>
    <w:p w14:paraId="0CACAF6B">
      <w:pPr>
        <w:pStyle w:val="78"/>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"3.1.2.14" </w:instrText>
      </w:r>
      <w:r>
        <w:rPr>
          <w:color w:val="auto"/>
          <w:highlight w:val="none"/>
        </w:rPr>
        <w:fldChar w:fldCharType="separate"/>
      </w:r>
      <w:r>
        <w:rPr>
          <w:rFonts w:hint="eastAsia" w:ascii="仿宋_GB2312" w:hAnsi="仿宋_GB2312" w:eastAsia="仿宋_GB2312" w:cs="仿宋_GB2312"/>
          <w:color w:val="auto"/>
          <w:sz w:val="30"/>
          <w:szCs w:val="30"/>
          <w:highlight w:val="none"/>
        </w:rPr>
        <w:t>3.1.2.14</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积极配合发包人进行项目的竣工验</w:t>
      </w:r>
      <w:r>
        <w:rPr>
          <w:rFonts w:hint="eastAsia" w:ascii="仿宋_GB2312" w:hAnsi="仿宋_GB2312" w:eastAsia="仿宋_GB2312" w:cs="仿宋_GB2312"/>
          <w:color w:val="auto"/>
          <w:spacing w:val="-1"/>
          <w:sz w:val="30"/>
          <w:szCs w:val="30"/>
          <w:highlight w:val="none"/>
        </w:rPr>
        <w:t>收结算和设计资料完善等工作。</w:t>
      </w:r>
    </w:p>
    <w:p w14:paraId="2851C54F">
      <w:pPr>
        <w:pStyle w:val="78"/>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设计人在方案设计及施工图设计过程中，在不</w:t>
      </w:r>
      <w:r>
        <w:rPr>
          <w:rFonts w:hint="eastAsia" w:ascii="仿宋_GB2312" w:hAnsi="仿宋_GB2312" w:eastAsia="仿宋_GB2312" w:cs="仿宋_GB2312"/>
          <w:color w:val="auto"/>
          <w:spacing w:val="-2"/>
          <w:sz w:val="30"/>
          <w:szCs w:val="30"/>
          <w:highlight w:val="none"/>
        </w:rPr>
        <w:t>违反国家规定的设计标准和规程范围内，</w:t>
      </w:r>
      <w:r>
        <w:rPr>
          <w:rFonts w:hint="eastAsia" w:ascii="仿宋_GB2312" w:hAnsi="仿宋_GB2312" w:eastAsia="仿宋_GB2312" w:cs="仿宋_GB2312"/>
          <w:color w:val="auto"/>
          <w:spacing w:val="-1"/>
          <w:sz w:val="30"/>
          <w:szCs w:val="30"/>
          <w:highlight w:val="none"/>
        </w:rPr>
        <w:t>尽可能地为发包人降低工程成本。</w:t>
      </w:r>
    </w:p>
    <w:p w14:paraId="590E06EC">
      <w:pPr>
        <w:pStyle w:val="78"/>
        <w:spacing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"3.1.2.16"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3.1.2.16</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设计人应按投标文件承诺提供配备本</w:t>
      </w:r>
      <w:r>
        <w:rPr>
          <w:rFonts w:hint="eastAsia" w:ascii="仿宋_GB2312" w:hAnsi="仿宋_GB2312" w:eastAsia="仿宋_GB2312" w:cs="仿宋_GB2312"/>
          <w:color w:val="auto"/>
          <w:spacing w:val="-2"/>
          <w:sz w:val="30"/>
          <w:szCs w:val="30"/>
          <w:highlight w:val="none"/>
        </w:rPr>
        <w:t>项目设计人员。</w:t>
      </w:r>
    </w:p>
    <w:p w14:paraId="42827E3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3.2项目负责人</w:t>
      </w:r>
    </w:p>
    <w:p w14:paraId="322A1615">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3.2.1项目负责人</w:t>
      </w:r>
    </w:p>
    <w:p w14:paraId="2A1FAF03">
      <w:pPr>
        <w:pStyle w:val="79"/>
        <w:spacing w:after="0" w:line="360" w:lineRule="auto"/>
        <w:ind w:firstLine="572" w:firstLineChars="200"/>
        <w:rPr>
          <w:rFonts w:ascii="仿宋_GB2312" w:hAnsi="仿宋_GB2312" w:eastAsia="仿宋_GB2312" w:cs="仿宋_GB2312"/>
          <w:color w:val="auto"/>
          <w:spacing w:val="-27"/>
          <w:sz w:val="30"/>
          <w:szCs w:val="30"/>
          <w:highlight w:val="none"/>
        </w:rPr>
      </w:pPr>
      <w:r>
        <w:rPr>
          <w:rFonts w:hint="eastAsia" w:ascii="仿宋_GB2312" w:hAnsi="仿宋_GB2312" w:eastAsia="仿宋_GB2312" w:cs="仿宋_GB2312"/>
          <w:color w:val="auto"/>
          <w:spacing w:val="-7"/>
          <w:sz w:val="30"/>
          <w:szCs w:val="30"/>
          <w:highlight w:val="none"/>
        </w:rPr>
        <w:t>姓名</w:t>
      </w:r>
      <w:r>
        <w:rPr>
          <w:rFonts w:hint="eastAsia" w:ascii="仿宋_GB2312" w:hAnsi="仿宋_GB2312" w:eastAsia="仿宋_GB2312" w:cs="仿宋_GB2312"/>
          <w:color w:val="auto"/>
          <w:spacing w:val="-27"/>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6A9DE410">
      <w:pPr>
        <w:pStyle w:val="79"/>
        <w:spacing w:after="0" w:line="360" w:lineRule="auto"/>
        <w:ind w:firstLine="596"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1"/>
          <w:sz w:val="30"/>
          <w:szCs w:val="30"/>
          <w:highlight w:val="none"/>
        </w:rPr>
        <w:t>执业资格及等级</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0CC3FBB3">
      <w:pPr>
        <w:pStyle w:val="79"/>
        <w:spacing w:after="0" w:line="360" w:lineRule="auto"/>
        <w:ind w:firstLine="596" w:firstLineChars="200"/>
        <w:rPr>
          <w:rFonts w:ascii="仿宋_GB2312" w:hAnsi="仿宋_GB2312" w:eastAsia="仿宋_GB2312" w:cs="仿宋_GB2312"/>
          <w:color w:val="auto"/>
          <w:spacing w:val="-26"/>
          <w:sz w:val="30"/>
          <w:szCs w:val="30"/>
          <w:highlight w:val="none"/>
        </w:rPr>
      </w:pPr>
      <w:r>
        <w:rPr>
          <w:rFonts w:hint="eastAsia" w:ascii="仿宋_GB2312" w:hAnsi="仿宋_GB2312" w:eastAsia="仿宋_GB2312" w:cs="仿宋_GB2312"/>
          <w:color w:val="auto"/>
          <w:spacing w:val="-1"/>
          <w:sz w:val="30"/>
          <w:szCs w:val="30"/>
          <w:highlight w:val="none"/>
        </w:rPr>
        <w:t>注册证书号</w:t>
      </w:r>
      <w:r>
        <w:rPr>
          <w:rFonts w:hint="eastAsia" w:ascii="仿宋_GB2312" w:hAnsi="仿宋_GB2312" w:eastAsia="仿宋_GB2312" w:cs="仿宋_GB2312"/>
          <w:color w:val="auto"/>
          <w:spacing w:val="-26"/>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58E9A5E4">
      <w:pPr>
        <w:pStyle w:val="79"/>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联系电话</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3F5CD76A">
      <w:pPr>
        <w:pStyle w:val="79"/>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电子信箱</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2EADCC2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通信地址</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76D83327">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设计人对项目负责人的授权范围如下：</w:t>
      </w:r>
      <w:r>
        <w:rPr>
          <w:rFonts w:hint="eastAsia" w:ascii="仿宋_GB2312" w:hAnsi="仿宋_GB2312" w:eastAsia="仿宋_GB2312" w:cs="仿宋_GB2312"/>
          <w:color w:val="auto"/>
          <w:spacing w:val="1"/>
          <w:sz w:val="30"/>
          <w:szCs w:val="30"/>
          <w:highlight w:val="none"/>
          <w:u w:val="single"/>
        </w:rPr>
        <w:t>按合同要求负责与本项目设计有关的一切事务，包</w:t>
      </w:r>
      <w:r>
        <w:rPr>
          <w:rFonts w:hint="eastAsia" w:ascii="仿宋_GB2312" w:hAnsi="仿宋_GB2312" w:eastAsia="仿宋_GB2312" w:cs="仿宋_GB2312"/>
          <w:color w:val="auto"/>
          <w:spacing w:val="-1"/>
          <w:sz w:val="30"/>
          <w:szCs w:val="30"/>
          <w:highlight w:val="none"/>
          <w:u w:val="single"/>
        </w:rPr>
        <w:t xml:space="preserve">括项目的组织、协调相关工作 </w:t>
      </w:r>
      <w:r>
        <w:rPr>
          <w:rFonts w:hint="eastAsia" w:ascii="仿宋_GB2312" w:hAnsi="仿宋_GB2312" w:eastAsia="仿宋_GB2312" w:cs="仿宋_GB2312"/>
          <w:color w:val="auto"/>
          <w:spacing w:val="-1"/>
          <w:sz w:val="30"/>
          <w:szCs w:val="30"/>
          <w:highlight w:val="none"/>
        </w:rPr>
        <w:t>。</w:t>
      </w:r>
    </w:p>
    <w:p w14:paraId="0DD7AC0A">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3.2.2  设计人更换项目负责人的，应提前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天书面通知发包人。</w:t>
      </w:r>
    </w:p>
    <w:p w14:paraId="7B24CA90">
      <w:pPr>
        <w:pStyle w:val="79"/>
        <w:spacing w:after="0"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设计人擅自更换项目负责人的违约责任：</w:t>
      </w:r>
      <w:r>
        <w:rPr>
          <w:rFonts w:hint="eastAsia" w:ascii="仿宋_GB2312" w:hAnsi="仿宋_GB2312" w:eastAsia="仿宋_GB2312" w:cs="仿宋_GB2312"/>
          <w:color w:val="auto"/>
          <w:sz w:val="30"/>
          <w:szCs w:val="30"/>
          <w:highlight w:val="none"/>
          <w:u w:val="single"/>
        </w:rPr>
        <w:t>设计人擅自更换项目负责人的违约责任：设计人擅自更换项目设计负责人</w:t>
      </w:r>
      <w:r>
        <w:rPr>
          <w:rFonts w:ascii="仿宋_GB2312" w:hAnsi="仿宋_GB2312" w:eastAsia="仿宋_GB2312" w:cs="仿宋_GB2312"/>
          <w:color w:val="auto"/>
          <w:sz w:val="30"/>
          <w:szCs w:val="30"/>
          <w:highlight w:val="none"/>
          <w:u w:val="single"/>
        </w:rPr>
        <w:t>或关键人员</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），发包人按每人每次向设计人处以设计费的 5%（百分之五）的违约金。若因此给发包人造成损失的，还应当赔偿损失</w:t>
      </w:r>
      <w:r>
        <w:rPr>
          <w:rFonts w:hint="eastAsia" w:ascii="仿宋_GB2312" w:hAnsi="仿宋_GB2312" w:eastAsia="仿宋_GB2312" w:cs="仿宋_GB2312"/>
          <w:color w:val="auto"/>
          <w:sz w:val="30"/>
          <w:szCs w:val="30"/>
          <w:highlight w:val="none"/>
        </w:rPr>
        <w:t>。</w:t>
      </w:r>
    </w:p>
    <w:p w14:paraId="79A9DA15">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3.2.3  发包人有权书面通知设计人更换其认为不称职的项目负责人，设计人应在收到书面更换通知后</w:t>
      </w:r>
      <w:r>
        <w:rPr>
          <w:rFonts w:hint="eastAsia" w:ascii="仿宋_GB2312" w:hAnsi="仿宋_GB2312" w:eastAsia="仿宋_GB2312" w:cs="仿宋_GB2312"/>
          <w:color w:val="auto"/>
          <w:sz w:val="30"/>
          <w:szCs w:val="30"/>
          <w:highlight w:val="none"/>
          <w:u w:val="single"/>
        </w:rPr>
        <w:t>7</w:t>
      </w:r>
      <w:r>
        <w:rPr>
          <w:rFonts w:hint="eastAsia" w:ascii="仿宋_GB2312" w:hAnsi="仿宋_GB2312" w:eastAsia="仿宋_GB2312" w:cs="仿宋_GB2312"/>
          <w:color w:val="auto"/>
          <w:sz w:val="30"/>
          <w:szCs w:val="30"/>
          <w:highlight w:val="none"/>
        </w:rPr>
        <w:t xml:space="preserve">天内更换项目负责人。更换的项目负责人不得低于投标时承诺投入项目负责人的标准。 </w:t>
      </w:r>
    </w:p>
    <w:p w14:paraId="5446E838">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设计人无正当理由拒绝更换项目负责人的违约责任：</w:t>
      </w:r>
      <w:r>
        <w:rPr>
          <w:rFonts w:ascii="仿宋_GB2312" w:hAnsi="仿宋_GB2312" w:eastAsia="仿宋_GB2312" w:cs="仿宋_GB2312"/>
          <w:color w:val="auto"/>
          <w:sz w:val="30"/>
          <w:szCs w:val="30"/>
          <w:highlight w:val="none"/>
          <w:u w:val="single"/>
        </w:rPr>
        <w:t>设计人的项目负责人或关键人员不能很好地履行合同服务或服务质量达不到发包人要求，发包人有权要求设计人限时更换人员如设计人无正当理由拒绝更换的，发包人按每人每次向设计人索赔设计费的 5%（百分之五）。</w:t>
      </w:r>
      <w:r>
        <w:rPr>
          <w:rFonts w:hint="eastAsia" w:ascii="仿宋_GB2312" w:hAnsi="仿宋_GB2312" w:eastAsia="仿宋_GB2312" w:cs="仿宋_GB2312"/>
          <w:color w:val="auto"/>
          <w:sz w:val="30"/>
          <w:szCs w:val="30"/>
          <w:highlight w:val="none"/>
          <w:u w:val="single"/>
        </w:rPr>
        <w:t>若因此给发包人造成损失的，还应当赔偿损失。</w:t>
      </w:r>
    </w:p>
    <w:p w14:paraId="01B52011">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3.3设计人人员</w:t>
      </w:r>
    </w:p>
    <w:p w14:paraId="2C168A00">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3.3.1  设计人提交项目管理机构及人员安排报告的期限：</w:t>
      </w:r>
      <w:r>
        <w:rPr>
          <w:rFonts w:hint="eastAsia" w:ascii="仿宋_GB2312" w:hAnsi="仿宋_GB2312" w:eastAsia="仿宋_GB2312" w:cs="仿宋_GB2312"/>
          <w:color w:val="auto"/>
          <w:sz w:val="30"/>
          <w:szCs w:val="30"/>
          <w:highlight w:val="none"/>
          <w:u w:val="single"/>
        </w:rPr>
        <w:t>合同签订后5个日历日内。</w:t>
      </w:r>
    </w:p>
    <w:p w14:paraId="4E19F57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3.3.3  设计人无正当理由拒绝撤换</w:t>
      </w:r>
      <w:r>
        <w:rPr>
          <w:rFonts w:hint="eastAsia" w:ascii="仿宋_GB2312" w:hAnsi="仿宋_GB2312" w:eastAsia="仿宋_GB2312" w:cs="仿宋_GB2312"/>
          <w:color w:val="auto"/>
          <w:sz w:val="30"/>
          <w:szCs w:val="30"/>
          <w:highlight w:val="none"/>
          <w:u w:val="single"/>
        </w:rPr>
        <w:t>主要设计人员（</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rPr>
        <w:t>的违约责任：</w:t>
      </w:r>
      <w:r>
        <w:rPr>
          <w:rFonts w:hint="eastAsia" w:ascii="仿宋_GB2312" w:hAnsi="仿宋_GB2312" w:eastAsia="仿宋_GB2312" w:cs="仿宋_GB2312"/>
          <w:color w:val="auto"/>
          <w:sz w:val="30"/>
          <w:szCs w:val="30"/>
          <w:highlight w:val="none"/>
          <w:u w:val="single"/>
        </w:rPr>
        <w:t>发包人有权向设计人收取</w:t>
      </w:r>
      <w:r>
        <w:rPr>
          <w:rFonts w:ascii="仿宋_GB2312" w:hAnsi="仿宋_GB2312" w:eastAsia="仿宋_GB2312" w:cs="仿宋_GB2312"/>
          <w:color w:val="auto"/>
          <w:sz w:val="30"/>
          <w:szCs w:val="30"/>
          <w:highlight w:val="none"/>
          <w:u w:val="single"/>
        </w:rPr>
        <w:t>10000元违约金/人/天，</w:t>
      </w:r>
      <w:r>
        <w:rPr>
          <w:rFonts w:hint="eastAsia" w:ascii="仿宋_GB2312" w:hAnsi="仿宋_GB2312" w:eastAsia="仿宋_GB2312" w:cs="仿宋_GB2312"/>
          <w:color w:val="auto"/>
          <w:sz w:val="30"/>
          <w:szCs w:val="30"/>
          <w:highlight w:val="none"/>
          <w:u w:val="single"/>
        </w:rPr>
        <w:t>设计人需承担违约给发包人造成的一切损失及责任。</w:t>
      </w:r>
    </w:p>
    <w:p w14:paraId="6FE5D0E9">
      <w:pPr>
        <w:pStyle w:val="79"/>
        <w:spacing w:after="0"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以上（专用条款的3.2.2、3.2.3、3.3.3）有关违约赔偿，所有违约金全部从设计费中扣除。在本合同期内，履约保证金因设计人违约而扣除罚金后，设计人应在接收到发包人通知后5个工作日内补足履约保证金。</w:t>
      </w:r>
    </w:p>
    <w:p w14:paraId="60A029C7">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3.4设计分包</w:t>
      </w:r>
    </w:p>
    <w:p w14:paraId="24D317A1">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3.4.1设计分包的一般约定</w:t>
      </w:r>
    </w:p>
    <w:p w14:paraId="62880435">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禁止设计分包的工程包括：</w:t>
      </w:r>
      <w:r>
        <w:rPr>
          <w:rFonts w:hint="eastAsia" w:ascii="仿宋_GB2312" w:hAnsi="仿宋_GB2312" w:eastAsia="仿宋_GB2312" w:cs="仿宋_GB2312"/>
          <w:color w:val="auto"/>
          <w:spacing w:val="-1"/>
          <w:sz w:val="30"/>
          <w:szCs w:val="30"/>
          <w:highlight w:val="none"/>
          <w:u w:val="single"/>
        </w:rPr>
        <w:t xml:space="preserve"> 主体建筑设计与结构设计</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p>
    <w:p w14:paraId="21F50C70">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3.4.2设计分包的确定</w:t>
      </w:r>
    </w:p>
    <w:p w14:paraId="2CCE3AF0">
      <w:pPr>
        <w:pStyle w:val="79"/>
        <w:spacing w:after="0" w:line="360" w:lineRule="auto"/>
        <w:ind w:firstLine="592"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2"/>
          <w:sz w:val="30"/>
          <w:szCs w:val="30"/>
          <w:highlight w:val="none"/>
        </w:rPr>
        <w:t>允许分包的专业工程包括：</w:t>
      </w:r>
      <w:r>
        <w:rPr>
          <w:rFonts w:hint="eastAsia" w:ascii="仿宋_GB2312" w:hAnsi="仿宋_GB2312" w:eastAsia="仿宋_GB2312" w:cs="仿宋_GB2312"/>
          <w:color w:val="auto"/>
          <w:spacing w:val="1"/>
          <w:sz w:val="30"/>
          <w:szCs w:val="30"/>
          <w:highlight w:val="none"/>
        </w:rPr>
        <w:t>（</w:t>
      </w:r>
      <w:r>
        <w:rPr>
          <w:rFonts w:ascii="仿宋_GB2312" w:hAnsi="仿宋_GB2312" w:eastAsia="仿宋_GB2312" w:cs="仿宋_GB2312"/>
          <w:color w:val="auto"/>
          <w:spacing w:val="1"/>
          <w:sz w:val="30"/>
          <w:szCs w:val="30"/>
          <w:highlight w:val="none"/>
        </w:rPr>
        <w:t>1</w:t>
      </w:r>
      <w:r>
        <w:rPr>
          <w:rFonts w:hint="eastAsia" w:ascii="仿宋_GB2312" w:hAnsi="仿宋_GB2312" w:eastAsia="仿宋_GB2312" w:cs="仿宋_GB2312"/>
          <w:color w:val="auto"/>
          <w:spacing w:val="1"/>
          <w:sz w:val="30"/>
          <w:szCs w:val="30"/>
          <w:highlight w:val="none"/>
        </w:rPr>
        <w:t>）发包人对专业分包有要求的（如建筑方案设计等，发包人可以根据实际情况进行调整），设计人应当选择满足合同要求、规模适当、信誉良好的分包人报发包人确认，否则发包人有权拒绝设计人的分包请求和设计人选择的分包人。（</w:t>
      </w:r>
      <w:r>
        <w:rPr>
          <w:rFonts w:ascii="仿宋_GB2312" w:hAnsi="仿宋_GB2312" w:eastAsia="仿宋_GB2312" w:cs="仿宋_GB2312"/>
          <w:color w:val="auto"/>
          <w:spacing w:val="1"/>
          <w:sz w:val="30"/>
          <w:szCs w:val="30"/>
          <w:highlight w:val="none"/>
        </w:rPr>
        <w:t>2</w:t>
      </w:r>
      <w:r>
        <w:rPr>
          <w:rFonts w:hint="eastAsia" w:ascii="仿宋_GB2312" w:hAnsi="仿宋_GB2312" w:eastAsia="仿宋_GB2312" w:cs="仿宋_GB2312"/>
          <w:color w:val="auto"/>
          <w:spacing w:val="1"/>
          <w:sz w:val="30"/>
          <w:szCs w:val="30"/>
          <w:highlight w:val="none"/>
        </w:rPr>
        <w:t>）在分包合同签订后，设计人应当提交一份合同给发包人，设计人应保证分包工作不得再次分包。（</w:t>
      </w:r>
      <w:r>
        <w:rPr>
          <w:rFonts w:ascii="仿宋_GB2312" w:hAnsi="仿宋_GB2312" w:eastAsia="仿宋_GB2312" w:cs="仿宋_GB2312"/>
          <w:color w:val="auto"/>
          <w:spacing w:val="1"/>
          <w:sz w:val="30"/>
          <w:szCs w:val="30"/>
          <w:highlight w:val="none"/>
        </w:rPr>
        <w:t>3</w:t>
      </w:r>
      <w:r>
        <w:rPr>
          <w:rFonts w:hint="eastAsia" w:ascii="仿宋_GB2312" w:hAnsi="仿宋_GB2312" w:eastAsia="仿宋_GB2312" w:cs="仿宋_GB2312"/>
          <w:color w:val="auto"/>
          <w:spacing w:val="1"/>
          <w:sz w:val="30"/>
          <w:szCs w:val="30"/>
          <w:highlight w:val="none"/>
        </w:rPr>
        <w:t>）未经发包人审批同意的分包工程和分包人，发包人有权拒绝接收分包设计文件和支付相应设计费，由此引起的后果和责任由设计人承担。</w:t>
      </w:r>
    </w:p>
    <w:p w14:paraId="79E7FCF1">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其他关于分包的约定：</w:t>
      </w:r>
      <w:r>
        <w:rPr>
          <w:rFonts w:hint="eastAsia" w:ascii="仿宋_GB2312" w:hAnsi="仿宋_GB2312" w:eastAsia="仿宋_GB2312" w:cs="仿宋_GB2312"/>
          <w:color w:val="auto"/>
          <w:sz w:val="30"/>
          <w:szCs w:val="30"/>
          <w:highlight w:val="none"/>
          <w:u w:val="single"/>
        </w:rPr>
        <w:t xml:space="preserve"> 设计人所委托的设计单位要有相应的资质、能力和相关业绩，并经发包人书面同意</w:t>
      </w:r>
      <w:r>
        <w:rPr>
          <w:rFonts w:hint="eastAsia" w:ascii="仿宋_GB2312" w:hAnsi="仿宋_GB2312" w:eastAsia="仿宋_GB2312" w:cs="仿宋_GB2312"/>
          <w:color w:val="auto"/>
          <w:sz w:val="30"/>
          <w:szCs w:val="30"/>
          <w:highlight w:val="none"/>
        </w:rPr>
        <w:t xml:space="preserve">。 </w:t>
      </w:r>
    </w:p>
    <w:p w14:paraId="41F47A4C">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3.4.3  设计人向发包人提交有关分包人资料包括：</w:t>
      </w:r>
      <w:r>
        <w:rPr>
          <w:rFonts w:hint="eastAsia" w:ascii="仿宋_GB2312" w:hAnsi="仿宋_GB2312" w:eastAsia="仿宋_GB2312" w:cs="仿宋_GB2312"/>
          <w:color w:val="auto"/>
          <w:spacing w:val="-1"/>
          <w:sz w:val="30"/>
          <w:szCs w:val="30"/>
          <w:highlight w:val="none"/>
          <w:u w:val="single"/>
        </w:rPr>
        <w:t xml:space="preserve"> 分包人营业执照、资质、主要工</w:t>
      </w:r>
      <w:r>
        <w:rPr>
          <w:rFonts w:hint="eastAsia" w:ascii="仿宋_GB2312" w:hAnsi="仿宋_GB2312" w:eastAsia="仿宋_GB2312" w:cs="仿宋_GB2312"/>
          <w:color w:val="auto"/>
          <w:sz w:val="30"/>
          <w:szCs w:val="30"/>
          <w:highlight w:val="none"/>
          <w:u w:val="single"/>
        </w:rPr>
        <w:t>程设计人员名单</w:t>
      </w:r>
      <w:r>
        <w:rPr>
          <w:rFonts w:hint="eastAsia" w:ascii="仿宋_GB2312" w:hAnsi="仿宋_GB2312" w:eastAsia="仿宋_GB2312" w:cs="仿宋_GB2312"/>
          <w:color w:val="auto"/>
          <w:spacing w:val="-1"/>
          <w:sz w:val="30"/>
          <w:szCs w:val="30"/>
          <w:highlight w:val="none"/>
          <w:u w:val="single"/>
        </w:rPr>
        <w:t>、相关业绩等</w:t>
      </w:r>
      <w:r>
        <w:rPr>
          <w:rFonts w:hint="eastAsia" w:ascii="仿宋_GB2312" w:hAnsi="仿宋_GB2312" w:eastAsia="仿宋_GB2312" w:cs="仿宋_GB2312"/>
          <w:color w:val="auto"/>
          <w:spacing w:val="-1"/>
          <w:sz w:val="30"/>
          <w:szCs w:val="30"/>
          <w:highlight w:val="none"/>
        </w:rPr>
        <w:t>。</w:t>
      </w:r>
    </w:p>
    <w:p w14:paraId="1D9B3950">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3.4.4  分包工程设计费支付方式：</w:t>
      </w:r>
      <w:r>
        <w:rPr>
          <w:rFonts w:ascii="仿宋_GB2312" w:hAnsi="仿宋_GB2312" w:eastAsia="仿宋_GB2312" w:cs="仿宋_GB2312"/>
          <w:color w:val="auto"/>
          <w:sz w:val="30"/>
          <w:szCs w:val="30"/>
          <w:highlight w:val="none"/>
          <w:u w:val="single"/>
        </w:rPr>
        <w:t>按通用条款</w:t>
      </w:r>
      <w:r>
        <w:rPr>
          <w:rFonts w:hint="eastAsia" w:ascii="仿宋_GB2312" w:hAnsi="仿宋_GB2312" w:eastAsia="仿宋_GB2312" w:cs="仿宋_GB2312"/>
          <w:color w:val="auto"/>
          <w:sz w:val="30"/>
          <w:szCs w:val="30"/>
          <w:highlight w:val="none"/>
          <w:u w:val="single"/>
        </w:rPr>
        <w:t>3.4.4</w:t>
      </w:r>
      <w:r>
        <w:rPr>
          <w:rFonts w:ascii="仿宋_GB2312" w:hAnsi="仿宋_GB2312" w:eastAsia="仿宋_GB2312" w:cs="仿宋_GB2312"/>
          <w:color w:val="auto"/>
          <w:sz w:val="30"/>
          <w:szCs w:val="30"/>
          <w:highlight w:val="none"/>
          <w:u w:val="single"/>
        </w:rPr>
        <w:t>执行</w:t>
      </w:r>
      <w:r>
        <w:rPr>
          <w:rFonts w:hint="eastAsia" w:ascii="仿宋_GB2312" w:hAnsi="仿宋_GB2312" w:eastAsia="仿宋_GB2312" w:cs="仿宋_GB2312"/>
          <w:color w:val="auto"/>
          <w:sz w:val="30"/>
          <w:szCs w:val="30"/>
          <w:highlight w:val="none"/>
        </w:rPr>
        <w:t>。</w:t>
      </w:r>
    </w:p>
    <w:p w14:paraId="4432B34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3.5联合体</w:t>
      </w:r>
    </w:p>
    <w:p w14:paraId="192EDF19">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3.5.4  发包人向联合体支付设计费用的方式：按照联合体协议书约定的联合体双方承接设计内容</w:t>
      </w:r>
      <w:r>
        <w:rPr>
          <w:rFonts w:hint="eastAsia" w:ascii="仿宋_GB2312" w:hAnsi="仿宋_GB2312" w:eastAsia="仿宋_GB2312" w:cs="仿宋_GB2312"/>
          <w:color w:val="auto"/>
          <w:spacing w:val="-7"/>
          <w:sz w:val="30"/>
          <w:szCs w:val="30"/>
          <w:highlight w:val="none"/>
        </w:rPr>
        <w:t>比例进行支付。</w:t>
      </w:r>
    </w:p>
    <w:p w14:paraId="47149464">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3.6履约担保</w:t>
      </w:r>
    </w:p>
    <w:p w14:paraId="44C38199">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设计人是否提供履约担保：</w:t>
      </w:r>
      <w:r>
        <w:rPr>
          <w:rFonts w:hint="eastAsia" w:ascii="仿宋_GB2312" w:hAnsi="仿宋_GB2312" w:eastAsia="仿宋_GB2312" w:cs="仿宋_GB2312"/>
          <w:color w:val="auto"/>
          <w:sz w:val="30"/>
          <w:szCs w:val="30"/>
          <w:highlight w:val="none"/>
          <w:u w:val="single"/>
        </w:rPr>
        <w:sym w:font="Wingdings" w:char="00A8"/>
      </w:r>
      <w:r>
        <w:rPr>
          <w:rFonts w:hint="eastAsia" w:ascii="仿宋_GB2312" w:hAnsi="仿宋_GB2312" w:eastAsia="仿宋_GB2312" w:cs="仿宋_GB2312"/>
          <w:color w:val="auto"/>
          <w:sz w:val="30"/>
          <w:szCs w:val="30"/>
          <w:highlight w:val="none"/>
          <w:u w:val="single"/>
        </w:rPr>
        <w:t>是</w:t>
      </w:r>
      <w:r>
        <w:rPr>
          <w:rStyle w:val="45"/>
          <w:rFonts w:hint="eastAsia" w:ascii="仿宋_GB2312" w:hAnsi="仿宋_GB2312" w:eastAsia="仿宋_GB2312" w:cs="仿宋_GB2312"/>
          <w:color w:val="auto"/>
          <w:sz w:val="30"/>
          <w:szCs w:val="30"/>
          <w:highlight w:val="none"/>
          <w:u w:val="single"/>
        </w:rPr>
        <w:t>；</w:t>
      </w:r>
      <w:r>
        <w:rPr>
          <w:rStyle w:val="45"/>
          <w:rFonts w:hint="eastAsia" w:ascii="仿宋_GB2312" w:hAnsi="仿宋_GB2312" w:eastAsia="仿宋_GB2312" w:cs="仿宋_GB2312"/>
          <w:color w:val="auto"/>
          <w:sz w:val="30"/>
          <w:szCs w:val="30"/>
          <w:highlight w:val="none"/>
          <w:u w:val="single"/>
        </w:rPr>
        <w:sym w:font="Wingdings" w:char="00A8"/>
      </w:r>
      <w:r>
        <w:rPr>
          <w:rStyle w:val="45"/>
          <w:rFonts w:hint="eastAsia" w:ascii="仿宋_GB2312" w:hAnsi="仿宋_GB2312" w:eastAsia="仿宋_GB2312" w:cs="仿宋_GB2312"/>
          <w:color w:val="auto"/>
          <w:sz w:val="30"/>
          <w:szCs w:val="30"/>
          <w:highlight w:val="none"/>
          <w:u w:val="single"/>
        </w:rPr>
        <w:t>否</w:t>
      </w:r>
      <w:r>
        <w:rPr>
          <w:rFonts w:hint="eastAsia" w:ascii="仿宋_GB2312" w:hAnsi="仿宋_GB2312" w:eastAsia="仿宋_GB2312" w:cs="仿宋_GB2312"/>
          <w:color w:val="auto"/>
          <w:sz w:val="30"/>
          <w:szCs w:val="30"/>
          <w:highlight w:val="none"/>
        </w:rPr>
        <w:t>。</w:t>
      </w:r>
    </w:p>
    <w:p w14:paraId="7D7DA3B7">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设计人在收到中标通知书后，须在</w:t>
      </w:r>
      <w:r>
        <w:rPr>
          <w:rFonts w:hint="eastAsia" w:ascii="仿宋_GB2312" w:hAnsi="仿宋_GB2312" w:eastAsia="仿宋_GB2312" w:cs="仿宋_GB2312"/>
          <w:color w:val="auto"/>
          <w:sz w:val="30"/>
          <w:szCs w:val="30"/>
          <w:highlight w:val="none"/>
          <w:u w:val="single"/>
        </w:rPr>
        <w:t>30</w:t>
      </w:r>
      <w:r>
        <w:rPr>
          <w:rFonts w:hint="eastAsia" w:ascii="仿宋_GB2312" w:hAnsi="仿宋_GB2312" w:eastAsia="仿宋_GB2312" w:cs="仿宋_GB2312"/>
          <w:color w:val="auto"/>
          <w:sz w:val="30"/>
          <w:szCs w:val="30"/>
          <w:highlight w:val="none"/>
        </w:rPr>
        <w:t>日内向发包人提交履约担保。</w:t>
      </w:r>
    </w:p>
    <w:p w14:paraId="3932A406">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设计人提供履约担保的形式、金额、期限及退回：</w:t>
      </w:r>
    </w:p>
    <w:p w14:paraId="333822B5">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形式：</w:t>
      </w:r>
      <w:r>
        <w:rPr>
          <w:rFonts w:hint="eastAsia" w:ascii="仿宋_GB2312" w:hAnsi="仿宋_GB2312" w:eastAsia="仿宋_GB2312" w:cs="仿宋_GB2312"/>
          <w:color w:val="auto"/>
          <w:sz w:val="30"/>
          <w:szCs w:val="30"/>
          <w:highlight w:val="none"/>
          <w:u w:val="single"/>
        </w:rPr>
        <w:t>可以采用现金、银行保函、工程担保、电子保函或保证保险等形式</w:t>
      </w:r>
      <w:r>
        <w:rPr>
          <w:rFonts w:hint="eastAsia" w:ascii="仿宋_GB2312" w:hAnsi="仿宋_GB2312" w:eastAsia="仿宋_GB2312" w:cs="仿宋_GB2312"/>
          <w:color w:val="auto"/>
          <w:sz w:val="30"/>
          <w:szCs w:val="30"/>
          <w:highlight w:val="none"/>
        </w:rPr>
        <w:t>。</w:t>
      </w:r>
    </w:p>
    <w:p w14:paraId="57AED140">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金额：履约担保为合同价款的</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，即人民币（大写）</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2F8F8E34">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期限：履约担保的有效期应当自本合同生效之日起至设计人设计阶段完成之日止。但采用履约保函时，如果设计人无法获得一份不带具体截止日期的担保，履约担保中应当有“变更设计阶段完成日期的，保证期间按照变更后的设计阶段完成日期做相应调整”或类似约定的条款。</w:t>
      </w:r>
    </w:p>
    <w:p w14:paraId="32DB6A50">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退回：履约保证金在设计阶段完成7日后可向发包人提出退回履约保证金的申请，发包人应在收到申请之日起28个日历天内扣减设计人赔偿金和其他应从设计人扣回的款项后，将履约金的余额退还给设计人（无息）。</w:t>
      </w:r>
    </w:p>
    <w:p w14:paraId="1DAB7E62">
      <w:pPr>
        <w:pStyle w:val="7"/>
        <w:keepNext/>
        <w:keepLines/>
        <w:numPr>
          <w:ilvl w:val="255"/>
          <w:numId w:val="0"/>
        </w:numPr>
        <w:jc w:val="both"/>
        <w:rPr>
          <w:rFonts w:eastAsia="黑体"/>
          <w:bCs/>
          <w:color w:val="auto"/>
          <w:sz w:val="32"/>
          <w:highlight w:val="none"/>
        </w:rPr>
      </w:pPr>
      <w:bookmarkStart w:id="1343" w:name="_Toc5114"/>
      <w:bookmarkStart w:id="1344" w:name="_Toc22357"/>
      <w:bookmarkStart w:id="1345" w:name="_Toc15406"/>
      <w:bookmarkStart w:id="1346" w:name="_Toc10391"/>
      <w:bookmarkStart w:id="1347" w:name="_Toc9846"/>
      <w:r>
        <w:rPr>
          <w:rFonts w:eastAsia="黑体"/>
          <w:bCs/>
          <w:color w:val="auto"/>
          <w:sz w:val="32"/>
          <w:highlight w:val="none"/>
        </w:rPr>
        <w:t>4.工程设计资料</w:t>
      </w:r>
      <w:bookmarkEnd w:id="1343"/>
      <w:bookmarkEnd w:id="1344"/>
      <w:bookmarkEnd w:id="1345"/>
      <w:bookmarkEnd w:id="1346"/>
      <w:bookmarkEnd w:id="1347"/>
    </w:p>
    <w:p w14:paraId="7206F59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4.1 发包人向设计人提交有关资料：</w:t>
      </w:r>
      <w:r>
        <w:rPr>
          <w:rFonts w:hint="eastAsia"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color w:val="auto"/>
          <w:spacing w:val="1"/>
          <w:sz w:val="30"/>
          <w:szCs w:val="30"/>
          <w:highlight w:val="none"/>
          <w:u w:val="single"/>
        </w:rPr>
        <w:t>详见附件2</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none"/>
        </w:rPr>
        <w:t>。</w:t>
      </w:r>
    </w:p>
    <w:p w14:paraId="2E7B63EB">
      <w:pPr>
        <w:pStyle w:val="7"/>
        <w:keepNext/>
        <w:keepLines/>
        <w:ind w:firstLine="0" w:firstLineChars="0"/>
        <w:jc w:val="both"/>
        <w:rPr>
          <w:rFonts w:eastAsia="黑体"/>
          <w:bCs/>
          <w:color w:val="auto"/>
          <w:sz w:val="32"/>
          <w:highlight w:val="none"/>
        </w:rPr>
      </w:pPr>
      <w:bookmarkStart w:id="1348" w:name="_Toc17160"/>
      <w:bookmarkStart w:id="1349" w:name="_Toc21538"/>
      <w:bookmarkStart w:id="1350" w:name="_Toc22560"/>
      <w:bookmarkStart w:id="1351" w:name="_Toc24669"/>
      <w:bookmarkStart w:id="1352" w:name="_Toc11395"/>
      <w:r>
        <w:rPr>
          <w:rFonts w:eastAsia="黑体"/>
          <w:bCs/>
          <w:color w:val="auto"/>
          <w:sz w:val="32"/>
          <w:highlight w:val="none"/>
        </w:rPr>
        <w:t>5.工程设计要求</w:t>
      </w:r>
      <w:bookmarkEnd w:id="1348"/>
      <w:bookmarkEnd w:id="1349"/>
      <w:bookmarkEnd w:id="1350"/>
      <w:bookmarkEnd w:id="1351"/>
      <w:bookmarkEnd w:id="1352"/>
    </w:p>
    <w:p w14:paraId="28310571">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5.1工程设计一般要求</w:t>
      </w:r>
    </w:p>
    <w:p w14:paraId="2F84F22E">
      <w:pPr>
        <w:pStyle w:val="79"/>
        <w:spacing w:after="0" w:line="360" w:lineRule="auto"/>
        <w:ind w:firstLine="420" w:firstLineChars="200"/>
        <w:rPr>
          <w:rFonts w:ascii="仿宋_GB2312" w:hAnsi="仿宋_GB2312" w:eastAsia="仿宋_GB2312" w:cs="仿宋_GB2312"/>
          <w:color w:val="auto"/>
          <w:spacing w:val="1"/>
          <w:sz w:val="30"/>
          <w:szCs w:val="30"/>
          <w:highlight w:val="none"/>
          <w:u w:val="single"/>
        </w:rPr>
      </w:pPr>
      <w:r>
        <w:rPr>
          <w:color w:val="auto"/>
          <w:highlight w:val="none"/>
        </w:rPr>
        <w:fldChar w:fldCharType="begin"/>
      </w:r>
      <w:r>
        <w:rPr>
          <w:color w:val="auto"/>
          <w:highlight w:val="none"/>
        </w:rPr>
        <w:instrText xml:space="preserve"> HYPERLINK "5.1.2.1" </w:instrText>
      </w:r>
      <w:r>
        <w:rPr>
          <w:color w:val="auto"/>
          <w:highlight w:val="none"/>
        </w:rPr>
        <w:fldChar w:fldCharType="separate"/>
      </w:r>
      <w:r>
        <w:rPr>
          <w:rFonts w:ascii="仿宋_GB2312" w:hAnsi="仿宋_GB2312" w:eastAsia="仿宋_GB2312" w:cs="仿宋_GB2312"/>
          <w:color w:val="auto"/>
          <w:spacing w:val="1"/>
          <w:sz w:val="30"/>
          <w:szCs w:val="30"/>
          <w:highlight w:val="none"/>
        </w:rPr>
        <w:t>5.1.2.1</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工程设计的特殊标准或要求：</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5.1.2.1 执行</w:t>
      </w:r>
      <w:r>
        <w:rPr>
          <w:rFonts w:ascii="仿宋_GB2312" w:hAnsi="仿宋_GB2312" w:eastAsia="仿宋_GB2312" w:cs="仿宋_GB2312"/>
          <w:color w:val="auto"/>
          <w:spacing w:val="1"/>
          <w:sz w:val="30"/>
          <w:szCs w:val="30"/>
          <w:highlight w:val="none"/>
        </w:rPr>
        <w:t>。</w:t>
      </w:r>
    </w:p>
    <w:p w14:paraId="7E88E427">
      <w:pPr>
        <w:pStyle w:val="79"/>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"5.1.2.2" </w:instrText>
      </w:r>
      <w:r>
        <w:rPr>
          <w:color w:val="auto"/>
          <w:highlight w:val="none"/>
        </w:rPr>
        <w:fldChar w:fldCharType="separate"/>
      </w:r>
      <w:r>
        <w:rPr>
          <w:rFonts w:ascii="仿宋_GB2312" w:hAnsi="仿宋_GB2312" w:eastAsia="仿宋_GB2312" w:cs="仿宋_GB2312"/>
          <w:color w:val="auto"/>
          <w:spacing w:val="1"/>
          <w:sz w:val="30"/>
          <w:szCs w:val="30"/>
          <w:highlight w:val="none"/>
        </w:rPr>
        <w:t>5.1.2.2</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工程设计适用的技术标准：</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5.1.2.2 执行</w:t>
      </w:r>
      <w:r>
        <w:rPr>
          <w:rFonts w:ascii="仿宋_GB2312" w:hAnsi="仿宋_GB2312" w:eastAsia="仿宋_GB2312" w:cs="仿宋_GB2312"/>
          <w:color w:val="auto"/>
          <w:spacing w:val="1"/>
          <w:sz w:val="30"/>
          <w:szCs w:val="30"/>
          <w:highlight w:val="none"/>
          <w:u w:val="single"/>
        </w:rPr>
        <w:t xml:space="preserve"> 。</w:t>
      </w:r>
    </w:p>
    <w:p w14:paraId="10697D8A">
      <w:pPr>
        <w:pStyle w:val="79"/>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"5.1.2.4" </w:instrText>
      </w:r>
      <w:r>
        <w:rPr>
          <w:color w:val="auto"/>
          <w:highlight w:val="none"/>
        </w:rPr>
        <w:fldChar w:fldCharType="separate"/>
      </w:r>
      <w:r>
        <w:rPr>
          <w:rFonts w:ascii="仿宋_GB2312" w:hAnsi="仿宋_GB2312" w:eastAsia="仿宋_GB2312" w:cs="仿宋_GB2312"/>
          <w:color w:val="auto"/>
          <w:spacing w:val="1"/>
          <w:sz w:val="30"/>
          <w:szCs w:val="30"/>
          <w:highlight w:val="none"/>
        </w:rPr>
        <w:t>5.1.2.4</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工程设计文件的主要技术指标控制值及比例：</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设计人应当严格执行其双方书面确认的主要技术指标控制值，由于设计人的原因导致工程设计文件超出在专用合同条款中约定的主要技术指标控制值比例的，设计人应当承担相应的违约责任</w:t>
      </w:r>
      <w:r>
        <w:rPr>
          <w:rFonts w:ascii="仿宋_GB2312" w:hAnsi="仿宋_GB2312" w:eastAsia="仿宋_GB2312" w:cs="仿宋_GB2312"/>
          <w:color w:val="auto"/>
          <w:spacing w:val="1"/>
          <w:sz w:val="30"/>
          <w:szCs w:val="30"/>
          <w:highlight w:val="none"/>
        </w:rPr>
        <w:t>。</w:t>
      </w:r>
    </w:p>
    <w:p w14:paraId="0A742EB0">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5.3工程设计文件的要求</w:t>
      </w:r>
    </w:p>
    <w:p w14:paraId="5807BD0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5.3.3  工程设计文件深度规定：</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5.3.3 执行</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w:t>
      </w:r>
    </w:p>
    <w:p w14:paraId="478188A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5.3.5  建筑物及其功能设施的合理使用寿命年限：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5.3.5 执行</w:t>
      </w:r>
      <w:r>
        <w:rPr>
          <w:rFonts w:ascii="仿宋_GB2312" w:hAnsi="仿宋_GB2312" w:eastAsia="仿宋_GB2312" w:cs="仿宋_GB2312"/>
          <w:color w:val="auto"/>
          <w:sz w:val="30"/>
          <w:szCs w:val="30"/>
          <w:highlight w:val="none"/>
          <w:u w:val="single"/>
        </w:rPr>
        <w:t>。</w:t>
      </w:r>
    </w:p>
    <w:p w14:paraId="4AAF12A8">
      <w:pPr>
        <w:pStyle w:val="7"/>
        <w:keepNext/>
        <w:keepLines/>
        <w:ind w:firstLine="0" w:firstLineChars="0"/>
        <w:jc w:val="both"/>
        <w:rPr>
          <w:rFonts w:eastAsia="黑体"/>
          <w:bCs/>
          <w:color w:val="auto"/>
          <w:sz w:val="32"/>
          <w:highlight w:val="none"/>
        </w:rPr>
      </w:pPr>
      <w:bookmarkStart w:id="1353" w:name="_Toc26016"/>
      <w:bookmarkStart w:id="1354" w:name="_Toc25596"/>
      <w:bookmarkStart w:id="1355" w:name="_Toc30497"/>
      <w:bookmarkStart w:id="1356" w:name="_Toc13318"/>
      <w:bookmarkStart w:id="1357" w:name="_Toc5046"/>
      <w:r>
        <w:rPr>
          <w:rFonts w:eastAsia="黑体"/>
          <w:bCs/>
          <w:color w:val="auto"/>
          <w:sz w:val="32"/>
          <w:highlight w:val="none"/>
        </w:rPr>
        <w:t>6.工程设计进度与周期</w:t>
      </w:r>
      <w:bookmarkEnd w:id="1353"/>
      <w:bookmarkEnd w:id="1354"/>
      <w:bookmarkEnd w:id="1355"/>
      <w:bookmarkEnd w:id="1356"/>
      <w:bookmarkEnd w:id="1357"/>
    </w:p>
    <w:p w14:paraId="09D1A10A">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6.1工程设计进度计划</w:t>
      </w:r>
    </w:p>
    <w:p w14:paraId="031FD03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6.1.1  工程设计进度计划的编制</w:t>
      </w:r>
    </w:p>
    <w:p w14:paraId="621E459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合同当事人约定的工程设计进度计划提交的时间：</w:t>
      </w:r>
      <w:r>
        <w:rPr>
          <w:rFonts w:hint="eastAsia" w:ascii="仿宋_GB2312" w:hAnsi="仿宋_GB2312" w:eastAsia="仿宋_GB2312" w:cs="仿宋_GB2312"/>
          <w:color w:val="auto"/>
          <w:spacing w:val="-1"/>
          <w:sz w:val="30"/>
          <w:szCs w:val="30"/>
          <w:highlight w:val="none"/>
          <w:u w:val="single"/>
        </w:rPr>
        <w:t xml:space="preserve">   合同签订后5个日历天内  </w:t>
      </w:r>
      <w:r>
        <w:rPr>
          <w:rFonts w:hint="eastAsia" w:ascii="仿宋_GB2312" w:hAnsi="仿宋_GB2312" w:eastAsia="仿宋_GB2312" w:cs="仿宋_GB2312"/>
          <w:color w:val="auto"/>
          <w:spacing w:val="-1"/>
          <w:sz w:val="30"/>
          <w:szCs w:val="30"/>
          <w:highlight w:val="none"/>
        </w:rPr>
        <w:t>。</w:t>
      </w:r>
    </w:p>
    <w:p w14:paraId="08FB7C2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合同当事人约定的工程设计进度计划应包括的内容：</w:t>
      </w:r>
      <w:r>
        <w:rPr>
          <w:rFonts w:hint="eastAsia" w:ascii="仿宋_GB2312" w:hAnsi="仿宋_GB2312" w:eastAsia="仿宋_GB2312" w:cs="仿宋_GB2312"/>
          <w:color w:val="auto"/>
          <w:spacing w:val="-2"/>
          <w:sz w:val="30"/>
          <w:szCs w:val="30"/>
          <w:highlight w:val="none"/>
          <w:u w:val="single"/>
        </w:rPr>
        <w:t xml:space="preserve">  包含但不限于工程设计关键性控制节点、</w:t>
      </w:r>
      <w:r>
        <w:rPr>
          <w:rFonts w:hint="eastAsia" w:ascii="仿宋_GB2312" w:hAnsi="仿宋_GB2312" w:eastAsia="仿宋_GB2312" w:cs="仿宋_GB2312"/>
          <w:color w:val="auto"/>
          <w:spacing w:val="-1"/>
          <w:sz w:val="30"/>
          <w:szCs w:val="30"/>
          <w:highlight w:val="none"/>
          <w:u w:val="single"/>
        </w:rPr>
        <w:t>为确保完成工程设计进度的赶工措施等内容</w:t>
      </w:r>
      <w:r>
        <w:rPr>
          <w:rFonts w:hint="eastAsia" w:ascii="仿宋_GB2312" w:hAnsi="仿宋_GB2312" w:eastAsia="仿宋_GB2312" w:cs="仿宋_GB2312"/>
          <w:color w:val="auto"/>
          <w:spacing w:val="-1"/>
          <w:sz w:val="30"/>
          <w:szCs w:val="30"/>
          <w:highlight w:val="none"/>
        </w:rPr>
        <w:t>。</w:t>
      </w:r>
    </w:p>
    <w:p w14:paraId="765729A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0DE7AEF3">
      <w:pPr>
        <w:pStyle w:val="81"/>
        <w:autoSpaceDE w:val="0"/>
        <w:autoSpaceDN w:val="0"/>
        <w:adjustRightInd w:val="0"/>
        <w:spacing w:line="360" w:lineRule="auto"/>
        <w:ind w:firstLine="600" w:firstLineChars="200"/>
        <w:jc w:val="left"/>
        <w:rPr>
          <w:rFonts w:ascii="Times New Roman" w:hAnsi="Times New Roman"/>
          <w:color w:val="auto"/>
          <w:kern w:val="0"/>
          <w:szCs w:val="21"/>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hint="eastAsia" w:ascii="仿宋_GB2312" w:hAnsi="仿宋_GB2312" w:eastAsia="仿宋_GB2312" w:cs="仿宋_GB2312"/>
          <w:color w:val="auto"/>
          <w:spacing w:val="-1"/>
          <w:sz w:val="30"/>
          <w:szCs w:val="30"/>
          <w:highlight w:val="none"/>
          <w:u w:val="single"/>
        </w:rPr>
        <w:t xml:space="preserve"> </w:t>
      </w:r>
    </w:p>
    <w:p w14:paraId="4F5CA94D">
      <w:pPr>
        <w:pStyle w:val="81"/>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重大变更应在</w:t>
      </w:r>
      <w:r>
        <w:rPr>
          <w:rFonts w:ascii="仿宋_GB2312" w:hAnsi="仿宋_GB2312" w:eastAsia="仿宋_GB2312" w:cs="仿宋_GB2312"/>
          <w:color w:val="auto"/>
          <w:sz w:val="30"/>
          <w:szCs w:val="30"/>
          <w:highlight w:val="none"/>
          <w:u w:val="single"/>
        </w:rPr>
        <w:t>10</w:t>
      </w:r>
      <w:r>
        <w:rPr>
          <w:rFonts w:hint="eastAsia" w:ascii="仿宋_GB2312" w:hAnsi="仿宋_GB2312" w:eastAsia="仿宋_GB2312" w:cs="仿宋_GB2312"/>
          <w:color w:val="auto"/>
          <w:sz w:val="30"/>
          <w:szCs w:val="30"/>
          <w:highlight w:val="none"/>
          <w:u w:val="single"/>
        </w:rPr>
        <w:t>天内完成审核和批准或提出修改意见，重要变更应在</w:t>
      </w:r>
      <w:r>
        <w:rPr>
          <w:rFonts w:ascii="仿宋_GB2312" w:hAnsi="仿宋_GB2312" w:eastAsia="仿宋_GB2312" w:cs="仿宋_GB2312"/>
          <w:color w:val="auto"/>
          <w:sz w:val="30"/>
          <w:szCs w:val="30"/>
          <w:highlight w:val="none"/>
          <w:u w:val="single"/>
        </w:rPr>
        <w:t>5</w:t>
      </w:r>
      <w:r>
        <w:rPr>
          <w:rFonts w:hint="eastAsia" w:ascii="仿宋_GB2312" w:hAnsi="仿宋_GB2312" w:eastAsia="仿宋_GB2312" w:cs="仿宋_GB2312"/>
          <w:color w:val="auto"/>
          <w:sz w:val="30"/>
          <w:szCs w:val="30"/>
          <w:highlight w:val="none"/>
          <w:u w:val="single"/>
        </w:rPr>
        <w:t>天内完成审核和批准或提出修改意见，一般设计变更图纸</w:t>
      </w:r>
      <w:r>
        <w:rPr>
          <w:rFonts w:ascii="仿宋_GB2312" w:hAnsi="仿宋_GB2312" w:eastAsia="仿宋_GB2312" w:cs="仿宋_GB2312"/>
          <w:color w:val="auto"/>
          <w:sz w:val="30"/>
          <w:szCs w:val="30"/>
          <w:highlight w:val="none"/>
          <w:u w:val="single"/>
        </w:rPr>
        <w:t>3</w:t>
      </w:r>
      <w:r>
        <w:rPr>
          <w:rFonts w:hint="eastAsia" w:ascii="仿宋_GB2312" w:hAnsi="仿宋_GB2312" w:eastAsia="仿宋_GB2312" w:cs="仿宋_GB2312"/>
          <w:color w:val="auto"/>
          <w:sz w:val="30"/>
          <w:szCs w:val="30"/>
          <w:highlight w:val="none"/>
          <w:u w:val="single"/>
        </w:rPr>
        <w:t>天内完成审核和批准或提出修改意见；工地重大事件处理</w:t>
      </w:r>
      <w:r>
        <w:rPr>
          <w:rFonts w:ascii="仿宋_GB2312" w:hAnsi="仿宋_GB2312" w:eastAsia="仿宋_GB2312" w:cs="仿宋_GB2312"/>
          <w:color w:val="auto"/>
          <w:sz w:val="30"/>
          <w:szCs w:val="30"/>
          <w:highlight w:val="none"/>
          <w:u w:val="single"/>
        </w:rPr>
        <w:t>24</w:t>
      </w:r>
      <w:r>
        <w:rPr>
          <w:rFonts w:hint="eastAsia" w:ascii="仿宋_GB2312" w:hAnsi="仿宋_GB2312" w:eastAsia="仿宋_GB2312" w:cs="仿宋_GB2312"/>
          <w:color w:val="auto"/>
          <w:sz w:val="30"/>
          <w:szCs w:val="30"/>
          <w:highlight w:val="none"/>
          <w:u w:val="single"/>
        </w:rPr>
        <w:t>小时内到达现场</w:t>
      </w:r>
      <w:r>
        <w:rPr>
          <w:rFonts w:ascii="仿宋_GB2312" w:hAnsi="仿宋_GB2312" w:eastAsia="仿宋_GB2312" w:cs="仿宋_GB2312"/>
          <w:color w:val="auto"/>
          <w:spacing w:val="-1"/>
          <w:sz w:val="30"/>
          <w:szCs w:val="30"/>
          <w:highlight w:val="none"/>
        </w:rPr>
        <w:t>。</w:t>
      </w:r>
    </w:p>
    <w:p w14:paraId="4C4B6DB6">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6.3工程设计进度延误</w:t>
      </w:r>
    </w:p>
    <w:p w14:paraId="52AF0D7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6.3.1因发包人原因导致工程设计进度延误</w:t>
      </w:r>
    </w:p>
    <w:p w14:paraId="1CC9F6E3">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（4）因发包人原因导致工程设计进度延误</w:t>
      </w:r>
      <w:r>
        <w:rPr>
          <w:rFonts w:hint="eastAsia" w:ascii="仿宋_GB2312" w:hAnsi="仿宋_GB2312" w:eastAsia="仿宋_GB2312" w:cs="仿宋_GB2312"/>
          <w:color w:val="auto"/>
          <w:sz w:val="30"/>
          <w:szCs w:val="30"/>
          <w:highlight w:val="none"/>
        </w:rPr>
        <w:t>的其他情形：</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739EB1A6">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设计人应在发生进度延误的情形后</w:t>
      </w:r>
      <w:r>
        <w:rPr>
          <w:rFonts w:hint="eastAsia" w:ascii="仿宋_GB2312" w:hAnsi="仿宋_GB2312" w:eastAsia="仿宋_GB2312" w:cs="仿宋_GB2312"/>
          <w:color w:val="auto"/>
          <w:spacing w:val="1"/>
          <w:sz w:val="30"/>
          <w:szCs w:val="30"/>
          <w:highlight w:val="none"/>
          <w:u w:val="single"/>
        </w:rPr>
        <w:t xml:space="preserve">  5  </w:t>
      </w:r>
      <w:r>
        <w:rPr>
          <w:rFonts w:hint="eastAsia" w:ascii="仿宋_GB2312" w:hAnsi="仿宋_GB2312" w:eastAsia="仿宋_GB2312" w:cs="仿宋_GB2312"/>
          <w:color w:val="auto"/>
          <w:spacing w:val="1"/>
          <w:sz w:val="30"/>
          <w:szCs w:val="30"/>
          <w:highlight w:val="none"/>
        </w:rPr>
        <w:t>天内向发包人发出要求延期的书面通知，在发生该情形</w:t>
      </w:r>
      <w:r>
        <w:rPr>
          <w:rFonts w:hint="eastAsia" w:ascii="仿宋_GB2312" w:hAnsi="仿宋_GB2312" w:eastAsia="仿宋_GB2312" w:cs="仿宋_GB2312"/>
          <w:color w:val="auto"/>
          <w:spacing w:val="-1"/>
          <w:sz w:val="30"/>
          <w:szCs w:val="30"/>
          <w:highlight w:val="none"/>
        </w:rPr>
        <w:t>后</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天内提交要求延期的详细说明。</w:t>
      </w:r>
    </w:p>
    <w:p w14:paraId="517520EB">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发包人收到设计人要求延期的详细说明后，应在</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天内进行审查并书面答复。</w:t>
      </w:r>
    </w:p>
    <w:p w14:paraId="531E8F83">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6.5  提前交付工程设计文件</w:t>
      </w:r>
    </w:p>
    <w:p w14:paraId="4296C12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6.5.2  提前交付工程设计文件的奖励：</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0BFA04CD">
      <w:pPr>
        <w:pStyle w:val="7"/>
        <w:keepNext/>
        <w:keepLines/>
        <w:ind w:firstLine="0" w:firstLineChars="0"/>
        <w:jc w:val="both"/>
        <w:rPr>
          <w:rFonts w:eastAsia="黑体"/>
          <w:bCs/>
          <w:color w:val="auto"/>
          <w:sz w:val="32"/>
          <w:highlight w:val="none"/>
        </w:rPr>
      </w:pPr>
      <w:bookmarkStart w:id="1358" w:name="_Toc8348"/>
      <w:bookmarkStart w:id="1359" w:name="_Toc27894"/>
      <w:bookmarkStart w:id="1360" w:name="_Toc24524"/>
      <w:bookmarkStart w:id="1361" w:name="_Toc5295"/>
      <w:bookmarkStart w:id="1362" w:name="_Toc6236"/>
      <w:r>
        <w:rPr>
          <w:rFonts w:eastAsia="黑体"/>
          <w:bCs/>
          <w:color w:val="auto"/>
          <w:sz w:val="32"/>
          <w:highlight w:val="none"/>
        </w:rPr>
        <w:t>7.工程设计文件交付</w:t>
      </w:r>
      <w:bookmarkEnd w:id="1358"/>
      <w:bookmarkEnd w:id="1359"/>
      <w:bookmarkEnd w:id="1360"/>
      <w:bookmarkEnd w:id="1361"/>
      <w:bookmarkEnd w:id="1362"/>
    </w:p>
    <w:p w14:paraId="370E66DD">
      <w:pPr>
        <w:pStyle w:val="8"/>
        <w:spacing w:before="120"/>
        <w:ind w:firstLine="596"/>
        <w:rPr>
          <w:rFonts w:ascii="仿宋_GB2312" w:hAnsi="仿宋_GB2312" w:eastAsia="仿宋_GB2312" w:cs="仿宋_GB2312"/>
          <w:color w:val="auto"/>
          <w:spacing w:val="-1"/>
          <w:sz w:val="30"/>
          <w:szCs w:val="30"/>
          <w:highlight w:val="none"/>
        </w:rPr>
      </w:pPr>
      <w:r>
        <w:rPr>
          <w:rFonts w:ascii="仿宋_GB2312" w:hAnsi="仿宋_GB2312" w:eastAsia="仿宋_GB2312" w:cs="仿宋_GB2312"/>
          <w:b w:val="0"/>
          <w:bCs w:val="0"/>
          <w:color w:val="auto"/>
          <w:spacing w:val="-1"/>
          <w:sz w:val="30"/>
          <w:szCs w:val="30"/>
          <w:highlight w:val="none"/>
        </w:rPr>
        <w:t>7.1  工程设计文件交付的内容</w:t>
      </w:r>
    </w:p>
    <w:p w14:paraId="1A513AE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7.1.2  发包人要求设计人提交电子版设计文件的具体形式为：光盘、电子邮件、网盘（有其他约定的从其约定）</w:t>
      </w:r>
      <w:r>
        <w:rPr>
          <w:rFonts w:ascii="仿宋_GB2312" w:hAnsi="仿宋_GB2312" w:eastAsia="仿宋_GB2312" w:cs="仿宋_GB2312"/>
          <w:color w:val="auto"/>
          <w:spacing w:val="-1"/>
          <w:sz w:val="30"/>
          <w:szCs w:val="30"/>
          <w:highlight w:val="none"/>
        </w:rPr>
        <w:t xml:space="preserve"> </w:t>
      </w:r>
      <w:r>
        <w:rPr>
          <w:rFonts w:hint="eastAsia" w:ascii="仿宋_GB2312" w:hAnsi="仿宋_GB2312" w:eastAsia="仿宋_GB2312" w:cs="仿宋_GB2312"/>
          <w:color w:val="auto"/>
          <w:spacing w:val="-4"/>
          <w:sz w:val="30"/>
          <w:szCs w:val="30"/>
          <w:highlight w:val="none"/>
        </w:rPr>
        <w:t>。</w:t>
      </w:r>
    </w:p>
    <w:p w14:paraId="10BAECF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1"/>
          <w:sz w:val="30"/>
          <w:szCs w:val="30"/>
          <w:highlight w:val="none"/>
        </w:rPr>
        <w:t>7.3工程设计文件交付的名称、时间和份数</w:t>
      </w:r>
      <w:r>
        <w:rPr>
          <w:rFonts w:hint="eastAsia" w:ascii="仿宋_GB2312" w:hAnsi="仿宋_GB2312" w:eastAsia="仿宋_GB2312" w:cs="仿宋_GB2312"/>
          <w:color w:val="auto"/>
          <w:spacing w:val="-50"/>
          <w:w w:val="90"/>
          <w:sz w:val="30"/>
          <w:szCs w:val="30"/>
          <w:highlight w:val="none"/>
        </w:rPr>
        <w:t>：</w:t>
      </w:r>
      <w:r>
        <w:rPr>
          <w:rFonts w:ascii="仿宋_GB2312" w:hAnsi="仿宋_GB2312" w:eastAsia="仿宋_GB2312" w:cs="仿宋_GB2312"/>
          <w:color w:val="auto"/>
          <w:sz w:val="30"/>
          <w:szCs w:val="30"/>
          <w:highlight w:val="none"/>
          <w:u w:val="single"/>
        </w:rPr>
        <w:t>详见附件3</w:t>
      </w:r>
      <w:r>
        <w:rPr>
          <w:rFonts w:hint="eastAsia" w:ascii="仿宋_GB2312" w:hAnsi="仿宋_GB2312" w:eastAsia="仿宋_GB2312" w:cs="仿宋_GB2312"/>
          <w:color w:val="auto"/>
          <w:sz w:val="30"/>
          <w:szCs w:val="30"/>
          <w:highlight w:val="none"/>
          <w:u w:val="single"/>
        </w:rPr>
        <w:t>。</w:t>
      </w:r>
    </w:p>
    <w:p w14:paraId="3274E71E">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设计人完成设计成果文件并通过相关部门审查，且按专用合同条款的7.1、7.2款交付给发包人</w:t>
      </w:r>
      <w:r>
        <w:rPr>
          <w:rFonts w:hint="eastAsia" w:ascii="仿宋_GB2312" w:hAnsi="仿宋_GB2312" w:eastAsia="仿宋_GB2312" w:cs="仿宋_GB2312"/>
          <w:color w:val="auto"/>
          <w:spacing w:val="-2"/>
          <w:sz w:val="30"/>
          <w:szCs w:val="30"/>
          <w:highlight w:val="none"/>
        </w:rPr>
        <w:t>之日为设计阶段完成日。发包人签收设计文件后的 7日内，发包人应出具设计阶段完成证明；</w:t>
      </w:r>
      <w:r>
        <w:rPr>
          <w:rFonts w:hint="eastAsia" w:ascii="仿宋_GB2312" w:hAnsi="仿宋_GB2312" w:eastAsia="仿宋_GB2312" w:cs="仿宋_GB2312"/>
          <w:color w:val="auto"/>
          <w:spacing w:val="-1"/>
          <w:sz w:val="30"/>
          <w:szCs w:val="30"/>
          <w:highlight w:val="none"/>
        </w:rPr>
        <w:t>如发包人未在约定的期限内出具证明，视为发包人认可该设计阶段完成的日期。</w:t>
      </w:r>
    </w:p>
    <w:p w14:paraId="66A38290">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工程竣工验收日为设计服务完成日。工程竣工验收后的 7日内，发包人应出具设计服务完成证</w:t>
      </w:r>
      <w:r>
        <w:rPr>
          <w:rFonts w:hint="eastAsia" w:ascii="仿宋_GB2312" w:hAnsi="仿宋_GB2312" w:eastAsia="仿宋_GB2312" w:cs="仿宋_GB2312"/>
          <w:color w:val="auto"/>
          <w:spacing w:val="-1"/>
          <w:sz w:val="30"/>
          <w:szCs w:val="30"/>
          <w:highlight w:val="none"/>
        </w:rPr>
        <w:t>明。如发包人未在约定的期限内出具证明，视为发包人认可该设计服务阶段完成的日期。</w:t>
      </w:r>
    </w:p>
    <w:p w14:paraId="72C5FA08">
      <w:pPr>
        <w:pStyle w:val="7"/>
        <w:keepNext/>
        <w:keepLines/>
        <w:ind w:firstLine="0" w:firstLineChars="0"/>
        <w:jc w:val="both"/>
        <w:rPr>
          <w:rFonts w:eastAsia="黑体"/>
          <w:bCs/>
          <w:color w:val="auto"/>
          <w:sz w:val="32"/>
          <w:highlight w:val="none"/>
        </w:rPr>
      </w:pPr>
      <w:bookmarkStart w:id="1363" w:name="_Toc20069"/>
      <w:bookmarkStart w:id="1364" w:name="_Toc4277"/>
      <w:bookmarkStart w:id="1365" w:name="_Toc4808"/>
      <w:bookmarkStart w:id="1366" w:name="_Toc17957"/>
      <w:r>
        <w:rPr>
          <w:rFonts w:eastAsia="黑体"/>
          <w:bCs/>
          <w:color w:val="auto"/>
          <w:sz w:val="32"/>
          <w:highlight w:val="none"/>
        </w:rPr>
        <w:t>8.工程设计文件审查</w:t>
      </w:r>
      <w:bookmarkEnd w:id="1363"/>
      <w:bookmarkEnd w:id="1364"/>
      <w:bookmarkEnd w:id="1365"/>
      <w:bookmarkEnd w:id="1366"/>
    </w:p>
    <w:p w14:paraId="1406CA32">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发包人对设计人的设计文件审查期限</w:t>
      </w:r>
      <w:r>
        <w:rPr>
          <w:rFonts w:hint="eastAsia" w:ascii="仿宋_GB2312" w:hAnsi="仿宋_GB2312" w:eastAsia="仿宋_GB2312" w:cs="仿宋_GB2312"/>
          <w:color w:val="auto"/>
          <w:spacing w:val="-1"/>
          <w:sz w:val="30"/>
          <w:szCs w:val="30"/>
          <w:highlight w:val="none"/>
        </w:rPr>
        <w:t>不超过</w:t>
      </w:r>
      <w:r>
        <w:rPr>
          <w:rFonts w:hint="eastAsia" w:ascii="仿宋_GB2312" w:hAnsi="仿宋_GB2312" w:eastAsia="仿宋_GB2312" w:cs="仿宋_GB2312"/>
          <w:color w:val="auto"/>
          <w:spacing w:val="-1"/>
          <w:sz w:val="30"/>
          <w:szCs w:val="30"/>
          <w:highlight w:val="none"/>
          <w:u w:val="single"/>
        </w:rPr>
        <w:t xml:space="preserve">  20</w:t>
      </w:r>
      <w:r>
        <w:rPr>
          <w:rFonts w:hint="eastAsia" w:ascii="仿宋_GB2312" w:hAnsi="仿宋_GB2312" w:eastAsia="仿宋_GB2312" w:cs="仿宋_GB2312"/>
          <w:color w:val="auto"/>
          <w:spacing w:val="-1"/>
          <w:sz w:val="30"/>
          <w:szCs w:val="30"/>
          <w:highlight w:val="none"/>
        </w:rPr>
        <w:t>天。</w:t>
      </w:r>
    </w:p>
    <w:p w14:paraId="0AC01599">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8.2  发包人应在审查同意设计人的工程设计文件后在</w:t>
      </w:r>
      <w:r>
        <w:rPr>
          <w:rFonts w:hint="eastAsia" w:ascii="仿宋_GB2312" w:hAnsi="仿宋_GB2312" w:eastAsia="仿宋_GB2312" w:cs="仿宋_GB2312"/>
          <w:color w:val="auto"/>
          <w:spacing w:val="-2"/>
          <w:sz w:val="30"/>
          <w:szCs w:val="30"/>
          <w:highlight w:val="none"/>
          <w:u w:val="single"/>
        </w:rPr>
        <w:t xml:space="preserve">  20</w:t>
      </w:r>
      <w:r>
        <w:rPr>
          <w:rFonts w:hint="eastAsia" w:ascii="仿宋_GB2312" w:hAnsi="仿宋_GB2312" w:eastAsia="仿宋_GB2312" w:cs="仿宋_GB2312"/>
          <w:color w:val="auto"/>
          <w:spacing w:val="-2"/>
          <w:sz w:val="30"/>
          <w:szCs w:val="30"/>
          <w:highlight w:val="none"/>
        </w:rPr>
        <w:t>天内，向政府有关部门报</w:t>
      </w:r>
      <w:r>
        <w:rPr>
          <w:rFonts w:hint="eastAsia" w:ascii="仿宋_GB2312" w:hAnsi="仿宋_GB2312" w:eastAsia="仿宋_GB2312" w:cs="仿宋_GB2312"/>
          <w:color w:val="auto"/>
          <w:spacing w:val="-3"/>
          <w:sz w:val="30"/>
          <w:szCs w:val="30"/>
          <w:highlight w:val="none"/>
        </w:rPr>
        <w:t>送工程设计文</w:t>
      </w:r>
      <w:r>
        <w:rPr>
          <w:rFonts w:hint="eastAsia" w:ascii="仿宋_GB2312" w:hAnsi="仿宋_GB2312" w:eastAsia="仿宋_GB2312" w:cs="仿宋_GB2312"/>
          <w:color w:val="auto"/>
          <w:spacing w:val="-10"/>
          <w:sz w:val="30"/>
          <w:szCs w:val="30"/>
          <w:highlight w:val="none"/>
        </w:rPr>
        <w:t>件。</w:t>
      </w:r>
    </w:p>
    <w:p w14:paraId="3BC81D31">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工程设计审查形式及时间安排：</w:t>
      </w:r>
      <w:r>
        <w:rPr>
          <w:rFonts w:hint="eastAsia" w:ascii="仿宋_GB2312" w:hAnsi="仿宋_GB2312" w:eastAsia="仿宋_GB2312" w:cs="仿宋_GB2312"/>
          <w:color w:val="auto"/>
          <w:sz w:val="30"/>
          <w:szCs w:val="30"/>
          <w:highlight w:val="none"/>
          <w:u w:val="single"/>
        </w:rPr>
        <w:t xml:space="preserve"> 发包人负责组织工程设计文件审查会议</w:t>
      </w:r>
      <w:r>
        <w:rPr>
          <w:rFonts w:hint="eastAsia" w:ascii="仿宋_GB2312" w:hAnsi="仿宋_GB2312" w:eastAsia="仿宋_GB2312" w:cs="仿宋_GB2312"/>
          <w:color w:val="auto"/>
          <w:sz w:val="30"/>
          <w:szCs w:val="30"/>
          <w:highlight w:val="none"/>
          <w:u w:val="none"/>
        </w:rPr>
        <w:t>。</w:t>
      </w:r>
    </w:p>
    <w:p w14:paraId="0E1A162F">
      <w:pPr>
        <w:pStyle w:val="7"/>
        <w:keepNext/>
        <w:keepLines/>
        <w:ind w:firstLine="0" w:firstLineChars="0"/>
        <w:jc w:val="both"/>
        <w:rPr>
          <w:rFonts w:eastAsia="黑体"/>
          <w:bCs/>
          <w:color w:val="auto"/>
          <w:sz w:val="32"/>
          <w:highlight w:val="none"/>
        </w:rPr>
      </w:pPr>
      <w:bookmarkStart w:id="1367" w:name="_Toc5949"/>
      <w:bookmarkStart w:id="1368" w:name="_Toc11341"/>
      <w:bookmarkStart w:id="1369" w:name="_Toc20227"/>
      <w:bookmarkStart w:id="1370" w:name="_Toc22010"/>
      <w:bookmarkStart w:id="1371" w:name="_Toc28406"/>
      <w:r>
        <w:rPr>
          <w:rFonts w:eastAsia="黑体"/>
          <w:bCs/>
          <w:color w:val="auto"/>
          <w:sz w:val="32"/>
          <w:highlight w:val="none"/>
        </w:rPr>
        <w:t>9. 施工现场配合服务</w:t>
      </w:r>
      <w:bookmarkEnd w:id="1367"/>
      <w:bookmarkEnd w:id="1368"/>
      <w:bookmarkEnd w:id="1369"/>
      <w:bookmarkEnd w:id="1370"/>
      <w:bookmarkEnd w:id="1371"/>
    </w:p>
    <w:p w14:paraId="11B88233">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9.1  发包人为设计人派赴现场的工作人员提供便利条件的内容包括：</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189D292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9.2  设计人应当在施工阶段提供施工现场配合服务</w:t>
      </w:r>
      <w:r>
        <w:rPr>
          <w:rFonts w:ascii="仿宋_GB2312" w:hAnsi="仿宋_GB2312" w:eastAsia="仿宋_GB2312" w:cs="仿宋_GB2312"/>
          <w:color w:val="auto"/>
          <w:spacing w:val="-2"/>
          <w:sz w:val="30"/>
          <w:szCs w:val="30"/>
          <w:highlight w:val="none"/>
        </w:rPr>
        <w:t>，并按发包人的要求对项目进行巡查，出具巡查报告</w:t>
      </w:r>
      <w:r>
        <w:rPr>
          <w:rFonts w:hint="eastAsia" w:ascii="仿宋_GB2312" w:hAnsi="仿宋_GB2312" w:eastAsia="仿宋_GB2312" w:cs="仿宋_GB2312"/>
          <w:color w:val="auto"/>
          <w:spacing w:val="-2"/>
          <w:sz w:val="30"/>
          <w:szCs w:val="30"/>
          <w:highlight w:val="none"/>
        </w:rPr>
        <w:t>。设计人应当在工程施工开始至</w:t>
      </w:r>
      <w:r>
        <w:rPr>
          <w:rFonts w:hint="eastAsia" w:ascii="仿宋_GB2312" w:hAnsi="仿宋_GB2312" w:eastAsia="仿宋_GB2312" w:cs="仿宋_GB2312"/>
          <w:color w:val="auto"/>
          <w:spacing w:val="-3"/>
          <w:sz w:val="30"/>
          <w:szCs w:val="30"/>
          <w:highlight w:val="none"/>
        </w:rPr>
        <w:t>工程竣工验收</w:t>
      </w:r>
      <w:r>
        <w:rPr>
          <w:rFonts w:hint="eastAsia" w:ascii="仿宋_GB2312" w:hAnsi="仿宋_GB2312" w:eastAsia="仿宋_GB2312" w:cs="仿宋_GB2312"/>
          <w:color w:val="auto"/>
          <w:spacing w:val="1"/>
          <w:sz w:val="30"/>
          <w:szCs w:val="30"/>
          <w:highlight w:val="none"/>
        </w:rPr>
        <w:t>合格期间派出项目负责人或专业负责人根据发包人要求提供相应变更的设计文件，服务内容包括但不限于提供设计技术交底、及时解决施工中设计技术问题、签字确认施工过程中的相关文</w:t>
      </w:r>
      <w:r>
        <w:rPr>
          <w:rFonts w:hint="eastAsia" w:ascii="仿宋_GB2312" w:hAnsi="仿宋_GB2312" w:eastAsia="仿宋_GB2312" w:cs="仿宋_GB2312"/>
          <w:color w:val="auto"/>
          <w:spacing w:val="-1"/>
          <w:sz w:val="30"/>
          <w:szCs w:val="30"/>
          <w:highlight w:val="none"/>
        </w:rPr>
        <w:t>件、配合发包人进行外部协调、参加竣工验收等工作。</w:t>
      </w:r>
    </w:p>
    <w:p w14:paraId="7BD541A4">
      <w:pPr>
        <w:pStyle w:val="7"/>
        <w:keepNext/>
        <w:keepLines/>
        <w:ind w:firstLine="0" w:firstLineChars="0"/>
        <w:jc w:val="both"/>
        <w:rPr>
          <w:rFonts w:eastAsia="黑体"/>
          <w:bCs/>
          <w:color w:val="auto"/>
          <w:sz w:val="32"/>
          <w:highlight w:val="none"/>
        </w:rPr>
      </w:pPr>
      <w:bookmarkStart w:id="1372" w:name="_Toc808"/>
      <w:bookmarkStart w:id="1373" w:name="_Toc16270"/>
      <w:bookmarkStart w:id="1374" w:name="_Toc11194"/>
      <w:bookmarkStart w:id="1375" w:name="_Toc32027"/>
      <w:bookmarkStart w:id="1376" w:name="_Toc2247"/>
      <w:r>
        <w:rPr>
          <w:rFonts w:eastAsia="黑体"/>
          <w:bCs/>
          <w:color w:val="auto"/>
          <w:sz w:val="32"/>
          <w:highlight w:val="none"/>
        </w:rPr>
        <w:t>10.合同价款与支付</w:t>
      </w:r>
      <w:bookmarkEnd w:id="1372"/>
      <w:bookmarkEnd w:id="1373"/>
      <w:bookmarkEnd w:id="1374"/>
      <w:bookmarkEnd w:id="1375"/>
      <w:bookmarkEnd w:id="1376"/>
    </w:p>
    <w:p w14:paraId="309EA975">
      <w:pPr>
        <w:pStyle w:val="8"/>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10.1合同价款组成</w:t>
      </w:r>
    </w:p>
    <w:p w14:paraId="746C813A">
      <w:pPr>
        <w:spacing w:line="360" w:lineRule="auto"/>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sz w:val="30"/>
          <w:szCs w:val="30"/>
          <w:highlight w:val="none"/>
        </w:rPr>
        <w:t xml:space="preserve"> 10.1.1本合同价为提供本合同所列服务而发生的人工费、成果文件制作费、办公通讯费、交通费、差旅费、管理费、风险（包括由发包人原因引起的重复工作等）、利润和税金等。</w:t>
      </w:r>
    </w:p>
    <w:p w14:paraId="71025F4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10.1.2 其他约定：</w:t>
      </w:r>
      <w:r>
        <w:rPr>
          <w:rFonts w:hint="eastAsia" w:ascii="仿宋_GB2312" w:hAnsi="仿宋_GB2312" w:eastAsia="仿宋_GB2312" w:cs="仿宋_GB2312"/>
          <w:color w:val="auto"/>
          <w:sz w:val="30"/>
          <w:szCs w:val="30"/>
          <w:highlight w:val="none"/>
          <w:u w:val="single"/>
        </w:rPr>
        <w:t>详见第七部分发包人要求。</w:t>
      </w:r>
    </w:p>
    <w:p w14:paraId="4B6CC496">
      <w:pPr>
        <w:widowControl/>
        <w:adjustRightInd w:val="0"/>
        <w:snapToGrid w:val="0"/>
        <w:spacing w:line="360" w:lineRule="auto"/>
        <w:ind w:firstLine="602" w:firstLineChars="200"/>
        <w:rPr>
          <w:rFonts w:ascii="仿宋_GB2312" w:hAnsi="仿宋_GB2312" w:eastAsia="仿宋_GB2312" w:cs="仿宋_GB2312"/>
          <w:color w:val="auto"/>
          <w:sz w:val="30"/>
          <w:szCs w:val="30"/>
          <w:highlight w:val="none"/>
        </w:rPr>
      </w:pPr>
      <w:r>
        <w:rPr>
          <w:rFonts w:ascii="Times New Roman" w:hAnsi="Times New Roman" w:eastAsia="黑体"/>
          <w:b/>
          <w:bCs/>
          <w:color w:val="auto"/>
          <w:sz w:val="30"/>
          <w:szCs w:val="32"/>
          <w:highlight w:val="none"/>
        </w:rPr>
        <w:t xml:space="preserve">10.2 </w:t>
      </w:r>
      <w:r>
        <w:rPr>
          <w:rFonts w:hint="eastAsia" w:ascii="Times New Roman" w:hAnsi="Times New Roman" w:eastAsia="黑体"/>
          <w:b/>
          <w:bCs/>
          <w:color w:val="auto"/>
          <w:sz w:val="30"/>
          <w:szCs w:val="32"/>
          <w:highlight w:val="none"/>
        </w:rPr>
        <w:t>合同价格形式</w:t>
      </w:r>
    </w:p>
    <w:p w14:paraId="58469EC7">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z w:val="30"/>
          <w:szCs w:val="30"/>
          <w:highlight w:val="none"/>
        </w:rPr>
        <w:t>单价合同</w:t>
      </w:r>
    </w:p>
    <w:p w14:paraId="60605502">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价格计算：每平方米单价：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元/㎡，根据精装实际设计面积每平方米报价</w:t>
      </w:r>
    </w:p>
    <w:p w14:paraId="08F44112">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设计费＝精装实际设计面积（㎡）×单价（元／㎡）。</w:t>
      </w:r>
    </w:p>
    <w:p w14:paraId="6E8F6CE5">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单价包含的风险范围：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730C86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105061F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1306D3A8">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总价合同</w:t>
      </w:r>
    </w:p>
    <w:p w14:paraId="1E6CC903">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总价：</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p>
    <w:p w14:paraId="5A5305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总价包含的风险范围：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6835D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306143F">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0CD1ADBF">
      <w:pPr>
        <w:pStyle w:val="79"/>
        <w:spacing w:after="0" w:line="360" w:lineRule="auto"/>
        <w:ind w:firstLine="580" w:firstLineChars="200"/>
        <w:rPr>
          <w:rFonts w:ascii="仿宋_GB2312" w:hAnsi="仿宋_GB2312" w:eastAsia="仿宋_GB2312" w:cs="仿宋_GB2312"/>
          <w:color w:val="auto"/>
          <w:spacing w:val="-3"/>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其他价格形式：</w:t>
      </w:r>
      <w:r>
        <w:rPr>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55653686">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10.3定金或预付款</w:t>
      </w:r>
    </w:p>
    <w:p w14:paraId="69059E47">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本项目无定金或预付款。</w:t>
      </w:r>
    </w:p>
    <w:p w14:paraId="16E20481">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10.5合同价款的结算与支付</w:t>
      </w:r>
      <w:r>
        <w:rPr>
          <w:rStyle w:val="45"/>
          <w:rFonts w:hint="eastAsia" w:ascii="仿宋_GB2312" w:hAnsi="仿宋_GB2312" w:eastAsia="仿宋_GB2312" w:cs="仿宋_GB2312"/>
          <w:color w:val="auto"/>
          <w:sz w:val="30"/>
          <w:szCs w:val="30"/>
          <w:highlight w:val="none"/>
          <w:u w:val="single"/>
        </w:rPr>
        <w:t>详见附件6</w:t>
      </w:r>
      <w:r>
        <w:rPr>
          <w:rStyle w:val="45"/>
          <w:rFonts w:hint="eastAsia" w:ascii="仿宋_GB2312" w:hAnsi="仿宋_GB2312" w:eastAsia="仿宋_GB2312" w:cs="仿宋_GB2312"/>
          <w:color w:val="auto"/>
          <w:sz w:val="30"/>
          <w:szCs w:val="30"/>
          <w:highlight w:val="none"/>
        </w:rPr>
        <w:t>。</w:t>
      </w:r>
    </w:p>
    <w:p w14:paraId="7CC3FD2C">
      <w:pPr>
        <w:pStyle w:val="79"/>
        <w:spacing w:after="0"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10.5.1合同费用由发包人分次支付设计人。申请各阶段费用时，设计人应开具合格的发票给发包人或发包人指定的部门（单位/组织），具体通过相关纪要或往来函件明确。各阶段费用支付方式详见附件6。</w:t>
      </w:r>
    </w:p>
    <w:p w14:paraId="61789A2E">
      <w:pPr>
        <w:pStyle w:val="79"/>
        <w:widowControl/>
        <w:spacing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10.5.2双方委托银行代付代收有关费用，支付款项同时提供等额合法有效增值税普通发票至发包</w:t>
      </w:r>
      <w:r>
        <w:rPr>
          <w:rFonts w:hint="eastAsia" w:ascii="仿宋_GB2312" w:hAnsi="仿宋_GB2312" w:eastAsia="仿宋_GB2312" w:cs="仿宋_GB2312"/>
          <w:color w:val="auto"/>
          <w:spacing w:val="-2"/>
          <w:sz w:val="30"/>
          <w:szCs w:val="30"/>
          <w:highlight w:val="none"/>
        </w:rPr>
        <w:t>人，否则发包人有权延迟付款直至设计人提供发票为止，并不需要承担相应的损失及法律责任。</w:t>
      </w:r>
    </w:p>
    <w:p w14:paraId="628C19BA">
      <w:pPr>
        <w:widowControl/>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10.5.4合同价款的调整</w:t>
      </w:r>
      <w:r>
        <w:rPr>
          <w:rStyle w:val="45"/>
          <w:rFonts w:hint="eastAsia" w:ascii="仿宋_GB2312" w:hAnsi="仿宋_GB2312" w:eastAsia="仿宋_GB2312" w:cs="仿宋_GB2312"/>
          <w:color w:val="auto"/>
          <w:sz w:val="30"/>
          <w:szCs w:val="30"/>
          <w:highlight w:val="none"/>
        </w:rPr>
        <w:t>：</w:t>
      </w:r>
      <w:r>
        <w:rPr>
          <w:rStyle w:val="45"/>
          <w:rFonts w:ascii="仿宋_GB2312" w:hAnsi="仿宋_GB2312" w:eastAsia="仿宋_GB2312" w:cs="仿宋_GB2312"/>
          <w:color w:val="auto"/>
          <w:sz w:val="30"/>
          <w:szCs w:val="30"/>
          <w:highlight w:val="none"/>
          <w:u w:val="single"/>
        </w:rPr>
        <w:t>详见附件7</w:t>
      </w:r>
      <w:r>
        <w:rPr>
          <w:rStyle w:val="45"/>
          <w:rFonts w:hint="eastAsia" w:ascii="仿宋_GB2312" w:hAnsi="仿宋_GB2312" w:eastAsia="仿宋_GB2312" w:cs="仿宋_GB2312"/>
          <w:color w:val="auto"/>
          <w:sz w:val="30"/>
          <w:szCs w:val="30"/>
          <w:highlight w:val="none"/>
        </w:rPr>
        <w:t>。</w:t>
      </w:r>
    </w:p>
    <w:p w14:paraId="08D3C753">
      <w:pPr>
        <w:widowControl/>
        <w:autoSpaceDE w:val="0"/>
        <w:autoSpaceDN w:val="0"/>
        <w:adjustRightInd w:val="0"/>
        <w:snapToGrid w:val="0"/>
        <w:spacing w:line="360" w:lineRule="auto"/>
        <w:ind w:firstLine="600"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color w:val="auto"/>
          <w:sz w:val="30"/>
          <w:szCs w:val="30"/>
          <w:highlight w:val="none"/>
        </w:rPr>
        <w:t>10</w:t>
      </w:r>
      <w:r>
        <w:rPr>
          <w:rFonts w:hint="eastAsia" w:ascii="仿宋_GB2312" w:hAnsi="仿宋_GB2312" w:eastAsia="仿宋_GB2312" w:cs="仿宋_GB2312"/>
          <w:b/>
          <w:color w:val="auto"/>
          <w:sz w:val="30"/>
          <w:szCs w:val="30"/>
          <w:highlight w:val="none"/>
        </w:rPr>
        <w:t>.5.5 本设计费用不包括以下项目：</w:t>
      </w:r>
    </w:p>
    <w:p w14:paraId="5B182850">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lang w:val="zh-TW"/>
        </w:rPr>
      </w:pPr>
      <w:r>
        <w:rPr>
          <w:rFonts w:hint="eastAsia" w:ascii="仿宋_GB2312" w:hAnsi="仿宋_GB2312" w:eastAsia="仿宋_GB2312" w:cs="仿宋_GB2312"/>
          <w:color w:val="auto"/>
          <w:sz w:val="30"/>
          <w:szCs w:val="30"/>
          <w:highlight w:val="none"/>
        </w:rPr>
        <w:t xml:space="preserve">10.5.5.1 </w:t>
      </w:r>
      <w:r>
        <w:rPr>
          <w:rFonts w:hint="eastAsia" w:ascii="仿宋_GB2312" w:hAnsi="仿宋_GB2312" w:eastAsia="仿宋_GB2312" w:cs="仿宋_GB2312"/>
          <w:color w:val="auto"/>
          <w:sz w:val="30"/>
          <w:szCs w:val="30"/>
          <w:highlight w:val="none"/>
          <w:lang w:val="zh-TW"/>
        </w:rPr>
        <w:t>附件图纸圈定地域及设计内容要求以外的项目设计费。</w:t>
      </w:r>
    </w:p>
    <w:p w14:paraId="2F49A9EC">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10.5.5.2 </w:t>
      </w:r>
      <w:r>
        <w:rPr>
          <w:rFonts w:hint="eastAsia" w:ascii="仿宋_GB2312" w:hAnsi="仿宋_GB2312" w:eastAsia="仿宋_GB2312" w:cs="仿宋_GB2312"/>
          <w:color w:val="auto"/>
          <w:sz w:val="30"/>
          <w:szCs w:val="30"/>
          <w:highlight w:val="none"/>
          <w:lang w:val="zh-TW"/>
        </w:rPr>
        <w:t>施工监理的费用。</w:t>
      </w:r>
    </w:p>
    <w:p w14:paraId="4EBBF324">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10.5.5.3 </w:t>
      </w:r>
      <w:r>
        <w:rPr>
          <w:rFonts w:hint="eastAsia" w:ascii="仿宋_GB2312" w:hAnsi="仿宋_GB2312" w:eastAsia="仿宋_GB2312" w:cs="仿宋_GB2312"/>
          <w:color w:val="auto"/>
          <w:sz w:val="30"/>
          <w:szCs w:val="30"/>
          <w:highlight w:val="none"/>
          <w:lang w:val="zh-TW"/>
        </w:rPr>
        <w:t>呈交政府管理部门审批的费用</w:t>
      </w:r>
      <w:r>
        <w:rPr>
          <w:rFonts w:hint="eastAsia" w:ascii="仿宋_GB2312" w:hAnsi="仿宋_GB2312" w:eastAsia="仿宋_GB2312" w:cs="仿宋_GB2312"/>
          <w:color w:val="auto"/>
          <w:sz w:val="30"/>
          <w:szCs w:val="30"/>
          <w:highlight w:val="none"/>
        </w:rPr>
        <w:t>。</w:t>
      </w:r>
    </w:p>
    <w:p w14:paraId="3D1396E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10.6 甲方应将每期应付的设计费用汇至如下乙方银行账户：</w:t>
      </w:r>
    </w:p>
    <w:p w14:paraId="7C030C8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公司全称：</w:t>
      </w:r>
      <w:sdt>
        <w:sdtPr>
          <w:rPr>
            <w:rFonts w:hint="eastAsia" w:ascii="仿宋_GB2312" w:hAnsi="仿宋_GB2312" w:eastAsia="仿宋_GB2312" w:cs="仿宋_GB2312"/>
            <w:color w:val="auto"/>
            <w:sz w:val="30"/>
            <w:szCs w:val="30"/>
            <w:highlight w:val="none"/>
          </w:rPr>
          <w:id w:val="147473545"/>
          <w:placeholder>
            <w:docPart w:val="{a322a1c6-90ac-45f1-a232-f9c999521b0a}"/>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r>
        <w:rPr>
          <w:rFonts w:hint="eastAsia" w:ascii="仿宋_GB2312" w:hAnsi="仿宋_GB2312" w:eastAsia="仿宋_GB2312" w:cs="仿宋_GB2312"/>
          <w:color w:val="auto"/>
          <w:sz w:val="30"/>
          <w:szCs w:val="30"/>
          <w:highlight w:val="none"/>
        </w:rPr>
        <w:t xml:space="preserve"> </w:t>
      </w:r>
    </w:p>
    <w:p w14:paraId="09624A19">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银行账号：</w:t>
      </w:r>
      <w:sdt>
        <w:sdtPr>
          <w:rPr>
            <w:rFonts w:hint="eastAsia" w:ascii="仿宋_GB2312" w:hAnsi="仿宋_GB2312" w:eastAsia="仿宋_GB2312" w:cs="仿宋_GB2312"/>
            <w:color w:val="auto"/>
            <w:sz w:val="30"/>
            <w:szCs w:val="30"/>
            <w:highlight w:val="none"/>
          </w:rPr>
          <w:id w:val="147473535"/>
          <w:placeholder>
            <w:docPart w:val="{b849f7be-2f11-4dc7-827f-613b06421f73}"/>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30BBE9DA">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sdt>
        <w:sdtPr>
          <w:rPr>
            <w:rFonts w:hint="eastAsia" w:ascii="仿宋_GB2312" w:hAnsi="仿宋_GB2312" w:eastAsia="仿宋_GB2312" w:cs="仿宋_GB2312"/>
            <w:color w:val="auto"/>
            <w:sz w:val="30"/>
            <w:szCs w:val="30"/>
            <w:highlight w:val="none"/>
          </w:rPr>
          <w:id w:val="147473518"/>
          <w:placeholder>
            <w:docPart w:val="{ba86e39d-8fd0-4b85-bd49-8db818db39b0}"/>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69B2E06B">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如乙方银行账户发生变更的，应于变更后三日内书面通知甲方，否则由此导致的逾期收款后果等损失由乙方自行承担。</w:t>
      </w:r>
    </w:p>
    <w:p w14:paraId="79FA672B">
      <w:pPr>
        <w:pStyle w:val="7"/>
        <w:keepNext/>
        <w:keepLines/>
        <w:ind w:firstLine="0" w:firstLineChars="0"/>
        <w:jc w:val="both"/>
        <w:rPr>
          <w:rFonts w:eastAsia="黑体"/>
          <w:bCs/>
          <w:color w:val="auto"/>
          <w:sz w:val="32"/>
          <w:highlight w:val="none"/>
        </w:rPr>
      </w:pPr>
      <w:bookmarkStart w:id="1377" w:name="_Toc14285"/>
      <w:bookmarkStart w:id="1378" w:name="_Toc19031"/>
      <w:bookmarkStart w:id="1379" w:name="_Toc17504"/>
      <w:bookmarkStart w:id="1380" w:name="_Toc15294"/>
      <w:bookmarkStart w:id="1381" w:name="_Toc32746"/>
      <w:r>
        <w:rPr>
          <w:rFonts w:eastAsia="黑体"/>
          <w:bCs/>
          <w:color w:val="auto"/>
          <w:sz w:val="32"/>
          <w:highlight w:val="none"/>
        </w:rPr>
        <w:t>11.工程设计变更与索赔</w:t>
      </w:r>
      <w:bookmarkEnd w:id="1377"/>
      <w:bookmarkEnd w:id="1378"/>
      <w:bookmarkEnd w:id="1379"/>
      <w:bookmarkEnd w:id="1380"/>
      <w:bookmarkEnd w:id="1381"/>
    </w:p>
    <w:p w14:paraId="575BB687">
      <w:pPr>
        <w:pStyle w:val="79"/>
        <w:spacing w:after="0" w:line="360" w:lineRule="auto"/>
        <w:ind w:firstLine="60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11.5设计人应于认为有理由提出增加合</w:t>
      </w:r>
      <w:r>
        <w:rPr>
          <w:rFonts w:hint="eastAsia" w:ascii="仿宋_GB2312" w:hAnsi="仿宋_GB2312" w:eastAsia="仿宋_GB2312" w:cs="仿宋_GB2312"/>
          <w:color w:val="auto"/>
          <w:spacing w:val="1"/>
          <w:sz w:val="30"/>
          <w:szCs w:val="30"/>
          <w:highlight w:val="none"/>
        </w:rPr>
        <w:t>同价款或延长设计周期的要求事项发生后</w:t>
      </w:r>
      <w:r>
        <w:rPr>
          <w:rFonts w:hint="eastAsia" w:ascii="仿宋_GB2312" w:hAnsi="仿宋_GB2312" w:eastAsia="仿宋_GB2312" w:cs="仿宋_GB2312"/>
          <w:color w:val="auto"/>
          <w:spacing w:val="1"/>
          <w:sz w:val="30"/>
          <w:szCs w:val="30"/>
          <w:highlight w:val="none"/>
          <w:u w:val="single"/>
        </w:rPr>
        <w:t xml:space="preserve">7  </w:t>
      </w:r>
      <w:r>
        <w:rPr>
          <w:rFonts w:hint="eastAsia" w:ascii="仿宋_GB2312" w:hAnsi="仿宋_GB2312" w:eastAsia="仿宋_GB2312" w:cs="仿宋_GB2312"/>
          <w:color w:val="auto"/>
          <w:spacing w:val="1"/>
          <w:sz w:val="30"/>
          <w:szCs w:val="30"/>
          <w:highlight w:val="none"/>
        </w:rPr>
        <w:t>天内书面</w:t>
      </w:r>
      <w:r>
        <w:rPr>
          <w:rFonts w:hint="eastAsia" w:ascii="仿宋_GB2312" w:hAnsi="仿宋_GB2312" w:eastAsia="仿宋_GB2312" w:cs="仿宋_GB2312"/>
          <w:color w:val="auto"/>
          <w:spacing w:val="-1"/>
          <w:sz w:val="30"/>
          <w:szCs w:val="30"/>
          <w:highlight w:val="none"/>
        </w:rPr>
        <w:t>通知发包人。</w:t>
      </w:r>
    </w:p>
    <w:p w14:paraId="23720E6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设计人应在该事项发生后</w:t>
      </w:r>
      <w:r>
        <w:rPr>
          <w:rFonts w:hint="eastAsia" w:ascii="仿宋_GB2312" w:hAnsi="仿宋_GB2312" w:eastAsia="仿宋_GB2312" w:cs="仿宋_GB2312"/>
          <w:color w:val="auto"/>
          <w:spacing w:val="-1"/>
          <w:sz w:val="30"/>
          <w:szCs w:val="30"/>
          <w:highlight w:val="none"/>
          <w:u w:val="single"/>
        </w:rPr>
        <w:t xml:space="preserve">  10  </w:t>
      </w:r>
      <w:r>
        <w:rPr>
          <w:rFonts w:hint="eastAsia" w:ascii="仿宋_GB2312" w:hAnsi="仿宋_GB2312" w:eastAsia="仿宋_GB2312" w:cs="仿宋_GB2312"/>
          <w:color w:val="auto"/>
          <w:spacing w:val="-1"/>
          <w:sz w:val="30"/>
          <w:szCs w:val="30"/>
          <w:highlight w:val="none"/>
        </w:rPr>
        <w:t>天内向发</w:t>
      </w:r>
      <w:r>
        <w:rPr>
          <w:rFonts w:hint="eastAsia" w:ascii="仿宋_GB2312" w:hAnsi="仿宋_GB2312" w:eastAsia="仿宋_GB2312" w:cs="仿宋_GB2312"/>
          <w:color w:val="auto"/>
          <w:spacing w:val="-2"/>
          <w:sz w:val="30"/>
          <w:szCs w:val="30"/>
          <w:highlight w:val="none"/>
        </w:rPr>
        <w:t>包人提供证明设计人要求的书面声明。</w:t>
      </w:r>
      <w:r>
        <w:rPr>
          <w:rFonts w:hint="eastAsia" w:ascii="仿宋_GB2312" w:hAnsi="仿宋_GB2312" w:eastAsia="仿宋_GB2312" w:cs="仿宋_GB2312"/>
          <w:color w:val="auto"/>
          <w:sz w:val="30"/>
          <w:szCs w:val="30"/>
          <w:highlight w:val="none"/>
        </w:rPr>
        <w:t xml:space="preserve"> 发包人应在接到设计人书面声明后的</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天内，予以书面</w:t>
      </w:r>
      <w:r>
        <w:rPr>
          <w:rFonts w:hint="eastAsia" w:ascii="仿宋_GB2312" w:hAnsi="仿宋_GB2312" w:eastAsia="仿宋_GB2312" w:cs="仿宋_GB2312"/>
          <w:color w:val="auto"/>
          <w:spacing w:val="-1"/>
          <w:sz w:val="30"/>
          <w:szCs w:val="30"/>
          <w:highlight w:val="none"/>
        </w:rPr>
        <w:t>答复。</w:t>
      </w:r>
    </w:p>
    <w:p w14:paraId="2C4C7C5B">
      <w:pPr>
        <w:pStyle w:val="7"/>
        <w:keepNext/>
        <w:keepLines/>
        <w:ind w:firstLine="0" w:firstLineChars="0"/>
        <w:jc w:val="both"/>
        <w:rPr>
          <w:rFonts w:eastAsia="黑体"/>
          <w:bCs/>
          <w:color w:val="auto"/>
          <w:sz w:val="32"/>
          <w:highlight w:val="none"/>
        </w:rPr>
      </w:pPr>
      <w:bookmarkStart w:id="1382" w:name="_Toc1922"/>
      <w:bookmarkStart w:id="1383" w:name="_Toc25916"/>
      <w:bookmarkStart w:id="1384" w:name="_Toc19708"/>
      <w:bookmarkStart w:id="1385" w:name="_Toc10448"/>
      <w:bookmarkStart w:id="1386" w:name="_Toc11950"/>
      <w:r>
        <w:rPr>
          <w:rFonts w:eastAsia="黑体"/>
          <w:bCs/>
          <w:color w:val="auto"/>
          <w:sz w:val="32"/>
          <w:highlight w:val="none"/>
        </w:rPr>
        <w:t>12.专业责任与保险</w:t>
      </w:r>
      <w:bookmarkEnd w:id="1382"/>
      <w:bookmarkEnd w:id="1383"/>
      <w:bookmarkEnd w:id="1384"/>
      <w:bookmarkEnd w:id="1385"/>
      <w:bookmarkEnd w:id="1386"/>
    </w:p>
    <w:p w14:paraId="5E6A0799">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12.2  设计人</w:t>
      </w:r>
      <w:r>
        <w:rPr>
          <w:rFonts w:hint="eastAsia" w:ascii="仿宋_GB2312" w:hAnsi="仿宋_GB2312" w:eastAsia="仿宋_GB2312" w:cs="仿宋_GB2312"/>
          <w:color w:val="auto"/>
          <w:spacing w:val="-1"/>
          <w:sz w:val="30"/>
          <w:szCs w:val="30"/>
          <w:highlight w:val="none"/>
          <w:u w:val="single"/>
        </w:rPr>
        <w:t xml:space="preserve">  不需  </w:t>
      </w:r>
      <w:r>
        <w:rPr>
          <w:rFonts w:hint="eastAsia" w:ascii="仿宋_GB2312" w:hAnsi="仿宋_GB2312" w:eastAsia="仿宋_GB2312" w:cs="仿宋_GB2312"/>
          <w:color w:val="auto"/>
          <w:spacing w:val="-1"/>
          <w:sz w:val="30"/>
          <w:szCs w:val="30"/>
          <w:highlight w:val="none"/>
        </w:rPr>
        <w:t>有发包人认可的工程设计责任保险。</w:t>
      </w:r>
    </w:p>
    <w:p w14:paraId="5790FA82">
      <w:pPr>
        <w:pStyle w:val="7"/>
        <w:keepNext/>
        <w:keepLines/>
        <w:ind w:firstLine="0" w:firstLineChars="0"/>
        <w:jc w:val="both"/>
        <w:rPr>
          <w:rFonts w:eastAsia="黑体"/>
          <w:bCs/>
          <w:color w:val="auto"/>
          <w:sz w:val="32"/>
          <w:highlight w:val="none"/>
        </w:rPr>
      </w:pPr>
      <w:bookmarkStart w:id="1387" w:name="_Toc3164"/>
      <w:bookmarkStart w:id="1388" w:name="_Toc24235"/>
      <w:bookmarkStart w:id="1389" w:name="_Toc22086"/>
      <w:bookmarkStart w:id="1390" w:name="_Toc2637"/>
      <w:r>
        <w:rPr>
          <w:rFonts w:eastAsia="黑体"/>
          <w:bCs/>
          <w:color w:val="auto"/>
          <w:sz w:val="32"/>
          <w:highlight w:val="none"/>
        </w:rPr>
        <w:t>13.知识产权</w:t>
      </w:r>
      <w:bookmarkEnd w:id="1387"/>
      <w:bookmarkEnd w:id="1388"/>
      <w:bookmarkEnd w:id="1389"/>
      <w:bookmarkEnd w:id="1390"/>
    </w:p>
    <w:p w14:paraId="4EF2BC7C">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13.1  关于发包人提供给设计人的图纸、发包人为实施工程自行编制或委托编制的技术规格</w:t>
      </w:r>
      <w:r>
        <w:rPr>
          <w:rFonts w:hint="eastAsia" w:ascii="仿宋_GB2312" w:hAnsi="仿宋_GB2312" w:eastAsia="仿宋_GB2312" w:cs="仿宋_GB2312"/>
          <w:color w:val="auto"/>
          <w:spacing w:val="-1"/>
          <w:sz w:val="30"/>
          <w:szCs w:val="30"/>
          <w:highlight w:val="none"/>
        </w:rPr>
        <w:t>以及</w:t>
      </w:r>
      <w:r>
        <w:rPr>
          <w:rFonts w:hint="eastAsia" w:ascii="仿宋_GB2312" w:hAnsi="仿宋_GB2312" w:eastAsia="仿宋_GB2312" w:cs="仿宋_GB2312"/>
          <w:color w:val="auto"/>
          <w:sz w:val="30"/>
          <w:szCs w:val="30"/>
          <w:highlight w:val="none"/>
        </w:rPr>
        <w:t>反映发包人关于合同要求或其他类似性质的文件的著作权的归属：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8E970CC">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关于发包人提供的上述文件的使用限制的要求：</w:t>
      </w:r>
      <w:r>
        <w:rPr>
          <w:rFonts w:hint="eastAsia" w:ascii="仿宋_GB2312" w:hAnsi="仿宋_GB2312" w:eastAsia="仿宋_GB2312" w:cs="仿宋_GB2312"/>
          <w:color w:val="auto"/>
          <w:spacing w:val="1"/>
          <w:sz w:val="30"/>
          <w:szCs w:val="30"/>
          <w:highlight w:val="none"/>
          <w:u w:val="single"/>
        </w:rPr>
        <w:t>设计人可以为实现合同目的而复制、使用此类文件，但不能用于与合同无关的其他事项。未经发包人书面同意，设计人不得为了合同以外的</w:t>
      </w:r>
      <w:r>
        <w:rPr>
          <w:rFonts w:hint="eastAsia" w:ascii="仿宋_GB2312" w:hAnsi="仿宋_GB2312" w:eastAsia="仿宋_GB2312" w:cs="仿宋_GB2312"/>
          <w:color w:val="auto"/>
          <w:sz w:val="30"/>
          <w:szCs w:val="30"/>
          <w:highlight w:val="none"/>
          <w:u w:val="single"/>
        </w:rPr>
        <w:t>目的而复制、使用上述文件或将之提供给任何第</w:t>
      </w:r>
      <w:r>
        <w:rPr>
          <w:rFonts w:hint="eastAsia" w:ascii="仿宋_GB2312" w:hAnsi="仿宋_GB2312" w:eastAsia="仿宋_GB2312" w:cs="仿宋_GB2312"/>
          <w:color w:val="auto"/>
          <w:spacing w:val="-1"/>
          <w:sz w:val="30"/>
          <w:szCs w:val="30"/>
          <w:highlight w:val="none"/>
          <w:u w:val="single"/>
        </w:rPr>
        <w:t>三方发包人</w:t>
      </w:r>
      <w:r>
        <w:rPr>
          <w:rFonts w:ascii="仿宋_GB2312" w:hAnsi="仿宋_GB2312" w:eastAsia="仿宋_GB2312" w:cs="仿宋_GB2312"/>
          <w:color w:val="auto"/>
          <w:spacing w:val="-1"/>
          <w:sz w:val="30"/>
          <w:szCs w:val="30"/>
          <w:highlight w:val="none"/>
          <w:u w:val="single"/>
        </w:rPr>
        <w:t>，如发现资料外泄发包人可对</w:t>
      </w:r>
      <w:r>
        <w:rPr>
          <w:rFonts w:hint="eastAsia" w:ascii="仿宋_GB2312" w:hAnsi="仿宋_GB2312" w:eastAsia="仿宋_GB2312" w:cs="仿宋_GB2312"/>
          <w:color w:val="auto"/>
          <w:spacing w:val="-1"/>
          <w:sz w:val="30"/>
          <w:szCs w:val="30"/>
          <w:highlight w:val="none"/>
          <w:u w:val="single"/>
        </w:rPr>
        <w:t>设计</w:t>
      </w:r>
      <w:r>
        <w:rPr>
          <w:rFonts w:ascii="仿宋_GB2312" w:hAnsi="仿宋_GB2312" w:eastAsia="仿宋_GB2312" w:cs="仿宋_GB2312"/>
          <w:color w:val="auto"/>
          <w:spacing w:val="-1"/>
          <w:sz w:val="30"/>
          <w:szCs w:val="30"/>
          <w:highlight w:val="none"/>
          <w:u w:val="single"/>
        </w:rPr>
        <w:t>人予以追责并处以合同金额20%的赔偿金</w:t>
      </w:r>
      <w:r>
        <w:rPr>
          <w:rFonts w:hint="eastAsia" w:ascii="仿宋_GB2312" w:hAnsi="仿宋_GB2312" w:eastAsia="仿宋_GB2312" w:cs="仿宋_GB2312"/>
          <w:color w:val="auto"/>
          <w:spacing w:val="-1"/>
          <w:sz w:val="30"/>
          <w:szCs w:val="30"/>
          <w:highlight w:val="none"/>
        </w:rPr>
        <w:t>。</w:t>
      </w:r>
    </w:p>
    <w:p w14:paraId="0EA8490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13.2  关于设计人为实施工程所编制文件的著作权的归属：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555CCF6">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关于设计人提供的上述文件的使用限制的要求：</w:t>
      </w:r>
      <w:r>
        <w:rPr>
          <w:rFonts w:hint="eastAsia" w:ascii="仿宋_GB2312" w:hAnsi="仿宋_GB2312" w:eastAsia="仿宋_GB2312" w:cs="仿宋_GB2312"/>
          <w:color w:val="auto"/>
          <w:spacing w:val="1"/>
          <w:sz w:val="30"/>
          <w:szCs w:val="30"/>
          <w:highlight w:val="none"/>
          <w:u w:val="single"/>
        </w:rPr>
        <w:t>未经发包人书面同意，设计人不得为了合同以</w:t>
      </w:r>
      <w:r>
        <w:rPr>
          <w:rFonts w:hint="eastAsia" w:ascii="仿宋_GB2312" w:hAnsi="仿宋_GB2312" w:eastAsia="仿宋_GB2312" w:cs="仿宋_GB2312"/>
          <w:color w:val="auto"/>
          <w:sz w:val="30"/>
          <w:szCs w:val="30"/>
          <w:highlight w:val="none"/>
          <w:u w:val="single"/>
        </w:rPr>
        <w:t>外的目的而复制、使用上述文件或将之提供</w:t>
      </w:r>
      <w:r>
        <w:rPr>
          <w:rFonts w:hint="eastAsia" w:ascii="仿宋_GB2312" w:hAnsi="仿宋_GB2312" w:eastAsia="仿宋_GB2312" w:cs="仿宋_GB2312"/>
          <w:color w:val="auto"/>
          <w:spacing w:val="-1"/>
          <w:sz w:val="30"/>
          <w:szCs w:val="30"/>
          <w:highlight w:val="none"/>
          <w:u w:val="single"/>
        </w:rPr>
        <w:t>给任何第三方。</w:t>
      </w:r>
    </w:p>
    <w:p w14:paraId="4FCB3549">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13.5设计人在设计过程中所采用的专利、专有技术的使用费的承担方式：</w:t>
      </w:r>
      <w:r>
        <w:rPr>
          <w:rFonts w:hint="eastAsia" w:ascii="仿宋_GB2312" w:hAnsi="仿宋_GB2312" w:eastAsia="仿宋_GB2312" w:cs="仿宋_GB2312"/>
          <w:color w:val="auto"/>
          <w:spacing w:val="-1"/>
          <w:sz w:val="30"/>
          <w:szCs w:val="30"/>
          <w:highlight w:val="none"/>
          <w:u w:val="single"/>
        </w:rPr>
        <w:t xml:space="preserve"> 设计人</w:t>
      </w:r>
      <w:r>
        <w:rPr>
          <w:rFonts w:hint="eastAsia" w:ascii="仿宋_GB2312" w:hAnsi="仿宋_GB2312" w:eastAsia="仿宋_GB2312" w:cs="仿宋_GB2312"/>
          <w:color w:val="auto"/>
          <w:spacing w:val="-2"/>
          <w:sz w:val="30"/>
          <w:szCs w:val="30"/>
          <w:highlight w:val="none"/>
          <w:u w:val="single"/>
        </w:rPr>
        <w:t>自行承担</w:t>
      </w:r>
      <w:r>
        <w:rPr>
          <w:rFonts w:hint="eastAsia" w:ascii="仿宋_GB2312" w:hAnsi="仿宋_GB2312" w:eastAsia="仿宋_GB2312" w:cs="仿宋_GB2312"/>
          <w:color w:val="auto"/>
          <w:spacing w:val="-2"/>
          <w:sz w:val="30"/>
          <w:szCs w:val="30"/>
          <w:highlight w:val="none"/>
        </w:rPr>
        <w:t>。</w:t>
      </w:r>
    </w:p>
    <w:p w14:paraId="67F45352">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13.6  设计人在设计过程中因侵犯他人的专利权或其他知识产权所引起的责任，由设计人承担，</w:t>
      </w:r>
      <w:r>
        <w:rPr>
          <w:rFonts w:hint="eastAsia" w:ascii="仿宋_GB2312" w:hAnsi="仿宋_GB2312" w:eastAsia="仿宋_GB2312" w:cs="仿宋_GB2312"/>
          <w:color w:val="auto"/>
          <w:spacing w:val="-2"/>
          <w:sz w:val="30"/>
          <w:szCs w:val="30"/>
          <w:highlight w:val="none"/>
        </w:rPr>
        <w:t>并承担因侵权行为给发包人造成的损失。</w:t>
      </w:r>
    </w:p>
    <w:p w14:paraId="2804C258">
      <w:pPr>
        <w:pStyle w:val="7"/>
        <w:keepNext/>
        <w:keepLines/>
        <w:ind w:firstLine="0" w:firstLineChars="0"/>
        <w:jc w:val="both"/>
        <w:rPr>
          <w:rFonts w:eastAsia="黑体"/>
          <w:bCs/>
          <w:color w:val="auto"/>
          <w:sz w:val="32"/>
          <w:highlight w:val="none"/>
        </w:rPr>
      </w:pPr>
      <w:bookmarkStart w:id="1391" w:name="_Toc1866"/>
      <w:bookmarkStart w:id="1392" w:name="_Toc9094"/>
      <w:bookmarkStart w:id="1393" w:name="_Toc27503"/>
      <w:bookmarkStart w:id="1394" w:name="_Toc32133"/>
      <w:bookmarkStart w:id="1395" w:name="_Toc31390"/>
      <w:r>
        <w:rPr>
          <w:rFonts w:eastAsia="黑体"/>
          <w:bCs/>
          <w:color w:val="auto"/>
          <w:sz w:val="32"/>
          <w:highlight w:val="none"/>
        </w:rPr>
        <w:t>14.违约责任</w:t>
      </w:r>
      <w:bookmarkEnd w:id="1391"/>
      <w:bookmarkEnd w:id="1392"/>
      <w:bookmarkEnd w:id="1393"/>
      <w:bookmarkEnd w:id="1394"/>
      <w:bookmarkEnd w:id="1395"/>
    </w:p>
    <w:p w14:paraId="11AE4952">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14.1发包人违约责任</w:t>
      </w:r>
    </w:p>
    <w:p w14:paraId="1ECCB4B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14.1.1  发包人支付设计人的违约金：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1"/>
          <w:sz w:val="30"/>
          <w:szCs w:val="30"/>
          <w:highlight w:val="none"/>
        </w:rPr>
        <w:t>。</w:t>
      </w:r>
    </w:p>
    <w:p w14:paraId="10B2904A">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14.1.2  发包人逾期支付设计费的违约金：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2"/>
          <w:sz w:val="30"/>
          <w:szCs w:val="30"/>
          <w:highlight w:val="none"/>
        </w:rPr>
        <w:t>。</w:t>
      </w:r>
    </w:p>
    <w:p w14:paraId="5800FF2E">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14.2设计人违约责任</w:t>
      </w:r>
    </w:p>
    <w:p w14:paraId="00611A43">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14.2.1  设计人支付发包人的违约金：</w:t>
      </w:r>
      <w:r>
        <w:rPr>
          <w:rFonts w:hint="eastAsia" w:ascii="仿宋_GB2312" w:hAnsi="仿宋_GB2312" w:eastAsia="仿宋_GB2312" w:cs="仿宋_GB2312"/>
          <w:color w:val="auto"/>
          <w:sz w:val="30"/>
          <w:szCs w:val="30"/>
          <w:highlight w:val="none"/>
          <w:u w:val="single"/>
        </w:rPr>
        <w:t xml:space="preserve"> 按本专用合同条款的1</w:t>
      </w:r>
      <w:r>
        <w:rPr>
          <w:rFonts w:hint="eastAsia" w:ascii="仿宋_GB2312" w:hAnsi="仿宋_GB2312" w:eastAsia="仿宋_GB2312" w:cs="仿宋_GB2312"/>
          <w:color w:val="auto"/>
          <w:spacing w:val="-1"/>
          <w:sz w:val="30"/>
          <w:szCs w:val="30"/>
          <w:highlight w:val="none"/>
          <w:u w:val="single"/>
        </w:rPr>
        <w:t>4.2.2</w:t>
      </w:r>
      <w:r>
        <w:rPr>
          <w:rFonts w:hint="eastAsia" w:ascii="仿宋_GB2312" w:hAnsi="仿宋_GB2312" w:eastAsia="仿宋_GB2312" w:cs="仿宋_GB2312"/>
          <w:color w:val="auto"/>
          <w:spacing w:val="-1"/>
          <w:sz w:val="30"/>
          <w:szCs w:val="30"/>
          <w:highlight w:val="none"/>
        </w:rPr>
        <w:t>。</w:t>
      </w:r>
    </w:p>
    <w:p w14:paraId="1C279EC6">
      <w:pPr>
        <w:pStyle w:val="79"/>
        <w:spacing w:after="0" w:line="360" w:lineRule="auto"/>
        <w:ind w:firstLine="604"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14.2.2设计人逾期交付工程设计文件的违约金：</w:t>
      </w:r>
      <w:r>
        <w:rPr>
          <w:rFonts w:hint="eastAsia" w:ascii="仿宋_GB2312" w:hAnsi="仿宋_GB2312" w:eastAsia="仿宋_GB2312" w:cs="仿宋_GB2312"/>
          <w:color w:val="auto"/>
          <w:spacing w:val="1"/>
          <w:sz w:val="30"/>
          <w:szCs w:val="30"/>
          <w:highlight w:val="none"/>
          <w:u w:val="single"/>
        </w:rPr>
        <w:t>合同生效后，设计人因自身原</w:t>
      </w:r>
      <w:r>
        <w:rPr>
          <w:rFonts w:hint="eastAsia" w:ascii="仿宋_GB2312" w:hAnsi="仿宋_GB2312" w:eastAsia="仿宋_GB2312" w:cs="仿宋_GB2312"/>
          <w:color w:val="auto"/>
          <w:sz w:val="30"/>
          <w:szCs w:val="30"/>
          <w:highlight w:val="none"/>
          <w:u w:val="single"/>
        </w:rPr>
        <w:t>因要求终止或</w:t>
      </w:r>
      <w:r>
        <w:rPr>
          <w:rFonts w:hint="eastAsia" w:ascii="仿宋_GB2312" w:hAnsi="仿宋_GB2312" w:eastAsia="仿宋_GB2312" w:cs="仿宋_GB2312"/>
          <w:color w:val="auto"/>
          <w:spacing w:val="-1"/>
          <w:sz w:val="30"/>
          <w:szCs w:val="30"/>
          <w:highlight w:val="none"/>
          <w:u w:val="single"/>
        </w:rPr>
        <w:t>解除合同的，视为违约。设计人除双倍返还发包人已支付的设计费外发包人有权没收设</w:t>
      </w:r>
      <w:r>
        <w:rPr>
          <w:rFonts w:hint="eastAsia" w:ascii="仿宋_GB2312" w:hAnsi="仿宋_GB2312" w:eastAsia="仿宋_GB2312" w:cs="仿宋_GB2312"/>
          <w:color w:val="auto"/>
          <w:spacing w:val="-2"/>
          <w:sz w:val="30"/>
          <w:szCs w:val="30"/>
          <w:highlight w:val="none"/>
          <w:u w:val="single"/>
        </w:rPr>
        <w:t>计人的</w:t>
      </w:r>
      <w:r>
        <w:rPr>
          <w:rFonts w:hint="eastAsia" w:ascii="仿宋_GB2312" w:hAnsi="仿宋_GB2312" w:eastAsia="仿宋_GB2312" w:cs="仿宋_GB2312"/>
          <w:color w:val="auto"/>
          <w:sz w:val="30"/>
          <w:szCs w:val="30"/>
          <w:highlight w:val="none"/>
          <w:u w:val="single"/>
        </w:rPr>
        <w:t>履约保证金</w:t>
      </w:r>
      <w:r>
        <w:rPr>
          <w:rFonts w:hint="eastAsia" w:ascii="仿宋_GB2312" w:hAnsi="仿宋_GB2312" w:eastAsia="仿宋_GB2312" w:cs="仿宋_GB2312"/>
          <w:color w:val="auto"/>
          <w:spacing w:val="-48"/>
          <w:sz w:val="30"/>
          <w:szCs w:val="30"/>
          <w:highlight w:val="none"/>
          <w:u w:val="single"/>
        </w:rPr>
        <w:t>，</w:t>
      </w:r>
      <w:r>
        <w:rPr>
          <w:rFonts w:hint="eastAsia" w:ascii="仿宋_GB2312" w:hAnsi="仿宋_GB2312" w:eastAsia="仿宋_GB2312" w:cs="仿宋_GB2312"/>
          <w:color w:val="auto"/>
          <w:sz w:val="30"/>
          <w:szCs w:val="30"/>
          <w:highlight w:val="none"/>
          <w:u w:val="single"/>
        </w:rPr>
        <w:t>设计人承担违约给发包人</w:t>
      </w:r>
      <w:r>
        <w:rPr>
          <w:rFonts w:hint="eastAsia" w:ascii="仿宋_GB2312" w:hAnsi="仿宋_GB2312" w:eastAsia="仿宋_GB2312" w:cs="仿宋_GB2312"/>
          <w:color w:val="auto"/>
          <w:spacing w:val="-1"/>
          <w:sz w:val="30"/>
          <w:szCs w:val="30"/>
          <w:highlight w:val="none"/>
          <w:u w:val="single"/>
        </w:rPr>
        <w:t>造成的一切损失及责任</w:t>
      </w:r>
      <w:r>
        <w:rPr>
          <w:rFonts w:hint="eastAsia" w:ascii="仿宋_GB2312" w:hAnsi="仿宋_GB2312" w:eastAsia="仿宋_GB2312" w:cs="仿宋_GB2312"/>
          <w:color w:val="auto"/>
          <w:spacing w:val="-1"/>
          <w:sz w:val="30"/>
          <w:szCs w:val="30"/>
          <w:highlight w:val="none"/>
        </w:rPr>
        <w:t>。</w:t>
      </w:r>
    </w:p>
    <w:p w14:paraId="3A356592">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u w:val="single"/>
        </w:rPr>
        <w:t>14.2.3由于设计人原因，未按合同约定时间交付设计资料的视为违约。每延</w:t>
      </w:r>
      <w:r>
        <w:rPr>
          <w:rFonts w:hint="eastAsia" w:ascii="仿宋_GB2312" w:hAnsi="仿宋_GB2312" w:eastAsia="仿宋_GB2312" w:cs="仿宋_GB2312"/>
          <w:color w:val="auto"/>
          <w:spacing w:val="-3"/>
          <w:sz w:val="30"/>
          <w:szCs w:val="30"/>
          <w:highlight w:val="none"/>
          <w:u w:val="single"/>
        </w:rPr>
        <w:t>误一天，应减收设</w:t>
      </w:r>
      <w:r>
        <w:rPr>
          <w:rFonts w:hint="eastAsia" w:ascii="仿宋_GB2312" w:hAnsi="仿宋_GB2312" w:eastAsia="仿宋_GB2312" w:cs="仿宋_GB2312"/>
          <w:color w:val="auto"/>
          <w:spacing w:val="-1"/>
          <w:sz w:val="30"/>
          <w:szCs w:val="30"/>
          <w:highlight w:val="none"/>
          <w:u w:val="single"/>
        </w:rPr>
        <w:t>计费的万分之五。逾期超过10天的，发包人有权解除合同。因设</w:t>
      </w:r>
      <w:r>
        <w:rPr>
          <w:rFonts w:hint="eastAsia" w:ascii="仿宋_GB2312" w:hAnsi="仿宋_GB2312" w:eastAsia="仿宋_GB2312" w:cs="仿宋_GB2312"/>
          <w:color w:val="auto"/>
          <w:sz w:val="30"/>
          <w:szCs w:val="30"/>
          <w:highlight w:val="none"/>
          <w:u w:val="single"/>
        </w:rPr>
        <w:t>计人原因导致发包人解除合同的，设计人应向发包人支付合同暂定金额20%的违约金，如违约金不足以弥补发包人损失的，设计人按实际损</w:t>
      </w:r>
      <w:r>
        <w:rPr>
          <w:rFonts w:hint="eastAsia" w:ascii="仿宋_GB2312" w:hAnsi="仿宋_GB2312" w:eastAsia="仿宋_GB2312" w:cs="仿宋_GB2312"/>
          <w:color w:val="auto"/>
          <w:spacing w:val="-1"/>
          <w:sz w:val="30"/>
          <w:szCs w:val="30"/>
          <w:highlight w:val="none"/>
          <w:u w:val="single"/>
        </w:rPr>
        <w:t>失额赔偿。</w:t>
      </w:r>
    </w:p>
    <w:p w14:paraId="5D689975">
      <w:pPr>
        <w:pStyle w:val="79"/>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14.2.4设计人对工程设计文件出现的遗漏或错误负责修改或补充。由于设计人原因产生的设计问题造成工程质量事故或其他事故的，视为违约。设计人除负责采取补救措施外，应免收受损失部分的设计费。因设计人提交的设计成果有错漏或不同专业之间图纸冲突等质量原因，导致发包人在该项目开发中产生（设计修改、建造成本增加等）无效成本或额外投入的，发包人有权按合同追究其责任并处无效成本×100%的处罚。</w:t>
      </w:r>
    </w:p>
    <w:p w14:paraId="54C3E1A8">
      <w:pPr>
        <w:pStyle w:val="79"/>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以上有关违约赔偿，所有违约金全部从设计人的设计费中</w:t>
      </w:r>
      <w:r>
        <w:rPr>
          <w:rFonts w:ascii="仿宋_GB2312" w:hAnsi="仿宋_GB2312" w:eastAsia="仿宋_GB2312" w:cs="仿宋_GB2312"/>
          <w:color w:val="auto"/>
          <w:spacing w:val="1"/>
          <w:sz w:val="30"/>
          <w:szCs w:val="30"/>
          <w:highlight w:val="none"/>
          <w:u w:val="single"/>
        </w:rPr>
        <w:t>扣除。</w:t>
      </w:r>
    </w:p>
    <w:p w14:paraId="7744EEE7">
      <w:pPr>
        <w:pStyle w:val="79"/>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14.2.6合同范围内的全部施工图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完成前，</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申请更换人员的，均视为</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违约(以下情形除外:因重病或重伤(持有市级以上医院证明)两个月以上不能履行职责的:离职或提拔调离原工作法人单位的:死亡的)，并</w:t>
      </w:r>
      <w:r>
        <w:rPr>
          <w:rFonts w:hint="eastAsia" w:ascii="仿宋_GB2312" w:hAnsi="仿宋_GB2312" w:eastAsia="仿宋_GB2312" w:cs="仿宋_GB2312"/>
          <w:bCs/>
          <w:color w:val="auto"/>
          <w:spacing w:val="1"/>
          <w:sz w:val="30"/>
          <w:szCs w:val="30"/>
          <w:highlight w:val="none"/>
          <w:u w:val="single"/>
        </w:rPr>
        <w:t>除</w:t>
      </w:r>
      <w:r>
        <w:rPr>
          <w:rFonts w:ascii="仿宋_GB2312" w:hAnsi="仿宋_GB2312" w:eastAsia="仿宋_GB2312" w:cs="仿宋_GB2312"/>
          <w:bCs/>
          <w:color w:val="auto"/>
          <w:spacing w:val="1"/>
          <w:sz w:val="30"/>
          <w:szCs w:val="30"/>
          <w:highlight w:val="none"/>
          <w:u w:val="single"/>
        </w:rPr>
        <w:t>以下违约金:项目负责人</w:t>
      </w:r>
      <w:r>
        <w:rPr>
          <w:rFonts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w:t>
      </w:r>
      <w:r>
        <w:rPr>
          <w:rFonts w:hint="eastAsia" w:ascii="仿宋_GB2312" w:hAnsi="仿宋_GB2312" w:eastAsia="仿宋_GB2312" w:cs="仿宋_GB2312"/>
          <w:bCs/>
          <w:color w:val="auto"/>
          <w:spacing w:val="1"/>
          <w:sz w:val="30"/>
          <w:szCs w:val="30"/>
          <w:highlight w:val="none"/>
          <w:u w:val="single"/>
        </w:rPr>
        <w:t>，结构</w:t>
      </w:r>
      <w:r>
        <w:rPr>
          <w:rFonts w:ascii="仿宋_GB2312" w:hAnsi="仿宋_GB2312" w:eastAsia="仿宋_GB2312" w:cs="仿宋_GB2312"/>
          <w:bCs/>
          <w:color w:val="auto"/>
          <w:spacing w:val="1"/>
          <w:sz w:val="30"/>
          <w:szCs w:val="30"/>
          <w:highlight w:val="none"/>
          <w:u w:val="single"/>
        </w:rPr>
        <w:t>负责人</w:t>
      </w:r>
      <w:r>
        <w:rPr>
          <w:rFonts w:hint="eastAsia" w:ascii="仿宋_GB2312" w:hAnsi="仿宋_GB2312" w:eastAsia="仿宋_GB2312" w:cs="仿宋_GB2312"/>
          <w:bCs/>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万元/人次，机电系统负责人万元/人次。</w:t>
      </w:r>
    </w:p>
    <w:p w14:paraId="767739DB">
      <w:pPr>
        <w:pStyle w:val="79"/>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完成后，设计</w:t>
      </w:r>
      <w:r>
        <w:rPr>
          <w:rFonts w:hint="eastAsia" w:ascii="仿宋_GB2312" w:hAnsi="仿宋_GB2312" w:eastAsia="仿宋_GB2312" w:cs="仿宋_GB2312"/>
          <w:color w:val="auto"/>
          <w:spacing w:val="1"/>
          <w:sz w:val="30"/>
          <w:szCs w:val="30"/>
          <w:highlight w:val="none"/>
          <w:u w:val="single"/>
        </w:rPr>
        <w:t>人</w:t>
      </w:r>
      <w:r>
        <w:rPr>
          <w:rFonts w:ascii="仿宋_GB2312" w:hAnsi="仿宋_GB2312" w:eastAsia="仿宋_GB2312" w:cs="仿宋_GB2312"/>
          <w:bCs/>
          <w:color w:val="auto"/>
          <w:spacing w:val="1"/>
          <w:sz w:val="30"/>
          <w:szCs w:val="30"/>
          <w:highlight w:val="none"/>
          <w:u w:val="single"/>
        </w:rPr>
        <w:t>申请更换人员的，经发</w:t>
      </w:r>
      <w:r>
        <w:rPr>
          <w:rFonts w:hint="eastAsia" w:ascii="仿宋_GB2312" w:hAnsi="仿宋_GB2312" w:eastAsia="仿宋_GB2312" w:cs="仿宋_GB2312"/>
          <w:color w:val="auto"/>
          <w:spacing w:val="1"/>
          <w:sz w:val="30"/>
          <w:szCs w:val="30"/>
          <w:highlight w:val="none"/>
          <w:u w:val="single"/>
        </w:rPr>
        <w:t>包人书面同意，可不视为违约</w:t>
      </w:r>
      <w:r>
        <w:rPr>
          <w:rFonts w:ascii="仿宋_GB2312" w:hAnsi="仿宋_GB2312" w:eastAsia="仿宋_GB2312" w:cs="仿宋_GB2312"/>
          <w:bCs/>
          <w:color w:val="auto"/>
          <w:spacing w:val="1"/>
          <w:sz w:val="30"/>
          <w:szCs w:val="30"/>
          <w:highlight w:val="none"/>
          <w:u w:val="single"/>
        </w:rPr>
        <w:t>。</w:t>
      </w:r>
    </w:p>
    <w:p w14:paraId="6936ED74">
      <w:pPr>
        <w:pStyle w:val="7"/>
        <w:keepNext/>
        <w:keepLines/>
        <w:ind w:firstLine="0" w:firstLineChars="0"/>
        <w:jc w:val="both"/>
        <w:rPr>
          <w:rFonts w:eastAsia="黑体"/>
          <w:bCs/>
          <w:color w:val="auto"/>
          <w:sz w:val="32"/>
          <w:highlight w:val="none"/>
        </w:rPr>
      </w:pPr>
      <w:bookmarkStart w:id="1396" w:name="_Toc5198"/>
      <w:bookmarkStart w:id="1397" w:name="_Toc24536"/>
      <w:bookmarkStart w:id="1398" w:name="_Toc966"/>
      <w:bookmarkStart w:id="1399" w:name="_Toc25073"/>
      <w:bookmarkStart w:id="1400" w:name="_Toc25271"/>
      <w:r>
        <w:rPr>
          <w:rFonts w:eastAsia="黑体"/>
          <w:bCs/>
          <w:color w:val="auto"/>
          <w:sz w:val="32"/>
          <w:highlight w:val="none"/>
        </w:rPr>
        <w:t>15.不可抗力</w:t>
      </w:r>
      <w:bookmarkEnd w:id="1396"/>
      <w:bookmarkEnd w:id="1397"/>
      <w:bookmarkEnd w:id="1398"/>
      <w:bookmarkEnd w:id="1399"/>
      <w:bookmarkEnd w:id="1400"/>
    </w:p>
    <w:p w14:paraId="6415E6C3">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15.1不可抗力的确认</w:t>
      </w:r>
    </w:p>
    <w:p w14:paraId="289D246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除通用合同条款约定的不可抗力事件之外，视为不</w:t>
      </w:r>
      <w:r>
        <w:rPr>
          <w:rFonts w:hint="eastAsia" w:ascii="仿宋_GB2312" w:hAnsi="仿宋_GB2312" w:eastAsia="仿宋_GB2312" w:cs="仿宋_GB2312"/>
          <w:color w:val="auto"/>
          <w:spacing w:val="-2"/>
          <w:sz w:val="30"/>
          <w:szCs w:val="30"/>
          <w:highlight w:val="none"/>
        </w:rPr>
        <w:t>可抗力的其他情形：</w:t>
      </w:r>
      <w:r>
        <w:rPr>
          <w:rFonts w:hint="eastAsia" w:ascii="仿宋_GB2312" w:hAnsi="仿宋_GB2312" w:eastAsia="仿宋_GB2312" w:cs="仿宋_GB2312"/>
          <w:color w:val="auto"/>
          <w:spacing w:val="-2"/>
          <w:sz w:val="30"/>
          <w:szCs w:val="30"/>
          <w:highlight w:val="none"/>
          <w:u w:val="single"/>
        </w:rPr>
        <w:t xml:space="preserve"> 因政府或相关主管部门</w:t>
      </w:r>
      <w:r>
        <w:rPr>
          <w:rFonts w:hint="eastAsia" w:ascii="仿宋_GB2312" w:hAnsi="仿宋_GB2312" w:eastAsia="仿宋_GB2312" w:cs="仿宋_GB2312"/>
          <w:color w:val="auto"/>
          <w:spacing w:val="-1"/>
          <w:sz w:val="30"/>
          <w:szCs w:val="30"/>
          <w:highlight w:val="none"/>
          <w:u w:val="single"/>
        </w:rPr>
        <w:t>要求导致项目中断设计。1、不可抗力是指不能预见、不能避免并不能克服</w:t>
      </w:r>
      <w:r>
        <w:rPr>
          <w:rFonts w:hint="eastAsia" w:ascii="仿宋_GB2312" w:hAnsi="仿宋_GB2312" w:eastAsia="仿宋_GB2312" w:cs="仿宋_GB2312"/>
          <w:color w:val="auto"/>
          <w:spacing w:val="-2"/>
          <w:sz w:val="30"/>
          <w:szCs w:val="30"/>
          <w:highlight w:val="none"/>
          <w:u w:val="single"/>
        </w:rPr>
        <w:t>的客观情况，包括洪</w:t>
      </w:r>
      <w:r>
        <w:rPr>
          <w:rFonts w:hint="eastAsia" w:ascii="仿宋_GB2312" w:hAnsi="仿宋_GB2312" w:eastAsia="仿宋_GB2312" w:cs="仿宋_GB2312"/>
          <w:color w:val="auto"/>
          <w:spacing w:val="1"/>
          <w:sz w:val="30"/>
          <w:szCs w:val="30"/>
          <w:highlight w:val="none"/>
          <w:u w:val="single"/>
        </w:rPr>
        <w:t>水、地震、疫情等自然原因，战争、政变、政府行为等社会及政</w:t>
      </w:r>
      <w:r>
        <w:rPr>
          <w:rFonts w:hint="eastAsia" w:ascii="仿宋_GB2312" w:hAnsi="仿宋_GB2312" w:eastAsia="仿宋_GB2312" w:cs="仿宋_GB2312"/>
          <w:color w:val="auto"/>
          <w:sz w:val="30"/>
          <w:szCs w:val="30"/>
          <w:highlight w:val="none"/>
          <w:u w:val="single"/>
        </w:rPr>
        <w:t>府行为原因等。2、 主张发生</w:t>
      </w:r>
      <w:r>
        <w:rPr>
          <w:rFonts w:hint="eastAsia" w:ascii="仿宋_GB2312" w:hAnsi="仿宋_GB2312" w:eastAsia="仿宋_GB2312" w:cs="仿宋_GB2312"/>
          <w:color w:val="auto"/>
          <w:spacing w:val="-2"/>
          <w:sz w:val="30"/>
          <w:szCs w:val="30"/>
          <w:highlight w:val="none"/>
          <w:u w:val="single"/>
        </w:rPr>
        <w:t>不可抗力的一方应在不可抗力事件发生后及时书面通知其他各方，并在其后的十五(15)天内提供</w:t>
      </w:r>
      <w:r>
        <w:rPr>
          <w:rFonts w:hint="eastAsia" w:ascii="仿宋_GB2312" w:hAnsi="仿宋_GB2312" w:eastAsia="仿宋_GB2312" w:cs="仿宋_GB2312"/>
          <w:color w:val="auto"/>
          <w:spacing w:val="1"/>
          <w:sz w:val="30"/>
          <w:szCs w:val="30"/>
          <w:highlight w:val="none"/>
          <w:u w:val="single"/>
        </w:rPr>
        <w:t>证明不可抗力发生及其持续时间的足够证据。3、 不可抗</w:t>
      </w:r>
      <w:r>
        <w:rPr>
          <w:rFonts w:hint="eastAsia" w:ascii="仿宋_GB2312" w:hAnsi="仿宋_GB2312" w:eastAsia="仿宋_GB2312" w:cs="仿宋_GB2312"/>
          <w:color w:val="auto"/>
          <w:sz w:val="30"/>
          <w:szCs w:val="30"/>
          <w:highlight w:val="none"/>
          <w:u w:val="single"/>
        </w:rPr>
        <w:t>力事件，各方应立即互相协商，以找</w:t>
      </w:r>
      <w:r>
        <w:rPr>
          <w:rFonts w:hint="eastAsia" w:ascii="仿宋_GB2312" w:hAnsi="仿宋_GB2312" w:eastAsia="仿宋_GB2312" w:cs="仿宋_GB2312"/>
          <w:color w:val="auto"/>
          <w:spacing w:val="1"/>
          <w:sz w:val="30"/>
          <w:szCs w:val="30"/>
          <w:highlight w:val="none"/>
          <w:u w:val="single"/>
        </w:rPr>
        <w:t>到公平的解决办法，并且应尽一切合理努力将不可抗力的影响减少到最低限度。如不可抗力的</w:t>
      </w:r>
      <w:r>
        <w:rPr>
          <w:rFonts w:hint="eastAsia" w:ascii="仿宋_GB2312" w:hAnsi="仿宋_GB2312" w:eastAsia="仿宋_GB2312" w:cs="仿宋_GB2312"/>
          <w:color w:val="auto"/>
          <w:spacing w:val="-2"/>
          <w:sz w:val="30"/>
          <w:szCs w:val="30"/>
          <w:highlight w:val="none"/>
          <w:u w:val="single"/>
        </w:rPr>
        <w:t>发生或后果对合同的履行造成重大妨碍，时间超过六个月，并且各</w:t>
      </w:r>
      <w:r>
        <w:rPr>
          <w:rFonts w:hint="eastAsia" w:ascii="仿宋_GB2312" w:hAnsi="仿宋_GB2312" w:eastAsia="仿宋_GB2312" w:cs="仿宋_GB2312"/>
          <w:color w:val="auto"/>
          <w:spacing w:val="-3"/>
          <w:sz w:val="30"/>
          <w:szCs w:val="30"/>
          <w:highlight w:val="none"/>
          <w:u w:val="single"/>
        </w:rPr>
        <w:t>方没有找到公平的解决办法，</w:t>
      </w:r>
      <w:r>
        <w:rPr>
          <w:rFonts w:hint="eastAsia" w:ascii="仿宋_GB2312" w:hAnsi="仿宋_GB2312" w:eastAsia="仿宋_GB2312" w:cs="仿宋_GB2312"/>
          <w:color w:val="auto"/>
          <w:sz w:val="30"/>
          <w:szCs w:val="30"/>
          <w:highlight w:val="none"/>
          <w:u w:val="single"/>
        </w:rPr>
        <w:t>则任何一方可终止本协议的程序，但条件是该方已履行其在本条项下的</w:t>
      </w:r>
      <w:r>
        <w:rPr>
          <w:rFonts w:hint="eastAsia" w:ascii="仿宋_GB2312" w:hAnsi="仿宋_GB2312" w:eastAsia="仿宋_GB2312" w:cs="仿宋_GB2312"/>
          <w:color w:val="auto"/>
          <w:spacing w:val="-1"/>
          <w:sz w:val="30"/>
          <w:szCs w:val="30"/>
          <w:highlight w:val="none"/>
          <w:u w:val="single"/>
        </w:rPr>
        <w:t>义务</w:t>
      </w:r>
      <w:r>
        <w:rPr>
          <w:rFonts w:hint="eastAsia" w:ascii="仿宋_GB2312" w:hAnsi="仿宋_GB2312" w:eastAsia="仿宋_GB2312" w:cs="仿宋_GB2312"/>
          <w:color w:val="auto"/>
          <w:spacing w:val="-1"/>
          <w:sz w:val="30"/>
          <w:szCs w:val="30"/>
          <w:highlight w:val="none"/>
        </w:rPr>
        <w:t>。</w:t>
      </w:r>
    </w:p>
    <w:p w14:paraId="4090B832">
      <w:pPr>
        <w:pStyle w:val="7"/>
        <w:keepNext/>
        <w:keepLines/>
        <w:ind w:firstLine="0" w:firstLineChars="0"/>
        <w:jc w:val="both"/>
        <w:rPr>
          <w:rFonts w:eastAsia="黑体"/>
          <w:bCs/>
          <w:color w:val="auto"/>
          <w:sz w:val="32"/>
          <w:highlight w:val="none"/>
        </w:rPr>
      </w:pPr>
      <w:bookmarkStart w:id="1401" w:name="_Toc27335"/>
      <w:bookmarkStart w:id="1402" w:name="_Toc29135"/>
      <w:bookmarkStart w:id="1403" w:name="_Toc25085"/>
      <w:bookmarkStart w:id="1404" w:name="_Toc31665"/>
      <w:bookmarkStart w:id="1405" w:name="_Toc28446"/>
      <w:r>
        <w:rPr>
          <w:rFonts w:eastAsia="黑体"/>
          <w:bCs/>
          <w:color w:val="auto"/>
          <w:sz w:val="32"/>
          <w:highlight w:val="none"/>
        </w:rPr>
        <w:t>16.合同解除</w:t>
      </w:r>
      <w:bookmarkEnd w:id="1401"/>
      <w:bookmarkEnd w:id="1402"/>
      <w:bookmarkEnd w:id="1403"/>
      <w:bookmarkEnd w:id="1404"/>
      <w:bookmarkEnd w:id="1405"/>
    </w:p>
    <w:p w14:paraId="05F3EC16">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16.2有下列情形之一的，可以解除合同：</w:t>
      </w:r>
    </w:p>
    <w:p w14:paraId="3EF7BD1E">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（1）暂停设计期限已连续超过</w:t>
      </w:r>
      <w:r>
        <w:rPr>
          <w:rFonts w:hint="eastAsia" w:ascii="仿宋_GB2312" w:hAnsi="仿宋_GB2312" w:eastAsia="仿宋_GB2312" w:cs="仿宋_GB2312"/>
          <w:color w:val="auto"/>
          <w:spacing w:val="-3"/>
          <w:sz w:val="30"/>
          <w:szCs w:val="30"/>
          <w:highlight w:val="none"/>
          <w:u w:val="single"/>
        </w:rPr>
        <w:t>180</w:t>
      </w:r>
      <w:r>
        <w:rPr>
          <w:rFonts w:hint="eastAsia" w:ascii="仿宋_GB2312" w:hAnsi="仿宋_GB2312" w:eastAsia="仿宋_GB2312" w:cs="仿宋_GB2312"/>
          <w:color w:val="auto"/>
          <w:spacing w:val="-3"/>
          <w:sz w:val="30"/>
          <w:szCs w:val="30"/>
          <w:highlight w:val="none"/>
        </w:rPr>
        <w:t>天。</w:t>
      </w:r>
    </w:p>
    <w:p w14:paraId="46E50D5C">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（2）因设计人原因造成设计文件不合格致使审查无法通过达到3次的，发包人有权单方面解除</w:t>
      </w:r>
      <w:r>
        <w:rPr>
          <w:rFonts w:hint="eastAsia" w:ascii="仿宋_GB2312" w:hAnsi="仿宋_GB2312" w:eastAsia="仿宋_GB2312" w:cs="仿宋_GB2312"/>
          <w:color w:val="auto"/>
          <w:spacing w:val="-9"/>
          <w:sz w:val="30"/>
          <w:szCs w:val="30"/>
          <w:highlight w:val="none"/>
        </w:rPr>
        <w:t>合同。</w:t>
      </w:r>
    </w:p>
    <w:p w14:paraId="2FD307A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（3）设计人应按专用合同条款第7.2条、附件3以及发包人根据工程进展情况要求的期限交付</w:t>
      </w:r>
      <w:r>
        <w:rPr>
          <w:rFonts w:hint="eastAsia" w:ascii="仿宋_GB2312" w:hAnsi="仿宋_GB2312" w:eastAsia="仿宋_GB2312" w:cs="仿宋_GB2312"/>
          <w:color w:val="auto"/>
          <w:spacing w:val="-8"/>
          <w:sz w:val="30"/>
          <w:szCs w:val="30"/>
          <w:highlight w:val="none"/>
        </w:rPr>
        <w:t>设计文件，单次交付阶段逾期超过15  日历天的，发包人有权单方面解除合同。设计人有2次（含</w:t>
      </w:r>
      <w:r>
        <w:rPr>
          <w:rFonts w:hint="eastAsia" w:ascii="仿宋_GB2312" w:hAnsi="仿宋_GB2312" w:eastAsia="仿宋_GB2312" w:cs="仿宋_GB2312"/>
          <w:color w:val="auto"/>
          <w:spacing w:val="-1"/>
          <w:sz w:val="30"/>
          <w:szCs w:val="30"/>
          <w:highlight w:val="none"/>
        </w:rPr>
        <w:t>2次）以上不依据发包人的通知或函告执行，发包人</w:t>
      </w:r>
      <w:r>
        <w:rPr>
          <w:rFonts w:hint="eastAsia" w:ascii="仿宋_GB2312" w:hAnsi="仿宋_GB2312" w:eastAsia="仿宋_GB2312" w:cs="仿宋_GB2312"/>
          <w:color w:val="auto"/>
          <w:spacing w:val="-2"/>
          <w:sz w:val="30"/>
          <w:szCs w:val="30"/>
          <w:highlight w:val="none"/>
        </w:rPr>
        <w:t>有权解除本合同。</w:t>
      </w:r>
    </w:p>
    <w:p w14:paraId="7BD996E5">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（4）设计人需按发包人要求及合同约定时间按质履行合同，如果设计人存在不符合合同约定的</w:t>
      </w:r>
      <w:r>
        <w:rPr>
          <w:rFonts w:hint="eastAsia" w:ascii="仿宋_GB2312" w:hAnsi="仿宋_GB2312" w:eastAsia="仿宋_GB2312" w:cs="仿宋_GB2312"/>
          <w:color w:val="auto"/>
          <w:spacing w:val="1"/>
          <w:sz w:val="30"/>
          <w:szCs w:val="30"/>
          <w:highlight w:val="none"/>
        </w:rPr>
        <w:t>违约行为，发包人有权将该部分工作直接分割，分包给第三方完成，所需费用由设计人承</w:t>
      </w:r>
      <w:r>
        <w:rPr>
          <w:rFonts w:hint="eastAsia" w:ascii="仿宋_GB2312" w:hAnsi="仿宋_GB2312" w:eastAsia="仿宋_GB2312" w:cs="仿宋_GB2312"/>
          <w:color w:val="auto"/>
          <w:sz w:val="30"/>
          <w:szCs w:val="30"/>
          <w:highlight w:val="none"/>
        </w:rPr>
        <w:t>担， 发包人有权从合同款中予以扣除，同时设计人所需承担责任不</w:t>
      </w:r>
      <w:r>
        <w:rPr>
          <w:rFonts w:hint="eastAsia" w:ascii="仿宋_GB2312" w:hAnsi="仿宋_GB2312" w:eastAsia="仿宋_GB2312" w:cs="仿宋_GB2312"/>
          <w:color w:val="auto"/>
          <w:spacing w:val="-1"/>
          <w:sz w:val="30"/>
          <w:szCs w:val="30"/>
          <w:highlight w:val="none"/>
        </w:rPr>
        <w:t>免除。</w:t>
      </w:r>
    </w:p>
    <w:p w14:paraId="165F9F9A">
      <w:pPr>
        <w:pStyle w:val="7"/>
        <w:keepNext/>
        <w:keepLines/>
        <w:ind w:firstLine="0" w:firstLineChars="0"/>
        <w:jc w:val="both"/>
        <w:rPr>
          <w:rFonts w:eastAsia="黑体"/>
          <w:bCs/>
          <w:color w:val="auto"/>
          <w:sz w:val="32"/>
          <w:highlight w:val="none"/>
        </w:rPr>
      </w:pPr>
      <w:bookmarkStart w:id="1406" w:name="_Toc14804"/>
      <w:bookmarkStart w:id="1407" w:name="_Toc31639"/>
      <w:bookmarkStart w:id="1408" w:name="_Toc9034"/>
      <w:bookmarkStart w:id="1409" w:name="_Toc30683"/>
      <w:r>
        <w:rPr>
          <w:rFonts w:eastAsia="黑体"/>
          <w:bCs/>
          <w:color w:val="auto"/>
          <w:sz w:val="32"/>
          <w:highlight w:val="none"/>
        </w:rPr>
        <w:t>17.争议解决</w:t>
      </w:r>
      <w:bookmarkEnd w:id="1406"/>
      <w:bookmarkEnd w:id="1407"/>
      <w:bookmarkEnd w:id="1408"/>
      <w:bookmarkEnd w:id="1409"/>
    </w:p>
    <w:p w14:paraId="0B0C85F0">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17.4仲裁或诉讼</w:t>
      </w:r>
    </w:p>
    <w:p w14:paraId="03110969">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因合同及合同有关事项发生的争议，按下列第</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lang w:val="en-US" w:eastAsia="zh-CN"/>
        </w:rPr>
        <w:t>1</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种方式解决：</w:t>
      </w:r>
    </w:p>
    <w:p w14:paraId="56B6F953">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（1）因本协议及本协议在履行过程中发生的争议，由各方友好协商解决，协商不成的，任何一方均有权向</w:t>
      </w:r>
      <w:r>
        <w:rPr>
          <w:rFonts w:hint="eastAsia" w:ascii="仿宋_GB2312" w:hAnsi="仿宋_GB2312" w:eastAsia="仿宋_GB2312" w:cs="仿宋_GB2312"/>
          <w:color w:val="auto"/>
          <w:sz w:val="30"/>
          <w:szCs w:val="30"/>
          <w:highlight w:val="none"/>
          <w:u w:val="single"/>
        </w:rPr>
        <w:t>甲方所在地有管辖权</w:t>
      </w:r>
      <w:r>
        <w:rPr>
          <w:rFonts w:hint="eastAsia" w:ascii="仿宋_GB2312" w:hAnsi="仿宋_GB2312" w:eastAsia="仿宋_GB2312" w:cs="仿宋_GB2312"/>
          <w:color w:val="auto"/>
          <w:spacing w:val="-2"/>
          <w:sz w:val="30"/>
          <w:szCs w:val="30"/>
          <w:highlight w:val="none"/>
        </w:rPr>
        <w:t>的人民法院起诉。</w:t>
      </w:r>
    </w:p>
    <w:p w14:paraId="30DBB2C9">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（2）提请</w:t>
      </w:r>
      <w:r>
        <w:rPr>
          <w:rFonts w:hint="eastAsia" w:ascii="仿宋_GB2312" w:hAnsi="仿宋_GB2312" w:eastAsia="仿宋_GB2312" w:cs="仿宋_GB2312"/>
          <w:color w:val="auto"/>
          <w:spacing w:val="-2"/>
          <w:sz w:val="30"/>
          <w:szCs w:val="30"/>
          <w:highlight w:val="none"/>
          <w:u w:val="single"/>
        </w:rPr>
        <w:t xml:space="preserve">  /  </w:t>
      </w:r>
      <w:r>
        <w:rPr>
          <w:rFonts w:hint="eastAsia" w:ascii="仿宋_GB2312" w:hAnsi="仿宋_GB2312" w:eastAsia="仿宋_GB2312" w:cs="仿宋_GB2312"/>
          <w:color w:val="auto"/>
          <w:spacing w:val="-2"/>
          <w:sz w:val="30"/>
          <w:szCs w:val="30"/>
          <w:highlight w:val="none"/>
        </w:rPr>
        <w:t>仲裁委员会按照该会仲裁规则进行仲裁，仲裁裁决是终局的，对合同双方均有约束力。</w:t>
      </w:r>
    </w:p>
    <w:p w14:paraId="634CC524">
      <w:pPr>
        <w:pStyle w:val="7"/>
        <w:keepNext/>
        <w:keepLines/>
        <w:ind w:firstLine="0" w:firstLineChars="0"/>
        <w:jc w:val="both"/>
        <w:rPr>
          <w:rFonts w:eastAsia="黑体"/>
          <w:bCs/>
          <w:color w:val="auto"/>
          <w:sz w:val="32"/>
          <w:highlight w:val="none"/>
        </w:rPr>
      </w:pPr>
      <w:bookmarkStart w:id="1410" w:name="_Toc5313"/>
      <w:bookmarkStart w:id="1411" w:name="_Toc28127"/>
      <w:bookmarkStart w:id="1412" w:name="_Toc17774"/>
      <w:bookmarkStart w:id="1413" w:name="_Toc25166"/>
      <w:bookmarkStart w:id="1414" w:name="_Toc6448"/>
      <w:r>
        <w:rPr>
          <w:rFonts w:eastAsia="黑体"/>
          <w:bCs/>
          <w:color w:val="auto"/>
          <w:sz w:val="32"/>
          <w:highlight w:val="none"/>
        </w:rPr>
        <w:t>18.其他</w:t>
      </w:r>
      <w:bookmarkEnd w:id="1410"/>
      <w:bookmarkEnd w:id="1411"/>
      <w:bookmarkEnd w:id="1412"/>
      <w:bookmarkEnd w:id="1413"/>
      <w:bookmarkEnd w:id="1414"/>
    </w:p>
    <w:p w14:paraId="214BCDF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18.1  设计人应利用本项目已完成的设计成果，如因设计成果未能满足本次设计目标时</w:t>
      </w:r>
      <w:r>
        <w:rPr>
          <w:rFonts w:hint="eastAsia" w:ascii="仿宋_GB2312" w:hAnsi="仿宋_GB2312" w:eastAsia="仿宋_GB2312" w:cs="仿宋_GB2312"/>
          <w:color w:val="auto"/>
          <w:spacing w:val="-1"/>
          <w:sz w:val="30"/>
          <w:szCs w:val="30"/>
          <w:highlight w:val="none"/>
        </w:rPr>
        <w:t>，应按照相关部门的要求，对发生部分内容给予计列。</w:t>
      </w:r>
    </w:p>
    <w:p w14:paraId="2247C63A">
      <w:pPr>
        <w:pStyle w:val="79"/>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18.2总体协调单位主要责任：</w:t>
      </w:r>
    </w:p>
    <w:p w14:paraId="397C71CF">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（1）组织各设计人研究建设项目的总体设计方案；</w:t>
      </w:r>
    </w:p>
    <w:p w14:paraId="2B5190B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（2）确定统一的工程设计标准、规范、深度和要求；</w:t>
      </w:r>
    </w:p>
    <w:p w14:paraId="5E58584F">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（3）组织编制建设项目工程设计总说明、总图等；</w:t>
      </w:r>
    </w:p>
    <w:p w14:paraId="60F3D98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（4）协调工程设计进度，组织各设计人按照要</w:t>
      </w:r>
      <w:r>
        <w:rPr>
          <w:rFonts w:hint="eastAsia" w:ascii="仿宋_GB2312" w:hAnsi="仿宋_GB2312" w:eastAsia="仿宋_GB2312" w:cs="仿宋_GB2312"/>
          <w:color w:val="auto"/>
          <w:spacing w:val="-1"/>
          <w:sz w:val="30"/>
          <w:szCs w:val="30"/>
          <w:highlight w:val="none"/>
        </w:rPr>
        <w:t>求提交工程设计文件；</w:t>
      </w:r>
    </w:p>
    <w:p w14:paraId="6B13E8DB">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（5）负责协调、完成各工程设计文件的衔接设计工</w:t>
      </w:r>
      <w:r>
        <w:rPr>
          <w:rFonts w:hint="eastAsia" w:ascii="仿宋_GB2312" w:hAnsi="仿宋_GB2312" w:eastAsia="仿宋_GB2312" w:cs="仿宋_GB2312"/>
          <w:color w:val="auto"/>
          <w:spacing w:val="-2"/>
          <w:sz w:val="30"/>
          <w:szCs w:val="30"/>
          <w:highlight w:val="none"/>
        </w:rPr>
        <w:t>作。</w:t>
      </w:r>
    </w:p>
    <w:p w14:paraId="4B2ED2A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18.3  本合同载明的通讯地址为双方指定收件地址，今后凡与本合同相关的任何通知、函件</w:t>
      </w:r>
      <w:r>
        <w:rPr>
          <w:rFonts w:hint="eastAsia" w:ascii="仿宋_GB2312" w:hAnsi="仿宋_GB2312" w:eastAsia="仿宋_GB2312" w:cs="仿宋_GB2312"/>
          <w:color w:val="auto"/>
          <w:spacing w:val="-1"/>
          <w:sz w:val="30"/>
          <w:szCs w:val="30"/>
          <w:highlight w:val="none"/>
        </w:rPr>
        <w:t>、法</w:t>
      </w:r>
      <w:r>
        <w:rPr>
          <w:rFonts w:hint="eastAsia" w:ascii="仿宋_GB2312" w:hAnsi="仿宋_GB2312" w:eastAsia="仿宋_GB2312" w:cs="仿宋_GB2312"/>
          <w:color w:val="auto"/>
          <w:spacing w:val="1"/>
          <w:sz w:val="30"/>
          <w:szCs w:val="30"/>
          <w:highlight w:val="none"/>
        </w:rPr>
        <w:t>律文书（包括但不限于律师函、起诉状、应诉通知、传票、判决书、裁定书等）均送达至该地</w:t>
      </w:r>
      <w:r>
        <w:rPr>
          <w:rFonts w:hint="eastAsia" w:ascii="仿宋_GB2312" w:hAnsi="仿宋_GB2312" w:eastAsia="仿宋_GB2312" w:cs="仿宋_GB2312"/>
          <w:color w:val="auto"/>
          <w:spacing w:val="-1"/>
          <w:sz w:val="30"/>
          <w:szCs w:val="30"/>
          <w:highlight w:val="none"/>
        </w:rPr>
        <w:t>址，自EMS邮件加盖邮戳之日起第三日起视为送达，任一方有变更应书面通知对方</w:t>
      </w:r>
      <w:r>
        <w:rPr>
          <w:rFonts w:hint="eastAsia" w:ascii="仿宋_GB2312" w:hAnsi="仿宋_GB2312" w:eastAsia="仿宋_GB2312" w:cs="仿宋_GB2312"/>
          <w:color w:val="auto"/>
          <w:spacing w:val="-2"/>
          <w:sz w:val="30"/>
          <w:szCs w:val="30"/>
          <w:highlight w:val="none"/>
        </w:rPr>
        <w:t>，否则均为</w:t>
      </w:r>
      <w:r>
        <w:rPr>
          <w:rFonts w:hint="eastAsia" w:ascii="仿宋_GB2312" w:hAnsi="仿宋_GB2312" w:eastAsia="仿宋_GB2312" w:cs="仿宋_GB2312"/>
          <w:color w:val="auto"/>
          <w:spacing w:val="-1"/>
          <w:sz w:val="30"/>
          <w:szCs w:val="30"/>
          <w:highlight w:val="none"/>
        </w:rPr>
        <w:t>有效送达，未及时告知的不良后果由该方承担。</w:t>
      </w:r>
    </w:p>
    <w:p w14:paraId="1F1B95FF">
      <w:pPr>
        <w:rPr>
          <w:rFonts w:ascii="仿宋_GB2312" w:hAnsi="仿宋_GB2312" w:eastAsia="仿宋_GB2312" w:cs="仿宋_GB2312"/>
          <w:b/>
          <w:bCs/>
          <w:color w:val="auto"/>
          <w:spacing w:val="-6"/>
          <w:sz w:val="30"/>
          <w:szCs w:val="30"/>
          <w:highlight w:val="none"/>
        </w:rPr>
      </w:pPr>
    </w:p>
    <w:p w14:paraId="147A5D3A">
      <w:pPr>
        <w:pStyle w:val="79"/>
        <w:spacing w:after="0" w:line="360" w:lineRule="auto"/>
        <w:rPr>
          <w:rFonts w:ascii="Arial" w:hAnsi="Arial" w:eastAsia="黑体"/>
          <w:b/>
          <w:bCs/>
          <w:color w:val="auto"/>
          <w:sz w:val="32"/>
          <w:szCs w:val="32"/>
          <w:highlight w:val="none"/>
        </w:rPr>
      </w:pPr>
      <w:r>
        <w:rPr>
          <w:rFonts w:hint="eastAsia" w:ascii="Arial" w:hAnsi="Arial" w:eastAsia="黑体"/>
          <w:b/>
          <w:bCs/>
          <w:color w:val="auto"/>
          <w:sz w:val="32"/>
          <w:szCs w:val="32"/>
          <w:highlight w:val="none"/>
        </w:rPr>
        <w:t>19.专用合同条款</w:t>
      </w:r>
      <w:r>
        <w:rPr>
          <w:rFonts w:ascii="Arial" w:hAnsi="Arial" w:eastAsia="黑体"/>
          <w:b/>
          <w:bCs/>
          <w:color w:val="auto"/>
          <w:sz w:val="32"/>
          <w:szCs w:val="32"/>
          <w:highlight w:val="none"/>
        </w:rPr>
        <w:t>附件</w:t>
      </w:r>
    </w:p>
    <w:p w14:paraId="5356A217">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附件1：工程设计范围、阶段与服务内容</w:t>
      </w:r>
    </w:p>
    <w:p w14:paraId="2D3733F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附件2：发包人向设计人提交的有关资料及文件一览表</w:t>
      </w:r>
    </w:p>
    <w:p w14:paraId="4695FB4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附件3：设计人向发包人交付的工程设计文件目录</w:t>
      </w:r>
    </w:p>
    <w:p w14:paraId="38CA870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附件4：设计人主要设计人员表</w:t>
      </w:r>
    </w:p>
    <w:p w14:paraId="546948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附件5: 设计进度表</w:t>
      </w:r>
    </w:p>
    <w:p w14:paraId="5026B3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附件6: 设计费明细及支付方式</w:t>
      </w:r>
    </w:p>
    <w:p w14:paraId="78580C7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附件7: 设计变更计费依据和方法</w:t>
      </w:r>
    </w:p>
    <w:p w14:paraId="41C4138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附件8：履约担保（如有）</w:t>
      </w:r>
    </w:p>
    <w:p w14:paraId="720970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附件9：廉政责任书</w:t>
      </w:r>
    </w:p>
    <w:p w14:paraId="78AE71C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附件10：其他要求</w:t>
      </w:r>
    </w:p>
    <w:p w14:paraId="032855D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附件10-1：首期进度款担保（独立保函、非独立保函）</w:t>
      </w:r>
    </w:p>
    <w:p w14:paraId="03EFE28C">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附件10-2：支付担保（独立保函、非独立保函）</w:t>
      </w:r>
    </w:p>
    <w:p w14:paraId="61D25621">
      <w:pPr>
        <w:pStyle w:val="78"/>
        <w:spacing w:line="250" w:lineRule="auto"/>
        <w:rPr>
          <w:rFonts w:ascii="仿宋_GB2312" w:hAnsi="仿宋_GB2312" w:eastAsia="仿宋_GB2312" w:cs="仿宋_GB2312"/>
          <w:color w:val="auto"/>
          <w:sz w:val="30"/>
          <w:szCs w:val="30"/>
          <w:highlight w:val="none"/>
        </w:rPr>
      </w:pPr>
    </w:p>
    <w:p w14:paraId="65CEF6F8">
      <w:pPr>
        <w:pStyle w:val="78"/>
        <w:spacing w:line="250" w:lineRule="auto"/>
        <w:rPr>
          <w:rFonts w:ascii="仿宋_GB2312" w:hAnsi="仿宋_GB2312" w:eastAsia="仿宋_GB2312" w:cs="仿宋_GB2312"/>
          <w:color w:val="auto"/>
          <w:sz w:val="30"/>
          <w:szCs w:val="30"/>
          <w:highlight w:val="none"/>
        </w:rPr>
      </w:pPr>
    </w:p>
    <w:p w14:paraId="433787BE">
      <w:pPr>
        <w:pStyle w:val="78"/>
        <w:spacing w:line="250" w:lineRule="auto"/>
        <w:rPr>
          <w:rFonts w:ascii="仿宋_GB2312" w:hAnsi="仿宋_GB2312" w:eastAsia="仿宋_GB2312" w:cs="仿宋_GB2312"/>
          <w:color w:val="auto"/>
          <w:sz w:val="30"/>
          <w:szCs w:val="30"/>
          <w:highlight w:val="none"/>
        </w:rPr>
      </w:pPr>
    </w:p>
    <w:p w14:paraId="2BF442F3">
      <w:pPr>
        <w:pStyle w:val="78"/>
        <w:spacing w:before="91" w:line="222" w:lineRule="auto"/>
        <w:ind w:left="38"/>
        <w:rPr>
          <w:rFonts w:ascii="仿宋_GB2312" w:hAnsi="仿宋_GB2312" w:eastAsia="仿宋_GB2312" w:cs="仿宋_GB2312"/>
          <w:b/>
          <w:bCs/>
          <w:color w:val="auto"/>
          <w:spacing w:val="-15"/>
          <w:sz w:val="30"/>
          <w:szCs w:val="30"/>
          <w:highlight w:val="none"/>
        </w:rPr>
        <w:sectPr>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473F5846">
      <w:pPr>
        <w:pStyle w:val="7"/>
        <w:ind w:firstLine="598"/>
        <w:rPr>
          <w:rFonts w:ascii="仿宋_GB2312" w:hAnsi="仿宋_GB2312" w:eastAsia="仿宋_GB2312" w:cs="仿宋_GB2312"/>
          <w:color w:val="auto"/>
          <w:spacing w:val="-1"/>
          <w:sz w:val="30"/>
          <w:szCs w:val="30"/>
          <w:highlight w:val="none"/>
        </w:rPr>
      </w:pPr>
      <w:bookmarkStart w:id="1415" w:name="_Toc23161"/>
      <w:bookmarkStart w:id="1416" w:name="_Toc14563"/>
      <w:bookmarkStart w:id="1417" w:name="_Toc566"/>
      <w:bookmarkStart w:id="1418" w:name="_Toc24075"/>
      <w:bookmarkStart w:id="1419" w:name="_Toc24894"/>
      <w:r>
        <w:rPr>
          <w:rFonts w:hint="eastAsia" w:ascii="仿宋_GB2312" w:hAnsi="仿宋_GB2312" w:eastAsia="仿宋_GB2312" w:cs="仿宋_GB2312"/>
          <w:color w:val="auto"/>
          <w:spacing w:val="-1"/>
          <w:sz w:val="30"/>
          <w:szCs w:val="30"/>
          <w:highlight w:val="none"/>
        </w:rPr>
        <w:t>附件1-7：工程设计范围、阶段与服务内容</w:t>
      </w:r>
      <w:bookmarkEnd w:id="1415"/>
      <w:bookmarkEnd w:id="1416"/>
      <w:bookmarkEnd w:id="1417"/>
      <w:bookmarkEnd w:id="1418"/>
      <w:bookmarkEnd w:id="1419"/>
    </w:p>
    <w:p w14:paraId="73B8070E">
      <w:pPr>
        <w:pStyle w:val="81"/>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注：适用于装修设计</w:t>
      </w:r>
    </w:p>
    <w:p w14:paraId="5E2C045B">
      <w:pPr>
        <w:pStyle w:val="81"/>
        <w:ind w:firstLine="420"/>
        <w:rPr>
          <w:rFonts w:ascii="仿宋_GB2312" w:hAnsi="仿宋_GB2312" w:eastAsia="仿宋_GB2312" w:cs="仿宋_GB2312"/>
          <w:color w:val="auto"/>
          <w:sz w:val="30"/>
          <w:szCs w:val="30"/>
          <w:highlight w:val="none"/>
        </w:rPr>
      </w:pPr>
    </w:p>
    <w:p w14:paraId="46410F0C">
      <w:pPr>
        <w:pStyle w:val="78"/>
        <w:spacing w:line="360" w:lineRule="auto"/>
        <w:ind w:firstLine="602"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z w:val="30"/>
          <w:szCs w:val="30"/>
          <w:highlight w:val="none"/>
        </w:rPr>
        <w:t>工程设计范围、阶段与服务内容</w:t>
      </w:r>
    </w:p>
    <w:p w14:paraId="2B006CAE">
      <w:pPr>
        <w:spacing w:line="360" w:lineRule="auto"/>
        <w:ind w:firstLine="602" w:firstLineChars="200"/>
        <w:rPr>
          <w:rFonts w:ascii="仿宋_GB2312" w:hAnsi="仿宋_GB2312" w:eastAsia="仿宋_GB2312" w:cs="仿宋_GB2312"/>
          <w:b/>
          <w:color w:val="auto"/>
          <w:sz w:val="30"/>
          <w:szCs w:val="30"/>
          <w:highlight w:val="none"/>
        </w:rPr>
      </w:pPr>
    </w:p>
    <w:p w14:paraId="15F2A74E">
      <w:pPr>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一、本工程设计范围</w:t>
      </w:r>
    </w:p>
    <w:p w14:paraId="05EF1431">
      <w:pPr>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设计服务包含方案设计及工程估算、效果图、施工图设计、交付标准及工程概算等设计成果、施工阶段配合等内容。本次设计范围包含但不限于以上内容，以确保项目验收合格为准。</w:t>
      </w:r>
    </w:p>
    <w:p w14:paraId="56979FDC">
      <w:pPr>
        <w:pStyle w:val="81"/>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二、服务内容</w:t>
      </w:r>
    </w:p>
    <w:p w14:paraId="54EF1F8C">
      <w:pPr>
        <w:adjustRightInd w:val="0"/>
        <w:snapToGrid w:val="0"/>
        <w:spacing w:line="500" w:lineRule="exact"/>
        <w:ind w:left="9" w:firstLine="438" w:firstLineChars="146"/>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r>
        <w:rPr>
          <w:rFonts w:ascii="仿宋_GB2312" w:hAnsi="仿宋_GB2312" w:eastAsia="仿宋_GB2312" w:cs="仿宋_GB2312"/>
          <w:color w:val="auto"/>
          <w:sz w:val="30"/>
          <w:szCs w:val="30"/>
          <w:highlight w:val="none"/>
          <w:lang w:val="zh-CN"/>
        </w:rPr>
        <w:t>装修设计</w:t>
      </w:r>
      <w:r>
        <w:rPr>
          <w:rFonts w:ascii="仿宋_GB2312" w:hAnsi="仿宋_GB2312" w:eastAsia="仿宋_GB2312" w:cs="仿宋_GB2312"/>
          <w:color w:val="auto"/>
          <w:sz w:val="30"/>
          <w:szCs w:val="30"/>
          <w:highlight w:val="none"/>
        </w:rPr>
        <w:t>（包含硬装装修方案及施工图设计），设计服务包含方案设计及工程估算、效果图、施工图设计、交付标准及工程概算等设计成果、施工阶段配合等内容。本次设计范围包含但不限于以上内容，以确保项目验收合格为准。</w:t>
      </w:r>
    </w:p>
    <w:p w14:paraId="4B5DF131">
      <w:pPr>
        <w:adjustRightInd w:val="0"/>
        <w:snapToGrid w:val="0"/>
        <w:spacing w:line="500" w:lineRule="exact"/>
        <w:ind w:left="9" w:firstLine="438" w:firstLineChars="146"/>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28"/>
          <w:szCs w:val="28"/>
          <w:highlight w:val="none"/>
        </w:rPr>
        <w:t>乙方应按甲方的各层功能平面图要求，进行硬装方案及施工图设计，并在正式方案及效果图设计阶段对材料样板进行选型、定样、送样（材料实体样板+材料样册）。</w:t>
      </w:r>
    </w:p>
    <w:p w14:paraId="44E62B03">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其中</w:t>
      </w:r>
      <w:r>
        <w:rPr>
          <w:rFonts w:hint="eastAsia" w:ascii="仿宋_GB2312" w:hAnsi="仿宋_GB2312" w:eastAsia="仿宋_GB2312" w:cs="仿宋_GB2312"/>
          <w:color w:val="auto"/>
          <w:sz w:val="28"/>
          <w:szCs w:val="28"/>
          <w:highlight w:val="none"/>
          <w:lang w:val="zh-CN"/>
        </w:rPr>
        <w:t>具体样板包括但不限于以下样本：</w:t>
      </w:r>
    </w:p>
    <w:p w14:paraId="09E06786">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zh-CN"/>
        </w:rPr>
        <w:t>）提供实样：墙砖、地砖、石材、木地板、踢脚线、木饰面、线条、地毯、涂料、硬包、软包、墙纸墙布、石膏线条、不锈钢装饰面；</w:t>
      </w:r>
    </w:p>
    <w:p w14:paraId="3E8C4336">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zh-CN"/>
        </w:rPr>
        <w:t>）提供图片样及参数：五金件、户内门、橱柜（含配件、五金）、灯具（筒灯、LED灯带等）、开关插座面板、地漏、消火栓箱、洗菜盆及龙头、水表、家具、灯具、布艺、窗帘、壁饰、地毯（装饰地毯）、饰品、绿植清单深化清单（详细）</w:t>
      </w:r>
      <w:r>
        <w:rPr>
          <w:rFonts w:hint="eastAsia" w:ascii="仿宋_GB2312" w:hAnsi="仿宋_GB2312" w:eastAsia="仿宋_GB2312" w:cs="仿宋_GB2312"/>
          <w:color w:val="auto"/>
          <w:sz w:val="28"/>
          <w:szCs w:val="28"/>
          <w:highlight w:val="none"/>
        </w:rPr>
        <w:t>等</w:t>
      </w:r>
      <w:r>
        <w:rPr>
          <w:rFonts w:hint="eastAsia" w:ascii="仿宋_GB2312" w:hAnsi="仿宋_GB2312" w:eastAsia="仿宋_GB2312" w:cs="仿宋_GB2312"/>
          <w:color w:val="auto"/>
          <w:sz w:val="28"/>
          <w:szCs w:val="28"/>
          <w:highlight w:val="none"/>
          <w:lang w:val="zh-CN"/>
        </w:rPr>
        <w:t>。</w:t>
      </w:r>
    </w:p>
    <w:p w14:paraId="7B8EF258">
      <w:pPr>
        <w:pStyle w:val="74"/>
        <w:snapToGrid w:val="0"/>
        <w:spacing w:line="500" w:lineRule="exact"/>
        <w:ind w:left="9" w:firstLine="408" w:firstLineChars="146"/>
        <w:rPr>
          <w:rFonts w:ascii="仿宋_GB2312" w:hAnsi="仿宋_GB2312" w:eastAsia="仿宋_GB2312" w:cs="仿宋_GB2312"/>
          <w:bCs/>
          <w:color w:val="auto"/>
          <w:szCs w:val="28"/>
          <w:highlight w:val="none"/>
        </w:rPr>
      </w:pPr>
      <w:bookmarkStart w:id="1420" w:name="_Toc21190"/>
      <w:bookmarkStart w:id="1421" w:name="_Toc13332"/>
      <w:bookmarkStart w:id="1422" w:name="_Toc22215"/>
      <w:r>
        <w:rPr>
          <w:rFonts w:hint="eastAsia" w:ascii="仿宋_GB2312" w:hAnsi="仿宋_GB2312" w:eastAsia="仿宋_GB2312" w:cs="仿宋_GB2312"/>
          <w:bCs/>
          <w:color w:val="auto"/>
          <w:szCs w:val="28"/>
          <w:highlight w:val="none"/>
        </w:rPr>
        <w:t>2.4.3 上述所述“硬装”，系指除了必须满足的基础设施以外，为了满足房屋的结构、布局、功能、美观需要，添加在建筑物表面或者内部的固定且无法移动的装饰物。</w:t>
      </w:r>
      <w:bookmarkEnd w:id="1420"/>
      <w:bookmarkEnd w:id="1421"/>
      <w:bookmarkEnd w:id="1422"/>
    </w:p>
    <w:p w14:paraId="487CB08C">
      <w:pPr>
        <w:pStyle w:val="74"/>
        <w:snapToGrid w:val="0"/>
        <w:spacing w:line="500" w:lineRule="exact"/>
        <w:ind w:left="9" w:firstLine="408" w:firstLineChars="146"/>
        <w:rPr>
          <w:rFonts w:ascii="仿宋_GB2312" w:hAnsi="仿宋_GB2312" w:eastAsia="仿宋_GB2312" w:cs="仿宋_GB2312"/>
          <w:b/>
          <w:color w:val="auto"/>
          <w:spacing w:val="-1"/>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bCs/>
          <w:color w:val="auto"/>
          <w:szCs w:val="28"/>
          <w:highlight w:val="none"/>
        </w:rPr>
        <w:t>3.完工后现场摄影、企业推文推广等一系列宣工作，且推广工作需按照发包人项目分期时间分阶段进行。</w:t>
      </w:r>
    </w:p>
    <w:p w14:paraId="07241ECB">
      <w:pPr>
        <w:outlineLvl w:val="9"/>
        <w:rPr>
          <w:rFonts w:ascii="仿宋_GB2312" w:hAnsi="仿宋_GB2312" w:eastAsia="仿宋_GB2312" w:cs="仿宋_GB2312"/>
          <w:color w:val="auto"/>
          <w:spacing w:val="-1"/>
          <w:sz w:val="30"/>
          <w:szCs w:val="30"/>
          <w:highlight w:val="none"/>
        </w:rPr>
      </w:pPr>
      <w:bookmarkStart w:id="1423" w:name="_Toc71"/>
    </w:p>
    <w:p w14:paraId="301F3D1F">
      <w:pPr>
        <w:pStyle w:val="7"/>
        <w:ind w:firstLine="598"/>
        <w:rPr>
          <w:rFonts w:ascii="仿宋_GB2312" w:hAnsi="仿宋_GB2312" w:eastAsia="仿宋_GB2312" w:cs="仿宋_GB2312"/>
          <w:color w:val="auto"/>
          <w:spacing w:val="-1"/>
          <w:sz w:val="30"/>
          <w:szCs w:val="30"/>
          <w:highlight w:val="none"/>
        </w:rPr>
      </w:pPr>
      <w:bookmarkStart w:id="1424" w:name="_Toc20160"/>
      <w:bookmarkStart w:id="1425" w:name="_Toc1885"/>
      <w:r>
        <w:rPr>
          <w:rFonts w:hint="eastAsia" w:ascii="仿宋_GB2312" w:hAnsi="仿宋_GB2312" w:eastAsia="仿宋_GB2312" w:cs="仿宋_GB2312"/>
          <w:color w:val="auto"/>
          <w:spacing w:val="-1"/>
          <w:sz w:val="30"/>
          <w:szCs w:val="30"/>
          <w:highlight w:val="none"/>
        </w:rPr>
        <w:t>附件2-5：发包人向设计人提交有关资料及文件一览表</w:t>
      </w:r>
      <w:bookmarkEnd w:id="1423"/>
      <w:bookmarkEnd w:id="1424"/>
      <w:bookmarkEnd w:id="1425"/>
    </w:p>
    <w:p w14:paraId="64F07465">
      <w:pPr>
        <w:pStyle w:val="78"/>
        <w:spacing w:before="91" w:line="222" w:lineRule="auto"/>
        <w:ind w:left="338"/>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发包人向设计人提交有关资料及文件一览表（</w:t>
      </w:r>
      <w:r>
        <w:rPr>
          <w:rFonts w:hint="eastAsia" w:ascii="仿宋_GB2312" w:hAnsi="仿宋_GB2312" w:eastAsia="仿宋_GB2312" w:cs="仿宋_GB2312"/>
          <w:color w:val="auto"/>
          <w:sz w:val="30"/>
          <w:szCs w:val="30"/>
          <w:highlight w:val="none"/>
          <w:lang w:val="zh-CN"/>
        </w:rPr>
        <w:t>装修设计</w:t>
      </w:r>
      <w:r>
        <w:rPr>
          <w:rFonts w:hint="eastAsia" w:ascii="仿宋_GB2312" w:hAnsi="仿宋_GB2312" w:eastAsia="仿宋_GB2312" w:cs="仿宋_GB2312"/>
          <w:color w:val="auto"/>
          <w:sz w:val="30"/>
          <w:szCs w:val="30"/>
          <w:highlight w:val="none"/>
        </w:rPr>
        <w:t>）</w:t>
      </w:r>
    </w:p>
    <w:p w14:paraId="435D189D">
      <w:pPr>
        <w:pStyle w:val="78"/>
        <w:spacing w:before="91" w:line="222" w:lineRule="auto"/>
        <w:rPr>
          <w:rFonts w:ascii="仿宋_GB2312" w:hAnsi="仿宋_GB2312" w:eastAsia="仿宋_GB2312" w:cs="仿宋_GB2312"/>
          <w:color w:val="auto"/>
          <w:sz w:val="30"/>
          <w:szCs w:val="30"/>
          <w:highlight w:val="none"/>
        </w:rPr>
      </w:pPr>
    </w:p>
    <w:tbl>
      <w:tblPr>
        <w:tblStyle w:val="36"/>
        <w:tblW w:w="5262"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80"/>
        <w:gridCol w:w="3559"/>
        <w:gridCol w:w="648"/>
        <w:gridCol w:w="2044"/>
        <w:gridCol w:w="1789"/>
      </w:tblGrid>
      <w:tr w14:paraId="4ABE2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9" w:type="pct"/>
            <w:tcBorders>
              <w:top w:val="single" w:color="auto" w:sz="8" w:space="0"/>
              <w:left w:val="single" w:color="auto" w:sz="8" w:space="0"/>
              <w:bottom w:val="single" w:color="auto" w:sz="4" w:space="0"/>
              <w:right w:val="single" w:color="auto" w:sz="4" w:space="0"/>
            </w:tcBorders>
            <w:noWrap/>
            <w:vAlign w:val="center"/>
          </w:tcPr>
          <w:p w14:paraId="56A28773">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2040" w:type="pct"/>
            <w:tcBorders>
              <w:top w:val="single" w:color="auto" w:sz="8" w:space="0"/>
              <w:left w:val="single" w:color="auto" w:sz="4" w:space="0"/>
              <w:bottom w:val="single" w:color="auto" w:sz="4" w:space="0"/>
              <w:right w:val="single" w:color="auto" w:sz="4" w:space="0"/>
            </w:tcBorders>
            <w:noWrap/>
            <w:vAlign w:val="center"/>
          </w:tcPr>
          <w:p w14:paraId="4CD03C0F">
            <w:pPr>
              <w:spacing w:line="460" w:lineRule="exact"/>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资料及文件名称</w:t>
            </w:r>
          </w:p>
        </w:tc>
        <w:tc>
          <w:tcPr>
            <w:tcW w:w="372" w:type="pct"/>
            <w:tcBorders>
              <w:top w:val="single" w:color="auto" w:sz="8" w:space="0"/>
              <w:left w:val="single" w:color="auto" w:sz="4" w:space="0"/>
              <w:bottom w:val="single" w:color="auto" w:sz="4" w:space="0"/>
              <w:right w:val="single" w:color="auto" w:sz="4" w:space="0"/>
            </w:tcBorders>
            <w:noWrap/>
            <w:vAlign w:val="center"/>
          </w:tcPr>
          <w:p w14:paraId="3B7CD381">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份数</w:t>
            </w:r>
          </w:p>
        </w:tc>
        <w:tc>
          <w:tcPr>
            <w:tcW w:w="1171" w:type="pct"/>
            <w:tcBorders>
              <w:top w:val="single" w:color="auto" w:sz="8" w:space="0"/>
              <w:left w:val="single" w:color="auto" w:sz="4" w:space="0"/>
              <w:bottom w:val="single" w:color="auto" w:sz="4" w:space="0"/>
              <w:right w:val="single" w:color="auto" w:sz="4" w:space="0"/>
            </w:tcBorders>
            <w:noWrap/>
            <w:vAlign w:val="center"/>
          </w:tcPr>
          <w:p w14:paraId="6464DB1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提交日期</w:t>
            </w:r>
          </w:p>
        </w:tc>
        <w:tc>
          <w:tcPr>
            <w:tcW w:w="1025" w:type="pct"/>
            <w:tcBorders>
              <w:top w:val="single" w:color="auto" w:sz="8" w:space="0"/>
              <w:left w:val="single" w:color="auto" w:sz="4" w:space="0"/>
              <w:bottom w:val="single" w:color="auto" w:sz="4" w:space="0"/>
              <w:right w:val="single" w:color="auto" w:sz="8" w:space="0"/>
            </w:tcBorders>
            <w:noWrap/>
            <w:vAlign w:val="center"/>
          </w:tcPr>
          <w:p w14:paraId="0F344738">
            <w:pPr>
              <w:spacing w:line="460" w:lineRule="exact"/>
              <w:ind w:left="9" w:hanging="9"/>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有关事宜</w:t>
            </w:r>
          </w:p>
        </w:tc>
      </w:tr>
      <w:tr w14:paraId="7C0DD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6D05049">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2040" w:type="pct"/>
            <w:tcBorders>
              <w:top w:val="single" w:color="auto" w:sz="4" w:space="0"/>
              <w:left w:val="single" w:color="auto" w:sz="4" w:space="0"/>
              <w:bottom w:val="single" w:color="auto" w:sz="4" w:space="0"/>
              <w:right w:val="single" w:color="auto" w:sz="4" w:space="0"/>
            </w:tcBorders>
            <w:noWrap/>
            <w:vAlign w:val="center"/>
          </w:tcPr>
          <w:p w14:paraId="71A6CC4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设计任务书</w:t>
            </w:r>
          </w:p>
        </w:tc>
        <w:tc>
          <w:tcPr>
            <w:tcW w:w="372" w:type="pct"/>
            <w:tcBorders>
              <w:top w:val="single" w:color="auto" w:sz="4" w:space="0"/>
              <w:left w:val="single" w:color="auto" w:sz="4" w:space="0"/>
              <w:bottom w:val="single" w:color="auto" w:sz="4" w:space="0"/>
              <w:right w:val="single" w:color="auto" w:sz="4" w:space="0"/>
            </w:tcBorders>
            <w:noWrap/>
            <w:vAlign w:val="center"/>
          </w:tcPr>
          <w:p w14:paraId="2BC2D3DD">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0034101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restart"/>
            <w:tcBorders>
              <w:top w:val="single" w:color="auto" w:sz="4" w:space="0"/>
              <w:left w:val="single" w:color="auto" w:sz="4" w:space="0"/>
              <w:bottom w:val="single" w:color="auto" w:sz="8" w:space="0"/>
              <w:right w:val="single" w:color="auto" w:sz="8" w:space="0"/>
            </w:tcBorders>
            <w:noWrap/>
            <w:vAlign w:val="center"/>
          </w:tcPr>
          <w:p w14:paraId="2F15040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满足设计需要</w:t>
            </w:r>
          </w:p>
        </w:tc>
      </w:tr>
      <w:tr w14:paraId="644A1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05739453">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p>
        </w:tc>
        <w:tc>
          <w:tcPr>
            <w:tcW w:w="2040" w:type="pct"/>
            <w:tcBorders>
              <w:top w:val="single" w:color="auto" w:sz="4" w:space="0"/>
              <w:left w:val="single" w:color="auto" w:sz="4" w:space="0"/>
              <w:bottom w:val="single" w:color="auto" w:sz="4" w:space="0"/>
              <w:right w:val="single" w:color="auto" w:sz="4" w:space="0"/>
            </w:tcBorders>
            <w:noWrap/>
            <w:vAlign w:val="center"/>
          </w:tcPr>
          <w:p w14:paraId="12FC1FA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项目及产品定位报告</w:t>
            </w:r>
          </w:p>
        </w:tc>
        <w:tc>
          <w:tcPr>
            <w:tcW w:w="372" w:type="pct"/>
            <w:tcBorders>
              <w:top w:val="single" w:color="auto" w:sz="4" w:space="0"/>
              <w:left w:val="single" w:color="auto" w:sz="4" w:space="0"/>
              <w:bottom w:val="single" w:color="auto" w:sz="4" w:space="0"/>
              <w:right w:val="single" w:color="auto" w:sz="4" w:space="0"/>
            </w:tcBorders>
            <w:noWrap/>
            <w:vAlign w:val="center"/>
          </w:tcPr>
          <w:p w14:paraId="405F29D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650713D4">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7A2C2334">
            <w:pPr>
              <w:spacing w:line="460" w:lineRule="exact"/>
              <w:ind w:firstLine="480"/>
              <w:rPr>
                <w:rFonts w:ascii="宋体" w:hAnsi="宋体"/>
                <w:color w:val="auto"/>
                <w:sz w:val="24"/>
                <w:szCs w:val="24"/>
                <w:highlight w:val="none"/>
              </w:rPr>
            </w:pPr>
          </w:p>
        </w:tc>
      </w:tr>
      <w:tr w14:paraId="36A4C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716300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w:t>
            </w:r>
          </w:p>
        </w:tc>
        <w:tc>
          <w:tcPr>
            <w:tcW w:w="2040" w:type="pct"/>
            <w:tcBorders>
              <w:top w:val="single" w:color="auto" w:sz="4" w:space="0"/>
              <w:left w:val="single" w:color="auto" w:sz="4" w:space="0"/>
              <w:bottom w:val="single" w:color="auto" w:sz="4" w:space="0"/>
              <w:right w:val="single" w:color="auto" w:sz="4" w:space="0"/>
            </w:tcBorders>
            <w:noWrap/>
            <w:vAlign w:val="center"/>
          </w:tcPr>
          <w:p w14:paraId="49CB91E7">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客群定位及客户描摹分析</w:t>
            </w:r>
          </w:p>
        </w:tc>
        <w:tc>
          <w:tcPr>
            <w:tcW w:w="372" w:type="pct"/>
            <w:tcBorders>
              <w:top w:val="single" w:color="auto" w:sz="4" w:space="0"/>
              <w:left w:val="single" w:color="auto" w:sz="4" w:space="0"/>
              <w:bottom w:val="single" w:color="auto" w:sz="4" w:space="0"/>
              <w:right w:val="single" w:color="auto" w:sz="4" w:space="0"/>
            </w:tcBorders>
            <w:noWrap/>
            <w:vAlign w:val="center"/>
          </w:tcPr>
          <w:p w14:paraId="35FFD3A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74056FF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44795E16">
            <w:pPr>
              <w:spacing w:line="460" w:lineRule="exact"/>
              <w:ind w:firstLine="480"/>
              <w:rPr>
                <w:rFonts w:ascii="宋体" w:hAnsi="宋体"/>
                <w:color w:val="auto"/>
                <w:sz w:val="24"/>
                <w:szCs w:val="24"/>
                <w:highlight w:val="none"/>
              </w:rPr>
            </w:pPr>
          </w:p>
        </w:tc>
      </w:tr>
      <w:tr w14:paraId="4E383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1D80D1C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w:t>
            </w:r>
          </w:p>
        </w:tc>
        <w:tc>
          <w:tcPr>
            <w:tcW w:w="2040" w:type="pct"/>
            <w:tcBorders>
              <w:top w:val="single" w:color="auto" w:sz="4" w:space="0"/>
              <w:left w:val="single" w:color="auto" w:sz="4" w:space="0"/>
              <w:bottom w:val="single" w:color="auto" w:sz="4" w:space="0"/>
              <w:right w:val="single" w:color="auto" w:sz="4" w:space="0"/>
            </w:tcBorders>
            <w:noWrap/>
            <w:vAlign w:val="center"/>
          </w:tcPr>
          <w:p w14:paraId="20007A0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全套建筑方案平面及建筑、结构施工图纸</w:t>
            </w:r>
          </w:p>
        </w:tc>
        <w:tc>
          <w:tcPr>
            <w:tcW w:w="372" w:type="pct"/>
            <w:tcBorders>
              <w:top w:val="single" w:color="auto" w:sz="4" w:space="0"/>
              <w:left w:val="single" w:color="auto" w:sz="4" w:space="0"/>
              <w:bottom w:val="single" w:color="auto" w:sz="4" w:space="0"/>
              <w:right w:val="single" w:color="auto" w:sz="4" w:space="0"/>
            </w:tcBorders>
            <w:noWrap/>
            <w:vAlign w:val="center"/>
          </w:tcPr>
          <w:p w14:paraId="2A7E80B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53894F05">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56704524">
            <w:pPr>
              <w:spacing w:line="460" w:lineRule="exact"/>
              <w:ind w:firstLine="480" w:firstLineChars="200"/>
              <w:rPr>
                <w:rFonts w:ascii="宋体" w:hAnsi="宋体"/>
                <w:color w:val="auto"/>
                <w:sz w:val="24"/>
                <w:szCs w:val="24"/>
                <w:highlight w:val="none"/>
              </w:rPr>
            </w:pPr>
          </w:p>
        </w:tc>
      </w:tr>
    </w:tbl>
    <w:p w14:paraId="76C0E9B0">
      <w:pPr>
        <w:outlineLvl w:val="9"/>
        <w:rPr>
          <w:rFonts w:ascii="仿宋_GB2312" w:hAnsi="仿宋_GB2312" w:eastAsia="仿宋_GB2312" w:cs="仿宋_GB2312"/>
          <w:bCs/>
          <w:color w:val="auto"/>
          <w:spacing w:val="-9"/>
          <w:sz w:val="30"/>
          <w:szCs w:val="30"/>
          <w:highlight w:val="none"/>
        </w:rPr>
      </w:pPr>
      <w:bookmarkStart w:id="1426" w:name="_Toc14219"/>
      <w:bookmarkStart w:id="1427" w:name="_Toc17071"/>
      <w:bookmarkStart w:id="1428" w:name="_Toc4692"/>
    </w:p>
    <w:p w14:paraId="3D6E3EDF">
      <w:pPr>
        <w:outlineLvl w:val="9"/>
        <w:rPr>
          <w:rFonts w:ascii="仿宋_GB2312" w:hAnsi="仿宋_GB2312" w:eastAsia="仿宋_GB2312" w:cs="仿宋_GB2312"/>
          <w:bCs/>
          <w:color w:val="auto"/>
          <w:spacing w:val="-9"/>
          <w:sz w:val="30"/>
          <w:szCs w:val="30"/>
          <w:highlight w:val="none"/>
        </w:rPr>
      </w:pPr>
    </w:p>
    <w:p w14:paraId="1A4DAD78">
      <w:pPr>
        <w:outlineLvl w:val="9"/>
        <w:rPr>
          <w:rFonts w:ascii="仿宋_GB2312" w:hAnsi="仿宋_GB2312" w:eastAsia="仿宋_GB2312" w:cs="仿宋_GB2312"/>
          <w:bCs/>
          <w:color w:val="auto"/>
          <w:spacing w:val="-9"/>
          <w:sz w:val="30"/>
          <w:szCs w:val="30"/>
          <w:highlight w:val="none"/>
        </w:rPr>
      </w:pPr>
    </w:p>
    <w:p w14:paraId="75CF2812">
      <w:pPr>
        <w:outlineLvl w:val="9"/>
        <w:rPr>
          <w:rFonts w:ascii="仿宋_GB2312" w:hAnsi="仿宋_GB2312" w:eastAsia="仿宋_GB2312" w:cs="仿宋_GB2312"/>
          <w:bCs/>
          <w:color w:val="auto"/>
          <w:spacing w:val="-9"/>
          <w:sz w:val="30"/>
          <w:szCs w:val="30"/>
          <w:highlight w:val="none"/>
        </w:rPr>
      </w:pPr>
    </w:p>
    <w:p w14:paraId="15EE0709">
      <w:pPr>
        <w:outlineLvl w:val="9"/>
        <w:rPr>
          <w:rFonts w:ascii="仿宋_GB2312" w:hAnsi="仿宋_GB2312" w:eastAsia="仿宋_GB2312" w:cs="仿宋_GB2312"/>
          <w:bCs/>
          <w:color w:val="auto"/>
          <w:spacing w:val="-9"/>
          <w:sz w:val="30"/>
          <w:szCs w:val="30"/>
          <w:highlight w:val="none"/>
        </w:rPr>
      </w:pPr>
    </w:p>
    <w:bookmarkEnd w:id="1426"/>
    <w:bookmarkEnd w:id="1427"/>
    <w:bookmarkEnd w:id="1428"/>
    <w:p w14:paraId="433CCDA1">
      <w:pPr>
        <w:pStyle w:val="78"/>
        <w:spacing w:before="91" w:line="222" w:lineRule="auto"/>
        <w:rPr>
          <w:rFonts w:ascii="仿宋_GB2312" w:hAnsi="仿宋_GB2312" w:eastAsia="仿宋_GB2312" w:cs="仿宋_GB2312"/>
          <w:b/>
          <w:bCs/>
          <w:color w:val="auto"/>
          <w:spacing w:val="-8"/>
          <w:sz w:val="30"/>
          <w:szCs w:val="30"/>
          <w:highlight w:val="none"/>
        </w:rPr>
      </w:pPr>
    </w:p>
    <w:p w14:paraId="57CE5718">
      <w:pPr>
        <w:pStyle w:val="78"/>
        <w:spacing w:before="91" w:line="222" w:lineRule="auto"/>
        <w:rPr>
          <w:rFonts w:ascii="仿宋_GB2312" w:hAnsi="仿宋_GB2312" w:eastAsia="仿宋_GB2312" w:cs="仿宋_GB2312"/>
          <w:b/>
          <w:bCs/>
          <w:color w:val="auto"/>
          <w:spacing w:val="-8"/>
          <w:sz w:val="30"/>
          <w:szCs w:val="30"/>
          <w:highlight w:val="none"/>
        </w:rPr>
      </w:pPr>
    </w:p>
    <w:p w14:paraId="28C54BDC">
      <w:pPr>
        <w:pStyle w:val="7"/>
        <w:ind w:firstLine="566"/>
        <w:rPr>
          <w:rFonts w:ascii="仿宋_GB2312" w:hAnsi="仿宋_GB2312" w:eastAsia="仿宋_GB2312" w:cs="仿宋_GB2312"/>
          <w:color w:val="auto"/>
          <w:sz w:val="30"/>
          <w:szCs w:val="30"/>
          <w:highlight w:val="none"/>
        </w:rPr>
      </w:pPr>
      <w:bookmarkStart w:id="1429" w:name="_Toc28111"/>
      <w:bookmarkStart w:id="1430" w:name="_Toc31097"/>
      <w:bookmarkStart w:id="1431" w:name="_Toc1165"/>
      <w:r>
        <w:rPr>
          <w:rFonts w:hint="eastAsia" w:ascii="仿宋_GB2312" w:hAnsi="仿宋_GB2312" w:eastAsia="仿宋_GB2312" w:cs="仿宋_GB2312"/>
          <w:bCs/>
          <w:color w:val="auto"/>
          <w:spacing w:val="-9"/>
          <w:sz w:val="30"/>
          <w:szCs w:val="30"/>
          <w:highlight w:val="none"/>
        </w:rPr>
        <w:t>附件3-7：</w:t>
      </w:r>
      <w:r>
        <w:rPr>
          <w:rFonts w:hint="eastAsia" w:ascii="仿宋_GB2312" w:hAnsi="仿宋_GB2312" w:eastAsia="仿宋_GB2312" w:cs="仿宋_GB2312"/>
          <w:color w:val="auto"/>
          <w:spacing w:val="-1"/>
          <w:sz w:val="30"/>
          <w:szCs w:val="30"/>
          <w:highlight w:val="none"/>
        </w:rPr>
        <w:t>设计人向发包人交付的工程设计文件目录</w:t>
      </w:r>
      <w:bookmarkEnd w:id="1429"/>
      <w:bookmarkEnd w:id="1430"/>
      <w:bookmarkEnd w:id="1431"/>
    </w:p>
    <w:p w14:paraId="4C629226">
      <w:pPr>
        <w:spacing w:before="50" w:line="360" w:lineRule="auto"/>
        <w:ind w:firstLine="200"/>
        <w:jc w:val="center"/>
        <w:rPr>
          <w:rFonts w:ascii="仿宋_GB2312" w:hAnsi="仿宋_GB2312" w:eastAsia="仿宋_GB2312" w:cs="仿宋_GB2312"/>
          <w:b/>
          <w:bCs/>
          <w:color w:val="auto"/>
          <w:spacing w:val="-1"/>
          <w:sz w:val="30"/>
          <w:szCs w:val="30"/>
          <w:highlight w:val="none"/>
        </w:rPr>
      </w:pPr>
      <w:r>
        <w:rPr>
          <w:rFonts w:hint="eastAsia" w:ascii="仿宋_GB2312" w:hAnsi="仿宋_GB2312" w:eastAsia="仿宋_GB2312" w:cs="仿宋_GB2312"/>
          <w:b/>
          <w:bCs/>
          <w:color w:val="auto"/>
          <w:spacing w:val="-1"/>
          <w:sz w:val="30"/>
          <w:szCs w:val="30"/>
          <w:highlight w:val="none"/>
        </w:rPr>
        <w:t>设计人向发包人交付的工程设计文件目录</w:t>
      </w:r>
    </w:p>
    <w:p w14:paraId="0A91E427">
      <w:pPr>
        <w:spacing w:before="50" w:line="360" w:lineRule="auto"/>
        <w:ind w:firstLine="200"/>
        <w:jc w:val="center"/>
        <w:rPr>
          <w:rFonts w:ascii="仿宋_GB2312" w:hAnsi="仿宋_GB2312" w:eastAsia="仿宋_GB2312" w:cs="仿宋_GB2312"/>
          <w:bCs/>
          <w:color w:val="auto"/>
          <w:sz w:val="30"/>
          <w:szCs w:val="30"/>
          <w:highlight w:val="none"/>
        </w:rPr>
      </w:pP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装修设计</w:t>
      </w:r>
    </w:p>
    <w:tbl>
      <w:tblPr>
        <w:tblStyle w:val="3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199"/>
        <w:gridCol w:w="2641"/>
        <w:gridCol w:w="454"/>
        <w:gridCol w:w="1481"/>
        <w:gridCol w:w="1290"/>
      </w:tblGrid>
      <w:tr w14:paraId="0390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trPr>
        <w:tc>
          <w:tcPr>
            <w:tcW w:w="411" w:type="pct"/>
            <w:vAlign w:val="center"/>
          </w:tcPr>
          <w:p w14:paraId="2A96E8DD">
            <w:pP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序号</w:t>
            </w:r>
          </w:p>
        </w:tc>
        <w:tc>
          <w:tcPr>
            <w:tcW w:w="782" w:type="pct"/>
            <w:vAlign w:val="center"/>
          </w:tcPr>
          <w:p w14:paraId="76F6C92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设计阶段</w:t>
            </w:r>
          </w:p>
        </w:tc>
        <w:tc>
          <w:tcPr>
            <w:tcW w:w="1644" w:type="pct"/>
            <w:vAlign w:val="center"/>
          </w:tcPr>
          <w:p w14:paraId="4F5AA40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提交内容（包含但不限于以下内容）</w:t>
            </w:r>
          </w:p>
        </w:tc>
        <w:tc>
          <w:tcPr>
            <w:tcW w:w="336" w:type="pct"/>
            <w:vAlign w:val="center"/>
          </w:tcPr>
          <w:p w14:paraId="36C9499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份数</w:t>
            </w:r>
          </w:p>
        </w:tc>
        <w:tc>
          <w:tcPr>
            <w:tcW w:w="950" w:type="pct"/>
            <w:vAlign w:val="center"/>
          </w:tcPr>
          <w:p w14:paraId="111AABB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提交日期</w:t>
            </w:r>
          </w:p>
        </w:tc>
        <w:tc>
          <w:tcPr>
            <w:tcW w:w="836" w:type="pct"/>
            <w:vAlign w:val="center"/>
          </w:tcPr>
          <w:p w14:paraId="64DBC6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图纸形式</w:t>
            </w:r>
          </w:p>
        </w:tc>
      </w:tr>
      <w:tr w14:paraId="53521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5A58428E">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82" w:type="pct"/>
            <w:vAlign w:val="center"/>
          </w:tcPr>
          <w:p w14:paraId="4A8C7DB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概念方案设计阶段</w:t>
            </w:r>
          </w:p>
        </w:tc>
        <w:tc>
          <w:tcPr>
            <w:tcW w:w="1644" w:type="pct"/>
            <w:vAlign w:val="center"/>
          </w:tcPr>
          <w:p w14:paraId="0C90C04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31F43EB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02设计说明</w:t>
            </w:r>
          </w:p>
          <w:p w14:paraId="045670F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03平面图</w:t>
            </w:r>
          </w:p>
          <w:p w14:paraId="35EA323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04平面布置图</w:t>
            </w:r>
          </w:p>
          <w:p w14:paraId="2CCA30E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05风格及形象示意图</w:t>
            </w:r>
          </w:p>
        </w:tc>
        <w:tc>
          <w:tcPr>
            <w:tcW w:w="336" w:type="pct"/>
            <w:vAlign w:val="center"/>
          </w:tcPr>
          <w:p w14:paraId="7AA2946B">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p>
        </w:tc>
        <w:tc>
          <w:tcPr>
            <w:tcW w:w="950" w:type="pct"/>
            <w:vAlign w:val="center"/>
          </w:tcPr>
          <w:p w14:paraId="07DF9BE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合同签订且乙方收到甲方设计任务书后</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日内</w:t>
            </w:r>
          </w:p>
        </w:tc>
        <w:tc>
          <w:tcPr>
            <w:tcW w:w="836" w:type="pct"/>
            <w:vAlign w:val="center"/>
          </w:tcPr>
          <w:p w14:paraId="0EFAB554">
            <w:pPr>
              <w:ind w:left="9" w:hanging="9"/>
              <w:jc w:val="left"/>
              <w:rPr>
                <w:rFonts w:hint="eastAsia" w:ascii="仿宋_GB2312" w:hAnsi="仿宋_GB2312" w:eastAsia="仿宋_GB2312" w:cs="仿宋_GB2312"/>
                <w:color w:val="auto"/>
                <w:sz w:val="24"/>
                <w:szCs w:val="24"/>
                <w:highlight w:val="none"/>
              </w:rPr>
            </w:pPr>
          </w:p>
          <w:p w14:paraId="66E07238">
            <w:pPr>
              <w:ind w:left="9" w:hanging="9"/>
              <w:jc w:val="left"/>
              <w:rPr>
                <w:rFonts w:hint="eastAsia" w:ascii="仿宋_GB2312" w:hAnsi="仿宋_GB2312" w:eastAsia="仿宋_GB2312" w:cs="仿宋_GB2312"/>
                <w:color w:val="auto"/>
                <w:sz w:val="24"/>
                <w:szCs w:val="24"/>
                <w:highlight w:val="none"/>
              </w:rPr>
            </w:pPr>
          </w:p>
          <w:p w14:paraId="2FC5D2F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PDF电子版</w:t>
            </w:r>
          </w:p>
          <w:p w14:paraId="0EFB97A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纸质版</w:t>
            </w:r>
          </w:p>
        </w:tc>
      </w:tr>
      <w:tr w14:paraId="00EC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31854F0">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w:t>
            </w:r>
          </w:p>
        </w:tc>
        <w:tc>
          <w:tcPr>
            <w:tcW w:w="782" w:type="pct"/>
            <w:vAlign w:val="center"/>
          </w:tcPr>
          <w:p w14:paraId="7F187E4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正式方案及效果图设计阶段（含深化方案设计和扩初方案设计）</w:t>
            </w:r>
          </w:p>
        </w:tc>
        <w:tc>
          <w:tcPr>
            <w:tcW w:w="1644" w:type="pct"/>
            <w:vAlign w:val="center"/>
          </w:tcPr>
          <w:p w14:paraId="4F29A3F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1516B62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02设计说明</w:t>
            </w:r>
          </w:p>
          <w:p w14:paraId="191EE70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03平面图</w:t>
            </w:r>
          </w:p>
          <w:p w14:paraId="708D952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04平面布置图</w:t>
            </w:r>
          </w:p>
          <w:p w14:paraId="14D9425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05效果图</w:t>
            </w:r>
          </w:p>
          <w:p w14:paraId="063D9308">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06主要立面图</w:t>
            </w:r>
          </w:p>
          <w:p w14:paraId="36636C19">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07设计材料样板选型、定样、送样</w:t>
            </w:r>
          </w:p>
          <w:p w14:paraId="3709CF0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08设计材料样板封样</w:t>
            </w:r>
          </w:p>
          <w:p w14:paraId="710A2E8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09精确的概算</w:t>
            </w:r>
          </w:p>
        </w:tc>
        <w:tc>
          <w:tcPr>
            <w:tcW w:w="336" w:type="pct"/>
            <w:vAlign w:val="center"/>
          </w:tcPr>
          <w:p w14:paraId="5720FB03">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p>
        </w:tc>
        <w:tc>
          <w:tcPr>
            <w:tcW w:w="950" w:type="pct"/>
            <w:vAlign w:val="center"/>
          </w:tcPr>
          <w:p w14:paraId="6FDFBD4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概念方案经甲方书面确认后</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日内</w:t>
            </w:r>
          </w:p>
        </w:tc>
        <w:tc>
          <w:tcPr>
            <w:tcW w:w="836" w:type="pct"/>
            <w:vAlign w:val="center"/>
          </w:tcPr>
          <w:p w14:paraId="787FAF44">
            <w:pPr>
              <w:ind w:left="9" w:hanging="9"/>
              <w:jc w:val="left"/>
              <w:rPr>
                <w:rFonts w:hint="eastAsia" w:ascii="仿宋_GB2312" w:hAnsi="仿宋_GB2312" w:eastAsia="仿宋_GB2312" w:cs="仿宋_GB2312"/>
                <w:color w:val="auto"/>
                <w:sz w:val="24"/>
                <w:szCs w:val="24"/>
                <w:highlight w:val="none"/>
              </w:rPr>
            </w:pPr>
          </w:p>
          <w:p w14:paraId="5763CF8E">
            <w:pPr>
              <w:ind w:left="9" w:hanging="9"/>
              <w:jc w:val="left"/>
              <w:rPr>
                <w:rFonts w:hint="eastAsia" w:ascii="仿宋_GB2312" w:hAnsi="仿宋_GB2312" w:eastAsia="仿宋_GB2312" w:cs="仿宋_GB2312"/>
                <w:color w:val="auto"/>
                <w:sz w:val="24"/>
                <w:szCs w:val="24"/>
                <w:highlight w:val="none"/>
              </w:rPr>
            </w:pPr>
          </w:p>
          <w:p w14:paraId="4DB31BE4">
            <w:pPr>
              <w:ind w:left="9" w:hanging="9"/>
              <w:jc w:val="left"/>
              <w:rPr>
                <w:rFonts w:hint="eastAsia" w:ascii="仿宋_GB2312" w:hAnsi="仿宋_GB2312" w:eastAsia="仿宋_GB2312" w:cs="仿宋_GB2312"/>
                <w:color w:val="auto"/>
                <w:sz w:val="24"/>
                <w:szCs w:val="24"/>
                <w:highlight w:val="none"/>
              </w:rPr>
            </w:pPr>
          </w:p>
          <w:p w14:paraId="3C7623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PDF及SketchUp或3DMAX电子版</w:t>
            </w:r>
          </w:p>
          <w:p w14:paraId="05699AF7">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A3彩色图册</w:t>
            </w:r>
          </w:p>
          <w:p w14:paraId="7BD465F5">
            <w:pPr>
              <w:ind w:left="9" w:hanging="9"/>
              <w:jc w:val="left"/>
              <w:rPr>
                <w:rFonts w:hint="eastAsia" w:ascii="仿宋_GB2312" w:hAnsi="仿宋_GB2312" w:eastAsia="仿宋_GB2312" w:cs="仿宋_GB2312"/>
                <w:color w:val="auto"/>
                <w:sz w:val="24"/>
                <w:szCs w:val="24"/>
                <w:highlight w:val="none"/>
              </w:rPr>
            </w:pPr>
          </w:p>
        </w:tc>
      </w:tr>
      <w:tr w14:paraId="36A2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087E0FB">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p>
        </w:tc>
        <w:tc>
          <w:tcPr>
            <w:tcW w:w="782" w:type="pct"/>
            <w:vAlign w:val="center"/>
          </w:tcPr>
          <w:p w14:paraId="1B6539B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施工图设计阶段</w:t>
            </w:r>
          </w:p>
        </w:tc>
        <w:tc>
          <w:tcPr>
            <w:tcW w:w="1644" w:type="pct"/>
            <w:vAlign w:val="center"/>
          </w:tcPr>
          <w:p w14:paraId="6BE2436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085DE12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02图纸目录</w:t>
            </w:r>
          </w:p>
          <w:p w14:paraId="04E9C4E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03施工总说明</w:t>
            </w:r>
          </w:p>
          <w:p w14:paraId="3680D48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04材料表</w:t>
            </w:r>
          </w:p>
          <w:p w14:paraId="310550B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05平面图</w:t>
            </w:r>
          </w:p>
          <w:p w14:paraId="74F49D0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06平面布置图</w:t>
            </w:r>
          </w:p>
          <w:p w14:paraId="5DF9089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07墙体定位图</w:t>
            </w:r>
          </w:p>
          <w:p w14:paraId="24D3F1C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08地面材质图</w:t>
            </w:r>
          </w:p>
          <w:p w14:paraId="19EA5CC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09天花造型布置图</w:t>
            </w:r>
          </w:p>
          <w:p w14:paraId="1169A7E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10天花灯具、空调定位图</w:t>
            </w:r>
          </w:p>
          <w:p w14:paraId="33B7271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11立面图</w:t>
            </w:r>
          </w:p>
          <w:p w14:paraId="2902A38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12剖面图</w:t>
            </w:r>
          </w:p>
          <w:p w14:paraId="33B994C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13节点大样图</w:t>
            </w:r>
          </w:p>
          <w:p w14:paraId="084DFF87">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14复杂造型放样图</w:t>
            </w:r>
          </w:p>
          <w:p w14:paraId="162DF43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15强弱电布置图、系统图</w:t>
            </w:r>
          </w:p>
          <w:p w14:paraId="71FDC46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16开关插座控制图</w:t>
            </w:r>
          </w:p>
          <w:p w14:paraId="51E2184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17给排水布置图、系统图</w:t>
            </w:r>
          </w:p>
          <w:p w14:paraId="0727F07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18硬装物料清单</w:t>
            </w:r>
          </w:p>
          <w:p w14:paraId="754D180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19硬装实物样板</w:t>
            </w:r>
          </w:p>
          <w:p w14:paraId="2D2FD6B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20施工图设计概算书</w:t>
            </w:r>
          </w:p>
          <w:p w14:paraId="769228A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21 按实际出的效果图</w:t>
            </w:r>
          </w:p>
          <w:p w14:paraId="7E2D70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 实地测量</w:t>
            </w:r>
          </w:p>
        </w:tc>
        <w:tc>
          <w:tcPr>
            <w:tcW w:w="336" w:type="pct"/>
            <w:vAlign w:val="center"/>
          </w:tcPr>
          <w:p w14:paraId="2D399468">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p>
        </w:tc>
        <w:tc>
          <w:tcPr>
            <w:tcW w:w="950" w:type="pct"/>
            <w:vAlign w:val="center"/>
          </w:tcPr>
          <w:p w14:paraId="191C211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正式方案经甲方书面确认后</w:t>
            </w:r>
            <w:r>
              <w:rPr>
                <w:rFonts w:hint="eastAsia" w:ascii="仿宋_GB2312" w:hAnsi="仿宋_GB2312" w:eastAsia="仿宋_GB2312" w:cs="仿宋_GB2312"/>
                <w:color w:val="auto"/>
                <w:sz w:val="24"/>
                <w:szCs w:val="24"/>
                <w:highlight w:val="none"/>
                <w:lang w:val="en-US" w:eastAsia="zh-CN"/>
              </w:rPr>
              <w:t>20</w:t>
            </w:r>
            <w:r>
              <w:rPr>
                <w:rFonts w:hint="eastAsia" w:ascii="仿宋_GB2312" w:hAnsi="仿宋_GB2312" w:eastAsia="仿宋_GB2312" w:cs="仿宋_GB2312"/>
                <w:color w:val="auto"/>
                <w:sz w:val="24"/>
                <w:szCs w:val="24"/>
                <w:highlight w:val="none"/>
              </w:rPr>
              <w:t>日内</w:t>
            </w:r>
          </w:p>
        </w:tc>
        <w:tc>
          <w:tcPr>
            <w:tcW w:w="836" w:type="pct"/>
            <w:vAlign w:val="center"/>
          </w:tcPr>
          <w:p w14:paraId="79309701">
            <w:pPr>
              <w:ind w:left="9" w:hanging="9"/>
              <w:jc w:val="left"/>
              <w:rPr>
                <w:rFonts w:hint="eastAsia" w:ascii="仿宋_GB2312" w:hAnsi="仿宋_GB2312" w:eastAsia="仿宋_GB2312" w:cs="仿宋_GB2312"/>
                <w:color w:val="auto"/>
                <w:sz w:val="24"/>
                <w:szCs w:val="24"/>
                <w:highlight w:val="none"/>
              </w:rPr>
            </w:pPr>
          </w:p>
          <w:p w14:paraId="59A4FA60">
            <w:pPr>
              <w:ind w:left="9" w:hanging="9"/>
              <w:jc w:val="left"/>
              <w:rPr>
                <w:rFonts w:hint="eastAsia" w:ascii="仿宋_GB2312" w:hAnsi="仿宋_GB2312" w:eastAsia="仿宋_GB2312" w:cs="仿宋_GB2312"/>
                <w:color w:val="auto"/>
                <w:sz w:val="24"/>
                <w:szCs w:val="24"/>
                <w:highlight w:val="none"/>
              </w:rPr>
            </w:pPr>
          </w:p>
          <w:p w14:paraId="2AE8C78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CAD电子版、</w:t>
            </w:r>
          </w:p>
          <w:p w14:paraId="0570971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A2施工蓝图</w:t>
            </w:r>
          </w:p>
          <w:p w14:paraId="4C63EDDA">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效果图电子版及A3效果图彩图册</w:t>
            </w:r>
          </w:p>
        </w:tc>
      </w:tr>
    </w:tbl>
    <w:p w14:paraId="5A95D881">
      <w:pPr>
        <w:pStyle w:val="79"/>
        <w:spacing w:before="68" w:line="221" w:lineRule="auto"/>
        <w:ind w:left="94"/>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11"/>
          <w:sz w:val="30"/>
          <w:szCs w:val="30"/>
          <w:highlight w:val="none"/>
        </w:rPr>
        <w:t>特别约定：</w:t>
      </w:r>
    </w:p>
    <w:p w14:paraId="4D72D968">
      <w:pPr>
        <w:pStyle w:val="79"/>
        <w:spacing w:before="157" w:line="345" w:lineRule="auto"/>
        <w:ind w:left="123" w:right="396" w:firstLine="43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1.发包人按照设计人的要求分阶段提供设计资料</w:t>
      </w:r>
      <w:r>
        <w:rPr>
          <w:rFonts w:hint="eastAsia" w:ascii="仿宋_GB2312" w:hAnsi="仿宋_GB2312" w:eastAsia="仿宋_GB2312" w:cs="仿宋_GB2312"/>
          <w:color w:val="auto"/>
          <w:spacing w:val="-1"/>
          <w:sz w:val="30"/>
          <w:szCs w:val="30"/>
          <w:highlight w:val="none"/>
        </w:rPr>
        <w:t>（含设计确认单、规划部门批文、政府各部门批文等</w:t>
      </w:r>
      <w:r>
        <w:rPr>
          <w:rFonts w:hint="eastAsia" w:ascii="仿宋_GB2312" w:hAnsi="仿宋_GB2312" w:eastAsia="仿宋_GB2312" w:cs="仿宋_GB2312"/>
          <w:color w:val="auto"/>
          <w:spacing w:val="-48"/>
          <w:sz w:val="30"/>
          <w:szCs w:val="30"/>
          <w:highlight w:val="none"/>
        </w:rPr>
        <w:t>），</w:t>
      </w:r>
      <w:r>
        <w:rPr>
          <w:rFonts w:hint="eastAsia" w:ascii="仿宋_GB2312" w:hAnsi="仿宋_GB2312" w:eastAsia="仿宋_GB2312" w:cs="仿宋_GB2312"/>
          <w:color w:val="auto"/>
          <w:spacing w:val="-1"/>
          <w:sz w:val="30"/>
          <w:szCs w:val="30"/>
          <w:highlight w:val="none"/>
        </w:rPr>
        <w:t>双方签署设计资料交接单之日开始计算相应阶段的设计时间。</w:t>
      </w:r>
    </w:p>
    <w:p w14:paraId="16D416E8">
      <w:pPr>
        <w:pStyle w:val="79"/>
        <w:spacing w:before="30" w:line="345" w:lineRule="auto"/>
        <w:ind w:left="123" w:right="339" w:firstLine="419"/>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2.上述设计时间包括休息日和法定的和地方政府决定的公共节假日和项目所在地的特殊假</w:t>
      </w:r>
      <w:r>
        <w:rPr>
          <w:rFonts w:hint="eastAsia" w:ascii="仿宋_GB2312" w:hAnsi="仿宋_GB2312" w:eastAsia="仿宋_GB2312" w:cs="仿宋_GB2312"/>
          <w:color w:val="auto"/>
          <w:spacing w:val="-2"/>
          <w:sz w:val="30"/>
          <w:szCs w:val="30"/>
          <w:highlight w:val="none"/>
        </w:rPr>
        <w:t>期（例如壮族三月三公共假期</w:t>
      </w:r>
      <w:r>
        <w:rPr>
          <w:rFonts w:hint="eastAsia" w:ascii="仿宋_GB2312" w:hAnsi="仿宋_GB2312" w:eastAsia="仿宋_GB2312" w:cs="仿宋_GB2312"/>
          <w:color w:val="auto"/>
          <w:spacing w:val="-18"/>
          <w:sz w:val="30"/>
          <w:szCs w:val="30"/>
          <w:highlight w:val="none"/>
        </w:rPr>
        <w:t>），</w:t>
      </w:r>
      <w:r>
        <w:rPr>
          <w:rFonts w:hint="eastAsia" w:ascii="仿宋_GB2312" w:hAnsi="仿宋_GB2312" w:eastAsia="仿宋_GB2312" w:cs="仿宋_GB2312"/>
          <w:color w:val="auto"/>
          <w:spacing w:val="-2"/>
          <w:sz w:val="30"/>
          <w:szCs w:val="30"/>
          <w:highlight w:val="none"/>
        </w:rPr>
        <w:t>设计人应充分考虑设计期间可能发生的节假日、休息日。</w:t>
      </w:r>
    </w:p>
    <w:p w14:paraId="42293F3D">
      <w:pPr>
        <w:pStyle w:val="79"/>
        <w:spacing w:before="34" w:line="352" w:lineRule="auto"/>
        <w:ind w:left="121" w:right="338" w:firstLine="42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3.图纸交付地点：原则上在发包人公司住所地，特殊情况下经发包人同意可以在设计人工</w:t>
      </w:r>
      <w:r>
        <w:rPr>
          <w:rFonts w:hint="eastAsia" w:ascii="仿宋_GB2312" w:hAnsi="仿宋_GB2312" w:eastAsia="仿宋_GB2312" w:cs="仿宋_GB2312"/>
          <w:color w:val="auto"/>
          <w:spacing w:val="-4"/>
          <w:sz w:val="30"/>
          <w:szCs w:val="30"/>
          <w:highlight w:val="none"/>
        </w:rPr>
        <w:t>作地（或其他发包人同意的地点）。发包人要求设计人提供电子版设计文件时（无需另行增加合</w:t>
      </w:r>
      <w:r>
        <w:rPr>
          <w:rFonts w:hint="eastAsia" w:ascii="仿宋_GB2312" w:hAnsi="仿宋_GB2312" w:eastAsia="仿宋_GB2312" w:cs="仿宋_GB2312"/>
          <w:color w:val="auto"/>
          <w:spacing w:val="-1"/>
          <w:sz w:val="30"/>
          <w:szCs w:val="30"/>
          <w:highlight w:val="none"/>
        </w:rPr>
        <w:t>同费用</w:t>
      </w:r>
      <w:r>
        <w:rPr>
          <w:rFonts w:hint="eastAsia" w:ascii="仿宋_GB2312" w:hAnsi="仿宋_GB2312" w:eastAsia="仿宋_GB2312" w:cs="仿宋_GB2312"/>
          <w:color w:val="auto"/>
          <w:spacing w:val="-53"/>
          <w:sz w:val="30"/>
          <w:szCs w:val="30"/>
          <w:highlight w:val="none"/>
        </w:rPr>
        <w:t>），</w:t>
      </w:r>
      <w:r>
        <w:rPr>
          <w:rFonts w:hint="eastAsia" w:ascii="仿宋_GB2312" w:hAnsi="仿宋_GB2312" w:eastAsia="仿宋_GB2312" w:cs="仿宋_GB2312"/>
          <w:color w:val="auto"/>
          <w:spacing w:val="-1"/>
          <w:sz w:val="30"/>
          <w:szCs w:val="30"/>
          <w:highlight w:val="none"/>
        </w:rPr>
        <w:t>设计人有权对电子版设计文件采取加密、设置访问权限、限期使</w:t>
      </w:r>
      <w:r>
        <w:rPr>
          <w:rFonts w:hint="eastAsia" w:ascii="仿宋_GB2312" w:hAnsi="仿宋_GB2312" w:eastAsia="仿宋_GB2312" w:cs="仿宋_GB2312"/>
          <w:color w:val="auto"/>
          <w:spacing w:val="-2"/>
          <w:sz w:val="30"/>
          <w:szCs w:val="30"/>
          <w:highlight w:val="none"/>
        </w:rPr>
        <w:t>用等保护措施，但不</w:t>
      </w:r>
      <w:r>
        <w:rPr>
          <w:rFonts w:hint="eastAsia" w:ascii="仿宋_GB2312" w:hAnsi="仿宋_GB2312" w:eastAsia="仿宋_GB2312" w:cs="仿宋_GB2312"/>
          <w:color w:val="auto"/>
          <w:sz w:val="30"/>
          <w:szCs w:val="30"/>
          <w:highlight w:val="none"/>
        </w:rPr>
        <w:t xml:space="preserve"> 能影响发包人的正常使用。电子版设计文件必须与纸质版内</w:t>
      </w:r>
      <w:r>
        <w:rPr>
          <w:rFonts w:hint="eastAsia" w:ascii="仿宋_GB2312" w:hAnsi="仿宋_GB2312" w:eastAsia="仿宋_GB2312" w:cs="仿宋_GB2312"/>
          <w:color w:val="auto"/>
          <w:spacing w:val="-1"/>
          <w:sz w:val="30"/>
          <w:szCs w:val="30"/>
          <w:highlight w:val="none"/>
        </w:rPr>
        <w:t>容一致。</w:t>
      </w:r>
    </w:p>
    <w:p w14:paraId="26A49457">
      <w:pPr>
        <w:pStyle w:val="79"/>
        <w:spacing w:before="30" w:line="347" w:lineRule="auto"/>
        <w:ind w:left="119" w:right="391"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4.如发包人要求提供超过合同约定份数的工程设计文件，则设计人仍应按发包人的要求提供，</w:t>
      </w:r>
      <w:r>
        <w:rPr>
          <w:rFonts w:hint="eastAsia" w:ascii="仿宋_GB2312" w:hAnsi="仿宋_GB2312" w:eastAsia="仿宋_GB2312" w:cs="仿宋_GB2312"/>
          <w:color w:val="auto"/>
          <w:spacing w:val="-1"/>
          <w:sz w:val="30"/>
          <w:szCs w:val="30"/>
          <w:highlight w:val="none"/>
        </w:rPr>
        <w:t>但发包人应向设计人支付超出部分的工本费。</w:t>
      </w:r>
    </w:p>
    <w:p w14:paraId="2092E7B1">
      <w:pPr>
        <w:pStyle w:val="78"/>
        <w:spacing w:before="91" w:line="222" w:lineRule="auto"/>
        <w:ind w:left="811"/>
        <w:rPr>
          <w:rFonts w:ascii="仿宋_GB2312" w:hAnsi="仿宋_GB2312" w:eastAsia="仿宋_GB2312" w:cs="仿宋_GB2312"/>
          <w:b/>
          <w:bCs/>
          <w:color w:val="auto"/>
          <w:spacing w:val="-8"/>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5EE8073">
      <w:pPr>
        <w:pStyle w:val="7"/>
        <w:ind w:firstLine="570"/>
        <w:rPr>
          <w:rFonts w:ascii="仿宋_GB2312" w:hAnsi="仿宋_GB2312" w:eastAsia="仿宋_GB2312" w:cs="仿宋_GB2312"/>
          <w:color w:val="auto"/>
          <w:sz w:val="30"/>
          <w:szCs w:val="30"/>
          <w:highlight w:val="none"/>
        </w:rPr>
      </w:pPr>
      <w:bookmarkStart w:id="1432" w:name="_Toc3911"/>
      <w:bookmarkStart w:id="1433" w:name="_Toc2335"/>
      <w:bookmarkStart w:id="1434" w:name="_Toc14829"/>
      <w:bookmarkStart w:id="1435" w:name="_Toc6003"/>
      <w:r>
        <w:rPr>
          <w:rFonts w:hint="eastAsia" w:ascii="仿宋_GB2312" w:hAnsi="仿宋_GB2312" w:eastAsia="仿宋_GB2312" w:cs="仿宋_GB2312"/>
          <w:bCs/>
          <w:color w:val="auto"/>
          <w:spacing w:val="-8"/>
          <w:sz w:val="30"/>
          <w:szCs w:val="30"/>
          <w:highlight w:val="none"/>
        </w:rPr>
        <w:t>附件4：</w:t>
      </w:r>
      <w:r>
        <w:rPr>
          <w:rFonts w:hint="eastAsia" w:ascii="仿宋_GB2312" w:hAnsi="仿宋_GB2312" w:eastAsia="仿宋_GB2312" w:cs="仿宋_GB2312"/>
          <w:color w:val="auto"/>
          <w:spacing w:val="-2"/>
          <w:sz w:val="30"/>
          <w:szCs w:val="30"/>
          <w:highlight w:val="none"/>
        </w:rPr>
        <w:t>设计人主要设计人员表</w:t>
      </w:r>
      <w:bookmarkEnd w:id="1432"/>
      <w:bookmarkEnd w:id="1433"/>
      <w:bookmarkEnd w:id="1434"/>
      <w:bookmarkEnd w:id="1435"/>
    </w:p>
    <w:p w14:paraId="23541664">
      <w:pPr>
        <w:pStyle w:val="78"/>
        <w:rPr>
          <w:rFonts w:ascii="仿宋_GB2312" w:hAnsi="仿宋_GB2312" w:eastAsia="仿宋_GB2312" w:cs="仿宋_GB2312"/>
          <w:color w:val="auto"/>
          <w:sz w:val="30"/>
          <w:szCs w:val="30"/>
          <w:highlight w:val="none"/>
        </w:rPr>
      </w:pPr>
    </w:p>
    <w:p w14:paraId="4B1CF93E">
      <w:pPr>
        <w:pStyle w:val="78"/>
        <w:spacing w:line="246" w:lineRule="auto"/>
        <w:rPr>
          <w:rFonts w:ascii="仿宋_GB2312" w:hAnsi="仿宋_GB2312" w:eastAsia="仿宋_GB2312" w:cs="仿宋_GB2312"/>
          <w:color w:val="auto"/>
          <w:sz w:val="30"/>
          <w:szCs w:val="30"/>
          <w:highlight w:val="none"/>
        </w:rPr>
      </w:pPr>
    </w:p>
    <w:p w14:paraId="203A0C39">
      <w:pPr>
        <w:pStyle w:val="78"/>
        <w:spacing w:before="91" w:line="219" w:lineRule="auto"/>
        <w:ind w:left="237"/>
        <w:rPr>
          <w:rFonts w:ascii="仿宋_GB2312" w:hAnsi="仿宋_GB2312" w:eastAsia="仿宋_GB2312" w:cs="仿宋_GB2312"/>
          <w:b/>
          <w:bCs/>
          <w:color w:val="auto"/>
          <w:spacing w:val="-4"/>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7C56EFD">
      <w:pPr>
        <w:pStyle w:val="7"/>
        <w:ind w:firstLine="586"/>
        <w:rPr>
          <w:rFonts w:ascii="仿宋_GB2312" w:hAnsi="仿宋_GB2312" w:eastAsia="仿宋_GB2312" w:cs="仿宋_GB2312"/>
          <w:color w:val="auto"/>
          <w:sz w:val="30"/>
          <w:szCs w:val="30"/>
          <w:highlight w:val="none"/>
        </w:rPr>
      </w:pPr>
      <w:bookmarkStart w:id="1436" w:name="_Toc9547"/>
      <w:bookmarkStart w:id="1437" w:name="_Toc2213"/>
      <w:bookmarkStart w:id="1438" w:name="_Toc484"/>
      <w:bookmarkStart w:id="1439" w:name="_Toc12627"/>
      <w:bookmarkStart w:id="1440" w:name="_Toc25382"/>
      <w:r>
        <w:rPr>
          <w:rFonts w:hint="eastAsia" w:ascii="仿宋_GB2312" w:hAnsi="仿宋_GB2312" w:eastAsia="仿宋_GB2312" w:cs="仿宋_GB2312"/>
          <w:bCs/>
          <w:color w:val="auto"/>
          <w:spacing w:val="-4"/>
          <w:sz w:val="30"/>
          <w:szCs w:val="30"/>
          <w:highlight w:val="none"/>
        </w:rPr>
        <w:t>附件5：</w:t>
      </w:r>
      <w:r>
        <w:rPr>
          <w:rFonts w:hint="eastAsia" w:ascii="仿宋_GB2312" w:hAnsi="仿宋_GB2312" w:eastAsia="仿宋_GB2312" w:cs="仿宋_GB2312"/>
          <w:color w:val="auto"/>
          <w:spacing w:val="-4"/>
          <w:sz w:val="30"/>
          <w:szCs w:val="30"/>
          <w:highlight w:val="none"/>
        </w:rPr>
        <w:t>设计进度表</w:t>
      </w:r>
      <w:bookmarkEnd w:id="1436"/>
      <w:bookmarkEnd w:id="1437"/>
      <w:bookmarkEnd w:id="1438"/>
      <w:bookmarkEnd w:id="1439"/>
      <w:bookmarkEnd w:id="1440"/>
    </w:p>
    <w:p w14:paraId="6F5FEA63">
      <w:pPr>
        <w:pStyle w:val="78"/>
        <w:spacing w:before="91" w:line="222" w:lineRule="auto"/>
        <w:ind w:left="237"/>
        <w:rPr>
          <w:rFonts w:ascii="仿宋_GB2312" w:hAnsi="仿宋_GB2312" w:eastAsia="仿宋_GB2312" w:cs="仿宋_GB2312"/>
          <w:color w:val="auto"/>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color w:val="auto"/>
          <w:sz w:val="30"/>
          <w:szCs w:val="30"/>
          <w:highlight w:val="none"/>
        </w:rPr>
        <w:t>按本专用合同条款/6.工程设计进度与周期及发包人的要求执行。</w:t>
      </w:r>
      <w:bookmarkStart w:id="1441" w:name="_Toc15721"/>
    </w:p>
    <w:p w14:paraId="03FB7808">
      <w:pPr>
        <w:pStyle w:val="7"/>
        <w:ind w:left="0" w:leftChars="0" w:firstLine="0" w:firstLineChars="0"/>
        <w:rPr>
          <w:rFonts w:ascii="仿宋_GB2312" w:hAnsi="仿宋_GB2312" w:eastAsia="仿宋_GB2312" w:cs="仿宋_GB2312"/>
          <w:color w:val="auto"/>
          <w:sz w:val="30"/>
          <w:szCs w:val="30"/>
          <w:highlight w:val="none"/>
        </w:rPr>
      </w:pPr>
      <w:bookmarkStart w:id="1442" w:name="_Toc4970"/>
      <w:bookmarkStart w:id="1443" w:name="_Toc29397"/>
      <w:bookmarkStart w:id="1444" w:name="_Toc19144"/>
      <w:bookmarkStart w:id="1445" w:name="_Toc14059"/>
      <w:r>
        <w:rPr>
          <w:rFonts w:hint="eastAsia" w:ascii="仿宋_GB2312" w:hAnsi="仿宋_GB2312" w:eastAsia="仿宋_GB2312" w:cs="仿宋_GB2312"/>
          <w:bCs/>
          <w:color w:val="auto"/>
          <w:spacing w:val="-11"/>
          <w:sz w:val="30"/>
          <w:szCs w:val="30"/>
          <w:highlight w:val="none"/>
        </w:rPr>
        <w:t>附件6-7：</w:t>
      </w:r>
      <w:r>
        <w:rPr>
          <w:rFonts w:hint="eastAsia" w:ascii="仿宋_GB2312" w:hAnsi="仿宋_GB2312" w:eastAsia="仿宋_GB2312" w:cs="仿宋_GB2312"/>
          <w:color w:val="auto"/>
          <w:spacing w:val="-2"/>
          <w:sz w:val="30"/>
          <w:szCs w:val="30"/>
          <w:highlight w:val="none"/>
        </w:rPr>
        <w:t>设计费明细及支付方式</w:t>
      </w:r>
      <w:bookmarkEnd w:id="1442"/>
      <w:bookmarkEnd w:id="1443"/>
      <w:bookmarkEnd w:id="1444"/>
      <w:bookmarkEnd w:id="1445"/>
    </w:p>
    <w:p w14:paraId="2BD8D319">
      <w:pPr>
        <w:pStyle w:val="81"/>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注：适用于装修设计</w:t>
      </w:r>
    </w:p>
    <w:p w14:paraId="4B7EBE00">
      <w:pPr>
        <w:pStyle w:val="35"/>
        <w:ind w:left="63" w:right="63" w:firstLine="300"/>
        <w:rPr>
          <w:rFonts w:ascii="仿宋_GB2312" w:hAnsi="仿宋_GB2312" w:eastAsia="仿宋_GB2312" w:cs="仿宋_GB2312"/>
          <w:color w:val="auto"/>
          <w:sz w:val="30"/>
          <w:szCs w:val="30"/>
          <w:highlight w:val="none"/>
        </w:rPr>
      </w:pPr>
    </w:p>
    <w:p w14:paraId="3B786E22">
      <w:pPr>
        <w:numPr>
          <w:ilvl w:val="0"/>
          <w:numId w:val="9"/>
        </w:numPr>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本合同设计不含税综合单价为</w:t>
      </w:r>
      <w:sdt>
        <w:sdtPr>
          <w:rPr>
            <w:rFonts w:hint="eastAsia" w:ascii="仿宋_GB2312" w:hAnsi="仿宋_GB2312" w:eastAsia="仿宋_GB2312" w:cs="仿宋_GB2312"/>
            <w:color w:val="auto"/>
            <w:sz w:val="30"/>
            <w:szCs w:val="30"/>
            <w:highlight w:val="none"/>
          </w:rPr>
          <w:id w:val="147472222"/>
          <w:placeholder>
            <w:docPart w:val="{f32d5091-9754-437b-9ca9-324b4ed76b42}"/>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r>
        <w:rPr>
          <w:rFonts w:ascii="仿宋_GB2312" w:hAnsi="仿宋_GB2312" w:eastAsia="仿宋_GB2312" w:cs="仿宋_GB2312"/>
          <w:color w:val="auto"/>
          <w:sz w:val="30"/>
          <w:szCs w:val="30"/>
          <w:highlight w:val="none"/>
        </w:rPr>
        <w:t>元/㎡（税率</w:t>
      </w:r>
      <w:sdt>
        <w:sdtPr>
          <w:rPr>
            <w:rFonts w:hint="eastAsia" w:ascii="仿宋_GB2312" w:hAnsi="仿宋_GB2312" w:eastAsia="仿宋_GB2312" w:cs="仿宋_GB2312"/>
            <w:color w:val="auto"/>
            <w:sz w:val="30"/>
            <w:szCs w:val="30"/>
            <w:highlight w:val="none"/>
          </w:rPr>
          <w:id w:val="147452533"/>
          <w:placeholder>
            <w:docPart w:val="{4949d0f0-8428-4514-8667-a5089f021c4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5853"/>
              <w:placeholder>
                <w:docPart w:val="{c199aeb2-68c5-4b0a-9adc-ece344f6c93c}"/>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%），合同暂定含税总价款为人民币大写</w:t>
      </w:r>
      <w:sdt>
        <w:sdtPr>
          <w:rPr>
            <w:rFonts w:hint="eastAsia" w:ascii="仿宋_GB2312" w:hAnsi="仿宋_GB2312" w:eastAsia="仿宋_GB2312" w:cs="仿宋_GB2312"/>
            <w:color w:val="auto"/>
            <w:sz w:val="30"/>
            <w:szCs w:val="30"/>
            <w:highlight w:val="none"/>
          </w:rPr>
          <w:id w:val="147465491"/>
          <w:placeholder>
            <w:docPart w:val="{ce9dea7c-af24-4a55-befd-e61a62035811}"/>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6523"/>
              <w:placeholder>
                <w:docPart w:val="{59c10b36-02b4-477b-a848-928da331703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1925"/>
                  <w:placeholder>
                    <w:docPart w:val="{a526151e-b316-4a67-bba8-95fe152349be}"/>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w:t>
      </w:r>
      <w:sdt>
        <w:sdtPr>
          <w:rPr>
            <w:rFonts w:hint="eastAsia" w:ascii="仿宋_GB2312" w:hAnsi="仿宋_GB2312" w:eastAsia="仿宋_GB2312" w:cs="仿宋_GB2312"/>
            <w:color w:val="auto"/>
            <w:sz w:val="30"/>
            <w:szCs w:val="30"/>
            <w:highlight w:val="none"/>
          </w:rPr>
          <w:id w:val="147465618"/>
          <w:placeholder>
            <w:docPart w:val="{f9998697-c505-4e15-9e18-4d2b8b9621cb}"/>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72943"/>
              <w:placeholder>
                <w:docPart w:val="{94a0b201-c6e3-44da-a3c8-ec5b4607249d}"/>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6462"/>
                  <w:placeholder>
                    <w:docPart w:val="{4dd71aa2-64f0-4d40-94d6-553614effde7}"/>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），其中不含税金额（￥</w:t>
      </w:r>
      <w:sdt>
        <w:sdtPr>
          <w:rPr>
            <w:rFonts w:hint="eastAsia" w:ascii="仿宋_GB2312" w:hAnsi="仿宋_GB2312" w:eastAsia="仿宋_GB2312" w:cs="仿宋_GB2312"/>
            <w:color w:val="auto"/>
            <w:sz w:val="30"/>
            <w:szCs w:val="30"/>
            <w:highlight w:val="none"/>
          </w:rPr>
          <w:id w:val="147483158"/>
          <w:placeholder>
            <w:docPart w:val="{28942cd8-fe1d-4c45-a32c-2c16946602fe}"/>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5046"/>
              <w:placeholder>
                <w:docPart w:val="{e8b671ff-6cfc-47d9-aba8-22b23b99f8ed}"/>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79491"/>
                  <w:placeholder>
                    <w:docPart w:val="{ae165b7b-14f2-4918-a39e-41a1650c3385}"/>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 xml:space="preserve">），税金（￥ </w:t>
      </w:r>
      <w:sdt>
        <w:sdtPr>
          <w:rPr>
            <w:rFonts w:hint="eastAsia" w:ascii="仿宋_GB2312" w:hAnsi="仿宋_GB2312" w:eastAsia="仿宋_GB2312" w:cs="仿宋_GB2312"/>
            <w:color w:val="auto"/>
            <w:sz w:val="30"/>
            <w:szCs w:val="30"/>
            <w:highlight w:val="none"/>
          </w:rPr>
          <w:id w:val="147476185"/>
          <w:placeholder>
            <w:docPart w:val="{8cbe76b5-e259-4d30-828b-6c12f8d7fd11}"/>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1455"/>
              <w:placeholder>
                <w:docPart w:val="{1f279055-4a89-4296-8ca9-55900f7be06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4366"/>
                  <w:placeholder>
                    <w:docPart w:val="{ebfc19a4-467c-4099-a9e4-42907c9569f3}"/>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）,税率</w:t>
      </w:r>
      <w:sdt>
        <w:sdtPr>
          <w:rPr>
            <w:rFonts w:hint="eastAsia" w:ascii="仿宋_GB2312" w:hAnsi="仿宋_GB2312" w:eastAsia="仿宋_GB2312" w:cs="仿宋_GB2312"/>
            <w:color w:val="auto"/>
            <w:sz w:val="30"/>
            <w:szCs w:val="30"/>
            <w:highlight w:val="none"/>
          </w:rPr>
          <w:id w:val="147473118"/>
          <w:placeholder>
            <w:docPart w:val="{77e0c4b0-b703-47d3-9892-cf0087ccf5e8}"/>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9758"/>
              <w:placeholder>
                <w:docPart w:val="{38c9ab00-7e8f-4d64-82b5-105c7ec04961}"/>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%。最终合同总价款根据甲乙双方共同确认的实际设计面积进行结算。</w:t>
      </w:r>
    </w:p>
    <w:p w14:paraId="7B0B30F5">
      <w:pPr>
        <w:spacing w:line="360" w:lineRule="auto"/>
        <w:ind w:firstLine="600" w:firstLineChars="200"/>
        <w:rPr>
          <w:rFonts w:ascii="仿宋_GB2312" w:eastAsia="仿宋_GB2312" w:hAnsiTheme="minorEastAsia"/>
          <w:color w:val="auto"/>
          <w:sz w:val="28"/>
          <w:szCs w:val="28"/>
          <w:highlight w:val="none"/>
        </w:rPr>
      </w:pPr>
      <w:r>
        <w:rPr>
          <w:rFonts w:hint="eastAsia" w:ascii="仿宋_GB2312" w:hAnsi="仿宋_GB2312" w:eastAsia="仿宋_GB2312" w:cs="仿宋_GB2312"/>
          <w:color w:val="auto"/>
          <w:sz w:val="30"/>
          <w:szCs w:val="30"/>
          <w:highlight w:val="none"/>
        </w:rPr>
        <w:t>特别约定：</w:t>
      </w:r>
      <w:r>
        <w:rPr>
          <w:rFonts w:hint="eastAsia" w:ascii="仿宋_GB2312" w:eastAsia="仿宋_GB2312" w:hAnsiTheme="minorEastAsia"/>
          <w:color w:val="auto"/>
          <w:sz w:val="28"/>
          <w:szCs w:val="28"/>
          <w:highlight w:val="none"/>
        </w:rPr>
        <w:t>合同最终价款根据甲乙双方共同确认的实际设计面积乘以设计综合单价进行结算。如实际设计面积与暂定设计面积相比，增</w:t>
      </w:r>
      <w:r>
        <w:rPr>
          <w:rFonts w:hint="eastAsia" w:ascii="仿宋_GB2312" w:eastAsia="仿宋_GB2312" w:hAnsiTheme="minorEastAsia"/>
          <w:color w:val="auto"/>
          <w:sz w:val="28"/>
          <w:szCs w:val="28"/>
          <w:highlight w:val="none"/>
          <w:lang w:val="en-US" w:eastAsia="zh-CN"/>
        </w:rPr>
        <w:t>加</w:t>
      </w:r>
      <w:r>
        <w:rPr>
          <w:rFonts w:hint="eastAsia" w:ascii="仿宋_GB2312" w:eastAsia="仿宋_GB2312" w:hAnsiTheme="minorEastAsia"/>
          <w:color w:val="auto"/>
          <w:sz w:val="28"/>
          <w:szCs w:val="28"/>
          <w:highlight w:val="none"/>
        </w:rPr>
        <w:t>幅度在10%以内的（含10%），按合同暂定总设计费进行结算。如甲乙双方共同确认的工程实际设计面积增减幅度在本合同暂定设计面积的10%以外的，则对该超出10%的部分按照本合同约定的综合单价及来计算调整设计费。</w:t>
      </w:r>
    </w:p>
    <w:p w14:paraId="199698FA">
      <w:pPr>
        <w:spacing w:line="360" w:lineRule="auto"/>
        <w:ind w:firstLine="560" w:firstLineChars="200"/>
        <w:rPr>
          <w:rFonts w:ascii="仿宋_GB2312" w:hAnsi="仿宋_GB2312" w:eastAsia="仿宋_GB2312" w:cs="仿宋_GB2312"/>
          <w:color w:val="auto"/>
          <w:sz w:val="30"/>
          <w:szCs w:val="30"/>
          <w:highlight w:val="none"/>
        </w:rPr>
      </w:pPr>
      <w:r>
        <w:rPr>
          <w:rFonts w:ascii="仿宋_GB2312" w:hAnsi="宋体" w:eastAsia="仿宋_GB2312" w:cs="仿宋_GB2312"/>
          <w:color w:val="auto"/>
          <w:sz w:val="28"/>
          <w:szCs w:val="28"/>
          <w:highlight w:val="none"/>
        </w:rPr>
        <w:t>本合同暂定设计费包含乙方在本合同范围内到甲方公司进行设计沟通、汇报及现场巡检的服务及差旅费，到场服务及出差次数不少于5次。</w:t>
      </w:r>
    </w:p>
    <w:p w14:paraId="0D78EA9B">
      <w:pPr>
        <w:spacing w:line="360" w:lineRule="auto"/>
        <w:ind w:firstLine="602"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二、</w:t>
      </w:r>
      <w:r>
        <w:rPr>
          <w:rFonts w:ascii="仿宋_GB2312" w:hAnsi="仿宋_GB2312" w:eastAsia="仿宋_GB2312" w:cs="仿宋_GB2312"/>
          <w:b/>
          <w:color w:val="auto"/>
          <w:sz w:val="30"/>
          <w:szCs w:val="30"/>
          <w:highlight w:val="none"/>
        </w:rPr>
        <w:t>设计费支付方式如下：</w:t>
      </w:r>
    </w:p>
    <w:p w14:paraId="2F6A3A8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2.1设计进度款支付金额详见下表：</w:t>
      </w:r>
    </w:p>
    <w:tbl>
      <w:tblPr>
        <w:tblStyle w:val="36"/>
        <w:tblW w:w="4865"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200"/>
        <w:gridCol w:w="3418"/>
        <w:gridCol w:w="1802"/>
        <w:gridCol w:w="1652"/>
      </w:tblGrid>
      <w:tr w14:paraId="7D8BF2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vAlign w:val="center"/>
          </w:tcPr>
          <w:p w14:paraId="63ACF4B7">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分项</w:t>
            </w:r>
          </w:p>
        </w:tc>
        <w:tc>
          <w:tcPr>
            <w:tcW w:w="2150" w:type="pct"/>
            <w:vAlign w:val="center"/>
          </w:tcPr>
          <w:p w14:paraId="3906A1D8">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相关设计阶段及付款条件</w:t>
            </w:r>
          </w:p>
        </w:tc>
        <w:tc>
          <w:tcPr>
            <w:tcW w:w="1086" w:type="pct"/>
            <w:vAlign w:val="center"/>
          </w:tcPr>
          <w:p w14:paraId="2E1324E2">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付款金额（元）</w:t>
            </w:r>
          </w:p>
        </w:tc>
        <w:tc>
          <w:tcPr>
            <w:tcW w:w="1039" w:type="pct"/>
            <w:vAlign w:val="center"/>
          </w:tcPr>
          <w:p w14:paraId="709DDD1E">
            <w:pPr>
              <w:jc w:val="center"/>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阶段内付款比例（%）</w:t>
            </w:r>
          </w:p>
        </w:tc>
      </w:tr>
      <w:tr w14:paraId="438C75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4630C052">
            <w:pP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第一阶段：概念方案设计制作阶段</w:t>
            </w:r>
          </w:p>
        </w:tc>
      </w:tr>
      <w:tr w14:paraId="3969EB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tcPr>
          <w:p w14:paraId="4231A4F2">
            <w:pPr>
              <w:numPr>
                <w:ilvl w:val="255"/>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1.1                </w:t>
            </w:r>
          </w:p>
        </w:tc>
        <w:tc>
          <w:tcPr>
            <w:tcW w:w="2150" w:type="pct"/>
          </w:tcPr>
          <w:p w14:paraId="69349EFB">
            <w:pPr>
              <w:numPr>
                <w:ilvl w:val="12"/>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概念方案设计汇报结束并经甲方确认无误后30个工作日内</w:t>
            </w:r>
          </w:p>
        </w:tc>
        <w:tc>
          <w:tcPr>
            <w:tcW w:w="1086" w:type="pct"/>
          </w:tcPr>
          <w:p w14:paraId="64E43A03">
            <w:pPr>
              <w:rPr>
                <w:rFonts w:ascii="仿宋_GB2312" w:hAnsi="仿宋_GB2312" w:eastAsia="仿宋_GB2312" w:cs="仿宋_GB2312"/>
                <w:color w:val="auto"/>
                <w:sz w:val="30"/>
                <w:szCs w:val="30"/>
                <w:highlight w:val="none"/>
              </w:rPr>
            </w:pPr>
          </w:p>
        </w:tc>
        <w:tc>
          <w:tcPr>
            <w:tcW w:w="1039" w:type="pct"/>
          </w:tcPr>
          <w:p w14:paraId="04B54FEF">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w:t>
            </w:r>
            <w:r>
              <w:rPr>
                <w:rFonts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30"/>
                <w:szCs w:val="30"/>
                <w:highlight w:val="none"/>
              </w:rPr>
              <w:t>0%</w:t>
            </w:r>
          </w:p>
        </w:tc>
      </w:tr>
      <w:tr w14:paraId="78D1E3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706B006A">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第二阶段：正式方案及效果图设计（包含深化方案设计及扩初方案设计）制作阶段</w:t>
            </w:r>
          </w:p>
        </w:tc>
      </w:tr>
      <w:tr w14:paraId="1E326D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tcPr>
          <w:p w14:paraId="0CF226CB">
            <w:p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2.1</w:t>
            </w:r>
          </w:p>
        </w:tc>
        <w:tc>
          <w:tcPr>
            <w:tcW w:w="2150" w:type="pct"/>
          </w:tcPr>
          <w:p w14:paraId="08D440BF">
            <w:pPr>
              <w:ind w:left="0" w:leftChars="0"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正式方案及效果图设计（包含深化方案设计及扩初方案设计）经甲方确认无误后30个工作日内</w:t>
            </w:r>
          </w:p>
        </w:tc>
        <w:tc>
          <w:tcPr>
            <w:tcW w:w="1086" w:type="pct"/>
          </w:tcPr>
          <w:p w14:paraId="6B0AD5FC">
            <w:pPr>
              <w:rPr>
                <w:rFonts w:ascii="仿宋_GB2312" w:hAnsi="仿宋_GB2312" w:eastAsia="仿宋_GB2312" w:cs="仿宋_GB2312"/>
                <w:color w:val="auto"/>
                <w:sz w:val="30"/>
                <w:szCs w:val="30"/>
                <w:highlight w:val="none"/>
              </w:rPr>
            </w:pPr>
          </w:p>
        </w:tc>
        <w:tc>
          <w:tcPr>
            <w:tcW w:w="1039" w:type="pct"/>
          </w:tcPr>
          <w:p w14:paraId="2C9550F5">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合同暂定含税总价款的30%</w:t>
            </w:r>
          </w:p>
        </w:tc>
      </w:tr>
      <w:tr w14:paraId="64C552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60E84959">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第三阶段：施工图设计制作阶段</w:t>
            </w:r>
          </w:p>
        </w:tc>
      </w:tr>
      <w:tr w14:paraId="2E3F01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7" w:hRule="atLeast"/>
        </w:trPr>
        <w:tc>
          <w:tcPr>
            <w:tcW w:w="723" w:type="pct"/>
          </w:tcPr>
          <w:p w14:paraId="77643813">
            <w:pPr>
              <w:numPr>
                <w:ilvl w:val="3"/>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3.1</w:t>
            </w:r>
          </w:p>
        </w:tc>
        <w:tc>
          <w:tcPr>
            <w:tcW w:w="2150" w:type="pct"/>
          </w:tcPr>
          <w:p w14:paraId="3B4804CD">
            <w:pPr>
              <w:numPr>
                <w:ilvl w:val="12"/>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最终施工图设计汇报结束并经甲方确认无误后30个工作日内</w:t>
            </w:r>
          </w:p>
        </w:tc>
        <w:tc>
          <w:tcPr>
            <w:tcW w:w="1086" w:type="pct"/>
          </w:tcPr>
          <w:p w14:paraId="542D19B6">
            <w:pPr>
              <w:rPr>
                <w:rFonts w:ascii="仿宋_GB2312" w:hAnsi="仿宋_GB2312" w:eastAsia="仿宋_GB2312" w:cs="仿宋_GB2312"/>
                <w:color w:val="auto"/>
                <w:sz w:val="30"/>
                <w:szCs w:val="30"/>
                <w:highlight w:val="none"/>
              </w:rPr>
            </w:pPr>
          </w:p>
        </w:tc>
        <w:tc>
          <w:tcPr>
            <w:tcW w:w="1039" w:type="pct"/>
          </w:tcPr>
          <w:p w14:paraId="7A6C03D0">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w:t>
            </w:r>
            <w:r>
              <w:rPr>
                <w:rFonts w:ascii="仿宋_GB2312" w:hAnsi="仿宋_GB2312" w:eastAsia="仿宋_GB2312" w:cs="仿宋_GB2312"/>
                <w:color w:val="auto"/>
                <w:sz w:val="30"/>
                <w:szCs w:val="30"/>
                <w:highlight w:val="none"/>
              </w:rPr>
              <w:t>3</w:t>
            </w:r>
            <w:r>
              <w:rPr>
                <w:rFonts w:hint="eastAsia" w:ascii="仿宋_GB2312" w:hAnsi="仿宋_GB2312" w:eastAsia="仿宋_GB2312" w:cs="仿宋_GB2312"/>
                <w:color w:val="auto"/>
                <w:sz w:val="30"/>
                <w:szCs w:val="30"/>
                <w:highlight w:val="none"/>
              </w:rPr>
              <w:t>0%</w:t>
            </w:r>
          </w:p>
        </w:tc>
      </w:tr>
      <w:tr w14:paraId="518CB0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226C2546">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第四阶段 现场技术服务阶段</w:t>
            </w:r>
          </w:p>
        </w:tc>
      </w:tr>
      <w:tr w14:paraId="46B4B2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200" w:type="dxa"/>
            <w:vAlign w:val="top"/>
          </w:tcPr>
          <w:p w14:paraId="1A99357D">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4.2</w:t>
            </w:r>
          </w:p>
        </w:tc>
        <w:tc>
          <w:tcPr>
            <w:tcW w:w="3567" w:type="dxa"/>
            <w:vAlign w:val="top"/>
          </w:tcPr>
          <w:p w14:paraId="28609832">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完成施工管理配合，</w:t>
            </w:r>
            <w:r>
              <w:rPr>
                <w:rFonts w:hint="eastAsia" w:ascii="仿宋_GB2312" w:hAnsi="仿宋_GB2312" w:eastAsia="仿宋_GB2312" w:cs="仿宋_GB2312"/>
                <w:color w:val="auto"/>
                <w:sz w:val="30"/>
                <w:szCs w:val="30"/>
                <w:highlight w:val="none"/>
                <w:lang w:val="en-US" w:eastAsia="zh-CN"/>
              </w:rPr>
              <w:t>样板房</w:t>
            </w:r>
            <w:r>
              <w:rPr>
                <w:rFonts w:hint="eastAsia" w:ascii="仿宋_GB2312" w:hAnsi="仿宋_GB2312" w:eastAsia="仿宋_GB2312" w:cs="仿宋_GB2312"/>
                <w:color w:val="auto"/>
                <w:sz w:val="30"/>
                <w:szCs w:val="30"/>
                <w:highlight w:val="none"/>
              </w:rPr>
              <w:t>工程完成竣工验收</w:t>
            </w:r>
            <w:r>
              <w:rPr>
                <w:rFonts w:hint="eastAsia" w:ascii="仿宋_GB2312" w:hAnsi="仿宋_GB2312" w:eastAsia="仿宋_GB2312" w:cs="仿宋_GB2312"/>
                <w:color w:val="auto"/>
                <w:sz w:val="30"/>
                <w:szCs w:val="30"/>
                <w:highlight w:val="none"/>
                <w:lang w:val="en-US" w:eastAsia="zh-CN"/>
              </w:rPr>
              <w:t>后</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配合甲方完成结算，完成甲方组织的设计项目后评估并提交复盘文件后</w:t>
            </w:r>
          </w:p>
        </w:tc>
        <w:tc>
          <w:tcPr>
            <w:tcW w:w="1802" w:type="dxa"/>
            <w:vAlign w:val="top"/>
          </w:tcPr>
          <w:p w14:paraId="2D0949AF">
            <w:pPr>
              <w:numPr>
                <w:ilvl w:val="12"/>
                <w:numId w:val="0"/>
              </w:numPr>
              <w:rPr>
                <w:rFonts w:hint="eastAsia" w:ascii="仿宋_GB2312" w:hAnsi="仿宋_GB2312" w:eastAsia="仿宋_GB2312" w:cs="仿宋_GB2312"/>
                <w:color w:val="auto"/>
                <w:sz w:val="30"/>
                <w:szCs w:val="30"/>
                <w:highlight w:val="none"/>
              </w:rPr>
            </w:pPr>
          </w:p>
        </w:tc>
        <w:tc>
          <w:tcPr>
            <w:tcW w:w="1724" w:type="dxa"/>
            <w:vAlign w:val="top"/>
          </w:tcPr>
          <w:p w14:paraId="48E5FED9">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按本合同结算金额支付余款</w:t>
            </w:r>
          </w:p>
        </w:tc>
      </w:tr>
    </w:tbl>
    <w:p w14:paraId="22F0C295">
      <w:pPr>
        <w:adjustRightInd w:val="0"/>
        <w:snapToGrid w:val="0"/>
        <w:spacing w:line="360" w:lineRule="auto"/>
        <w:ind w:left="11"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2.2乙方应在每次付款期限前三日将与付款金额等额的合法增值税专用发票( </w:t>
      </w:r>
      <w:sdt>
        <w:sdtPr>
          <w:rPr>
            <w:rFonts w:hint="eastAsia" w:ascii="仿宋_GB2312" w:hAnsi="仿宋_GB2312" w:eastAsia="仿宋_GB2312" w:cs="仿宋_GB2312"/>
            <w:color w:val="auto"/>
            <w:sz w:val="30"/>
            <w:szCs w:val="30"/>
            <w:highlight w:val="none"/>
          </w:rPr>
          <w:id w:val="37611229"/>
          <w:placeholder>
            <w:docPart w:val="{f676e692-f796-4a8e-b7d0-c12a56202204}"/>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2884"/>
              <w:placeholder>
                <w:docPart w:val="{7c879d45-312f-4fa2-845f-79e9d4bb6d85}"/>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税率)提供给甲方，否则甲方有权拒绝付款且无需承担违约责任，乙方不得因此要求解除合同。</w:t>
      </w:r>
    </w:p>
    <w:p w14:paraId="724C6CBA">
      <w:pPr>
        <w:adjustRightInd w:val="0"/>
        <w:snapToGrid w:val="0"/>
        <w:spacing w:line="360" w:lineRule="auto"/>
        <w:ind w:left="11"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2.3 甲方书面确认每个阶段性的设计成果,并支付该阶段设计费用后,乙方开始下阶段工作。乙方未收到上阶段设计费用前，有权暂停下阶段工作,当期设计成果的提交时间相应顺延，但应提前书面通知甲方。</w:t>
      </w:r>
    </w:p>
    <w:p w14:paraId="4743DCF8">
      <w:pPr>
        <w:adjustRightInd w:val="0"/>
        <w:snapToGrid w:val="0"/>
        <w:spacing w:line="360" w:lineRule="auto"/>
        <w:ind w:left="11" w:firstLine="600" w:firstLineChars="200"/>
        <w:rPr>
          <w:rFonts w:ascii="仿宋_GB2312" w:eastAsia="仿宋_GB2312" w:hAnsiTheme="minorEastAsia"/>
          <w:color w:val="auto"/>
          <w:sz w:val="28"/>
          <w:szCs w:val="28"/>
          <w:highlight w:val="none"/>
        </w:rPr>
      </w:pPr>
      <w:r>
        <w:rPr>
          <w:rFonts w:ascii="仿宋_GB2312" w:hAnsi="仿宋_GB2312" w:eastAsia="仿宋_GB2312" w:cs="仿宋_GB2312"/>
          <w:color w:val="auto"/>
          <w:sz w:val="30"/>
          <w:szCs w:val="30"/>
          <w:highlight w:val="none"/>
        </w:rPr>
        <w:t>2.4 在本合同履行过程中，若设计范围内对不同区域、设计内容之设计进度不一致，甲方要求乙方分批出图的，甲方应根据乙方每批完成的设计面积与相应的综合单价，按本合同约定的比例支付设计费。</w:t>
      </w:r>
    </w:p>
    <w:p w14:paraId="6A042055">
      <w:pPr>
        <w:pStyle w:val="35"/>
        <w:ind w:left="63" w:right="63" w:firstLine="210"/>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1441"/>
    <w:p w14:paraId="4E2F8F5D">
      <w:pPr>
        <w:pStyle w:val="7"/>
        <w:ind w:firstLine="590"/>
        <w:rPr>
          <w:rFonts w:ascii="仿宋_GB2312" w:hAnsi="仿宋_GB2312" w:eastAsia="仿宋_GB2312" w:cs="仿宋_GB2312"/>
          <w:color w:val="auto"/>
          <w:sz w:val="30"/>
          <w:szCs w:val="30"/>
          <w:highlight w:val="none"/>
        </w:rPr>
      </w:pPr>
      <w:bookmarkStart w:id="1446" w:name="_Toc18171"/>
      <w:bookmarkStart w:id="1447" w:name="_Toc32601"/>
      <w:bookmarkStart w:id="1448" w:name="_Toc28299"/>
      <w:bookmarkStart w:id="1449" w:name="_Toc421068073"/>
      <w:bookmarkStart w:id="1450" w:name="_Toc447373902"/>
      <w:bookmarkStart w:id="1451" w:name="_Toc267261701"/>
      <w:r>
        <w:rPr>
          <w:rFonts w:hint="eastAsia" w:ascii="仿宋_GB2312" w:hAnsi="仿宋_GB2312" w:eastAsia="仿宋_GB2312" w:cs="仿宋_GB2312"/>
          <w:bCs/>
          <w:color w:val="auto"/>
          <w:spacing w:val="-3"/>
          <w:sz w:val="30"/>
          <w:szCs w:val="30"/>
          <w:highlight w:val="none"/>
        </w:rPr>
        <w:t>附件7-7：</w:t>
      </w:r>
      <w:r>
        <w:rPr>
          <w:rFonts w:hint="eastAsia" w:ascii="仿宋_GB2312" w:hAnsi="仿宋_GB2312" w:eastAsia="仿宋_GB2312" w:cs="仿宋_GB2312"/>
          <w:color w:val="auto"/>
          <w:spacing w:val="-3"/>
          <w:sz w:val="30"/>
          <w:szCs w:val="30"/>
          <w:highlight w:val="none"/>
        </w:rPr>
        <w:t xml:space="preserve"> 设计变更计费依据和方法</w:t>
      </w:r>
      <w:bookmarkEnd w:id="1446"/>
      <w:bookmarkEnd w:id="1447"/>
      <w:bookmarkEnd w:id="1448"/>
    </w:p>
    <w:p w14:paraId="7663AA0E">
      <w:pPr>
        <w:spacing w:line="360" w:lineRule="auto"/>
        <w:ind w:firstLine="200"/>
        <w:jc w:val="center"/>
        <w:rPr>
          <w:rFonts w:ascii="仿宋_GB2312" w:hAnsi="仿宋_GB2312" w:eastAsia="仿宋_GB2312" w:cs="仿宋_GB2312"/>
          <w:color w:val="auto"/>
          <w:spacing w:val="1"/>
          <w:sz w:val="30"/>
          <w:szCs w:val="30"/>
          <w:highlight w:val="none"/>
        </w:rPr>
      </w:pPr>
      <w:r>
        <w:rPr>
          <w:rFonts w:ascii="Times New Roman" w:hAnsi="Times New Roman"/>
          <w:color w:val="auto"/>
          <w:szCs w:val="21"/>
          <w:highlight w:val="none"/>
        </w:rPr>
        <w:t xml:space="preserve"> </w:t>
      </w:r>
      <w:r>
        <w:rPr>
          <w:rFonts w:ascii="仿宋_GB2312" w:hAnsi="仿宋_GB2312" w:eastAsia="仿宋_GB2312" w:cs="仿宋_GB2312"/>
          <w:i/>
          <w:iCs/>
          <w:color w:val="auto"/>
          <w:spacing w:val="-15"/>
          <w:sz w:val="30"/>
          <w:szCs w:val="30"/>
          <w:highlight w:val="none"/>
        </w:rPr>
        <w:t>注：适用于</w:t>
      </w:r>
      <w:r>
        <w:rPr>
          <w:rFonts w:hint="eastAsia" w:ascii="仿宋_GB2312" w:hAnsi="仿宋_GB2312" w:eastAsia="仿宋_GB2312" w:cs="仿宋_GB2312"/>
          <w:i/>
          <w:iCs/>
          <w:color w:val="auto"/>
          <w:spacing w:val="-15"/>
          <w:sz w:val="30"/>
          <w:szCs w:val="30"/>
          <w:highlight w:val="none"/>
        </w:rPr>
        <w:t>装修</w:t>
      </w:r>
      <w:r>
        <w:rPr>
          <w:rFonts w:ascii="仿宋_GB2312" w:hAnsi="仿宋_GB2312" w:eastAsia="仿宋_GB2312" w:cs="仿宋_GB2312"/>
          <w:i/>
          <w:iCs/>
          <w:color w:val="auto"/>
          <w:spacing w:val="-15"/>
          <w:sz w:val="30"/>
          <w:szCs w:val="30"/>
          <w:highlight w:val="none"/>
        </w:rPr>
        <w:t>设计</w:t>
      </w:r>
    </w:p>
    <w:p w14:paraId="122E0315">
      <w:pPr>
        <w:adjustRightInd w:val="0"/>
        <w:snapToGrid w:val="0"/>
        <w:spacing w:line="360" w:lineRule="auto"/>
        <w:ind w:left="9" w:firstLine="742" w:firstLineChars="246"/>
        <w:rPr>
          <w:rFonts w:hint="eastAsia" w:ascii="仿宋_GB2312" w:hAnsi="仿宋_GB2312" w:eastAsia="仿宋_GB2312" w:cs="仿宋_GB2312"/>
          <w:color w:val="auto"/>
          <w:spacing w:val="1"/>
          <w:sz w:val="30"/>
          <w:szCs w:val="30"/>
          <w:highlight w:val="none"/>
        </w:rPr>
      </w:pPr>
    </w:p>
    <w:p w14:paraId="3FC0EDE6">
      <w:pPr>
        <w:adjustRightInd w:val="0"/>
        <w:snapToGrid w:val="0"/>
        <w:spacing w:line="360" w:lineRule="auto"/>
        <w:ind w:left="9" w:firstLine="742" w:firstLineChars="246"/>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如甲方提出变更或方案修改，调整比例未超过30%的，相应的费用已含在合同总价内，甲方无需支付修改费用；如调整比例超过30%但未达50%的，按该调整所对应设计阶段的合同费用的15%补偿；如方案调整比例达到50%及以上的，按该调整所对应设计阶段的合同费用的30%补偿；具体内容双方另行签订补充协议予以确认。</w:t>
      </w:r>
    </w:p>
    <w:p w14:paraId="42401186">
      <w:pPr>
        <w:pStyle w:val="78"/>
        <w:spacing w:line="360" w:lineRule="auto"/>
        <w:ind w:firstLine="200"/>
        <w:rPr>
          <w:rFonts w:ascii="仿宋_GB2312" w:hAnsi="仿宋_GB2312" w:eastAsia="仿宋_GB2312" w:cs="仿宋_GB2312"/>
          <w:color w:val="auto"/>
          <w:spacing w:val="1"/>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4BEFF49">
      <w:pPr>
        <w:pStyle w:val="7"/>
        <w:ind w:firstLine="602"/>
        <w:rPr>
          <w:rFonts w:ascii="仿宋_GB2312" w:hAnsi="仿宋_GB2312" w:eastAsia="仿宋_GB2312" w:cs="仿宋_GB2312"/>
          <w:color w:val="auto"/>
          <w:sz w:val="30"/>
          <w:szCs w:val="30"/>
          <w:highlight w:val="none"/>
        </w:rPr>
      </w:pPr>
      <w:bookmarkStart w:id="1452" w:name="_Toc17471"/>
      <w:bookmarkStart w:id="1453" w:name="_Toc16242"/>
      <w:bookmarkStart w:id="1454" w:name="_Toc24831"/>
      <w:bookmarkStart w:id="1455" w:name="_Toc10027"/>
      <w:bookmarkStart w:id="1456" w:name="_Toc20592"/>
      <w:r>
        <w:rPr>
          <w:rFonts w:hint="eastAsia" w:ascii="仿宋_GB2312" w:hAnsi="仿宋_GB2312" w:eastAsia="仿宋_GB2312" w:cs="仿宋_GB2312"/>
          <w:color w:val="auto"/>
          <w:sz w:val="30"/>
          <w:szCs w:val="30"/>
          <w:highlight w:val="none"/>
        </w:rPr>
        <w:t>附件8：履约</w:t>
      </w:r>
      <w:bookmarkEnd w:id="1449"/>
      <w:bookmarkEnd w:id="1450"/>
      <w:bookmarkEnd w:id="1452"/>
      <w:bookmarkEnd w:id="1453"/>
      <w:bookmarkEnd w:id="1454"/>
      <w:bookmarkEnd w:id="1455"/>
      <w:r>
        <w:rPr>
          <w:rFonts w:hint="eastAsia" w:ascii="仿宋_GB2312" w:hAnsi="仿宋_GB2312" w:eastAsia="仿宋_GB2312" w:cs="仿宋_GB2312"/>
          <w:color w:val="auto"/>
          <w:sz w:val="30"/>
          <w:szCs w:val="30"/>
          <w:highlight w:val="none"/>
        </w:rPr>
        <w:t>担保（参考格式）（如有）</w:t>
      </w:r>
      <w:bookmarkEnd w:id="1456"/>
    </w:p>
    <w:p w14:paraId="6FE702F0">
      <w:pPr>
        <w:rPr>
          <w:rFonts w:ascii="仿宋_GB2312" w:hAnsi="仿宋_GB2312" w:eastAsia="仿宋_GB2312" w:cs="仿宋_GB2312"/>
          <w:color w:val="auto"/>
          <w:sz w:val="30"/>
          <w:szCs w:val="30"/>
          <w:highlight w:val="none"/>
        </w:rPr>
      </w:pPr>
    </w:p>
    <w:p w14:paraId="5A31D982">
      <w:pPr>
        <w:pStyle w:val="78"/>
        <w:spacing w:before="156" w:beforeLines="50" w:after="156" w:afterLines="50" w:line="440" w:lineRule="exact"/>
        <w:jc w:val="center"/>
        <w:rPr>
          <w:color w:val="auto"/>
          <w:sz w:val="30"/>
          <w:szCs w:val="30"/>
          <w:highlight w:val="none"/>
        </w:rPr>
      </w:pPr>
      <w:r>
        <w:rPr>
          <w:b/>
          <w:bCs/>
          <w:color w:val="auto"/>
          <w:sz w:val="30"/>
          <w:szCs w:val="30"/>
          <w:highlight w:val="none"/>
        </w:rPr>
        <w:t>履约担保</w:t>
      </w:r>
    </w:p>
    <w:p w14:paraId="1448AA86">
      <w:pPr>
        <w:pStyle w:val="78"/>
        <w:spacing w:line="360" w:lineRule="auto"/>
        <w:rPr>
          <w:color w:val="auto"/>
          <w:highlight w:val="none"/>
          <w:u w:val="single"/>
        </w:rPr>
      </w:pPr>
    </w:p>
    <w:p w14:paraId="6C1C8329">
      <w:pPr>
        <w:pStyle w:val="78"/>
        <w:spacing w:line="360" w:lineRule="auto"/>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w:t>
      </w:r>
    </w:p>
    <w:p w14:paraId="301D067A">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鉴于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（发包人名称，以下简称“发包人”）</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已于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日发放中标通知书，明确</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（设计人名称）（以下称“设计人”）于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（工程名称）的中标人。我方愿意无条件地、不可撤销地就设计人履行与你方签订的合同，向你方提供连带责任担保。</w:t>
      </w:r>
      <w:r>
        <w:rPr>
          <w:rFonts w:ascii="仿宋_GB2312" w:hAnsi="仿宋_GB2312" w:eastAsia="仿宋_GB2312" w:cs="仿宋_GB2312"/>
          <w:color w:val="auto"/>
          <w:sz w:val="30"/>
          <w:szCs w:val="30"/>
          <w:highlight w:val="none"/>
        </w:rPr>
        <w:t xml:space="preserve"> </w:t>
      </w:r>
    </w:p>
    <w:p w14:paraId="4567A5A3">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1. </w:t>
      </w:r>
      <w:r>
        <w:rPr>
          <w:rFonts w:hint="eastAsia" w:ascii="仿宋_GB2312" w:hAnsi="仿宋_GB2312" w:eastAsia="仿宋_GB2312" w:cs="仿宋_GB2312"/>
          <w:color w:val="auto"/>
          <w:sz w:val="30"/>
          <w:szCs w:val="30"/>
          <w:highlight w:val="none"/>
        </w:rPr>
        <w:t>担保金额人民币（大写）</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42D2C9D">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 </w:t>
      </w:r>
      <w:r>
        <w:rPr>
          <w:rFonts w:hint="eastAsia" w:ascii="仿宋_GB2312" w:hAnsi="仿宋_GB2312" w:eastAsia="仿宋_GB2312" w:cs="仿宋_GB2312"/>
          <w:color w:val="auto"/>
          <w:sz w:val="30"/>
          <w:szCs w:val="30"/>
          <w:highlight w:val="none"/>
        </w:rPr>
        <w:t>担保有效期自你方与设计人签订的合同生效之日起至</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之日止。</w:t>
      </w:r>
    </w:p>
    <w:p w14:paraId="0D3B019D">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3. </w:t>
      </w:r>
      <w:r>
        <w:rPr>
          <w:rFonts w:hint="eastAsia" w:ascii="仿宋_GB2312" w:hAnsi="仿宋_GB2312" w:eastAsia="仿宋_GB2312" w:cs="仿宋_GB2312"/>
          <w:color w:val="auto"/>
          <w:sz w:val="30"/>
          <w:szCs w:val="30"/>
          <w:highlight w:val="none"/>
        </w:rPr>
        <w:t>在本担保有效期内，因设计人违反合同约定的义务给你方造成经济损失时，我方在收到你方以书面形式提出的在担保金额内的赔偿要求后，在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rPr>
        <w:t>天内无条件支付。</w:t>
      </w:r>
    </w:p>
    <w:p w14:paraId="112616EB">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4. </w:t>
      </w:r>
      <w:r>
        <w:rPr>
          <w:rFonts w:hint="eastAsia" w:ascii="仿宋_GB2312" w:hAnsi="仿宋_GB2312" w:eastAsia="仿宋_GB2312" w:cs="仿宋_GB2312"/>
          <w:color w:val="auto"/>
          <w:sz w:val="30"/>
          <w:szCs w:val="30"/>
          <w:highlight w:val="none"/>
        </w:rPr>
        <w:t>你方和设计人按合同约定变更合同时，我方承担本担保规定的义务不变。</w:t>
      </w:r>
    </w:p>
    <w:p w14:paraId="08F9ABCF">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5. </w:t>
      </w:r>
      <w:r>
        <w:rPr>
          <w:rFonts w:hint="eastAsia" w:ascii="仿宋_GB2312" w:hAnsi="仿宋_GB2312" w:eastAsia="仿宋_GB2312" w:cs="仿宋_GB2312"/>
          <w:color w:val="auto"/>
          <w:sz w:val="30"/>
          <w:szCs w:val="30"/>
          <w:highlight w:val="none"/>
        </w:rPr>
        <w:t>因本保函发生的纠纷，可由双方协商解决，协商不成的，任何一方均可向项目所在地人民法院提起诉讼。</w:t>
      </w:r>
    </w:p>
    <w:p w14:paraId="2C5E58AB">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6. </w:t>
      </w:r>
      <w:r>
        <w:rPr>
          <w:rFonts w:hint="eastAsia" w:ascii="仿宋_GB2312" w:hAnsi="仿宋_GB2312" w:eastAsia="仿宋_GB2312" w:cs="仿宋_GB2312"/>
          <w:color w:val="auto"/>
          <w:sz w:val="30"/>
          <w:szCs w:val="30"/>
          <w:highlight w:val="none"/>
        </w:rPr>
        <w:t>本保函自我方法定代表人（或其授权代理人）签字并加盖公章之日起生效。</w:t>
      </w:r>
    </w:p>
    <w:p w14:paraId="2F0F72C1">
      <w:pPr>
        <w:pStyle w:val="78"/>
        <w:spacing w:line="360" w:lineRule="auto"/>
        <w:ind w:firstLine="600" w:firstLineChars="200"/>
        <w:rPr>
          <w:rFonts w:ascii="仿宋_GB2312" w:hAnsi="仿宋_GB2312" w:eastAsia="仿宋_GB2312" w:cs="仿宋_GB2312"/>
          <w:color w:val="auto"/>
          <w:sz w:val="30"/>
          <w:szCs w:val="30"/>
          <w:highlight w:val="none"/>
        </w:rPr>
      </w:pPr>
    </w:p>
    <w:p w14:paraId="7D5742B6">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担</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保</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（盖单位章）</w:t>
      </w:r>
    </w:p>
    <w:p w14:paraId="53A0D8CF">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（签字）</w:t>
      </w:r>
    </w:p>
    <w:p w14:paraId="0263CDDE">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址：</w:t>
      </w:r>
      <w:r>
        <w:rPr>
          <w:rFonts w:ascii="仿宋_GB2312" w:hAnsi="仿宋_GB2312" w:eastAsia="仿宋_GB2312" w:cs="仿宋_GB2312"/>
          <w:color w:val="auto"/>
          <w:sz w:val="30"/>
          <w:szCs w:val="30"/>
          <w:highlight w:val="none"/>
          <w:u w:val="single"/>
        </w:rPr>
        <w:t xml:space="preserve">                                      </w:t>
      </w:r>
    </w:p>
    <w:p w14:paraId="7F84F031">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邮政编码：</w:t>
      </w:r>
      <w:r>
        <w:rPr>
          <w:rFonts w:ascii="仿宋_GB2312" w:hAnsi="仿宋_GB2312" w:eastAsia="仿宋_GB2312" w:cs="仿宋_GB2312"/>
          <w:color w:val="auto"/>
          <w:sz w:val="30"/>
          <w:szCs w:val="30"/>
          <w:highlight w:val="none"/>
          <w:u w:val="single"/>
        </w:rPr>
        <w:t xml:space="preserve">                                      </w:t>
      </w:r>
    </w:p>
    <w:p w14:paraId="3926744F">
      <w:pPr>
        <w:pStyle w:val="78"/>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电</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话：</w:t>
      </w:r>
      <w:r>
        <w:rPr>
          <w:rFonts w:ascii="仿宋_GB2312" w:hAnsi="仿宋_GB2312" w:eastAsia="仿宋_GB2312" w:cs="仿宋_GB2312"/>
          <w:color w:val="auto"/>
          <w:sz w:val="30"/>
          <w:szCs w:val="30"/>
          <w:highlight w:val="none"/>
          <w:u w:val="single"/>
        </w:rPr>
        <w:t xml:space="preserve">                                      </w:t>
      </w:r>
    </w:p>
    <w:p w14:paraId="4AF29FF6">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传</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真：</w:t>
      </w:r>
      <w:r>
        <w:rPr>
          <w:rFonts w:ascii="仿宋_GB2312" w:hAnsi="仿宋_GB2312" w:eastAsia="仿宋_GB2312" w:cs="仿宋_GB2312"/>
          <w:color w:val="auto"/>
          <w:sz w:val="30"/>
          <w:szCs w:val="30"/>
          <w:highlight w:val="none"/>
          <w:u w:val="single"/>
        </w:rPr>
        <w:t xml:space="preserve">                                      </w:t>
      </w:r>
    </w:p>
    <w:p w14:paraId="2F91E73C">
      <w:pPr>
        <w:pStyle w:val="78"/>
        <w:spacing w:line="360" w:lineRule="auto"/>
        <w:ind w:firstLine="600" w:firstLineChars="200"/>
        <w:jc w:val="left"/>
        <w:rPr>
          <w:rFonts w:ascii="仿宋_GB2312" w:hAnsi="仿宋_GB2312" w:eastAsia="仿宋_GB2312" w:cs="仿宋_GB2312"/>
          <w:color w:val="auto"/>
          <w:sz w:val="30"/>
          <w:szCs w:val="30"/>
          <w:highlight w:val="none"/>
          <w:u w:val="single"/>
        </w:rPr>
      </w:pPr>
    </w:p>
    <w:p w14:paraId="7C318783">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w:t>
      </w:r>
    </w:p>
    <w:p w14:paraId="05F3DD1D">
      <w:pPr>
        <w:pStyle w:val="78"/>
        <w:spacing w:line="360" w:lineRule="auto"/>
        <w:ind w:firstLine="600" w:firstLineChars="200"/>
        <w:rPr>
          <w:rFonts w:ascii="仿宋_GB2312" w:hAnsi="仿宋_GB2312" w:eastAsia="仿宋_GB2312" w:cs="仿宋_GB2312"/>
          <w:color w:val="auto"/>
          <w:sz w:val="30"/>
          <w:szCs w:val="30"/>
          <w:highlight w:val="none"/>
        </w:rPr>
      </w:pPr>
    </w:p>
    <w:p w14:paraId="5DEE6689">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（备注：银行、保险公司和担保公司出具的保函格式和文本可以自拟，但是必须包含以上条款所列全部内容）</w:t>
      </w:r>
    </w:p>
    <w:p w14:paraId="0738C066">
      <w:pPr>
        <w:pStyle w:val="2"/>
        <w:rPr>
          <w:rFonts w:ascii="仿宋_GB2312" w:hAnsi="仿宋_GB2312" w:eastAsia="仿宋_GB2312" w:cs="仿宋_GB2312"/>
          <w:color w:val="auto"/>
          <w:sz w:val="30"/>
          <w:szCs w:val="30"/>
          <w:highlight w:val="none"/>
        </w:rPr>
      </w:pPr>
    </w:p>
    <w:p w14:paraId="49C851EB">
      <w:pPr>
        <w:rPr>
          <w:rFonts w:ascii="仿宋_GB2312" w:hAnsi="仿宋_GB2312" w:eastAsia="仿宋_GB2312" w:cs="仿宋_GB2312"/>
          <w:color w:val="auto"/>
          <w:sz w:val="30"/>
          <w:szCs w:val="30"/>
          <w:highlight w:val="none"/>
        </w:rPr>
      </w:pPr>
    </w:p>
    <w:p w14:paraId="1E2D695E">
      <w:pPr>
        <w:pStyle w:val="2"/>
        <w:rPr>
          <w:rFonts w:ascii="仿宋_GB2312" w:hAnsi="仿宋_GB2312" w:eastAsia="仿宋_GB2312" w:cs="仿宋_GB2312"/>
          <w:color w:val="auto"/>
          <w:sz w:val="30"/>
          <w:szCs w:val="30"/>
          <w:highlight w:val="none"/>
        </w:rPr>
      </w:pPr>
    </w:p>
    <w:p w14:paraId="5236B7B4">
      <w:pPr>
        <w:rPr>
          <w:rFonts w:ascii="仿宋_GB2312" w:hAnsi="仿宋_GB2312" w:eastAsia="仿宋_GB2312" w:cs="仿宋_GB2312"/>
          <w:color w:val="auto"/>
          <w:sz w:val="30"/>
          <w:szCs w:val="30"/>
          <w:highlight w:val="none"/>
        </w:rPr>
      </w:pPr>
    </w:p>
    <w:p w14:paraId="0CD5DC7B">
      <w:pPr>
        <w:ind w:left="0" w:leftChars="0" w:firstLine="0" w:firstLineChars="0"/>
        <w:rPr>
          <w:rFonts w:ascii="仿宋_GB2312" w:hAnsi="仿宋_GB2312" w:eastAsia="仿宋_GB2312" w:cs="仿宋_GB2312"/>
          <w:color w:val="auto"/>
          <w:sz w:val="30"/>
          <w:szCs w:val="30"/>
          <w:highlight w:val="none"/>
        </w:rPr>
      </w:pPr>
    </w:p>
    <w:p w14:paraId="7BE64487">
      <w:pPr>
        <w:pStyle w:val="7"/>
        <w:ind w:firstLine="602"/>
        <w:rPr>
          <w:rFonts w:ascii="仿宋_GB2312" w:hAnsi="仿宋_GB2312" w:eastAsia="仿宋_GB2312" w:cs="仿宋_GB2312"/>
          <w:color w:val="auto"/>
          <w:sz w:val="30"/>
          <w:szCs w:val="30"/>
          <w:highlight w:val="none"/>
        </w:rPr>
      </w:pPr>
      <w:bookmarkStart w:id="1457" w:name="_Toc5668"/>
      <w:r>
        <w:rPr>
          <w:rFonts w:hint="eastAsia" w:ascii="仿宋_GB2312" w:hAnsi="仿宋_GB2312" w:eastAsia="仿宋_GB2312" w:cs="仿宋_GB2312"/>
          <w:color w:val="auto"/>
          <w:sz w:val="30"/>
          <w:szCs w:val="30"/>
          <w:highlight w:val="none"/>
        </w:rPr>
        <w:t>附件9：廉政责任书</w:t>
      </w:r>
      <w:bookmarkEnd w:id="1457"/>
    </w:p>
    <w:p w14:paraId="74CA040D">
      <w:pPr>
        <w:rPr>
          <w:color w:val="auto"/>
          <w:highlight w:val="none"/>
        </w:rPr>
      </w:pPr>
    </w:p>
    <w:p w14:paraId="24DBC8EE">
      <w:pPr>
        <w:pStyle w:val="78"/>
        <w:tabs>
          <w:tab w:val="left" w:pos="640"/>
        </w:tabs>
        <w:spacing w:line="50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工程设计廉政责任书</w:t>
      </w:r>
    </w:p>
    <w:p w14:paraId="53C37136">
      <w:pPr>
        <w:pStyle w:val="78"/>
        <w:tabs>
          <w:tab w:val="left" w:pos="640"/>
        </w:tabs>
        <w:rPr>
          <w:rFonts w:ascii="仿宋_GB2312" w:hAnsi="Times New Roman" w:eastAsia="仿宋_GB2312"/>
          <w:color w:val="auto"/>
          <w:szCs w:val="21"/>
          <w:highlight w:val="none"/>
        </w:rPr>
      </w:pPr>
    </w:p>
    <w:p w14:paraId="10AE54BA">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工程项目名称：</w:t>
      </w:r>
      <w:r>
        <w:rPr>
          <w:rFonts w:ascii="仿宋_GB2312" w:hAnsi="仿宋_GB2312" w:eastAsia="仿宋_GB2312" w:cs="仿宋_GB2312"/>
          <w:color w:val="auto"/>
          <w:sz w:val="30"/>
          <w:szCs w:val="30"/>
          <w:highlight w:val="none"/>
        </w:rPr>
        <w:t xml:space="preserve">    </w:t>
      </w:r>
    </w:p>
    <w:p w14:paraId="3915A057">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工程项目地址：</w:t>
      </w:r>
      <w:r>
        <w:rPr>
          <w:rFonts w:ascii="仿宋_GB2312" w:hAnsi="仿宋_GB2312" w:eastAsia="仿宋_GB2312" w:cs="仿宋_GB2312"/>
          <w:color w:val="auto"/>
          <w:sz w:val="30"/>
          <w:szCs w:val="30"/>
          <w:highlight w:val="none"/>
        </w:rPr>
        <w:t xml:space="preserve">    </w:t>
      </w:r>
    </w:p>
    <w:p w14:paraId="318D14B3">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发包人（甲方）：</w:t>
      </w:r>
      <w:r>
        <w:rPr>
          <w:rFonts w:ascii="仿宋_GB2312" w:hAnsi="仿宋_GB2312" w:eastAsia="仿宋_GB2312" w:cs="仿宋_GB2312"/>
          <w:color w:val="auto"/>
          <w:sz w:val="30"/>
          <w:szCs w:val="30"/>
          <w:highlight w:val="none"/>
        </w:rPr>
        <w:t xml:space="preserve">    </w:t>
      </w:r>
    </w:p>
    <w:p w14:paraId="03AB0FFE">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设计人（乙方）：</w:t>
      </w:r>
      <w:r>
        <w:rPr>
          <w:rFonts w:ascii="仿宋_GB2312" w:hAnsi="仿宋_GB2312" w:eastAsia="仿宋_GB2312" w:cs="仿宋_GB2312"/>
          <w:color w:val="auto"/>
          <w:sz w:val="30"/>
          <w:szCs w:val="30"/>
          <w:highlight w:val="none"/>
        </w:rPr>
        <w:t xml:space="preserve">    </w:t>
      </w:r>
    </w:p>
    <w:p w14:paraId="474B16A9">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为加强工程建设中的廉政建设，规范工程建设设计委托与被委托双方的各项活动，防止发生各种谋取不正当利益的违法违纪行为，保护国家、集体和当事人的合法权益，根据国家有关工程建设的法律法规和廉政建设责任制规定，特订立本廉政责任书。</w:t>
      </w:r>
    </w:p>
    <w:p w14:paraId="3D9AAD0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第一条  甲乙双方的责任</w:t>
      </w:r>
    </w:p>
    <w:p w14:paraId="6531B5ED">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（一）应严格遵守国家关于市场准入、项目招标投标、工程建设、设计和市场活动的有关法律、法规、相关政策、以及廉政建设的各项规定。</w:t>
      </w:r>
    </w:p>
    <w:p w14:paraId="2673E53E">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（二）严格执行建设工程设计合同文件，自觉按合同办事。</w:t>
      </w:r>
    </w:p>
    <w:p w14:paraId="4D295EC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（三）业务活动必须坚持公开、公平、公正、诚信、透明的原则（除法律法规另有规定者外），不得损害国家利益、集体利益和对方的合法利益，不得违反工程建设管理、设计的法律法规及规章制度。</w:t>
      </w:r>
    </w:p>
    <w:p w14:paraId="27F4DB60">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（四）发现对方在业务活动中有违规、违纪、违法行为的，应及时提醒对方，并向监管单位报告；情节严重的，应向其上级主管部门或纪检监察、司法等有关机关举报。</w:t>
      </w:r>
    </w:p>
    <w:p w14:paraId="5D3F892F">
      <w:pPr>
        <w:pStyle w:val="78"/>
        <w:numPr>
          <w:ilvl w:val="0"/>
          <w:numId w:val="10"/>
        </w:numPr>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发包人的责任</w:t>
      </w:r>
    </w:p>
    <w:p w14:paraId="03CB2D50">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发包人及发包人相关工作人员，在工程建设的事前、事中、事后应遵守以下规定：</w:t>
      </w:r>
    </w:p>
    <w:p w14:paraId="77B35803">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（一）不准向乙方和相关单位索要或接受回扣、礼金、有价证券、贵重物品和好处费、感谢费等。</w:t>
      </w:r>
    </w:p>
    <w:p w14:paraId="46DABFB0">
      <w:pPr>
        <w:pStyle w:val="78"/>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不准以任何理由向乙方和相关单位无偿或以明显低于市场价格借用房屋、车辆、金钱或其他贵重物品等。</w:t>
      </w:r>
    </w:p>
    <w:p w14:paraId="6A8E9375">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（二）不准在乙方和相关单位报销任何应由发包人或个人支付的费用。</w:t>
      </w:r>
    </w:p>
    <w:p w14:paraId="7CA3B1AA">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（三）不准要求、暗示或接受乙方和相关单位为个人装修住房、婚丧嫁娶、配偶子女的工作安排以及出国（境）、旅游等提供方便。</w:t>
      </w:r>
    </w:p>
    <w:p w14:paraId="18A4B39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（四）不准参加乙方和相关单位安排的有可能影响公正执行工作任务的宴请、健身、娱乐等活动。</w:t>
      </w:r>
    </w:p>
    <w:p w14:paraId="20770797">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（五）不准向乙方和相关单位介绍或为配偶、子女、亲属介绍参与同发包人工程设计合同有关的设计业务等活动。不得以任何理由要求乙方和相关单位在设计中使用设计合同规定以外的产品、材料和设备等。</w:t>
      </w:r>
    </w:p>
    <w:p w14:paraId="18EB177E">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第三条  乙方的责任</w:t>
      </w:r>
    </w:p>
    <w:p w14:paraId="2058490F">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应与发包人保持正常的业务交往，按照有关法律法规和程序开展业务工作，严格执行工程建设的有关方针、政策，尤其是有关设计的强制性标准和规范，并遵守以下规定：</w:t>
      </w:r>
    </w:p>
    <w:p w14:paraId="542A3A6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（一）不准以任何理由向发包人、相关单位及其工作人员赠送礼金、有价证券、贵重物品及回扣、好处费、感谢费等。</w:t>
      </w:r>
    </w:p>
    <w:p w14:paraId="1BA8D386">
      <w:pPr>
        <w:pStyle w:val="78"/>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不准以任何理由向发包人、相关单位及其工作人员无偿或以明显低于市场价格出借房屋、车辆、金钱或其他贵重物品等。</w:t>
      </w:r>
    </w:p>
    <w:p w14:paraId="477426DA">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（二）不准以任何理由为发包人和相关单位及其工作人员报销应由发包人或个人支付的费用。</w:t>
      </w:r>
    </w:p>
    <w:p w14:paraId="3041739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（三）不准明示或暗示为发包人、相关单位或个人装修住房、婚丧嫁娶、配偶子女的工作安排以及出国（境）、旅游等提供方便。</w:t>
      </w:r>
    </w:p>
    <w:p w14:paraId="39B2C518">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（四）不准以任何理由为发包人、相关单位或个人组织安排有可能影响公正执行工作任务的宴请、健身、娱乐等活动。</w:t>
      </w:r>
    </w:p>
    <w:p w14:paraId="1EA1E775">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第四条  违约责任</w:t>
      </w:r>
    </w:p>
    <w:p w14:paraId="7A9D4C7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（一）发包人工作人员有违反本责任书第一、二条责任行为的，发包人应按照管理权限，依据有关法律法规和规定给予追责处理；涉嫌犯罪的，移交司法机关追究刑事责任；给乙方单位造成损失的，应予以赔偿。</w:t>
      </w:r>
    </w:p>
    <w:p w14:paraId="673F5668">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（二）乙方工作人员有违反责任书第一、三条责任行为的，乙方应按照管理权限，依据有关法律法规和规定给予追责处理；涉嫌犯罪的，移交司法机关追究刑事责任；给发包人单位造成损失的，应予以赔偿。</w:t>
      </w:r>
    </w:p>
    <w:p w14:paraId="252D4F63">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第五条  本责任书经双方法定代表人或授权代表签字并加盖双方单位公章后立即生效。</w:t>
      </w:r>
    </w:p>
    <w:p w14:paraId="6EA3828D">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第六条  本责任书的有效期为双方签署之日起至该工程项目竣工验收合格时止。</w:t>
      </w:r>
    </w:p>
    <w:p w14:paraId="037332B1">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第七条  本责任书一式四份，由甲乙双方各执一份，送交甲乙双方的监督单位各一份。</w:t>
      </w:r>
    </w:p>
    <w:p w14:paraId="4C6DF4B3">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283C3BF6">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36CAEE39">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29749058">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           设计人：（盖章）</w:t>
      </w:r>
    </w:p>
    <w:p w14:paraId="2C8AD295">
      <w:pPr>
        <w:pStyle w:val="78"/>
        <w:tabs>
          <w:tab w:val="left" w:pos="640"/>
        </w:tabs>
        <w:spacing w:line="360" w:lineRule="auto"/>
        <w:rPr>
          <w:rFonts w:ascii="仿宋_GB2312" w:hAnsi="仿宋_GB2312" w:eastAsia="仿宋_GB2312" w:cs="仿宋_GB2312"/>
          <w:color w:val="auto"/>
          <w:sz w:val="30"/>
          <w:szCs w:val="30"/>
          <w:highlight w:val="none"/>
        </w:rPr>
      </w:pPr>
    </w:p>
    <w:p w14:paraId="4F3B5DEF">
      <w:pPr>
        <w:pStyle w:val="78"/>
        <w:tabs>
          <w:tab w:val="left" w:pos="640"/>
        </w:tabs>
        <w:spacing w:line="360" w:lineRule="auto"/>
        <w:rPr>
          <w:rFonts w:ascii="仿宋_GB2312" w:hAnsi="仿宋_GB2312" w:eastAsia="仿宋_GB2312" w:cs="仿宋_GB2312"/>
          <w:color w:val="auto"/>
          <w:sz w:val="30"/>
          <w:szCs w:val="30"/>
          <w:highlight w:val="none"/>
        </w:rPr>
      </w:pPr>
    </w:p>
    <w:p w14:paraId="41AD6733">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                  法定代表人或</w:t>
      </w:r>
    </w:p>
    <w:p w14:paraId="46662A0C">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授权代表（签字或盖章）：       授权代表（签字或盖章）：</w:t>
      </w:r>
    </w:p>
    <w:p w14:paraId="7DD5EE9E">
      <w:pPr>
        <w:rPr>
          <w:color w:val="auto"/>
          <w:highlight w:val="none"/>
        </w:rPr>
      </w:pPr>
    </w:p>
    <w:bookmarkEnd w:id="1451"/>
    <w:p w14:paraId="666E870B">
      <w:pPr>
        <w:ind w:firstLine="601"/>
        <w:outlineLvl w:val="9"/>
        <w:rPr>
          <w:rFonts w:ascii="仿宋_GB2312" w:hAnsi="仿宋_GB2312" w:eastAsia="仿宋_GB2312" w:cs="仿宋_GB2312"/>
          <w:color w:val="auto"/>
          <w:sz w:val="30"/>
          <w:szCs w:val="30"/>
          <w:highlight w:val="none"/>
        </w:rPr>
      </w:pPr>
      <w:bookmarkStart w:id="1458" w:name="_Toc12090"/>
      <w:bookmarkStart w:id="1459" w:name="_Toc29907"/>
      <w:bookmarkStart w:id="1460" w:name="_Toc1688768147"/>
      <w:bookmarkStart w:id="1461" w:name="_Toc2088810164"/>
    </w:p>
    <w:p w14:paraId="015AD50F">
      <w:pPr>
        <w:ind w:left="0" w:leftChars="0" w:firstLine="0" w:firstLineChars="0"/>
        <w:outlineLvl w:val="9"/>
        <w:rPr>
          <w:rFonts w:ascii="仿宋_GB2312" w:hAnsi="仿宋_GB2312" w:eastAsia="仿宋_GB2312" w:cs="仿宋_GB2312"/>
          <w:color w:val="auto"/>
          <w:sz w:val="30"/>
          <w:szCs w:val="30"/>
          <w:highlight w:val="none"/>
        </w:rPr>
      </w:pPr>
    </w:p>
    <w:p w14:paraId="7A0831A5">
      <w:pPr>
        <w:pStyle w:val="7"/>
        <w:ind w:firstLine="602" w:firstLineChars="0"/>
        <w:rPr>
          <w:rFonts w:ascii="仿宋_GB2312" w:hAnsi="仿宋_GB2312" w:eastAsia="仿宋_GB2312" w:cs="仿宋_GB2312"/>
          <w:color w:val="auto"/>
          <w:sz w:val="30"/>
          <w:szCs w:val="30"/>
          <w:highlight w:val="none"/>
        </w:rPr>
      </w:pPr>
      <w:bookmarkStart w:id="1462" w:name="_Toc26308"/>
      <w:r>
        <w:rPr>
          <w:rFonts w:hint="eastAsia" w:ascii="仿宋_GB2312" w:hAnsi="仿宋_GB2312" w:eastAsia="仿宋_GB2312" w:cs="仿宋_GB2312"/>
          <w:color w:val="auto"/>
          <w:sz w:val="30"/>
          <w:szCs w:val="30"/>
          <w:highlight w:val="none"/>
        </w:rPr>
        <w:t>附件10：其他要求</w:t>
      </w:r>
      <w:bookmarkEnd w:id="1458"/>
      <w:bookmarkEnd w:id="1459"/>
      <w:bookmarkEnd w:id="1462"/>
    </w:p>
    <w:p w14:paraId="2C7360D4">
      <w:pPr>
        <w:outlineLvl w:val="9"/>
        <w:rPr>
          <w:rFonts w:ascii="仿宋_GB2312" w:hAnsi="仿宋_GB2312" w:eastAsia="仿宋_GB2312" w:cs="仿宋_GB2312"/>
          <w:b w:val="0"/>
          <w:i/>
          <w:iCs/>
          <w:color w:val="auto"/>
          <w:sz w:val="30"/>
          <w:szCs w:val="30"/>
          <w:highlight w:val="none"/>
        </w:rPr>
      </w:pPr>
      <w:bookmarkStart w:id="1463" w:name="_Toc6576"/>
      <w:bookmarkStart w:id="1464" w:name="_Toc30685"/>
      <w:bookmarkStart w:id="1465" w:name="_Toc31476"/>
      <w:r>
        <w:rPr>
          <w:rFonts w:hint="eastAsia" w:ascii="仿宋_GB2312" w:hAnsi="仿宋_GB2312" w:eastAsia="仿宋_GB2312" w:cs="仿宋_GB2312"/>
          <w:b w:val="0"/>
          <w:i/>
          <w:iCs/>
          <w:color w:val="auto"/>
          <w:sz w:val="30"/>
          <w:szCs w:val="30"/>
          <w:highlight w:val="none"/>
        </w:rPr>
        <w:t>备注：专业合同条款未明确的</w:t>
      </w:r>
      <w:r>
        <w:rPr>
          <w:rFonts w:hint="eastAsia" w:ascii="仿宋_GB2312" w:hAnsi="仿宋_GB2312" w:eastAsia="仿宋_GB2312" w:cs="仿宋_GB2312"/>
          <w:b w:val="0"/>
          <w:i/>
          <w:iCs/>
          <w:color w:val="auto"/>
          <w:sz w:val="30"/>
          <w:szCs w:val="30"/>
          <w:highlight w:val="none"/>
          <w:lang w:val="en-US" w:eastAsia="zh-CN"/>
        </w:rPr>
        <w:t>在此</w:t>
      </w:r>
      <w:r>
        <w:rPr>
          <w:rFonts w:hint="eastAsia" w:ascii="仿宋_GB2312" w:hAnsi="仿宋_GB2312" w:eastAsia="仿宋_GB2312" w:cs="仿宋_GB2312"/>
          <w:b w:val="0"/>
          <w:i/>
          <w:iCs/>
          <w:color w:val="auto"/>
          <w:sz w:val="30"/>
          <w:szCs w:val="30"/>
          <w:highlight w:val="none"/>
        </w:rPr>
        <w:t>补充</w:t>
      </w:r>
      <w:bookmarkEnd w:id="1463"/>
      <w:bookmarkEnd w:id="1464"/>
      <w:bookmarkEnd w:id="1465"/>
      <w:r>
        <w:rPr>
          <w:rFonts w:hint="eastAsia" w:ascii="仿宋_GB2312" w:hAnsi="仿宋_GB2312" w:eastAsia="仿宋_GB2312" w:cs="仿宋_GB2312"/>
          <w:b w:val="0"/>
          <w:i/>
          <w:iCs/>
          <w:color w:val="auto"/>
          <w:sz w:val="30"/>
          <w:szCs w:val="30"/>
          <w:highlight w:val="none"/>
        </w:rPr>
        <w:t>。</w:t>
      </w:r>
    </w:p>
    <w:p w14:paraId="09990075">
      <w:pPr>
        <w:rPr>
          <w:rFonts w:ascii="仿宋_GB2312" w:hAnsi="仿宋_GB2312" w:eastAsia="仿宋_GB2312" w:cs="仿宋_GB2312"/>
          <w:color w:val="auto"/>
          <w:sz w:val="30"/>
          <w:szCs w:val="30"/>
          <w:highlight w:val="none"/>
        </w:rPr>
      </w:pPr>
    </w:p>
    <w:p w14:paraId="52D845DF">
      <w:pPr>
        <w:pStyle w:val="17"/>
        <w:rPr>
          <w:rFonts w:ascii="仿宋_GB2312" w:hAnsi="仿宋_GB2312" w:eastAsia="仿宋_GB2312" w:cs="仿宋_GB2312"/>
          <w:color w:val="auto"/>
          <w:sz w:val="30"/>
          <w:szCs w:val="30"/>
          <w:highlight w:val="none"/>
        </w:rPr>
      </w:pPr>
    </w:p>
    <w:p w14:paraId="0292810A">
      <w:pPr>
        <w:pStyle w:val="17"/>
        <w:rPr>
          <w:rFonts w:ascii="仿宋_GB2312" w:hAnsi="仿宋_GB2312" w:eastAsia="仿宋_GB2312" w:cs="仿宋_GB2312"/>
          <w:color w:val="auto"/>
          <w:sz w:val="30"/>
          <w:szCs w:val="30"/>
          <w:highlight w:val="none"/>
        </w:rPr>
      </w:pPr>
    </w:p>
    <w:p w14:paraId="100B91CD">
      <w:pPr>
        <w:pStyle w:val="17"/>
        <w:rPr>
          <w:rFonts w:ascii="仿宋_GB2312" w:hAnsi="仿宋_GB2312" w:eastAsia="仿宋_GB2312" w:cs="仿宋_GB2312"/>
          <w:color w:val="auto"/>
          <w:sz w:val="30"/>
          <w:szCs w:val="30"/>
          <w:highlight w:val="none"/>
        </w:rPr>
      </w:pPr>
    </w:p>
    <w:p w14:paraId="0C23C8CA">
      <w:pPr>
        <w:pStyle w:val="17"/>
        <w:rPr>
          <w:rFonts w:ascii="仿宋_GB2312" w:hAnsi="仿宋_GB2312" w:eastAsia="仿宋_GB2312" w:cs="仿宋_GB2312"/>
          <w:color w:val="auto"/>
          <w:sz w:val="30"/>
          <w:szCs w:val="30"/>
          <w:highlight w:val="none"/>
        </w:rPr>
      </w:pPr>
    </w:p>
    <w:p w14:paraId="10BB2A7C">
      <w:pPr>
        <w:pStyle w:val="17"/>
        <w:rPr>
          <w:rFonts w:ascii="仿宋_GB2312" w:hAnsi="仿宋_GB2312" w:eastAsia="仿宋_GB2312" w:cs="仿宋_GB2312"/>
          <w:color w:val="auto"/>
          <w:sz w:val="30"/>
          <w:szCs w:val="30"/>
          <w:highlight w:val="none"/>
        </w:rPr>
      </w:pPr>
    </w:p>
    <w:p w14:paraId="7A931001">
      <w:pPr>
        <w:pStyle w:val="17"/>
        <w:rPr>
          <w:rFonts w:ascii="仿宋_GB2312" w:hAnsi="仿宋_GB2312" w:eastAsia="仿宋_GB2312" w:cs="仿宋_GB2312"/>
          <w:color w:val="auto"/>
          <w:sz w:val="30"/>
          <w:szCs w:val="30"/>
          <w:highlight w:val="none"/>
        </w:rPr>
      </w:pPr>
    </w:p>
    <w:p w14:paraId="6E4D5E83">
      <w:pPr>
        <w:pStyle w:val="17"/>
        <w:rPr>
          <w:rFonts w:ascii="仿宋_GB2312" w:hAnsi="仿宋_GB2312" w:eastAsia="仿宋_GB2312" w:cs="仿宋_GB2312"/>
          <w:color w:val="auto"/>
          <w:sz w:val="30"/>
          <w:szCs w:val="30"/>
          <w:highlight w:val="none"/>
        </w:rPr>
      </w:pPr>
    </w:p>
    <w:p w14:paraId="2FF22569">
      <w:pPr>
        <w:pStyle w:val="17"/>
        <w:rPr>
          <w:rFonts w:ascii="仿宋_GB2312" w:hAnsi="仿宋_GB2312" w:eastAsia="仿宋_GB2312" w:cs="仿宋_GB2312"/>
          <w:color w:val="auto"/>
          <w:sz w:val="30"/>
          <w:szCs w:val="30"/>
          <w:highlight w:val="none"/>
        </w:rPr>
      </w:pPr>
    </w:p>
    <w:p w14:paraId="4E7703AF">
      <w:pPr>
        <w:pStyle w:val="17"/>
        <w:rPr>
          <w:rFonts w:ascii="仿宋_GB2312" w:hAnsi="仿宋_GB2312" w:eastAsia="仿宋_GB2312" w:cs="仿宋_GB2312"/>
          <w:color w:val="auto"/>
          <w:sz w:val="30"/>
          <w:szCs w:val="30"/>
          <w:highlight w:val="none"/>
        </w:rPr>
      </w:pPr>
    </w:p>
    <w:p w14:paraId="375CF728">
      <w:pPr>
        <w:pStyle w:val="17"/>
        <w:rPr>
          <w:rFonts w:ascii="仿宋_GB2312" w:hAnsi="仿宋_GB2312" w:eastAsia="仿宋_GB2312" w:cs="仿宋_GB2312"/>
          <w:color w:val="auto"/>
          <w:sz w:val="30"/>
          <w:szCs w:val="30"/>
          <w:highlight w:val="none"/>
        </w:rPr>
      </w:pPr>
    </w:p>
    <w:p w14:paraId="59E440E5">
      <w:pPr>
        <w:pStyle w:val="17"/>
        <w:ind w:left="0" w:leftChars="0" w:firstLine="0" w:firstLineChars="0"/>
        <w:rPr>
          <w:rFonts w:ascii="仿宋_GB2312" w:hAnsi="仿宋_GB2312" w:eastAsia="仿宋_GB2312" w:cs="仿宋_GB2312"/>
          <w:color w:val="auto"/>
          <w:sz w:val="30"/>
          <w:szCs w:val="30"/>
          <w:highlight w:val="none"/>
        </w:rPr>
      </w:pPr>
    </w:p>
    <w:bookmarkEnd w:id="1460"/>
    <w:bookmarkEnd w:id="1461"/>
    <w:p w14:paraId="2BA7CAA8">
      <w:pPr>
        <w:pStyle w:val="6"/>
        <w:rPr>
          <w:rFonts w:hint="eastAsia" w:eastAsia="华文中宋"/>
          <w:color w:val="auto"/>
          <w:highlight w:val="none"/>
          <w:lang w:eastAsia="zh-CN"/>
        </w:rPr>
      </w:pPr>
      <w:bookmarkStart w:id="1466" w:name="_Toc18701"/>
      <w:bookmarkStart w:id="1467" w:name="_Toc8181"/>
      <w:bookmarkStart w:id="1468" w:name="_Toc17170"/>
      <w:bookmarkStart w:id="1469" w:name="_Toc2085"/>
      <w:bookmarkStart w:id="1470" w:name="_Toc9928"/>
      <w:r>
        <w:rPr>
          <w:rFonts w:hint="eastAsia"/>
          <w:color w:val="auto"/>
          <w:highlight w:val="none"/>
        </w:rPr>
        <w:t>第七部分  发包人（甲方）要求</w:t>
      </w:r>
      <w:bookmarkEnd w:id="1466"/>
      <w:bookmarkEnd w:id="1467"/>
      <w:bookmarkEnd w:id="1468"/>
      <w:bookmarkEnd w:id="1469"/>
      <w:bookmarkEnd w:id="1470"/>
      <w:r>
        <w:rPr>
          <w:rFonts w:hint="eastAsia"/>
          <w:color w:val="auto"/>
          <w:highlight w:val="none"/>
          <w:lang w:eastAsia="zh-CN"/>
        </w:rPr>
        <w:t>（</w:t>
      </w:r>
      <w:r>
        <w:rPr>
          <w:rFonts w:hint="eastAsia"/>
          <w:color w:val="auto"/>
          <w:highlight w:val="none"/>
          <w:lang w:val="en-US" w:eastAsia="zh-CN"/>
        </w:rPr>
        <w:t>如有</w:t>
      </w:r>
      <w:r>
        <w:rPr>
          <w:rFonts w:hint="eastAsia"/>
          <w:color w:val="auto"/>
          <w:highlight w:val="none"/>
          <w:lang w:eastAsia="zh-CN"/>
        </w:rPr>
        <w:t>）</w:t>
      </w:r>
    </w:p>
    <w:p w14:paraId="3560725C">
      <w:pPr>
        <w:pStyle w:val="6"/>
        <w:spacing w:before="0" w:after="0" w:line="360" w:lineRule="auto"/>
        <w:rPr>
          <w:rFonts w:ascii="Times New Roman" w:hAnsi="Times New Roman" w:eastAsia="黑体"/>
          <w:bCs/>
          <w:color w:val="auto"/>
          <w:sz w:val="32"/>
          <w:szCs w:val="44"/>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744528E1">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471" w:name="_Toc24099"/>
      <w:bookmarkStart w:id="1472" w:name="_Toc25643"/>
      <w:bookmarkStart w:id="1473" w:name="_Toc16020"/>
      <w:bookmarkStart w:id="1474" w:name="_Toc15541"/>
      <w:bookmarkStart w:id="1475" w:name="_Toc4005"/>
      <w:r>
        <w:rPr>
          <w:rFonts w:hint="eastAsia"/>
          <w:color w:val="auto"/>
          <w:highlight w:val="none"/>
        </w:rPr>
        <w:t>第八部分  技术标准</w:t>
      </w:r>
      <w:bookmarkEnd w:id="1471"/>
      <w:bookmarkEnd w:id="1472"/>
      <w:bookmarkEnd w:id="1473"/>
      <w:bookmarkEnd w:id="1474"/>
      <w:bookmarkEnd w:id="1475"/>
    </w:p>
    <w:p w14:paraId="294FBB86">
      <w:pPr>
        <w:pStyle w:val="6"/>
        <w:rPr>
          <w:color w:val="auto"/>
          <w:highlight w:val="none"/>
        </w:rPr>
      </w:pPr>
      <w:bookmarkStart w:id="1476" w:name="_Toc3824"/>
      <w:bookmarkStart w:id="1477" w:name="_Toc27992"/>
      <w:bookmarkStart w:id="1478" w:name="_Toc25152"/>
      <w:bookmarkStart w:id="1479" w:name="_Toc9367"/>
      <w:bookmarkStart w:id="1480" w:name="_Toc30435"/>
      <w:r>
        <w:rPr>
          <w:rFonts w:hint="eastAsia"/>
          <w:color w:val="auto"/>
          <w:highlight w:val="none"/>
        </w:rPr>
        <w:t>第九部分  设计费用清单</w:t>
      </w:r>
      <w:bookmarkEnd w:id="1476"/>
      <w:bookmarkEnd w:id="1477"/>
      <w:bookmarkEnd w:id="1478"/>
      <w:bookmarkEnd w:id="1479"/>
      <w:bookmarkEnd w:id="1480"/>
    </w:p>
    <w:p w14:paraId="41C6CB2E">
      <w:pPr>
        <w:pStyle w:val="6"/>
        <w:spacing w:before="0" w:after="0" w:line="360" w:lineRule="auto"/>
        <w:jc w:val="both"/>
        <w:rPr>
          <w:rFonts w:ascii="Times New Roman" w:hAnsi="Times New Roman" w:eastAsia="黑体"/>
          <w:bCs/>
          <w:color w:val="auto"/>
          <w:sz w:val="32"/>
          <w:szCs w:val="44"/>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70DA0577">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481" w:name="_Toc26510"/>
      <w:bookmarkStart w:id="1482" w:name="_Toc14500"/>
      <w:bookmarkStart w:id="1483" w:name="_Toc23323"/>
      <w:bookmarkStart w:id="1484" w:name="_Toc13169"/>
      <w:bookmarkStart w:id="1485" w:name="_Toc2107"/>
      <w:r>
        <w:rPr>
          <w:rFonts w:hint="eastAsia"/>
          <w:color w:val="auto"/>
          <w:highlight w:val="none"/>
        </w:rPr>
        <w:t>第十部分  发包人提供的上一阶段图纸（如有）</w:t>
      </w:r>
      <w:bookmarkEnd w:id="1481"/>
      <w:bookmarkEnd w:id="1482"/>
      <w:bookmarkEnd w:id="1483"/>
      <w:bookmarkEnd w:id="1484"/>
      <w:bookmarkEnd w:id="1485"/>
    </w:p>
    <w:p w14:paraId="68EAF8CD">
      <w:pPr>
        <w:pStyle w:val="6"/>
        <w:rPr>
          <w:color w:val="auto"/>
          <w:highlight w:val="none"/>
        </w:rPr>
      </w:pPr>
      <w:bookmarkStart w:id="1486" w:name="_Toc29905"/>
      <w:bookmarkStart w:id="1487" w:name="_Toc9550"/>
      <w:r>
        <w:rPr>
          <w:rFonts w:hint="eastAsia"/>
          <w:color w:val="auto"/>
          <w:highlight w:val="none"/>
        </w:rPr>
        <w:t>第十一部分 招标文件及附件（如有）</w:t>
      </w:r>
      <w:bookmarkEnd w:id="1486"/>
      <w:bookmarkEnd w:id="1487"/>
    </w:p>
    <w:p w14:paraId="13719557">
      <w:pPr>
        <w:rPr>
          <w:color w:val="auto"/>
          <w:highlight w:val="none"/>
        </w:rPr>
      </w:pPr>
    </w:p>
    <w:p w14:paraId="3B1596D6">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37A894CF">
      <w:pPr>
        <w:rPr>
          <w:color w:val="auto"/>
          <w:highlight w:val="none"/>
        </w:rPr>
      </w:pPr>
    </w:p>
    <w:p w14:paraId="476A6DF3">
      <w:pPr>
        <w:rPr>
          <w:color w:val="auto"/>
          <w:highlight w:val="none"/>
        </w:rPr>
      </w:pPr>
    </w:p>
    <w:p w14:paraId="7A3B13F5">
      <w:pPr>
        <w:rPr>
          <w:color w:val="auto"/>
          <w:highlight w:val="none"/>
        </w:rPr>
      </w:pPr>
    </w:p>
    <w:p w14:paraId="291FD432">
      <w:pPr>
        <w:rPr>
          <w:color w:val="auto"/>
          <w:highlight w:val="none"/>
        </w:rPr>
      </w:pPr>
    </w:p>
    <w:p w14:paraId="7A6FCF6C">
      <w:pPr>
        <w:rPr>
          <w:color w:val="auto"/>
          <w:highlight w:val="none"/>
        </w:rPr>
      </w:pPr>
    </w:p>
    <w:p w14:paraId="5AFA4FA7">
      <w:pPr>
        <w:rPr>
          <w:color w:val="auto"/>
          <w:highlight w:val="none"/>
        </w:rPr>
      </w:pPr>
    </w:p>
    <w:p w14:paraId="56192D00">
      <w:pPr>
        <w:rPr>
          <w:color w:val="auto"/>
          <w:highlight w:val="none"/>
        </w:rPr>
      </w:pPr>
    </w:p>
    <w:p w14:paraId="7076600D">
      <w:pPr>
        <w:rPr>
          <w:color w:val="auto"/>
          <w:highlight w:val="none"/>
        </w:rPr>
      </w:pPr>
    </w:p>
    <w:p w14:paraId="4914D1D6">
      <w:pPr>
        <w:rPr>
          <w:color w:val="auto"/>
          <w:highlight w:val="none"/>
        </w:rPr>
      </w:pPr>
    </w:p>
    <w:p w14:paraId="341E04DA">
      <w:pPr>
        <w:rPr>
          <w:color w:val="auto"/>
          <w:highlight w:val="none"/>
        </w:rPr>
      </w:pPr>
    </w:p>
    <w:p w14:paraId="3120BE2E">
      <w:pPr>
        <w:rPr>
          <w:color w:val="auto"/>
          <w:highlight w:val="none"/>
        </w:rPr>
      </w:pPr>
    </w:p>
    <w:p w14:paraId="78480E6D">
      <w:pPr>
        <w:rPr>
          <w:color w:val="auto"/>
          <w:highlight w:val="none"/>
        </w:rPr>
      </w:pPr>
    </w:p>
    <w:p w14:paraId="2D02AA5A">
      <w:pPr>
        <w:rPr>
          <w:color w:val="auto"/>
          <w:highlight w:val="none"/>
        </w:rPr>
      </w:pPr>
    </w:p>
    <w:p w14:paraId="6DF3CB04">
      <w:pPr>
        <w:rPr>
          <w:color w:val="auto"/>
          <w:highlight w:val="none"/>
        </w:rPr>
      </w:pPr>
    </w:p>
    <w:p w14:paraId="255C0A1F">
      <w:pPr>
        <w:rPr>
          <w:color w:val="auto"/>
          <w:highlight w:val="none"/>
        </w:rPr>
      </w:pPr>
    </w:p>
    <w:p w14:paraId="62223F46">
      <w:pPr>
        <w:rPr>
          <w:color w:val="auto"/>
          <w:highlight w:val="none"/>
        </w:rPr>
      </w:pPr>
    </w:p>
    <w:p w14:paraId="06FE39CC">
      <w:pPr>
        <w:rPr>
          <w:color w:val="auto"/>
          <w:highlight w:val="none"/>
        </w:rPr>
      </w:pPr>
    </w:p>
    <w:p w14:paraId="10806DD6">
      <w:pPr>
        <w:rPr>
          <w:color w:val="auto"/>
          <w:highlight w:val="none"/>
        </w:rPr>
      </w:pPr>
    </w:p>
    <w:p w14:paraId="59CFCCEC">
      <w:pPr>
        <w:rPr>
          <w:color w:val="auto"/>
          <w:highlight w:val="none"/>
        </w:rPr>
      </w:pPr>
    </w:p>
    <w:p w14:paraId="26D15221">
      <w:pPr>
        <w:rPr>
          <w:color w:val="auto"/>
          <w:highlight w:val="none"/>
        </w:rPr>
      </w:pPr>
    </w:p>
    <w:p w14:paraId="36158371">
      <w:pPr>
        <w:rPr>
          <w:color w:val="auto"/>
          <w:highlight w:val="none"/>
        </w:rPr>
      </w:pPr>
    </w:p>
    <w:p w14:paraId="33A283A2">
      <w:pPr>
        <w:rPr>
          <w:color w:val="auto"/>
          <w:highlight w:val="none"/>
        </w:rPr>
      </w:pPr>
    </w:p>
    <w:p w14:paraId="18B62EEE">
      <w:pPr>
        <w:rPr>
          <w:color w:val="auto"/>
          <w:highlight w:val="none"/>
        </w:rPr>
      </w:pPr>
    </w:p>
    <w:p w14:paraId="2DCA3526">
      <w:pPr>
        <w:rPr>
          <w:color w:val="auto"/>
          <w:highlight w:val="none"/>
        </w:rPr>
      </w:pPr>
    </w:p>
    <w:p w14:paraId="5020A098">
      <w:pPr>
        <w:rPr>
          <w:color w:val="auto"/>
          <w:highlight w:val="none"/>
        </w:rPr>
      </w:pPr>
    </w:p>
    <w:p w14:paraId="49DEC328">
      <w:pPr>
        <w:rPr>
          <w:color w:val="auto"/>
          <w:highlight w:val="none"/>
        </w:rPr>
      </w:pPr>
    </w:p>
    <w:p w14:paraId="593184D3">
      <w:pPr>
        <w:rPr>
          <w:color w:val="auto"/>
          <w:highlight w:val="none"/>
        </w:rPr>
      </w:pPr>
    </w:p>
    <w:p w14:paraId="633C2A18">
      <w:pPr>
        <w:rPr>
          <w:color w:val="auto"/>
          <w:highlight w:val="none"/>
        </w:rPr>
      </w:pPr>
    </w:p>
    <w:p w14:paraId="40B3EC3F">
      <w:pPr>
        <w:rPr>
          <w:color w:val="auto"/>
          <w:highlight w:val="none"/>
        </w:rPr>
      </w:pPr>
    </w:p>
    <w:p w14:paraId="219ECE44">
      <w:pPr>
        <w:rPr>
          <w:color w:val="auto"/>
          <w:highlight w:val="none"/>
        </w:rPr>
      </w:pPr>
    </w:p>
    <w:p w14:paraId="4F60EAB8">
      <w:pPr>
        <w:rPr>
          <w:color w:val="auto"/>
          <w:highlight w:val="none"/>
        </w:rPr>
      </w:pPr>
    </w:p>
    <w:p w14:paraId="05D678DB">
      <w:pPr>
        <w:rPr>
          <w:color w:val="auto"/>
          <w:highlight w:val="none"/>
        </w:rPr>
      </w:pPr>
    </w:p>
    <w:p w14:paraId="0BD9D382">
      <w:pPr>
        <w:rPr>
          <w:color w:val="auto"/>
          <w:highlight w:val="none"/>
        </w:rPr>
      </w:pPr>
    </w:p>
    <w:p w14:paraId="3861B0E7">
      <w:pPr>
        <w:rPr>
          <w:color w:val="auto"/>
          <w:highlight w:val="none"/>
        </w:rPr>
      </w:pPr>
    </w:p>
    <w:p w14:paraId="2BB1642C">
      <w:pPr>
        <w:rPr>
          <w:color w:val="auto"/>
          <w:highlight w:val="none"/>
        </w:rPr>
      </w:pPr>
    </w:p>
    <w:p w14:paraId="7AC4DADE">
      <w:pPr>
        <w:pStyle w:val="6"/>
        <w:rPr>
          <w:color w:val="auto"/>
          <w:highlight w:val="none"/>
        </w:rPr>
      </w:pPr>
      <w:bookmarkStart w:id="1488" w:name="_Toc16513"/>
      <w:bookmarkStart w:id="1489" w:name="_Toc10781"/>
      <w:r>
        <w:rPr>
          <w:rFonts w:hint="eastAsia"/>
          <w:color w:val="auto"/>
          <w:highlight w:val="none"/>
        </w:rPr>
        <w:t>第十二部分 投标文件（如有）</w:t>
      </w:r>
      <w:bookmarkEnd w:id="1488"/>
      <w:bookmarkEnd w:id="1489"/>
    </w:p>
    <w:p w14:paraId="220C60EE">
      <w:pPr>
        <w:rPr>
          <w:color w:val="auto"/>
          <w:highlight w:val="none"/>
        </w:rPr>
      </w:pPr>
    </w:p>
    <w:p w14:paraId="753C16F5">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16D93413">
      <w:pPr>
        <w:rPr>
          <w:color w:val="auto"/>
          <w:highlight w:val="none"/>
        </w:rPr>
        <w:sectPr>
          <w:footerReference r:id="rId10" w:type="default"/>
          <w:pgSz w:w="11850" w:h="16783"/>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02B17ACA">
      <w:pPr>
        <w:pStyle w:val="6"/>
        <w:rPr>
          <w:color w:val="auto"/>
          <w:highlight w:val="none"/>
        </w:rPr>
      </w:pPr>
      <w:bookmarkStart w:id="1490" w:name="_Toc15157"/>
      <w:bookmarkStart w:id="1491" w:name="_Toc11257"/>
      <w:bookmarkStart w:id="1492" w:name="_Toc19435"/>
      <w:bookmarkStart w:id="1493" w:name="_Toc31042"/>
      <w:bookmarkStart w:id="1494" w:name="_Toc10994"/>
      <w:r>
        <w:rPr>
          <w:rFonts w:hint="eastAsia"/>
          <w:color w:val="auto"/>
          <w:highlight w:val="none"/>
        </w:rPr>
        <w:t>第十三部分 其他合同文件</w:t>
      </w:r>
      <w:bookmarkEnd w:id="1490"/>
      <w:bookmarkEnd w:id="1491"/>
      <w:bookmarkEnd w:id="1492"/>
      <w:bookmarkEnd w:id="1493"/>
      <w:bookmarkEnd w:id="1494"/>
    </w:p>
    <w:p w14:paraId="078C4969">
      <w:pPr>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B84391B">
      <w:pPr>
        <w:jc w:val="left"/>
        <w:outlineLvl w:val="0"/>
        <w:rPr>
          <w:rFonts w:ascii="黑体" w:hAnsi="黑体" w:eastAsia="黑体" w:cs="黑体"/>
          <w:b/>
          <w:bCs/>
          <w:color w:val="auto"/>
          <w:sz w:val="36"/>
          <w:szCs w:val="36"/>
          <w:highlight w:val="none"/>
        </w:rPr>
      </w:pPr>
      <w:bookmarkStart w:id="1495" w:name="_Toc28407"/>
      <w:bookmarkStart w:id="1496" w:name="_Toc359"/>
      <w:bookmarkStart w:id="1497" w:name="_Toc15734"/>
      <w:bookmarkStart w:id="1498" w:name="_Toc10512"/>
      <w:bookmarkStart w:id="1499" w:name="_Toc31034"/>
      <w:bookmarkStart w:id="1500" w:name="_Toc23130"/>
      <w:bookmarkStart w:id="1501" w:name="_Toc26151"/>
      <w:bookmarkStart w:id="1502" w:name="_Toc14577"/>
      <w:r>
        <w:rPr>
          <w:rFonts w:hint="eastAsia" w:ascii="黑体" w:hAnsi="黑体" w:eastAsia="黑体" w:cs="黑体"/>
          <w:b/>
          <w:bCs/>
          <w:color w:val="auto"/>
          <w:sz w:val="36"/>
          <w:szCs w:val="36"/>
          <w:highlight w:val="none"/>
        </w:rPr>
        <w:t>附件1.                    合同范本修改对比表</w:t>
      </w:r>
      <w:bookmarkEnd w:id="1495"/>
      <w:bookmarkEnd w:id="1496"/>
      <w:bookmarkEnd w:id="1497"/>
      <w:bookmarkEnd w:id="1498"/>
      <w:bookmarkEnd w:id="1499"/>
      <w:bookmarkEnd w:id="1500"/>
      <w:bookmarkEnd w:id="1501"/>
      <w:bookmarkEnd w:id="1502"/>
    </w:p>
    <w:tbl>
      <w:tblPr>
        <w:tblStyle w:val="36"/>
        <w:tblW w:w="99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048"/>
        <w:gridCol w:w="2825"/>
        <w:gridCol w:w="2462"/>
        <w:gridCol w:w="1463"/>
        <w:gridCol w:w="1287"/>
      </w:tblGrid>
      <w:tr w14:paraId="25B7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076ACCE7">
            <w:pPr>
              <w:widowControl/>
              <w:adjustRightInd w:val="0"/>
              <w:snapToGrid w:val="0"/>
              <w:jc w:val="center"/>
              <w:rPr>
                <w:rFonts w:ascii="仿宋_GB2312" w:hAnsi="Courier New" w:eastAsia="仿宋_GB2312" w:cs="Courier New"/>
                <w:b/>
                <w:bCs/>
                <w:color w:val="auto"/>
                <w:kern w:val="0"/>
                <w:sz w:val="32"/>
                <w:szCs w:val="32"/>
                <w:highlight w:val="none"/>
              </w:rPr>
            </w:pPr>
            <w:r>
              <w:rPr>
                <w:rFonts w:hint="eastAsia" w:ascii="仿宋_GB2312" w:hAnsi="Courier New" w:eastAsia="仿宋_GB2312" w:cs="Courier New"/>
                <w:b/>
                <w:bCs/>
                <w:color w:val="auto"/>
                <w:kern w:val="0"/>
                <w:sz w:val="32"/>
                <w:szCs w:val="32"/>
                <w:highlight w:val="none"/>
                <w:u w:val="single"/>
              </w:rPr>
              <w:t xml:space="preserve">  </w:t>
            </w:r>
            <w:r>
              <w:rPr>
                <w:rFonts w:hint="eastAsia" w:ascii="黑体" w:hAnsi="黑体" w:eastAsia="黑体" w:cs="黑体"/>
                <w:b/>
                <w:bCs/>
                <w:color w:val="auto"/>
                <w:sz w:val="36"/>
                <w:szCs w:val="36"/>
                <w:highlight w:val="none"/>
                <w:u w:val="single"/>
              </w:rPr>
              <w:t xml:space="preserve">房地产开发项目设计合同 </w:t>
            </w:r>
            <w:r>
              <w:rPr>
                <w:rFonts w:hint="eastAsia" w:ascii="仿宋_GB2312" w:hAnsi="Courier New" w:eastAsia="仿宋_GB2312" w:cs="Courier New"/>
                <w:b/>
                <w:bCs/>
                <w:color w:val="auto"/>
                <w:kern w:val="0"/>
                <w:sz w:val="32"/>
                <w:szCs w:val="32"/>
                <w:highlight w:val="none"/>
              </w:rPr>
              <w:t>范本修改对比表</w:t>
            </w:r>
          </w:p>
        </w:tc>
      </w:tr>
      <w:tr w14:paraId="5873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5B2F5074">
            <w:pPr>
              <w:widowControl/>
              <w:adjustRightInd w:val="0"/>
              <w:snapToGrid w:val="0"/>
              <w:jc w:val="left"/>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合同名称：《            》</w:t>
            </w:r>
          </w:p>
        </w:tc>
      </w:tr>
      <w:tr w14:paraId="655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77B47C5">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序号</w:t>
            </w:r>
          </w:p>
        </w:tc>
        <w:tc>
          <w:tcPr>
            <w:tcW w:w="1048" w:type="dxa"/>
            <w:vAlign w:val="center"/>
          </w:tcPr>
          <w:p w14:paraId="7B36F02F">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条款号</w:t>
            </w:r>
          </w:p>
        </w:tc>
        <w:tc>
          <w:tcPr>
            <w:tcW w:w="2825" w:type="dxa"/>
            <w:vAlign w:val="center"/>
          </w:tcPr>
          <w:p w14:paraId="7F58A178">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原条款</w:t>
            </w:r>
          </w:p>
        </w:tc>
        <w:tc>
          <w:tcPr>
            <w:tcW w:w="2462" w:type="dxa"/>
            <w:vAlign w:val="center"/>
          </w:tcPr>
          <w:p w14:paraId="7E84728C">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修改后条款</w:t>
            </w:r>
          </w:p>
        </w:tc>
        <w:tc>
          <w:tcPr>
            <w:tcW w:w="1463" w:type="dxa"/>
            <w:vAlign w:val="center"/>
          </w:tcPr>
          <w:p w14:paraId="49E9CBA0">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修改原因</w:t>
            </w:r>
          </w:p>
        </w:tc>
        <w:tc>
          <w:tcPr>
            <w:tcW w:w="1287" w:type="dxa"/>
            <w:vAlign w:val="center"/>
          </w:tcPr>
          <w:p w14:paraId="0D6CC73D">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备注</w:t>
            </w:r>
          </w:p>
        </w:tc>
      </w:tr>
      <w:tr w14:paraId="7906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93B8277">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6BF32FAF">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53758378">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376924E3">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59A144C8">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7A183E05">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C11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6F937EE4">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60B25830">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074C9348">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6A9995B3">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537BA59E">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4C001C80">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1BE4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8E48D67">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19687938">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07BDDE89">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645E9390">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75500CB7">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6084DDA2">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0C2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14C0721">
            <w:pPr>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2BEC0CFB">
            <w:pPr>
              <w:widowControl/>
              <w:adjustRightInd w:val="0"/>
              <w:snapToGrid w:val="0"/>
              <w:jc w:val="center"/>
              <w:rPr>
                <w:rFonts w:ascii="仿宋_GB2312" w:eastAsia="仿宋_GB2312" w:cs="Calibri"/>
                <w:color w:val="auto"/>
                <w:kern w:val="0"/>
                <w:sz w:val="28"/>
                <w:szCs w:val="28"/>
                <w:highlight w:val="none"/>
              </w:rPr>
            </w:pPr>
          </w:p>
        </w:tc>
        <w:tc>
          <w:tcPr>
            <w:tcW w:w="2825" w:type="dxa"/>
            <w:vAlign w:val="center"/>
          </w:tcPr>
          <w:p w14:paraId="31DF7C89">
            <w:pPr>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0D23FFD2">
            <w:pPr>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6000FF65">
            <w:pPr>
              <w:widowControl/>
              <w:adjustRightInd w:val="0"/>
              <w:snapToGrid w:val="0"/>
              <w:jc w:val="center"/>
              <w:rPr>
                <w:rFonts w:ascii="仿宋_GB2312" w:eastAsia="仿宋_GB2312" w:cs="Calibri"/>
                <w:color w:val="auto"/>
                <w:kern w:val="0"/>
                <w:sz w:val="28"/>
                <w:szCs w:val="28"/>
                <w:highlight w:val="none"/>
              </w:rPr>
            </w:pPr>
          </w:p>
        </w:tc>
        <w:tc>
          <w:tcPr>
            <w:tcW w:w="1287" w:type="dxa"/>
            <w:vAlign w:val="center"/>
          </w:tcPr>
          <w:p w14:paraId="01AD6310">
            <w:pPr>
              <w:widowControl/>
              <w:adjustRightInd w:val="0"/>
              <w:snapToGrid w:val="0"/>
              <w:jc w:val="center"/>
              <w:rPr>
                <w:rFonts w:ascii="仿宋_GB2312" w:eastAsia="仿宋_GB2312" w:cs="Calibri"/>
                <w:color w:val="auto"/>
                <w:kern w:val="0"/>
                <w:sz w:val="28"/>
                <w:szCs w:val="28"/>
                <w:highlight w:val="none"/>
              </w:rPr>
            </w:pPr>
          </w:p>
        </w:tc>
      </w:tr>
      <w:tr w14:paraId="3E38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247179C2">
            <w:pPr>
              <w:widowControl/>
              <w:adjustRightInd w:val="0"/>
              <w:snapToGrid w:val="0"/>
              <w:jc w:val="center"/>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 xml:space="preserve">经办人：           </w:t>
            </w:r>
            <w:r>
              <w:rPr>
                <w:rFonts w:ascii="仿宋_GB2312" w:hAnsi="宋体" w:eastAsia="仿宋_GB2312" w:cs="宋体"/>
                <w:color w:val="auto"/>
                <w:kern w:val="0"/>
                <w:sz w:val="28"/>
                <w:szCs w:val="28"/>
                <w:highlight w:val="none"/>
              </w:rPr>
              <w:t xml:space="preserve"> </w:t>
            </w:r>
            <w:r>
              <w:rPr>
                <w:rFonts w:hint="eastAsia" w:ascii="仿宋_GB2312" w:hAnsi="宋体" w:eastAsia="仿宋_GB2312" w:cs="宋体"/>
                <w:color w:val="auto"/>
                <w:kern w:val="0"/>
                <w:sz w:val="28"/>
                <w:szCs w:val="28"/>
                <w:highlight w:val="none"/>
              </w:rPr>
              <w:t>审核人：                部门负责人：</w:t>
            </w:r>
          </w:p>
        </w:tc>
      </w:tr>
      <w:tr w14:paraId="6D5B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9980" w:type="dxa"/>
            <w:gridSpan w:val="6"/>
            <w:vAlign w:val="center"/>
          </w:tcPr>
          <w:p w14:paraId="044C2921">
            <w:pPr>
              <w:widowControl/>
              <w:adjustRightInd w:val="0"/>
              <w:snapToGrid w:val="0"/>
              <w:ind w:firstLine="560" w:firstLineChars="200"/>
              <w:rPr>
                <w:rFonts w:ascii="仿宋_GB2312" w:hAnsi="宋体" w:eastAsia="仿宋_GB2312" w:cs="宋体"/>
                <w:color w:val="auto"/>
                <w:kern w:val="0"/>
                <w:sz w:val="28"/>
                <w:szCs w:val="28"/>
                <w:highlight w:val="none"/>
              </w:rPr>
            </w:pPr>
            <w:r>
              <w:rPr>
                <w:rFonts w:hint="eastAsia" w:ascii="仿宋_GB2312" w:hAnsi="仿宋_GB2312" w:eastAsia="仿宋_GB2312" w:cs="仿宋_GB2312"/>
                <w:color w:val="auto"/>
                <w:kern w:val="0"/>
                <w:sz w:val="28"/>
                <w:szCs w:val="28"/>
                <w:highlight w:val="none"/>
              </w:rPr>
              <w:t>注：在编制</w:t>
            </w:r>
            <w:r>
              <w:rPr>
                <w:rFonts w:hint="eastAsia" w:ascii="仿宋_GB2312" w:hAnsi="仿宋_GB2312" w:eastAsia="仿宋_GB2312" w:cs="仿宋_GB2312"/>
                <w:color w:val="auto"/>
                <w:kern w:val="0"/>
                <w:sz w:val="28"/>
                <w:szCs w:val="28"/>
                <w:highlight w:val="none"/>
                <w:u w:val="single"/>
              </w:rPr>
              <w:t xml:space="preserve">      合同</w:t>
            </w:r>
            <w:r>
              <w:rPr>
                <w:rFonts w:hint="eastAsia" w:ascii="仿宋_GB2312" w:hAnsi="仿宋_GB2312" w:eastAsia="仿宋_GB2312" w:cs="仿宋_GB2312"/>
                <w:color w:val="auto"/>
                <w:kern w:val="0"/>
                <w:sz w:val="28"/>
                <w:szCs w:val="28"/>
                <w:highlight w:val="none"/>
              </w:rPr>
              <w:t>文件时，依据现行范本编制协议的，需要修改的条款、原因及建议尽量详细，如尚未确定修改的具体建议，可以将修改的方向或思路列明在修改建议项目中，该对比表必须详细、准确。</w:t>
            </w:r>
          </w:p>
        </w:tc>
      </w:tr>
    </w:tbl>
    <w:p w14:paraId="63CD983F">
      <w:pPr>
        <w:tabs>
          <w:tab w:val="left" w:pos="1134"/>
          <w:tab w:val="left" w:pos="8364"/>
        </w:tabs>
        <w:spacing w:before="0"/>
        <w:ind w:left="0" w:right="-57" w:firstLine="0"/>
        <w:rPr>
          <w:rFonts w:hint="eastAsia" w:ascii="宋体" w:hAnsi="宋体"/>
          <w:color w:val="auto"/>
          <w:highlight w:val="none"/>
        </w:rPr>
      </w:pPr>
    </w:p>
    <w:p w14:paraId="79EB8CFE">
      <w:pPr>
        <w:pStyle w:val="6"/>
        <w:pageBreakBefore/>
        <w:ind w:right="-57"/>
        <w:jc w:val="center"/>
        <w:rPr>
          <w:rStyle w:val="54"/>
          <w:rFonts w:hint="eastAsia" w:ascii="宋体" w:hAnsi="宋体" w:eastAsia="宋体"/>
          <w:b/>
          <w:bCs/>
          <w:color w:val="auto"/>
          <w:highlight w:val="none"/>
        </w:rPr>
      </w:pPr>
      <w:bookmarkStart w:id="1503" w:name="_Toc28285"/>
      <w:bookmarkStart w:id="1504" w:name="_Toc4807"/>
      <w:bookmarkStart w:id="1505" w:name="_Toc6151"/>
      <w:bookmarkStart w:id="1506" w:name="_Toc30920"/>
      <w:bookmarkStart w:id="1507" w:name="_Toc27263"/>
      <w:bookmarkStart w:id="1508" w:name="_Toc28677"/>
      <w:bookmarkStart w:id="1509" w:name="_Toc13167"/>
      <w:bookmarkStart w:id="1510" w:name="_Toc25306"/>
      <w:bookmarkStart w:id="1511" w:name="_Toc31873"/>
      <w:bookmarkStart w:id="1512" w:name="_Toc29546"/>
      <w:bookmarkStart w:id="1513" w:name="_Toc11320"/>
      <w:bookmarkStart w:id="1514" w:name="_Toc21689"/>
      <w:bookmarkStart w:id="1515" w:name="_Toc17261"/>
      <w:bookmarkStart w:id="1516" w:name="_Toc32011"/>
      <w:bookmarkStart w:id="1517" w:name="_Toc4374"/>
      <w:bookmarkStart w:id="1518" w:name="_Toc31574"/>
      <w:bookmarkStart w:id="1519" w:name="_Toc14790"/>
      <w:bookmarkStart w:id="1520" w:name="_Toc17396"/>
      <w:r>
        <w:rPr>
          <w:rStyle w:val="54"/>
          <w:rFonts w:hint="eastAsia" w:ascii="宋体" w:hAnsi="宋体" w:eastAsia="宋体"/>
          <w:b/>
          <w:bCs/>
          <w:color w:val="auto"/>
          <w:highlight w:val="none"/>
        </w:rPr>
        <w:t>第四章</w:t>
      </w:r>
      <w:r>
        <w:rPr>
          <w:rStyle w:val="54"/>
          <w:rFonts w:hint="eastAsia" w:ascii="宋体" w:hAnsi="宋体"/>
          <w:b/>
          <w:bCs/>
          <w:color w:val="auto"/>
          <w:highlight w:val="none"/>
        </w:rPr>
        <w:t xml:space="preserve">  </w:t>
      </w:r>
      <w:r>
        <w:rPr>
          <w:rStyle w:val="54"/>
          <w:rFonts w:hint="eastAsia" w:ascii="宋体" w:hAnsi="宋体" w:eastAsia="宋体"/>
          <w:b/>
          <w:bCs/>
          <w:color w:val="auto"/>
          <w:highlight w:val="none"/>
        </w:rPr>
        <w:t>比选申请文件格式</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C8CDEFD">
      <w:pPr>
        <w:pStyle w:val="6"/>
        <w:spacing w:after="100"/>
        <w:ind w:right="-57" w:firstLine="0"/>
        <w:jc w:val="center"/>
        <w:rPr>
          <w:color w:val="auto"/>
          <w:sz w:val="24"/>
          <w:szCs w:val="24"/>
          <w:highlight w:val="none"/>
        </w:rPr>
      </w:pPr>
      <w:bookmarkStart w:id="1521" w:name="_Toc12531"/>
      <w:bookmarkStart w:id="1522" w:name="_Toc114134662"/>
      <w:bookmarkStart w:id="1523" w:name="_Toc7409"/>
      <w:bookmarkStart w:id="1524" w:name="_Toc22709"/>
      <w:bookmarkStart w:id="1525" w:name="_Toc414290520"/>
      <w:bookmarkStart w:id="1526" w:name="_Toc24453"/>
      <w:bookmarkStart w:id="1527" w:name="_Toc12984805"/>
      <w:bookmarkStart w:id="1528" w:name="_Toc31624"/>
      <w:bookmarkStart w:id="1529" w:name="_Toc361"/>
      <w:bookmarkStart w:id="1530" w:name="_Toc6941"/>
      <w:bookmarkStart w:id="1531" w:name="_Toc12983549"/>
      <w:bookmarkStart w:id="1532" w:name="_Toc24824"/>
      <w:bookmarkStart w:id="1533" w:name="_Toc19412"/>
      <w:bookmarkStart w:id="1534" w:name="_Toc32185"/>
      <w:bookmarkStart w:id="1535" w:name="_Toc492478802"/>
      <w:bookmarkStart w:id="1536" w:name="_Toc21274"/>
      <w:bookmarkStart w:id="1537" w:name="_Toc4027"/>
      <w:bookmarkStart w:id="1538" w:name="_Toc23261"/>
      <w:bookmarkStart w:id="1539" w:name="_Toc25325"/>
      <w:bookmarkStart w:id="1540" w:name="_Toc16671"/>
      <w:bookmarkStart w:id="1541" w:name="_Toc3396"/>
      <w:bookmarkStart w:id="1542" w:name="_Toc4873"/>
      <w:bookmarkStart w:id="1543" w:name="_Toc31535"/>
      <w:bookmarkStart w:id="1544" w:name="_Toc30705"/>
      <w:r>
        <w:rPr>
          <w:color w:val="auto"/>
          <w:sz w:val="24"/>
          <w:szCs w:val="24"/>
          <w:highlight w:val="none"/>
        </w:rPr>
        <w:t>A  资格审查</w:t>
      </w:r>
      <w:r>
        <w:rPr>
          <w:rFonts w:hint="eastAsia"/>
          <w:color w:val="auto"/>
          <w:sz w:val="24"/>
          <w:szCs w:val="24"/>
          <w:highlight w:val="none"/>
        </w:rPr>
        <w:t>文件</w:t>
      </w:r>
      <w:bookmarkEnd w:id="1521"/>
      <w:bookmarkEnd w:id="1522"/>
      <w:bookmarkEnd w:id="1523"/>
    </w:p>
    <w:p w14:paraId="23536D59">
      <w:pPr>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资格审查文件格式</w:t>
      </w:r>
    </w:p>
    <w:p w14:paraId="5296B637">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14:paraId="7AD92F5F">
      <w:pPr>
        <w:tabs>
          <w:tab w:val="left" w:pos="1134"/>
        </w:tabs>
        <w:spacing w:before="0" w:after="0" w:afterAutospacing="0"/>
        <w:ind w:left="0" w:right="0" w:firstLine="420" w:firstLineChars="200"/>
        <w:rPr>
          <w:color w:val="auto"/>
          <w:highlight w:val="none"/>
        </w:rPr>
      </w:pPr>
      <w:r>
        <w:rPr>
          <w:rFonts w:hint="eastAsia" w:hAnsi="宋体"/>
          <w:color w:val="auto"/>
          <w:highlight w:val="none"/>
        </w:rPr>
        <w:t>（2）</w:t>
      </w:r>
      <w:r>
        <w:rPr>
          <w:rFonts w:hint="eastAsia"/>
          <w:color w:val="auto"/>
          <w:highlight w:val="none"/>
        </w:rPr>
        <w:t>比选申请人有效的营业执照</w:t>
      </w:r>
      <w:r>
        <w:rPr>
          <w:rFonts w:hint="eastAsia"/>
          <w:color w:val="auto"/>
          <w:highlight w:val="none"/>
          <w:lang w:eastAsia="zh-CN"/>
        </w:rPr>
        <w:t>、资质证书、认定证书等</w:t>
      </w:r>
      <w:r>
        <w:rPr>
          <w:rFonts w:hint="eastAsia"/>
          <w:color w:val="auto"/>
          <w:highlight w:val="none"/>
        </w:rPr>
        <w:t>复印件</w:t>
      </w:r>
      <w:r>
        <w:rPr>
          <w:rFonts w:hint="eastAsia" w:hAnsi="宋体"/>
          <w:color w:val="auto"/>
          <w:highlight w:val="none"/>
        </w:rPr>
        <w:t>；</w:t>
      </w:r>
    </w:p>
    <w:p w14:paraId="78FB5614">
      <w:pPr>
        <w:spacing w:before="0" w:after="0" w:afterAutospacing="0"/>
        <w:ind w:left="0" w:right="0" w:firstLine="420" w:firstLineChars="200"/>
        <w:rPr>
          <w:rFonts w:hint="eastAsia"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14:paraId="121F73D6">
      <w:pPr>
        <w:spacing w:before="0" w:after="0" w:afterAutospacing="0" w:line="276" w:lineRule="auto"/>
        <w:ind w:left="0" w:right="0" w:firstLine="420" w:firstLineChars="200"/>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）项目类似业绩表（</w:t>
      </w:r>
      <w:r>
        <w:rPr>
          <w:rFonts w:hint="eastAsia" w:ascii="Times New Roman" w:hAnsi="Times New Roman" w:cs="Times New Roman"/>
          <w:color w:val="auto"/>
          <w:highlight w:val="none"/>
          <w:lang w:val="en-US" w:eastAsia="zh-CN"/>
        </w:rPr>
        <w:t>A4</w:t>
      </w:r>
      <w:r>
        <w:rPr>
          <w:rFonts w:hint="eastAsia" w:ascii="Times New Roman" w:hAnsi="Times New Roman" w:cs="Times New Roman"/>
          <w:color w:val="auto"/>
          <w:highlight w:val="none"/>
          <w:lang w:eastAsia="zh-CN"/>
        </w:rPr>
        <w:t>）</w:t>
      </w:r>
    </w:p>
    <w:p w14:paraId="41AC88E9">
      <w:pPr>
        <w:spacing w:before="0" w:after="0" w:afterAutospacing="0" w:line="276" w:lineRule="auto"/>
        <w:ind w:left="0" w:right="0" w:firstLine="420" w:firstLineChars="200"/>
        <w:rPr>
          <w:rFonts w:hint="eastAsia" w:ascii="Times New Roman" w:hAnsi="Times New Roman" w:eastAsia="宋体" w:cs="Times New Roman"/>
          <w:color w:val="auto"/>
          <w:highlight w:val="none"/>
          <w:lang w:val="en-US" w:eastAsia="zh-CN"/>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A5</w:t>
      </w:r>
      <w:r>
        <w:rPr>
          <w:rFonts w:hint="eastAsia" w:ascii="Times New Roman" w:hAnsi="Times New Roman" w:cs="Times New Roman"/>
          <w:color w:val="auto"/>
          <w:highlight w:val="none"/>
          <w:lang w:eastAsia="zh-CN"/>
        </w:rPr>
        <w:t>）</w:t>
      </w:r>
      <w:r>
        <w:rPr>
          <w:rFonts w:hint="eastAsia" w:ascii="Times New Roman" w:hAnsi="Times New Roman" w:eastAsia="宋体" w:cs="Times New Roman"/>
          <w:color w:val="auto"/>
          <w:highlight w:val="none"/>
          <w:lang w:val="en-US" w:eastAsia="zh-CN"/>
        </w:rPr>
        <w:t>。</w:t>
      </w:r>
    </w:p>
    <w:p w14:paraId="06EA6758">
      <w:pPr>
        <w:spacing w:before="0" w:after="0" w:afterAutospacing="0"/>
        <w:ind w:left="0" w:right="0" w:firstLine="420" w:firstLineChars="20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r>
        <w:rPr>
          <w:rFonts w:hint="eastAsia"/>
          <w:color w:val="auto"/>
          <w:highlight w:val="none"/>
          <w:lang w:eastAsia="zh-CN"/>
        </w:rPr>
        <w:t>）</w:t>
      </w:r>
      <w:r>
        <w:rPr>
          <w:rFonts w:hint="eastAsia" w:hAnsi="宋体"/>
          <w:color w:val="auto"/>
          <w:highlight w:val="none"/>
        </w:rPr>
        <w:t>。</w:t>
      </w:r>
    </w:p>
    <w:p w14:paraId="698B4347">
      <w:pPr>
        <w:spacing w:before="0" w:after="0" w:afterAutospacing="0"/>
        <w:ind w:left="0" w:right="0" w:firstLine="420" w:firstLineChars="200"/>
        <w:rPr>
          <w:rFonts w:hint="eastAsia"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EA0F05C">
      <w:pPr>
        <w:spacing w:before="0" w:after="0" w:afterAutospacing="0"/>
        <w:ind w:left="0" w:right="0" w:firstLine="420" w:firstLineChars="200"/>
        <w:rPr>
          <w:rFonts w:hint="eastAsia" w:hAnsi="宋体"/>
          <w:color w:val="auto"/>
          <w:highlight w:val="none"/>
        </w:rPr>
        <w:sectPr>
          <w:footerReference r:id="rId11"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p>
    <w:p w14:paraId="1F31ACAD">
      <w:pPr>
        <w:snapToGrid w:val="0"/>
        <w:spacing w:before="0" w:line="240" w:lineRule="auto"/>
        <w:ind w:left="0" w:right="0" w:firstLine="0"/>
        <w:jc w:val="left"/>
        <w:outlineLvl w:val="0"/>
        <w:rPr>
          <w:rFonts w:hint="eastAsia" w:ascii="宋体" w:hAnsi="宋体"/>
          <w:b/>
          <w:color w:val="auto"/>
          <w:highlight w:val="none"/>
        </w:rPr>
      </w:pPr>
      <w:bookmarkStart w:id="1545" w:name="_Toc29100"/>
      <w:bookmarkStart w:id="1546" w:name="_Toc375564351"/>
      <w:bookmarkStart w:id="1547" w:name="_Toc4125"/>
      <w:bookmarkStart w:id="1548" w:name="_Toc32455"/>
      <w:bookmarkStart w:id="1549" w:name="_Toc25750675"/>
      <w:bookmarkStart w:id="1550" w:name="_Toc10789"/>
      <w:bookmarkStart w:id="1551" w:name="_Toc7057"/>
      <w:bookmarkStart w:id="1552" w:name="_Toc414290522"/>
      <w:bookmarkStart w:id="1553" w:name="_Toc12984807"/>
      <w:bookmarkStart w:id="1554" w:name="_Toc9658"/>
      <w:bookmarkStart w:id="1555" w:name="_Toc10433"/>
      <w:bookmarkStart w:id="1556" w:name="_Toc956"/>
      <w:bookmarkStart w:id="1557" w:name="_Toc3499"/>
      <w:bookmarkStart w:id="1558" w:name="_Toc20671"/>
      <w:bookmarkStart w:id="1559" w:name="_Toc16089"/>
      <w:bookmarkStart w:id="1560" w:name="_Toc8868"/>
      <w:bookmarkStart w:id="1561" w:name="_Toc15696"/>
      <w:bookmarkStart w:id="1562" w:name="_Toc24436"/>
      <w:bookmarkStart w:id="1563" w:name="_Toc492478804"/>
      <w:bookmarkStart w:id="1564" w:name="_Toc20029"/>
      <w:bookmarkStart w:id="1565" w:name="_Toc13389"/>
      <w:bookmarkStart w:id="1566" w:name="_Toc114134663"/>
      <w:bookmarkStart w:id="1567" w:name="_Toc20283"/>
      <w:bookmarkStart w:id="1568" w:name="_Toc13270"/>
      <w:bookmarkStart w:id="1569" w:name="_Toc22533"/>
      <w:bookmarkStart w:id="1570" w:name="_Toc10238"/>
      <w:r>
        <w:rPr>
          <w:rFonts w:hint="eastAsia" w:ascii="宋体" w:hAnsi="宋体"/>
          <w:b/>
          <w:color w:val="auto"/>
          <w:highlight w:val="none"/>
        </w:rPr>
        <w:t>A1</w:t>
      </w:r>
      <w:r>
        <w:rPr>
          <w:rFonts w:ascii="宋体" w:hAnsi="宋体"/>
          <w:b/>
          <w:color w:val="auto"/>
          <w:highlight w:val="none"/>
        </w:rPr>
        <w:t>法定代表人授权书格式</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4FBA259D">
      <w:pPr>
        <w:spacing w:before="240" w:after="240"/>
        <w:ind w:right="0" w:firstLine="0"/>
        <w:jc w:val="center"/>
        <w:rPr>
          <w:rFonts w:hint="eastAsia" w:ascii="宋体" w:hAnsi="宋体"/>
          <w:b/>
          <w:color w:val="auto"/>
          <w:sz w:val="32"/>
          <w:szCs w:val="32"/>
          <w:highlight w:val="none"/>
        </w:rPr>
      </w:pPr>
    </w:p>
    <w:p w14:paraId="3341DDCA">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法定代表人授权书</w:t>
      </w:r>
    </w:p>
    <w:p w14:paraId="00E65B7D">
      <w:pPr>
        <w:tabs>
          <w:tab w:val="left" w:pos="8364"/>
        </w:tabs>
        <w:snapToGrid w:val="0"/>
        <w:ind w:left="500" w:right="0" w:hanging="499"/>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14:paraId="20507A5E">
      <w:pPr>
        <w:tabs>
          <w:tab w:val="left" w:pos="8364"/>
        </w:tabs>
        <w:snapToGrid w:val="0"/>
        <w:ind w:left="497" w:leftChars="200" w:right="0" w:hanging="77" w:hangingChars="37"/>
        <w:rPr>
          <w:rFonts w:hint="eastAsia"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4A732537">
      <w:pPr>
        <w:tabs>
          <w:tab w:val="left" w:pos="8364"/>
        </w:tabs>
        <w:snapToGrid w:val="0"/>
        <w:ind w:right="0" w:firstLine="200"/>
        <w:rPr>
          <w:rFonts w:hint="eastAsia" w:ascii="宋体" w:hAnsi="宋体"/>
          <w:color w:val="auto"/>
          <w:highlight w:val="none"/>
        </w:rPr>
      </w:pPr>
      <w:r>
        <w:rPr>
          <w:rFonts w:ascii="宋体" w:hAnsi="宋体"/>
          <w:color w:val="auto"/>
          <w:highlight w:val="none"/>
        </w:rPr>
        <w:t>本授权书于年月日签字生效，特此声明。</w:t>
      </w:r>
    </w:p>
    <w:p w14:paraId="3E6795BF">
      <w:pPr>
        <w:tabs>
          <w:tab w:val="left" w:pos="8364"/>
        </w:tabs>
        <w:snapToGrid w:val="0"/>
        <w:ind w:right="0" w:firstLine="200"/>
        <w:rPr>
          <w:rFonts w:hint="eastAsia" w:ascii="宋体" w:hAnsi="宋体"/>
          <w:color w:val="auto"/>
          <w:highlight w:val="none"/>
        </w:rPr>
      </w:pPr>
    </w:p>
    <w:p w14:paraId="26E88B9E">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法定代表人签字或盖章：</w:t>
      </w:r>
    </w:p>
    <w:p w14:paraId="4240EDF6">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4FF5CDBC">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23E27732">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42038118">
      <w:pPr>
        <w:tabs>
          <w:tab w:val="left" w:pos="8364"/>
        </w:tabs>
        <w:snapToGrid w:val="0"/>
        <w:ind w:right="0" w:firstLine="200"/>
        <w:rPr>
          <w:rFonts w:hint="eastAsia" w:ascii="宋体" w:hAnsi="宋体"/>
          <w:color w:val="auto"/>
          <w:highlight w:val="none"/>
        </w:rPr>
      </w:pPr>
    </w:p>
    <w:p w14:paraId="1B7C5DF2">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比选申请人代表（被授权人）签字或盖章：</w:t>
      </w:r>
    </w:p>
    <w:p w14:paraId="0D2CD9CB">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0CAC0229">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DDBA853">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2ED5524B">
      <w:pPr>
        <w:spacing w:before="0"/>
        <w:ind w:right="0" w:firstLine="135"/>
        <w:rPr>
          <w:rFonts w:hint="eastAsia" w:ascii="宋体" w:hAnsi="宋体"/>
          <w:b/>
          <w:color w:val="auto"/>
          <w:highlight w:val="none"/>
        </w:rPr>
      </w:pPr>
      <w:r>
        <w:rPr>
          <w:rFonts w:hint="eastAsia" w:ascii="宋体" w:hAnsi="宋体"/>
          <w:b/>
          <w:color w:val="auto"/>
          <w:highlight w:val="none"/>
        </w:rPr>
        <w:t>附：授权代理人身份证复印件</w:t>
      </w:r>
    </w:p>
    <w:p w14:paraId="48C2CE6E">
      <w:pPr>
        <w:tabs>
          <w:tab w:val="left" w:pos="8364"/>
        </w:tabs>
        <w:snapToGrid w:val="0"/>
        <w:ind w:right="0" w:firstLine="200"/>
        <w:rPr>
          <w:rFonts w:hint="eastAsia" w:ascii="宋体" w:hAnsi="宋体"/>
          <w:color w:val="auto"/>
          <w:highlight w:val="none"/>
          <w:u w:val="single"/>
        </w:rPr>
      </w:pPr>
    </w:p>
    <w:p w14:paraId="74761ADD">
      <w:pPr>
        <w:snapToGrid w:val="0"/>
        <w:spacing w:before="0" w:line="240" w:lineRule="auto"/>
        <w:ind w:left="0" w:right="0" w:firstLine="0"/>
        <w:jc w:val="left"/>
        <w:outlineLvl w:val="0"/>
        <w:rPr>
          <w:rFonts w:hint="eastAsia" w:ascii="宋体" w:hAnsi="宋体"/>
          <w:b/>
          <w:color w:val="auto"/>
          <w:highlight w:val="none"/>
        </w:rPr>
      </w:pPr>
      <w:bookmarkStart w:id="1571" w:name="_Toc13606"/>
      <w:bookmarkStart w:id="1572" w:name="_Toc8654"/>
      <w:bookmarkStart w:id="1573" w:name="_Toc31808"/>
      <w:bookmarkStart w:id="1574" w:name="_Toc13634"/>
      <w:bookmarkStart w:id="1575" w:name="_Toc375564352"/>
      <w:bookmarkStart w:id="1576" w:name="_Toc9583"/>
      <w:bookmarkStart w:id="1577" w:name="_Toc26713"/>
      <w:bookmarkStart w:id="1578" w:name="_Toc7273"/>
      <w:bookmarkStart w:id="1579" w:name="_Toc7753"/>
      <w:bookmarkStart w:id="1580" w:name="_Toc28450"/>
      <w:bookmarkStart w:id="1581" w:name="_Toc19744"/>
      <w:bookmarkStart w:id="1582" w:name="_Toc414290523"/>
      <w:bookmarkStart w:id="1583" w:name="_Toc17964"/>
      <w:bookmarkStart w:id="1584" w:name="_Toc25750676"/>
      <w:bookmarkStart w:id="1585" w:name="_Toc27657"/>
      <w:bookmarkStart w:id="1586" w:name="_Toc15980"/>
      <w:bookmarkStart w:id="1587" w:name="_Toc9757"/>
      <w:bookmarkStart w:id="1588" w:name="_Toc12984808"/>
      <w:bookmarkStart w:id="1589" w:name="_Toc27722"/>
      <w:bookmarkStart w:id="1590" w:name="_Toc492478805"/>
      <w:bookmarkStart w:id="1591" w:name="_Toc24322"/>
      <w:bookmarkStart w:id="1592" w:name="_Toc13798"/>
      <w:bookmarkStart w:id="1593" w:name="_Toc114134664"/>
      <w:bookmarkStart w:id="1594" w:name="_Toc19305"/>
      <w:bookmarkStart w:id="1595" w:name="_Toc20436"/>
      <w:bookmarkStart w:id="1596" w:name="_Toc15572"/>
      <w:r>
        <w:rPr>
          <w:rFonts w:hint="eastAsia" w:ascii="宋体" w:hAnsi="宋体"/>
          <w:b/>
          <w:color w:val="auto"/>
          <w:highlight w:val="none"/>
        </w:rPr>
        <w:t>A2</w:t>
      </w:r>
      <w:r>
        <w:rPr>
          <w:rFonts w:ascii="宋体" w:hAnsi="宋体"/>
          <w:b/>
          <w:color w:val="auto"/>
          <w:highlight w:val="none"/>
        </w:rPr>
        <w:t>法定代表人资格证明书格式</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71F1865F">
      <w:pPr>
        <w:ind w:right="0" w:firstLine="200"/>
        <w:rPr>
          <w:rFonts w:hint="eastAsia" w:ascii="宋体" w:hAnsi="宋体"/>
          <w:color w:val="auto"/>
          <w:highlight w:val="none"/>
        </w:rPr>
      </w:pPr>
    </w:p>
    <w:p w14:paraId="59BCCE8A">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法定代表人资格证明书</w:t>
      </w:r>
    </w:p>
    <w:p w14:paraId="3B4C70DB">
      <w:pPr>
        <w:ind w:right="0" w:firstLine="200"/>
        <w:rPr>
          <w:rFonts w:hint="eastAsia" w:ascii="宋体" w:hAnsi="宋体"/>
          <w:color w:val="auto"/>
          <w:highlight w:val="none"/>
          <w:u w:val="single"/>
        </w:rPr>
      </w:pPr>
      <w:r>
        <w:rPr>
          <w:rFonts w:ascii="宋体" w:hAnsi="宋体"/>
          <w:color w:val="auto"/>
          <w:highlight w:val="none"/>
        </w:rPr>
        <w:t>单位名称：</w:t>
      </w:r>
    </w:p>
    <w:p w14:paraId="7E924A89">
      <w:pPr>
        <w:ind w:right="0" w:firstLine="200"/>
        <w:rPr>
          <w:rFonts w:hint="eastAsia" w:ascii="宋体" w:hAnsi="宋体"/>
          <w:color w:val="auto"/>
          <w:highlight w:val="none"/>
          <w:u w:val="single"/>
        </w:rPr>
      </w:pPr>
      <w:r>
        <w:rPr>
          <w:rFonts w:ascii="宋体" w:hAnsi="宋体"/>
          <w:color w:val="auto"/>
          <w:highlight w:val="none"/>
        </w:rPr>
        <w:t>地址：</w:t>
      </w:r>
    </w:p>
    <w:p w14:paraId="4D4266D3">
      <w:pPr>
        <w:ind w:right="0" w:firstLine="200"/>
        <w:rPr>
          <w:rFonts w:hint="eastAsia" w:ascii="宋体" w:hAnsi="宋体"/>
          <w:color w:val="auto"/>
          <w:highlight w:val="none"/>
          <w:u w:val="single"/>
        </w:rPr>
      </w:pPr>
      <w:r>
        <w:rPr>
          <w:rFonts w:ascii="宋体" w:hAnsi="宋体"/>
          <w:color w:val="auto"/>
          <w:highlight w:val="none"/>
        </w:rPr>
        <w:t>姓名：性别：年龄：职务：</w:t>
      </w:r>
    </w:p>
    <w:p w14:paraId="076F8CA4">
      <w:pPr>
        <w:ind w:right="0" w:firstLine="200"/>
        <w:rPr>
          <w:rFonts w:hint="eastAsia" w:ascii="宋体" w:hAnsi="宋体"/>
          <w:color w:val="auto"/>
          <w:highlight w:val="none"/>
        </w:rPr>
      </w:pPr>
      <w:r>
        <w:rPr>
          <w:rFonts w:ascii="宋体" w:hAnsi="宋体"/>
          <w:color w:val="auto"/>
          <w:highlight w:val="none"/>
        </w:rPr>
        <w:t>系的法定代表人。</w:t>
      </w:r>
    </w:p>
    <w:p w14:paraId="5D7316D7">
      <w:pPr>
        <w:ind w:right="0" w:firstLine="200"/>
        <w:rPr>
          <w:rFonts w:hint="eastAsia" w:ascii="宋体" w:hAnsi="宋体"/>
          <w:color w:val="auto"/>
          <w:highlight w:val="none"/>
        </w:rPr>
      </w:pPr>
      <w:r>
        <w:rPr>
          <w:rFonts w:ascii="宋体" w:hAnsi="宋体"/>
          <w:color w:val="auto"/>
          <w:highlight w:val="none"/>
        </w:rPr>
        <w:t>特此证明。</w:t>
      </w:r>
    </w:p>
    <w:p w14:paraId="234016D7">
      <w:pPr>
        <w:ind w:right="0" w:firstLine="200"/>
        <w:rPr>
          <w:rFonts w:hint="eastAsia" w:ascii="宋体" w:hAnsi="宋体"/>
          <w:color w:val="auto"/>
          <w:highlight w:val="none"/>
        </w:rPr>
      </w:pPr>
    </w:p>
    <w:p w14:paraId="6CB8FCAF">
      <w:pPr>
        <w:ind w:right="0" w:firstLine="200"/>
        <w:rPr>
          <w:rFonts w:hint="eastAsia" w:ascii="宋体" w:hAnsi="宋体"/>
          <w:color w:val="auto"/>
          <w:highlight w:val="none"/>
          <w:u w:val="single"/>
        </w:rPr>
      </w:pPr>
      <w:r>
        <w:rPr>
          <w:rFonts w:ascii="宋体" w:hAnsi="宋体"/>
          <w:color w:val="auto"/>
          <w:highlight w:val="none"/>
        </w:rPr>
        <w:t>比选申请人：（盖章）</w:t>
      </w:r>
    </w:p>
    <w:p w14:paraId="0FC2C9D3">
      <w:pPr>
        <w:ind w:right="0" w:firstLine="200"/>
        <w:rPr>
          <w:rFonts w:hint="eastAsia" w:ascii="宋体" w:hAnsi="宋体"/>
          <w:color w:val="auto"/>
          <w:highlight w:val="none"/>
        </w:rPr>
      </w:pPr>
      <w:r>
        <w:rPr>
          <w:rFonts w:ascii="宋体" w:hAnsi="宋体"/>
          <w:color w:val="auto"/>
          <w:highlight w:val="none"/>
        </w:rPr>
        <w:t>日期：年月日</w:t>
      </w:r>
    </w:p>
    <w:p w14:paraId="3EC56E0E">
      <w:pPr>
        <w:rPr>
          <w:rFonts w:hint="eastAsia" w:ascii="宋体" w:hAnsi="宋体"/>
          <w:b/>
          <w:color w:val="auto"/>
          <w:highlight w:val="none"/>
        </w:rPr>
      </w:pPr>
      <w:bookmarkStart w:id="1597"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14:paraId="371BF716">
      <w:pPr>
        <w:pageBreakBefore/>
        <w:snapToGrid w:val="0"/>
        <w:ind w:right="0"/>
        <w:jc w:val="left"/>
        <w:outlineLvl w:val="0"/>
        <w:rPr>
          <w:rFonts w:hint="eastAsia" w:ascii="宋体" w:hAnsi="宋体"/>
          <w:b/>
          <w:color w:val="auto"/>
          <w:highlight w:val="none"/>
        </w:rPr>
      </w:pPr>
      <w:bookmarkStart w:id="1598" w:name="_Toc24848"/>
      <w:bookmarkStart w:id="1599" w:name="_Toc1932"/>
      <w:bookmarkStart w:id="1600" w:name="_Toc21307"/>
      <w:bookmarkStart w:id="1601" w:name="_Toc16467"/>
      <w:bookmarkStart w:id="1602" w:name="_Toc29246"/>
      <w:bookmarkStart w:id="1603" w:name="_Toc26907"/>
      <w:bookmarkStart w:id="1604" w:name="_Toc25750677"/>
      <w:bookmarkStart w:id="1605" w:name="_Toc31448"/>
      <w:bookmarkStart w:id="1606" w:name="_Toc414290524"/>
      <w:bookmarkStart w:id="1607" w:name="_Toc11425"/>
      <w:bookmarkStart w:id="1608" w:name="_Toc13586"/>
      <w:bookmarkStart w:id="1609" w:name="_Toc492478806"/>
      <w:bookmarkStart w:id="1610" w:name="_Toc4894"/>
      <w:bookmarkStart w:id="1611" w:name="_Toc15609"/>
      <w:bookmarkStart w:id="1612" w:name="_Toc15394"/>
      <w:bookmarkStart w:id="1613" w:name="_Toc7712"/>
      <w:bookmarkStart w:id="1614" w:name="_Toc19721"/>
      <w:bookmarkStart w:id="1615" w:name="_Toc32062"/>
      <w:bookmarkStart w:id="1616" w:name="_Toc114134665"/>
      <w:bookmarkStart w:id="1617" w:name="_Toc17745"/>
      <w:bookmarkStart w:id="1618" w:name="_Toc6033"/>
      <w:bookmarkStart w:id="1619" w:name="_Toc26097"/>
      <w:bookmarkStart w:id="1620" w:name="_Toc7379"/>
      <w:bookmarkStart w:id="1621" w:name="_Toc375564353"/>
      <w:bookmarkStart w:id="1622" w:name="_Toc3426"/>
      <w:r>
        <w:rPr>
          <w:rFonts w:hint="eastAsia" w:ascii="宋体" w:hAnsi="宋体"/>
          <w:b/>
          <w:color w:val="auto"/>
          <w:highlight w:val="none"/>
        </w:rPr>
        <w:t xml:space="preserve">A3 </w:t>
      </w:r>
      <w:r>
        <w:rPr>
          <w:rFonts w:ascii="宋体" w:hAnsi="宋体"/>
          <w:b/>
          <w:color w:val="auto"/>
          <w:highlight w:val="none"/>
        </w:rPr>
        <w:t>承诺书格式</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6E2E554">
      <w:pPr>
        <w:spacing w:before="240" w:after="240" w:line="360" w:lineRule="exact"/>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承诺书</w:t>
      </w:r>
    </w:p>
    <w:p w14:paraId="0984954B">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u w:val="single"/>
        </w:rPr>
        <w:t>南宁轨道盛拓天和房地产有限公司</w:t>
      </w:r>
    </w:p>
    <w:p w14:paraId="3E60268D">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南宁轨道盛拓天和房地产有限公司的比选文件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09B3D3EE">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52D609BB">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78403494">
      <w:pPr>
        <w:spacing w:before="0" w:after="0" w:afterAutospacing="0"/>
        <w:ind w:left="0" w:right="0" w:firstLine="420" w:firstLineChars="200"/>
        <w:jc w:val="left"/>
        <w:rPr>
          <w:rFonts w:hint="eastAsia"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14:paraId="522E1650">
      <w:pPr>
        <w:spacing w:before="0" w:after="0" w:afterAutospacing="0"/>
        <w:ind w:left="0" w:right="0" w:firstLine="422" w:firstLineChars="200"/>
        <w:jc w:val="left"/>
        <w:rPr>
          <w:rFonts w:hint="eastAsia"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4D1AE15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1B439E2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0C15EB19">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3FE8DDC5">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6390B78A">
      <w:pPr>
        <w:spacing w:before="0" w:after="0" w:afterAutospacing="0" w:line="480" w:lineRule="auto"/>
        <w:ind w:left="0" w:right="0" w:firstLine="200"/>
        <w:rPr>
          <w:rFonts w:hint="eastAsia"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41DE1554">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邮政编码：</w:t>
      </w:r>
    </w:p>
    <w:p w14:paraId="7FE51C71">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13810E98">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5919944A">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传真：</w:t>
      </w:r>
    </w:p>
    <w:p w14:paraId="455AC821">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14:paraId="0AB29040">
      <w:pPr>
        <w:pageBreakBefore/>
        <w:snapToGrid w:val="0"/>
        <w:ind w:right="0"/>
        <w:jc w:val="left"/>
        <w:outlineLvl w:val="0"/>
        <w:rPr>
          <w:rFonts w:ascii="宋体" w:hAnsi="宋体"/>
          <w:b/>
          <w:color w:val="auto"/>
          <w:highlight w:val="none"/>
        </w:rPr>
      </w:pPr>
      <w:bookmarkStart w:id="1623" w:name="_Toc12981"/>
      <w:bookmarkStart w:id="1624" w:name="_Toc25750678"/>
      <w:bookmarkStart w:id="1625" w:name="_Toc22377"/>
      <w:bookmarkStart w:id="1626" w:name="_Toc114134666"/>
      <w:r>
        <w:rPr>
          <w:rFonts w:ascii="宋体" w:hAnsi="宋体"/>
          <w:b/>
          <w:color w:val="auto"/>
          <w:highlight w:val="none"/>
        </w:rPr>
        <w:t>A</w:t>
      </w:r>
      <w:r>
        <w:rPr>
          <w:rFonts w:hint="eastAsia" w:ascii="宋体" w:hAnsi="宋体"/>
          <w:b/>
          <w:color w:val="auto"/>
          <w:highlight w:val="none"/>
        </w:rPr>
        <w:t>4</w:t>
      </w:r>
      <w:r>
        <w:rPr>
          <w:rFonts w:hint="eastAsia" w:ascii="宋体" w:hAnsi="宋体"/>
          <w:b/>
          <w:color w:val="auto"/>
          <w:highlight w:val="none"/>
          <w:lang w:val="en-US" w:eastAsia="zh-CN"/>
        </w:rPr>
        <w:t xml:space="preserve">  </w:t>
      </w:r>
      <w:r>
        <w:rPr>
          <w:rFonts w:hint="eastAsia" w:ascii="宋体" w:hAnsi="宋体"/>
          <w:b/>
          <w:color w:val="auto"/>
          <w:highlight w:val="none"/>
        </w:rPr>
        <w:t>类似项目</w:t>
      </w:r>
      <w:r>
        <w:rPr>
          <w:rFonts w:ascii="宋体" w:hAnsi="宋体"/>
          <w:b/>
          <w:color w:val="auto"/>
          <w:highlight w:val="none"/>
        </w:rPr>
        <w:t>业绩表格式</w:t>
      </w:r>
      <w:bookmarkEnd w:id="1623"/>
      <w:bookmarkEnd w:id="1624"/>
      <w:bookmarkEnd w:id="1625"/>
      <w:bookmarkEnd w:id="1626"/>
    </w:p>
    <w:p w14:paraId="48E6AFF7">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FAD86D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4018D2E">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6436B6D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B615F60">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20090556">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66E775F6">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36E2ADB4">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29017CF0">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3265063">
            <w:pPr>
              <w:ind w:left="0" w:firstLine="0"/>
              <w:rPr>
                <w:rFonts w:ascii="宋体" w:hAnsi="宋体"/>
                <w:color w:val="auto"/>
                <w:highlight w:val="none"/>
              </w:rPr>
            </w:pPr>
            <w:r>
              <w:rPr>
                <w:rFonts w:hint="eastAsia" w:ascii="宋体" w:hAnsi="宋体"/>
                <w:color w:val="auto"/>
                <w:highlight w:val="none"/>
              </w:rPr>
              <w:t>联系电话</w:t>
            </w:r>
          </w:p>
        </w:tc>
      </w:tr>
      <w:tr w14:paraId="6C0973B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FCB5B86">
            <w:pPr>
              <w:ind w:left="0" w:firstLine="0"/>
              <w:rPr>
                <w:rFonts w:ascii="宋体" w:hAnsi="宋体"/>
                <w:color w:val="auto"/>
                <w:highlight w:val="none"/>
              </w:rPr>
            </w:pPr>
          </w:p>
        </w:tc>
        <w:tc>
          <w:tcPr>
            <w:tcW w:w="1092" w:type="dxa"/>
          </w:tcPr>
          <w:p w14:paraId="25D9634D">
            <w:pPr>
              <w:ind w:left="0" w:firstLine="0"/>
              <w:rPr>
                <w:rFonts w:ascii="宋体" w:hAnsi="宋体"/>
                <w:color w:val="auto"/>
                <w:highlight w:val="none"/>
              </w:rPr>
            </w:pPr>
          </w:p>
        </w:tc>
        <w:tc>
          <w:tcPr>
            <w:tcW w:w="1789" w:type="dxa"/>
          </w:tcPr>
          <w:p w14:paraId="0A392AEE">
            <w:pPr>
              <w:ind w:left="0" w:firstLine="0"/>
              <w:rPr>
                <w:rFonts w:ascii="宋体" w:hAnsi="宋体"/>
                <w:color w:val="auto"/>
                <w:highlight w:val="none"/>
              </w:rPr>
            </w:pPr>
          </w:p>
        </w:tc>
        <w:tc>
          <w:tcPr>
            <w:tcW w:w="992" w:type="dxa"/>
          </w:tcPr>
          <w:p w14:paraId="7920BFB9">
            <w:pPr>
              <w:ind w:left="0" w:firstLine="0"/>
              <w:rPr>
                <w:rFonts w:ascii="宋体" w:hAnsi="宋体"/>
                <w:color w:val="auto"/>
                <w:highlight w:val="none"/>
              </w:rPr>
            </w:pPr>
          </w:p>
        </w:tc>
        <w:tc>
          <w:tcPr>
            <w:tcW w:w="993" w:type="dxa"/>
          </w:tcPr>
          <w:p w14:paraId="0F29D99C">
            <w:pPr>
              <w:ind w:left="0" w:firstLine="0"/>
              <w:rPr>
                <w:rFonts w:ascii="宋体" w:hAnsi="宋体"/>
                <w:color w:val="auto"/>
                <w:highlight w:val="none"/>
              </w:rPr>
            </w:pPr>
          </w:p>
        </w:tc>
        <w:tc>
          <w:tcPr>
            <w:tcW w:w="1388" w:type="dxa"/>
          </w:tcPr>
          <w:p w14:paraId="6881F928">
            <w:pPr>
              <w:ind w:left="0" w:firstLine="0"/>
              <w:rPr>
                <w:rFonts w:ascii="宋体" w:hAnsi="宋体"/>
                <w:color w:val="auto"/>
                <w:highlight w:val="none"/>
              </w:rPr>
            </w:pPr>
          </w:p>
        </w:tc>
        <w:tc>
          <w:tcPr>
            <w:tcW w:w="1044" w:type="dxa"/>
          </w:tcPr>
          <w:p w14:paraId="7B932EC1">
            <w:pPr>
              <w:ind w:left="0" w:firstLine="0"/>
              <w:rPr>
                <w:rFonts w:ascii="宋体" w:hAnsi="宋体"/>
                <w:color w:val="auto"/>
                <w:highlight w:val="none"/>
              </w:rPr>
            </w:pPr>
          </w:p>
        </w:tc>
        <w:tc>
          <w:tcPr>
            <w:tcW w:w="1043" w:type="dxa"/>
          </w:tcPr>
          <w:p w14:paraId="7C04D9DB">
            <w:pPr>
              <w:ind w:left="0" w:firstLine="0"/>
              <w:rPr>
                <w:rFonts w:ascii="宋体" w:hAnsi="宋体"/>
                <w:color w:val="auto"/>
                <w:highlight w:val="none"/>
              </w:rPr>
            </w:pPr>
          </w:p>
        </w:tc>
      </w:tr>
      <w:tr w14:paraId="5E3F51B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5EAFF8B">
            <w:pPr>
              <w:ind w:left="0" w:firstLine="0"/>
              <w:rPr>
                <w:rFonts w:ascii="宋体" w:hAnsi="宋体"/>
                <w:color w:val="auto"/>
                <w:highlight w:val="none"/>
              </w:rPr>
            </w:pPr>
          </w:p>
        </w:tc>
        <w:tc>
          <w:tcPr>
            <w:tcW w:w="1092" w:type="dxa"/>
            <w:vAlign w:val="center"/>
          </w:tcPr>
          <w:p w14:paraId="402008F8">
            <w:pPr>
              <w:ind w:left="0" w:firstLine="0"/>
              <w:rPr>
                <w:rFonts w:ascii="宋体" w:hAnsi="宋体"/>
                <w:color w:val="auto"/>
                <w:highlight w:val="none"/>
              </w:rPr>
            </w:pPr>
          </w:p>
        </w:tc>
        <w:tc>
          <w:tcPr>
            <w:tcW w:w="1789" w:type="dxa"/>
            <w:vAlign w:val="center"/>
          </w:tcPr>
          <w:p w14:paraId="256B34F8">
            <w:pPr>
              <w:ind w:left="0" w:firstLine="0"/>
              <w:rPr>
                <w:rFonts w:ascii="宋体" w:hAnsi="宋体"/>
                <w:color w:val="auto"/>
                <w:highlight w:val="none"/>
              </w:rPr>
            </w:pPr>
          </w:p>
        </w:tc>
        <w:tc>
          <w:tcPr>
            <w:tcW w:w="992" w:type="dxa"/>
            <w:vAlign w:val="center"/>
          </w:tcPr>
          <w:p w14:paraId="5E6CCEFF">
            <w:pPr>
              <w:ind w:left="0" w:firstLine="0"/>
              <w:rPr>
                <w:rFonts w:ascii="宋体" w:hAnsi="宋体"/>
                <w:color w:val="auto"/>
                <w:highlight w:val="none"/>
              </w:rPr>
            </w:pPr>
          </w:p>
        </w:tc>
        <w:tc>
          <w:tcPr>
            <w:tcW w:w="993" w:type="dxa"/>
            <w:vAlign w:val="center"/>
          </w:tcPr>
          <w:p w14:paraId="6DD9CF39">
            <w:pPr>
              <w:ind w:left="0" w:firstLine="0"/>
              <w:rPr>
                <w:rFonts w:ascii="宋体" w:hAnsi="宋体"/>
                <w:color w:val="auto"/>
                <w:highlight w:val="none"/>
              </w:rPr>
            </w:pPr>
          </w:p>
        </w:tc>
        <w:tc>
          <w:tcPr>
            <w:tcW w:w="1388" w:type="dxa"/>
          </w:tcPr>
          <w:p w14:paraId="5C4401B1">
            <w:pPr>
              <w:ind w:left="0" w:firstLine="0"/>
              <w:rPr>
                <w:rFonts w:ascii="宋体" w:hAnsi="宋体"/>
                <w:color w:val="auto"/>
                <w:highlight w:val="none"/>
              </w:rPr>
            </w:pPr>
          </w:p>
        </w:tc>
        <w:tc>
          <w:tcPr>
            <w:tcW w:w="1044" w:type="dxa"/>
            <w:vAlign w:val="center"/>
          </w:tcPr>
          <w:p w14:paraId="380644E3">
            <w:pPr>
              <w:ind w:left="0" w:firstLine="0"/>
              <w:rPr>
                <w:rFonts w:ascii="宋体" w:hAnsi="宋体"/>
                <w:color w:val="auto"/>
                <w:highlight w:val="none"/>
              </w:rPr>
            </w:pPr>
          </w:p>
        </w:tc>
        <w:tc>
          <w:tcPr>
            <w:tcW w:w="1043" w:type="dxa"/>
            <w:vAlign w:val="center"/>
          </w:tcPr>
          <w:p w14:paraId="60C21AD4">
            <w:pPr>
              <w:ind w:left="0" w:firstLine="0"/>
              <w:rPr>
                <w:rFonts w:ascii="宋体" w:hAnsi="宋体"/>
                <w:color w:val="auto"/>
                <w:highlight w:val="none"/>
              </w:rPr>
            </w:pPr>
          </w:p>
        </w:tc>
      </w:tr>
      <w:tr w14:paraId="1836955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A726819">
            <w:pPr>
              <w:ind w:left="0" w:firstLine="0"/>
              <w:rPr>
                <w:rFonts w:ascii="宋体" w:hAnsi="宋体"/>
                <w:color w:val="auto"/>
                <w:highlight w:val="none"/>
              </w:rPr>
            </w:pPr>
          </w:p>
        </w:tc>
        <w:tc>
          <w:tcPr>
            <w:tcW w:w="1092" w:type="dxa"/>
            <w:vAlign w:val="center"/>
          </w:tcPr>
          <w:p w14:paraId="161D2008">
            <w:pPr>
              <w:ind w:left="0" w:firstLine="0"/>
              <w:rPr>
                <w:rFonts w:ascii="宋体" w:hAnsi="宋体"/>
                <w:color w:val="auto"/>
                <w:highlight w:val="none"/>
              </w:rPr>
            </w:pPr>
          </w:p>
        </w:tc>
        <w:tc>
          <w:tcPr>
            <w:tcW w:w="1789" w:type="dxa"/>
            <w:vAlign w:val="center"/>
          </w:tcPr>
          <w:p w14:paraId="0943837D">
            <w:pPr>
              <w:ind w:left="0" w:firstLine="0"/>
              <w:rPr>
                <w:rFonts w:ascii="宋体" w:hAnsi="宋体"/>
                <w:color w:val="auto"/>
                <w:highlight w:val="none"/>
              </w:rPr>
            </w:pPr>
          </w:p>
        </w:tc>
        <w:tc>
          <w:tcPr>
            <w:tcW w:w="992" w:type="dxa"/>
            <w:vAlign w:val="center"/>
          </w:tcPr>
          <w:p w14:paraId="0728D7FB">
            <w:pPr>
              <w:ind w:left="0" w:firstLine="0"/>
              <w:rPr>
                <w:rFonts w:ascii="宋体" w:hAnsi="宋体"/>
                <w:color w:val="auto"/>
                <w:highlight w:val="none"/>
              </w:rPr>
            </w:pPr>
          </w:p>
        </w:tc>
        <w:tc>
          <w:tcPr>
            <w:tcW w:w="993" w:type="dxa"/>
            <w:vAlign w:val="center"/>
          </w:tcPr>
          <w:p w14:paraId="222397D6">
            <w:pPr>
              <w:ind w:left="0" w:firstLine="0"/>
              <w:rPr>
                <w:rFonts w:ascii="宋体" w:hAnsi="宋体"/>
                <w:color w:val="auto"/>
                <w:highlight w:val="none"/>
              </w:rPr>
            </w:pPr>
          </w:p>
        </w:tc>
        <w:tc>
          <w:tcPr>
            <w:tcW w:w="1388" w:type="dxa"/>
          </w:tcPr>
          <w:p w14:paraId="1AE226D8">
            <w:pPr>
              <w:ind w:left="0" w:firstLine="0"/>
              <w:rPr>
                <w:rFonts w:ascii="宋体" w:hAnsi="宋体"/>
                <w:color w:val="auto"/>
                <w:highlight w:val="none"/>
              </w:rPr>
            </w:pPr>
          </w:p>
        </w:tc>
        <w:tc>
          <w:tcPr>
            <w:tcW w:w="1044" w:type="dxa"/>
            <w:vAlign w:val="center"/>
          </w:tcPr>
          <w:p w14:paraId="7735A0D2">
            <w:pPr>
              <w:ind w:left="0" w:firstLine="0"/>
              <w:rPr>
                <w:rFonts w:ascii="宋体" w:hAnsi="宋体"/>
                <w:color w:val="auto"/>
                <w:highlight w:val="none"/>
              </w:rPr>
            </w:pPr>
          </w:p>
        </w:tc>
        <w:tc>
          <w:tcPr>
            <w:tcW w:w="1043" w:type="dxa"/>
            <w:vAlign w:val="center"/>
          </w:tcPr>
          <w:p w14:paraId="1047A15F">
            <w:pPr>
              <w:ind w:left="0" w:firstLine="0"/>
              <w:rPr>
                <w:rFonts w:ascii="宋体" w:hAnsi="宋体"/>
                <w:color w:val="auto"/>
                <w:highlight w:val="none"/>
              </w:rPr>
            </w:pPr>
          </w:p>
        </w:tc>
      </w:tr>
      <w:tr w14:paraId="317C31D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F85E144">
            <w:pPr>
              <w:ind w:left="0" w:firstLine="0"/>
              <w:rPr>
                <w:rFonts w:ascii="宋体" w:hAnsi="宋体"/>
                <w:color w:val="auto"/>
                <w:highlight w:val="none"/>
              </w:rPr>
            </w:pPr>
          </w:p>
        </w:tc>
        <w:tc>
          <w:tcPr>
            <w:tcW w:w="1092" w:type="dxa"/>
            <w:vAlign w:val="center"/>
          </w:tcPr>
          <w:p w14:paraId="080C65BA">
            <w:pPr>
              <w:ind w:left="0" w:firstLine="0"/>
              <w:rPr>
                <w:rFonts w:ascii="宋体" w:hAnsi="宋体"/>
                <w:color w:val="auto"/>
                <w:highlight w:val="none"/>
              </w:rPr>
            </w:pPr>
          </w:p>
        </w:tc>
        <w:tc>
          <w:tcPr>
            <w:tcW w:w="1789" w:type="dxa"/>
            <w:vAlign w:val="center"/>
          </w:tcPr>
          <w:p w14:paraId="36BF5B74">
            <w:pPr>
              <w:ind w:left="0" w:firstLine="0"/>
              <w:rPr>
                <w:rFonts w:ascii="宋体" w:hAnsi="宋体"/>
                <w:color w:val="auto"/>
                <w:highlight w:val="none"/>
              </w:rPr>
            </w:pPr>
          </w:p>
        </w:tc>
        <w:tc>
          <w:tcPr>
            <w:tcW w:w="992" w:type="dxa"/>
            <w:vAlign w:val="center"/>
          </w:tcPr>
          <w:p w14:paraId="2E99BDF8">
            <w:pPr>
              <w:ind w:left="0" w:firstLine="0"/>
              <w:rPr>
                <w:rFonts w:ascii="宋体" w:hAnsi="宋体"/>
                <w:color w:val="auto"/>
                <w:highlight w:val="none"/>
              </w:rPr>
            </w:pPr>
          </w:p>
        </w:tc>
        <w:tc>
          <w:tcPr>
            <w:tcW w:w="993" w:type="dxa"/>
            <w:vAlign w:val="center"/>
          </w:tcPr>
          <w:p w14:paraId="27572629">
            <w:pPr>
              <w:ind w:left="0" w:firstLine="0"/>
              <w:rPr>
                <w:rFonts w:ascii="宋体" w:hAnsi="宋体"/>
                <w:color w:val="auto"/>
                <w:highlight w:val="none"/>
              </w:rPr>
            </w:pPr>
          </w:p>
        </w:tc>
        <w:tc>
          <w:tcPr>
            <w:tcW w:w="1388" w:type="dxa"/>
          </w:tcPr>
          <w:p w14:paraId="43898898">
            <w:pPr>
              <w:ind w:left="0" w:firstLine="0"/>
              <w:rPr>
                <w:rFonts w:ascii="宋体" w:hAnsi="宋体"/>
                <w:color w:val="auto"/>
                <w:highlight w:val="none"/>
              </w:rPr>
            </w:pPr>
          </w:p>
        </w:tc>
        <w:tc>
          <w:tcPr>
            <w:tcW w:w="1044" w:type="dxa"/>
            <w:vAlign w:val="center"/>
          </w:tcPr>
          <w:p w14:paraId="30C78F6F">
            <w:pPr>
              <w:ind w:left="0" w:firstLine="0"/>
              <w:rPr>
                <w:rFonts w:ascii="宋体" w:hAnsi="宋体"/>
                <w:color w:val="auto"/>
                <w:highlight w:val="none"/>
              </w:rPr>
            </w:pPr>
          </w:p>
        </w:tc>
        <w:tc>
          <w:tcPr>
            <w:tcW w:w="1043" w:type="dxa"/>
            <w:vAlign w:val="center"/>
          </w:tcPr>
          <w:p w14:paraId="4F051877">
            <w:pPr>
              <w:ind w:left="0" w:firstLine="0"/>
              <w:rPr>
                <w:rFonts w:ascii="宋体" w:hAnsi="宋体"/>
                <w:color w:val="auto"/>
                <w:highlight w:val="none"/>
              </w:rPr>
            </w:pPr>
          </w:p>
        </w:tc>
      </w:tr>
      <w:tr w14:paraId="4742FF2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12C348B">
            <w:pPr>
              <w:ind w:left="0" w:firstLine="0"/>
              <w:rPr>
                <w:rFonts w:ascii="宋体" w:hAnsi="宋体"/>
                <w:color w:val="auto"/>
                <w:highlight w:val="none"/>
              </w:rPr>
            </w:pPr>
          </w:p>
        </w:tc>
        <w:tc>
          <w:tcPr>
            <w:tcW w:w="1092" w:type="dxa"/>
            <w:vAlign w:val="center"/>
          </w:tcPr>
          <w:p w14:paraId="3C17BBC4">
            <w:pPr>
              <w:ind w:left="0" w:firstLine="0"/>
              <w:rPr>
                <w:rFonts w:ascii="宋体" w:hAnsi="宋体"/>
                <w:color w:val="auto"/>
                <w:highlight w:val="none"/>
              </w:rPr>
            </w:pPr>
          </w:p>
        </w:tc>
        <w:tc>
          <w:tcPr>
            <w:tcW w:w="1789" w:type="dxa"/>
            <w:vAlign w:val="center"/>
          </w:tcPr>
          <w:p w14:paraId="555149BB">
            <w:pPr>
              <w:ind w:left="0" w:firstLine="0"/>
              <w:rPr>
                <w:rFonts w:ascii="宋体" w:hAnsi="宋体"/>
                <w:color w:val="auto"/>
                <w:highlight w:val="none"/>
              </w:rPr>
            </w:pPr>
          </w:p>
        </w:tc>
        <w:tc>
          <w:tcPr>
            <w:tcW w:w="992" w:type="dxa"/>
            <w:vAlign w:val="center"/>
          </w:tcPr>
          <w:p w14:paraId="76F701D7">
            <w:pPr>
              <w:ind w:left="0" w:firstLine="0"/>
              <w:rPr>
                <w:rFonts w:ascii="宋体" w:hAnsi="宋体"/>
                <w:color w:val="auto"/>
                <w:highlight w:val="none"/>
              </w:rPr>
            </w:pPr>
          </w:p>
        </w:tc>
        <w:tc>
          <w:tcPr>
            <w:tcW w:w="993" w:type="dxa"/>
            <w:vAlign w:val="center"/>
          </w:tcPr>
          <w:p w14:paraId="0D07B0C5">
            <w:pPr>
              <w:ind w:left="0" w:firstLine="0"/>
              <w:rPr>
                <w:rFonts w:ascii="宋体" w:hAnsi="宋体"/>
                <w:color w:val="auto"/>
                <w:highlight w:val="none"/>
              </w:rPr>
            </w:pPr>
          </w:p>
        </w:tc>
        <w:tc>
          <w:tcPr>
            <w:tcW w:w="1388" w:type="dxa"/>
          </w:tcPr>
          <w:p w14:paraId="2609C67C">
            <w:pPr>
              <w:ind w:left="0" w:firstLine="0"/>
              <w:rPr>
                <w:rFonts w:ascii="宋体" w:hAnsi="宋体"/>
                <w:color w:val="auto"/>
                <w:highlight w:val="none"/>
              </w:rPr>
            </w:pPr>
          </w:p>
        </w:tc>
        <w:tc>
          <w:tcPr>
            <w:tcW w:w="1044" w:type="dxa"/>
            <w:vAlign w:val="center"/>
          </w:tcPr>
          <w:p w14:paraId="4559F87A">
            <w:pPr>
              <w:ind w:left="0" w:firstLine="0"/>
              <w:rPr>
                <w:rFonts w:ascii="宋体" w:hAnsi="宋体"/>
                <w:color w:val="auto"/>
                <w:highlight w:val="none"/>
              </w:rPr>
            </w:pPr>
          </w:p>
        </w:tc>
        <w:tc>
          <w:tcPr>
            <w:tcW w:w="1043" w:type="dxa"/>
            <w:vAlign w:val="center"/>
          </w:tcPr>
          <w:p w14:paraId="4FD1F51F">
            <w:pPr>
              <w:ind w:left="0" w:firstLine="0"/>
              <w:rPr>
                <w:rFonts w:ascii="宋体" w:hAnsi="宋体"/>
                <w:color w:val="auto"/>
                <w:highlight w:val="none"/>
              </w:rPr>
            </w:pPr>
          </w:p>
        </w:tc>
      </w:tr>
      <w:tr w14:paraId="4076BF4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EB7BC73">
            <w:pPr>
              <w:ind w:left="0" w:firstLine="0"/>
              <w:rPr>
                <w:rFonts w:ascii="宋体" w:hAnsi="宋体"/>
                <w:color w:val="auto"/>
                <w:highlight w:val="none"/>
              </w:rPr>
            </w:pPr>
          </w:p>
        </w:tc>
        <w:tc>
          <w:tcPr>
            <w:tcW w:w="1092" w:type="dxa"/>
            <w:vAlign w:val="center"/>
          </w:tcPr>
          <w:p w14:paraId="3BA5D0B1">
            <w:pPr>
              <w:ind w:left="0" w:firstLine="0"/>
              <w:rPr>
                <w:rFonts w:ascii="宋体" w:hAnsi="宋体"/>
                <w:color w:val="auto"/>
                <w:highlight w:val="none"/>
              </w:rPr>
            </w:pPr>
          </w:p>
        </w:tc>
        <w:tc>
          <w:tcPr>
            <w:tcW w:w="1789" w:type="dxa"/>
            <w:vAlign w:val="center"/>
          </w:tcPr>
          <w:p w14:paraId="1DB810E9">
            <w:pPr>
              <w:ind w:left="0" w:firstLine="0"/>
              <w:rPr>
                <w:rFonts w:ascii="宋体" w:hAnsi="宋体"/>
                <w:color w:val="auto"/>
                <w:highlight w:val="none"/>
              </w:rPr>
            </w:pPr>
          </w:p>
        </w:tc>
        <w:tc>
          <w:tcPr>
            <w:tcW w:w="992" w:type="dxa"/>
            <w:vAlign w:val="center"/>
          </w:tcPr>
          <w:p w14:paraId="4A7D4865">
            <w:pPr>
              <w:ind w:left="0" w:firstLine="0"/>
              <w:rPr>
                <w:rFonts w:ascii="宋体" w:hAnsi="宋体"/>
                <w:color w:val="auto"/>
                <w:highlight w:val="none"/>
              </w:rPr>
            </w:pPr>
          </w:p>
        </w:tc>
        <w:tc>
          <w:tcPr>
            <w:tcW w:w="993" w:type="dxa"/>
            <w:vAlign w:val="center"/>
          </w:tcPr>
          <w:p w14:paraId="53C8BD8C">
            <w:pPr>
              <w:ind w:left="0" w:firstLine="0"/>
              <w:rPr>
                <w:rFonts w:ascii="宋体" w:hAnsi="宋体"/>
                <w:color w:val="auto"/>
                <w:highlight w:val="none"/>
              </w:rPr>
            </w:pPr>
          </w:p>
        </w:tc>
        <w:tc>
          <w:tcPr>
            <w:tcW w:w="1388" w:type="dxa"/>
          </w:tcPr>
          <w:p w14:paraId="3C738020">
            <w:pPr>
              <w:ind w:left="0" w:firstLine="0"/>
              <w:rPr>
                <w:rFonts w:ascii="宋体" w:hAnsi="宋体"/>
                <w:color w:val="auto"/>
                <w:highlight w:val="none"/>
              </w:rPr>
            </w:pPr>
          </w:p>
        </w:tc>
        <w:tc>
          <w:tcPr>
            <w:tcW w:w="1044" w:type="dxa"/>
            <w:vAlign w:val="center"/>
          </w:tcPr>
          <w:p w14:paraId="5DD03E6B">
            <w:pPr>
              <w:ind w:left="0" w:firstLine="0"/>
              <w:rPr>
                <w:rFonts w:ascii="宋体" w:hAnsi="宋体"/>
                <w:color w:val="auto"/>
                <w:highlight w:val="none"/>
              </w:rPr>
            </w:pPr>
          </w:p>
        </w:tc>
        <w:tc>
          <w:tcPr>
            <w:tcW w:w="1043" w:type="dxa"/>
            <w:vAlign w:val="center"/>
          </w:tcPr>
          <w:p w14:paraId="2D2F1E50">
            <w:pPr>
              <w:ind w:left="0" w:firstLine="0"/>
              <w:rPr>
                <w:rFonts w:ascii="宋体" w:hAnsi="宋体"/>
                <w:color w:val="auto"/>
                <w:highlight w:val="none"/>
              </w:rPr>
            </w:pPr>
          </w:p>
        </w:tc>
      </w:tr>
      <w:tr w14:paraId="42C8F7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59A031">
            <w:pPr>
              <w:ind w:left="0" w:firstLine="0"/>
              <w:rPr>
                <w:rFonts w:ascii="宋体" w:hAnsi="宋体"/>
                <w:color w:val="auto"/>
                <w:highlight w:val="none"/>
              </w:rPr>
            </w:pPr>
          </w:p>
        </w:tc>
        <w:tc>
          <w:tcPr>
            <w:tcW w:w="1092" w:type="dxa"/>
            <w:vAlign w:val="center"/>
          </w:tcPr>
          <w:p w14:paraId="4510F066">
            <w:pPr>
              <w:ind w:left="0" w:firstLine="0"/>
              <w:rPr>
                <w:rFonts w:ascii="宋体" w:hAnsi="宋体"/>
                <w:color w:val="auto"/>
                <w:highlight w:val="none"/>
              </w:rPr>
            </w:pPr>
          </w:p>
        </w:tc>
        <w:tc>
          <w:tcPr>
            <w:tcW w:w="1789" w:type="dxa"/>
            <w:vAlign w:val="center"/>
          </w:tcPr>
          <w:p w14:paraId="21ED6A1D">
            <w:pPr>
              <w:ind w:left="0" w:firstLine="0"/>
              <w:rPr>
                <w:rFonts w:ascii="宋体" w:hAnsi="宋体"/>
                <w:color w:val="auto"/>
                <w:highlight w:val="none"/>
              </w:rPr>
            </w:pPr>
          </w:p>
        </w:tc>
        <w:tc>
          <w:tcPr>
            <w:tcW w:w="992" w:type="dxa"/>
            <w:vAlign w:val="center"/>
          </w:tcPr>
          <w:p w14:paraId="2C51B043">
            <w:pPr>
              <w:ind w:left="0" w:firstLine="0"/>
              <w:rPr>
                <w:rFonts w:ascii="宋体" w:hAnsi="宋体"/>
                <w:color w:val="auto"/>
                <w:highlight w:val="none"/>
              </w:rPr>
            </w:pPr>
          </w:p>
        </w:tc>
        <w:tc>
          <w:tcPr>
            <w:tcW w:w="993" w:type="dxa"/>
            <w:vAlign w:val="center"/>
          </w:tcPr>
          <w:p w14:paraId="506BE3D9">
            <w:pPr>
              <w:ind w:left="0" w:firstLine="0"/>
              <w:rPr>
                <w:rFonts w:ascii="宋体" w:hAnsi="宋体"/>
                <w:color w:val="auto"/>
                <w:highlight w:val="none"/>
              </w:rPr>
            </w:pPr>
          </w:p>
        </w:tc>
        <w:tc>
          <w:tcPr>
            <w:tcW w:w="1388" w:type="dxa"/>
          </w:tcPr>
          <w:p w14:paraId="7992EE30">
            <w:pPr>
              <w:ind w:left="0" w:firstLine="0"/>
              <w:rPr>
                <w:rFonts w:ascii="宋体" w:hAnsi="宋体"/>
                <w:color w:val="auto"/>
                <w:highlight w:val="none"/>
              </w:rPr>
            </w:pPr>
          </w:p>
        </w:tc>
        <w:tc>
          <w:tcPr>
            <w:tcW w:w="1044" w:type="dxa"/>
            <w:vAlign w:val="center"/>
          </w:tcPr>
          <w:p w14:paraId="3C27B43C">
            <w:pPr>
              <w:ind w:left="0" w:firstLine="0"/>
              <w:rPr>
                <w:rFonts w:ascii="宋体" w:hAnsi="宋体"/>
                <w:color w:val="auto"/>
                <w:highlight w:val="none"/>
              </w:rPr>
            </w:pPr>
          </w:p>
        </w:tc>
        <w:tc>
          <w:tcPr>
            <w:tcW w:w="1043" w:type="dxa"/>
            <w:vAlign w:val="center"/>
          </w:tcPr>
          <w:p w14:paraId="1C58E362">
            <w:pPr>
              <w:ind w:left="0" w:firstLine="0"/>
              <w:rPr>
                <w:rFonts w:ascii="宋体" w:hAnsi="宋体"/>
                <w:color w:val="auto"/>
                <w:highlight w:val="none"/>
              </w:rPr>
            </w:pPr>
          </w:p>
        </w:tc>
      </w:tr>
      <w:tr w14:paraId="451DC73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7D36971">
            <w:pPr>
              <w:ind w:left="0" w:firstLine="0"/>
              <w:rPr>
                <w:rFonts w:ascii="宋体" w:hAnsi="宋体"/>
                <w:color w:val="auto"/>
                <w:highlight w:val="none"/>
              </w:rPr>
            </w:pPr>
          </w:p>
        </w:tc>
        <w:tc>
          <w:tcPr>
            <w:tcW w:w="1092" w:type="dxa"/>
            <w:vAlign w:val="center"/>
          </w:tcPr>
          <w:p w14:paraId="33F0E129">
            <w:pPr>
              <w:ind w:left="0" w:firstLine="0"/>
              <w:rPr>
                <w:rFonts w:ascii="宋体" w:hAnsi="宋体"/>
                <w:color w:val="auto"/>
                <w:highlight w:val="none"/>
              </w:rPr>
            </w:pPr>
          </w:p>
        </w:tc>
        <w:tc>
          <w:tcPr>
            <w:tcW w:w="1789" w:type="dxa"/>
            <w:vAlign w:val="center"/>
          </w:tcPr>
          <w:p w14:paraId="441DDFF6">
            <w:pPr>
              <w:ind w:left="0" w:firstLine="0"/>
              <w:rPr>
                <w:rFonts w:ascii="宋体" w:hAnsi="宋体"/>
                <w:color w:val="auto"/>
                <w:highlight w:val="none"/>
              </w:rPr>
            </w:pPr>
          </w:p>
        </w:tc>
        <w:tc>
          <w:tcPr>
            <w:tcW w:w="992" w:type="dxa"/>
            <w:vAlign w:val="center"/>
          </w:tcPr>
          <w:p w14:paraId="6BA83C45">
            <w:pPr>
              <w:ind w:left="0" w:firstLine="0"/>
              <w:rPr>
                <w:rFonts w:ascii="宋体" w:hAnsi="宋体"/>
                <w:color w:val="auto"/>
                <w:highlight w:val="none"/>
              </w:rPr>
            </w:pPr>
          </w:p>
        </w:tc>
        <w:tc>
          <w:tcPr>
            <w:tcW w:w="993" w:type="dxa"/>
            <w:vAlign w:val="center"/>
          </w:tcPr>
          <w:p w14:paraId="3E92B18A">
            <w:pPr>
              <w:ind w:left="0" w:firstLine="0"/>
              <w:rPr>
                <w:rFonts w:ascii="宋体" w:hAnsi="宋体"/>
                <w:color w:val="auto"/>
                <w:highlight w:val="none"/>
              </w:rPr>
            </w:pPr>
          </w:p>
        </w:tc>
        <w:tc>
          <w:tcPr>
            <w:tcW w:w="1388" w:type="dxa"/>
          </w:tcPr>
          <w:p w14:paraId="1491B5EB">
            <w:pPr>
              <w:ind w:left="0" w:firstLine="0"/>
              <w:rPr>
                <w:rFonts w:ascii="宋体" w:hAnsi="宋体"/>
                <w:color w:val="auto"/>
                <w:highlight w:val="none"/>
              </w:rPr>
            </w:pPr>
          </w:p>
        </w:tc>
        <w:tc>
          <w:tcPr>
            <w:tcW w:w="1044" w:type="dxa"/>
            <w:vAlign w:val="center"/>
          </w:tcPr>
          <w:p w14:paraId="2A25E41A">
            <w:pPr>
              <w:ind w:left="0" w:firstLine="0"/>
              <w:rPr>
                <w:rFonts w:ascii="宋体" w:hAnsi="宋体"/>
                <w:color w:val="auto"/>
                <w:highlight w:val="none"/>
              </w:rPr>
            </w:pPr>
          </w:p>
        </w:tc>
        <w:tc>
          <w:tcPr>
            <w:tcW w:w="1043" w:type="dxa"/>
            <w:vAlign w:val="center"/>
          </w:tcPr>
          <w:p w14:paraId="658AC1CE">
            <w:pPr>
              <w:ind w:left="0" w:firstLine="0"/>
              <w:rPr>
                <w:rFonts w:ascii="宋体" w:hAnsi="宋体"/>
                <w:color w:val="auto"/>
                <w:highlight w:val="none"/>
              </w:rPr>
            </w:pPr>
          </w:p>
        </w:tc>
      </w:tr>
      <w:tr w14:paraId="77F73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9431FF7">
            <w:pPr>
              <w:ind w:left="0" w:firstLine="0"/>
              <w:rPr>
                <w:rFonts w:ascii="宋体" w:hAnsi="宋体"/>
                <w:color w:val="auto"/>
                <w:highlight w:val="none"/>
              </w:rPr>
            </w:pPr>
          </w:p>
        </w:tc>
        <w:tc>
          <w:tcPr>
            <w:tcW w:w="1092" w:type="dxa"/>
            <w:vAlign w:val="center"/>
          </w:tcPr>
          <w:p w14:paraId="220D3E30">
            <w:pPr>
              <w:ind w:left="0" w:firstLine="0"/>
              <w:rPr>
                <w:rFonts w:ascii="宋体" w:hAnsi="宋体"/>
                <w:color w:val="auto"/>
                <w:highlight w:val="none"/>
              </w:rPr>
            </w:pPr>
          </w:p>
        </w:tc>
        <w:tc>
          <w:tcPr>
            <w:tcW w:w="1789" w:type="dxa"/>
            <w:vAlign w:val="center"/>
          </w:tcPr>
          <w:p w14:paraId="749BF2DE">
            <w:pPr>
              <w:ind w:left="0" w:firstLine="0"/>
              <w:rPr>
                <w:rFonts w:ascii="宋体" w:hAnsi="宋体"/>
                <w:color w:val="auto"/>
                <w:highlight w:val="none"/>
              </w:rPr>
            </w:pPr>
          </w:p>
        </w:tc>
        <w:tc>
          <w:tcPr>
            <w:tcW w:w="992" w:type="dxa"/>
            <w:vAlign w:val="center"/>
          </w:tcPr>
          <w:p w14:paraId="2129940C">
            <w:pPr>
              <w:ind w:left="0" w:firstLine="0"/>
              <w:rPr>
                <w:rFonts w:ascii="宋体" w:hAnsi="宋体"/>
                <w:color w:val="auto"/>
                <w:highlight w:val="none"/>
              </w:rPr>
            </w:pPr>
          </w:p>
        </w:tc>
        <w:tc>
          <w:tcPr>
            <w:tcW w:w="993" w:type="dxa"/>
            <w:vAlign w:val="center"/>
          </w:tcPr>
          <w:p w14:paraId="16EAAC81">
            <w:pPr>
              <w:ind w:left="0" w:firstLine="0"/>
              <w:rPr>
                <w:rFonts w:ascii="宋体" w:hAnsi="宋体"/>
                <w:color w:val="auto"/>
                <w:highlight w:val="none"/>
              </w:rPr>
            </w:pPr>
          </w:p>
        </w:tc>
        <w:tc>
          <w:tcPr>
            <w:tcW w:w="1388" w:type="dxa"/>
          </w:tcPr>
          <w:p w14:paraId="421BC7FE">
            <w:pPr>
              <w:ind w:left="0" w:firstLine="0"/>
              <w:rPr>
                <w:rFonts w:ascii="宋体" w:hAnsi="宋体"/>
                <w:color w:val="auto"/>
                <w:highlight w:val="none"/>
              </w:rPr>
            </w:pPr>
          </w:p>
        </w:tc>
        <w:tc>
          <w:tcPr>
            <w:tcW w:w="1044" w:type="dxa"/>
            <w:vAlign w:val="center"/>
          </w:tcPr>
          <w:p w14:paraId="14028724">
            <w:pPr>
              <w:ind w:left="0" w:firstLine="0"/>
              <w:rPr>
                <w:rFonts w:ascii="宋体" w:hAnsi="宋体"/>
                <w:color w:val="auto"/>
                <w:highlight w:val="none"/>
              </w:rPr>
            </w:pPr>
          </w:p>
        </w:tc>
        <w:tc>
          <w:tcPr>
            <w:tcW w:w="1043" w:type="dxa"/>
            <w:vAlign w:val="center"/>
          </w:tcPr>
          <w:p w14:paraId="1E355CD1">
            <w:pPr>
              <w:ind w:left="0" w:firstLine="0"/>
              <w:rPr>
                <w:rFonts w:ascii="宋体" w:hAnsi="宋体"/>
                <w:color w:val="auto"/>
                <w:highlight w:val="none"/>
              </w:rPr>
            </w:pPr>
          </w:p>
        </w:tc>
      </w:tr>
    </w:tbl>
    <w:p w14:paraId="04960FF7">
      <w:pPr>
        <w:spacing w:before="0" w:after="0" w:afterAutospacing="0"/>
        <w:ind w:left="0" w:leftChars="0" w:right="0" w:firstLine="420" w:firstLineChars="200"/>
        <w:rPr>
          <w:rFonts w:ascii="宋体" w:hAnsi="宋体"/>
          <w:color w:val="auto"/>
          <w:highlight w:val="none"/>
        </w:rPr>
      </w:pPr>
    </w:p>
    <w:p w14:paraId="6F24AC36">
      <w:pPr>
        <w:spacing w:before="0" w:after="0" w:afterAutospacing="0"/>
        <w:ind w:left="0" w:leftChars="0" w:right="0" w:firstLine="420" w:firstLineChars="200"/>
        <w:rPr>
          <w:rFonts w:ascii="宋体" w:hAnsi="宋体"/>
          <w:color w:val="auto"/>
          <w:highlight w:val="none"/>
        </w:rPr>
      </w:pPr>
      <w:r>
        <w:rPr>
          <w:rFonts w:ascii="宋体" w:hAnsi="宋体"/>
          <w:color w:val="auto"/>
          <w:highlight w:val="none"/>
        </w:rPr>
        <w:t>注：</w:t>
      </w:r>
    </w:p>
    <w:p w14:paraId="2C9F0025">
      <w:pPr>
        <w:spacing w:before="0" w:after="0" w:afterAutospacing="0"/>
        <w:ind w:left="0" w:leftChars="0" w:right="0" w:firstLine="420" w:firstLineChars="200"/>
        <w:rPr>
          <w:rFonts w:hint="eastAsia" w:eastAsia="宋体"/>
          <w:color w:val="auto"/>
          <w:highlight w:val="none"/>
          <w:lang w:eastAsia="zh-CN"/>
        </w:rPr>
      </w:pPr>
      <w:r>
        <w:rPr>
          <w:rFonts w:hint="eastAsia" w:ascii="宋体" w:hAnsi="宋体"/>
          <w:color w:val="auto"/>
          <w:highlight w:val="none"/>
          <w:lang w:val="en-US" w:eastAsia="zh-CN"/>
        </w:rPr>
        <w:t>1.</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r>
        <w:rPr>
          <w:rFonts w:hint="eastAsia"/>
          <w:color w:val="auto"/>
          <w:highlight w:val="none"/>
          <w:lang w:eastAsia="zh-CN"/>
        </w:rPr>
        <w:t>。</w:t>
      </w:r>
    </w:p>
    <w:p w14:paraId="3F17A75A">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18D50D8B">
      <w:pPr>
        <w:snapToGrid w:val="0"/>
        <w:spacing w:after="50" w:line="280" w:lineRule="exact"/>
        <w:ind w:left="0" w:right="-817" w:firstLine="0"/>
        <w:rPr>
          <w:rFonts w:ascii="宋体" w:hAnsi="宋体"/>
          <w:color w:val="auto"/>
          <w:highlight w:val="none"/>
        </w:rPr>
      </w:pPr>
    </w:p>
    <w:p w14:paraId="5B8F3E09">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31245A83">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6C25DF9">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4A7A275A">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ascii="宋体" w:hAnsi="宋体"/>
          <w:b/>
          <w:bCs/>
          <w:color w:val="auto"/>
          <w:highlight w:val="none"/>
          <w:lang w:val="en-US" w:eastAsia="zh-CN"/>
        </w:rPr>
        <w:t xml:space="preserve">A5     </w:t>
      </w:r>
      <w:r>
        <w:rPr>
          <w:rFonts w:hint="eastAsia"/>
          <w:b/>
          <w:bCs/>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1F4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9" w:type="dxa"/>
          </w:tcPr>
          <w:p w14:paraId="392A0A6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1EEAD24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69FFA75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232AE6D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6409ABF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0B9B5267">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1050" w:type="dxa"/>
          </w:tcPr>
          <w:p w14:paraId="236B769B">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37895259">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5150918B">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CB6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2F4B891">
            <w:pPr>
              <w:pStyle w:val="2"/>
              <w:ind w:firstLine="482"/>
              <w:rPr>
                <w:b/>
                <w:bCs/>
                <w:color w:val="auto"/>
                <w:szCs w:val="24"/>
                <w:highlight w:val="none"/>
              </w:rPr>
            </w:pPr>
          </w:p>
        </w:tc>
        <w:tc>
          <w:tcPr>
            <w:tcW w:w="1088" w:type="dxa"/>
          </w:tcPr>
          <w:p w14:paraId="0D4F7728">
            <w:pPr>
              <w:pStyle w:val="2"/>
              <w:ind w:firstLine="482"/>
              <w:rPr>
                <w:b/>
                <w:bCs/>
                <w:color w:val="auto"/>
                <w:szCs w:val="24"/>
                <w:highlight w:val="none"/>
              </w:rPr>
            </w:pPr>
          </w:p>
        </w:tc>
        <w:tc>
          <w:tcPr>
            <w:tcW w:w="962" w:type="dxa"/>
          </w:tcPr>
          <w:p w14:paraId="0C2286D0">
            <w:pPr>
              <w:pStyle w:val="2"/>
              <w:ind w:firstLine="482"/>
              <w:rPr>
                <w:b/>
                <w:bCs/>
                <w:color w:val="auto"/>
                <w:szCs w:val="24"/>
                <w:highlight w:val="none"/>
              </w:rPr>
            </w:pPr>
          </w:p>
        </w:tc>
        <w:tc>
          <w:tcPr>
            <w:tcW w:w="1000" w:type="dxa"/>
          </w:tcPr>
          <w:p w14:paraId="25084AC4">
            <w:pPr>
              <w:pStyle w:val="2"/>
              <w:ind w:firstLine="482"/>
              <w:rPr>
                <w:b/>
                <w:bCs/>
                <w:color w:val="auto"/>
                <w:szCs w:val="24"/>
                <w:highlight w:val="none"/>
              </w:rPr>
            </w:pPr>
          </w:p>
        </w:tc>
        <w:tc>
          <w:tcPr>
            <w:tcW w:w="1050" w:type="dxa"/>
          </w:tcPr>
          <w:p w14:paraId="41E700AC">
            <w:pPr>
              <w:pStyle w:val="2"/>
              <w:ind w:firstLine="482"/>
              <w:rPr>
                <w:b/>
                <w:bCs/>
                <w:color w:val="auto"/>
                <w:szCs w:val="24"/>
                <w:highlight w:val="none"/>
              </w:rPr>
            </w:pPr>
          </w:p>
        </w:tc>
        <w:tc>
          <w:tcPr>
            <w:tcW w:w="1063" w:type="dxa"/>
          </w:tcPr>
          <w:p w14:paraId="0E407E5B">
            <w:pPr>
              <w:pStyle w:val="2"/>
              <w:ind w:firstLine="482"/>
              <w:rPr>
                <w:b/>
                <w:bCs/>
                <w:color w:val="auto"/>
                <w:szCs w:val="24"/>
                <w:highlight w:val="none"/>
              </w:rPr>
            </w:pPr>
          </w:p>
        </w:tc>
        <w:tc>
          <w:tcPr>
            <w:tcW w:w="1050" w:type="dxa"/>
          </w:tcPr>
          <w:p w14:paraId="7DD04149">
            <w:pPr>
              <w:pStyle w:val="2"/>
              <w:ind w:firstLine="482"/>
              <w:rPr>
                <w:b/>
                <w:bCs/>
                <w:color w:val="auto"/>
                <w:szCs w:val="24"/>
                <w:highlight w:val="none"/>
              </w:rPr>
            </w:pPr>
          </w:p>
        </w:tc>
        <w:tc>
          <w:tcPr>
            <w:tcW w:w="1200" w:type="dxa"/>
          </w:tcPr>
          <w:p w14:paraId="5F622DEC">
            <w:pPr>
              <w:pStyle w:val="2"/>
              <w:ind w:firstLine="482"/>
              <w:rPr>
                <w:b/>
                <w:bCs/>
                <w:color w:val="auto"/>
                <w:szCs w:val="24"/>
                <w:highlight w:val="none"/>
              </w:rPr>
            </w:pPr>
          </w:p>
        </w:tc>
        <w:tc>
          <w:tcPr>
            <w:tcW w:w="1243" w:type="dxa"/>
          </w:tcPr>
          <w:p w14:paraId="794F6829">
            <w:pPr>
              <w:pStyle w:val="2"/>
              <w:ind w:firstLine="482"/>
              <w:rPr>
                <w:b/>
                <w:bCs/>
                <w:color w:val="auto"/>
                <w:szCs w:val="24"/>
                <w:highlight w:val="none"/>
              </w:rPr>
            </w:pPr>
          </w:p>
        </w:tc>
      </w:tr>
      <w:tr w14:paraId="7445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DB42226">
            <w:pPr>
              <w:pStyle w:val="2"/>
              <w:ind w:firstLine="482"/>
              <w:rPr>
                <w:b/>
                <w:bCs/>
                <w:color w:val="auto"/>
                <w:szCs w:val="24"/>
                <w:highlight w:val="none"/>
              </w:rPr>
            </w:pPr>
          </w:p>
        </w:tc>
        <w:tc>
          <w:tcPr>
            <w:tcW w:w="1088" w:type="dxa"/>
          </w:tcPr>
          <w:p w14:paraId="1E94B67B">
            <w:pPr>
              <w:pStyle w:val="2"/>
              <w:ind w:firstLine="482"/>
              <w:rPr>
                <w:b/>
                <w:bCs/>
                <w:color w:val="auto"/>
                <w:szCs w:val="24"/>
                <w:highlight w:val="none"/>
              </w:rPr>
            </w:pPr>
          </w:p>
        </w:tc>
        <w:tc>
          <w:tcPr>
            <w:tcW w:w="962" w:type="dxa"/>
          </w:tcPr>
          <w:p w14:paraId="35CBB51D">
            <w:pPr>
              <w:pStyle w:val="2"/>
              <w:ind w:firstLine="482"/>
              <w:rPr>
                <w:b/>
                <w:bCs/>
                <w:color w:val="auto"/>
                <w:szCs w:val="24"/>
                <w:highlight w:val="none"/>
              </w:rPr>
            </w:pPr>
          </w:p>
        </w:tc>
        <w:tc>
          <w:tcPr>
            <w:tcW w:w="1000" w:type="dxa"/>
          </w:tcPr>
          <w:p w14:paraId="1820C66A">
            <w:pPr>
              <w:pStyle w:val="2"/>
              <w:ind w:firstLine="482"/>
              <w:rPr>
                <w:b/>
                <w:bCs/>
                <w:color w:val="auto"/>
                <w:szCs w:val="24"/>
                <w:highlight w:val="none"/>
              </w:rPr>
            </w:pPr>
          </w:p>
        </w:tc>
        <w:tc>
          <w:tcPr>
            <w:tcW w:w="1050" w:type="dxa"/>
          </w:tcPr>
          <w:p w14:paraId="61B7D32A">
            <w:pPr>
              <w:pStyle w:val="2"/>
              <w:ind w:firstLine="482"/>
              <w:rPr>
                <w:b/>
                <w:bCs/>
                <w:color w:val="auto"/>
                <w:szCs w:val="24"/>
                <w:highlight w:val="none"/>
              </w:rPr>
            </w:pPr>
          </w:p>
        </w:tc>
        <w:tc>
          <w:tcPr>
            <w:tcW w:w="1063" w:type="dxa"/>
          </w:tcPr>
          <w:p w14:paraId="786CC856">
            <w:pPr>
              <w:pStyle w:val="2"/>
              <w:ind w:firstLine="482"/>
              <w:rPr>
                <w:b/>
                <w:bCs/>
                <w:color w:val="auto"/>
                <w:szCs w:val="24"/>
                <w:highlight w:val="none"/>
              </w:rPr>
            </w:pPr>
          </w:p>
        </w:tc>
        <w:tc>
          <w:tcPr>
            <w:tcW w:w="1050" w:type="dxa"/>
          </w:tcPr>
          <w:p w14:paraId="3E07D1D4">
            <w:pPr>
              <w:pStyle w:val="2"/>
              <w:ind w:firstLine="482"/>
              <w:rPr>
                <w:b/>
                <w:bCs/>
                <w:color w:val="auto"/>
                <w:szCs w:val="24"/>
                <w:highlight w:val="none"/>
              </w:rPr>
            </w:pPr>
          </w:p>
        </w:tc>
        <w:tc>
          <w:tcPr>
            <w:tcW w:w="1200" w:type="dxa"/>
          </w:tcPr>
          <w:p w14:paraId="5B7DB825">
            <w:pPr>
              <w:pStyle w:val="2"/>
              <w:ind w:firstLine="482"/>
              <w:rPr>
                <w:b/>
                <w:bCs/>
                <w:color w:val="auto"/>
                <w:szCs w:val="24"/>
                <w:highlight w:val="none"/>
              </w:rPr>
            </w:pPr>
          </w:p>
        </w:tc>
        <w:tc>
          <w:tcPr>
            <w:tcW w:w="1243" w:type="dxa"/>
          </w:tcPr>
          <w:p w14:paraId="4DA1ACBF">
            <w:pPr>
              <w:pStyle w:val="2"/>
              <w:ind w:firstLine="482"/>
              <w:rPr>
                <w:b/>
                <w:bCs/>
                <w:color w:val="auto"/>
                <w:szCs w:val="24"/>
                <w:highlight w:val="none"/>
              </w:rPr>
            </w:pPr>
          </w:p>
        </w:tc>
      </w:tr>
      <w:tr w14:paraId="365E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B47AE69">
            <w:pPr>
              <w:pStyle w:val="2"/>
              <w:ind w:firstLine="482"/>
              <w:rPr>
                <w:b/>
                <w:bCs/>
                <w:color w:val="auto"/>
                <w:szCs w:val="24"/>
                <w:highlight w:val="none"/>
              </w:rPr>
            </w:pPr>
          </w:p>
        </w:tc>
        <w:tc>
          <w:tcPr>
            <w:tcW w:w="1088" w:type="dxa"/>
          </w:tcPr>
          <w:p w14:paraId="57822C3A">
            <w:pPr>
              <w:pStyle w:val="2"/>
              <w:ind w:firstLine="482"/>
              <w:rPr>
                <w:b/>
                <w:bCs/>
                <w:color w:val="auto"/>
                <w:szCs w:val="24"/>
                <w:highlight w:val="none"/>
              </w:rPr>
            </w:pPr>
          </w:p>
        </w:tc>
        <w:tc>
          <w:tcPr>
            <w:tcW w:w="962" w:type="dxa"/>
          </w:tcPr>
          <w:p w14:paraId="42BB1853">
            <w:pPr>
              <w:pStyle w:val="2"/>
              <w:ind w:firstLine="482"/>
              <w:rPr>
                <w:b/>
                <w:bCs/>
                <w:color w:val="auto"/>
                <w:szCs w:val="24"/>
                <w:highlight w:val="none"/>
              </w:rPr>
            </w:pPr>
          </w:p>
        </w:tc>
        <w:tc>
          <w:tcPr>
            <w:tcW w:w="1000" w:type="dxa"/>
          </w:tcPr>
          <w:p w14:paraId="5D2504A0">
            <w:pPr>
              <w:pStyle w:val="2"/>
              <w:ind w:firstLine="482"/>
              <w:rPr>
                <w:b/>
                <w:bCs/>
                <w:color w:val="auto"/>
                <w:szCs w:val="24"/>
                <w:highlight w:val="none"/>
              </w:rPr>
            </w:pPr>
          </w:p>
        </w:tc>
        <w:tc>
          <w:tcPr>
            <w:tcW w:w="1050" w:type="dxa"/>
          </w:tcPr>
          <w:p w14:paraId="26A77CFE">
            <w:pPr>
              <w:pStyle w:val="2"/>
              <w:ind w:firstLine="482"/>
              <w:rPr>
                <w:b/>
                <w:bCs/>
                <w:color w:val="auto"/>
                <w:szCs w:val="24"/>
                <w:highlight w:val="none"/>
              </w:rPr>
            </w:pPr>
          </w:p>
        </w:tc>
        <w:tc>
          <w:tcPr>
            <w:tcW w:w="1063" w:type="dxa"/>
          </w:tcPr>
          <w:p w14:paraId="0FE8A764">
            <w:pPr>
              <w:pStyle w:val="2"/>
              <w:ind w:firstLine="482"/>
              <w:rPr>
                <w:b/>
                <w:bCs/>
                <w:color w:val="auto"/>
                <w:szCs w:val="24"/>
                <w:highlight w:val="none"/>
              </w:rPr>
            </w:pPr>
          </w:p>
        </w:tc>
        <w:tc>
          <w:tcPr>
            <w:tcW w:w="1050" w:type="dxa"/>
          </w:tcPr>
          <w:p w14:paraId="5CACA91F">
            <w:pPr>
              <w:pStyle w:val="2"/>
              <w:ind w:firstLine="482"/>
              <w:rPr>
                <w:b/>
                <w:bCs/>
                <w:color w:val="auto"/>
                <w:szCs w:val="24"/>
                <w:highlight w:val="none"/>
              </w:rPr>
            </w:pPr>
          </w:p>
        </w:tc>
        <w:tc>
          <w:tcPr>
            <w:tcW w:w="1200" w:type="dxa"/>
          </w:tcPr>
          <w:p w14:paraId="4BDDAD5E">
            <w:pPr>
              <w:pStyle w:val="2"/>
              <w:ind w:firstLine="482"/>
              <w:rPr>
                <w:b/>
                <w:bCs/>
                <w:color w:val="auto"/>
                <w:szCs w:val="24"/>
                <w:highlight w:val="none"/>
              </w:rPr>
            </w:pPr>
          </w:p>
        </w:tc>
        <w:tc>
          <w:tcPr>
            <w:tcW w:w="1243" w:type="dxa"/>
          </w:tcPr>
          <w:p w14:paraId="36359BC3">
            <w:pPr>
              <w:pStyle w:val="2"/>
              <w:ind w:firstLine="482"/>
              <w:rPr>
                <w:b/>
                <w:bCs/>
                <w:color w:val="auto"/>
                <w:szCs w:val="24"/>
                <w:highlight w:val="none"/>
              </w:rPr>
            </w:pPr>
          </w:p>
        </w:tc>
      </w:tr>
      <w:tr w14:paraId="7E06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14CAB9DC">
            <w:pPr>
              <w:pStyle w:val="2"/>
              <w:ind w:firstLine="482"/>
              <w:rPr>
                <w:b/>
                <w:bCs/>
                <w:color w:val="auto"/>
                <w:szCs w:val="24"/>
                <w:highlight w:val="none"/>
              </w:rPr>
            </w:pPr>
          </w:p>
        </w:tc>
        <w:tc>
          <w:tcPr>
            <w:tcW w:w="1088" w:type="dxa"/>
          </w:tcPr>
          <w:p w14:paraId="4E296A7A">
            <w:pPr>
              <w:pStyle w:val="2"/>
              <w:ind w:firstLine="482"/>
              <w:rPr>
                <w:b/>
                <w:bCs/>
                <w:color w:val="auto"/>
                <w:szCs w:val="24"/>
                <w:highlight w:val="none"/>
              </w:rPr>
            </w:pPr>
          </w:p>
        </w:tc>
        <w:tc>
          <w:tcPr>
            <w:tcW w:w="962" w:type="dxa"/>
          </w:tcPr>
          <w:p w14:paraId="407C76BF">
            <w:pPr>
              <w:pStyle w:val="2"/>
              <w:ind w:firstLine="482"/>
              <w:rPr>
                <w:b/>
                <w:bCs/>
                <w:color w:val="auto"/>
                <w:szCs w:val="24"/>
                <w:highlight w:val="none"/>
              </w:rPr>
            </w:pPr>
          </w:p>
        </w:tc>
        <w:tc>
          <w:tcPr>
            <w:tcW w:w="1000" w:type="dxa"/>
          </w:tcPr>
          <w:p w14:paraId="46884B89">
            <w:pPr>
              <w:pStyle w:val="2"/>
              <w:ind w:firstLine="482"/>
              <w:rPr>
                <w:b/>
                <w:bCs/>
                <w:color w:val="auto"/>
                <w:szCs w:val="24"/>
                <w:highlight w:val="none"/>
              </w:rPr>
            </w:pPr>
          </w:p>
        </w:tc>
        <w:tc>
          <w:tcPr>
            <w:tcW w:w="1050" w:type="dxa"/>
          </w:tcPr>
          <w:p w14:paraId="63D35977">
            <w:pPr>
              <w:pStyle w:val="2"/>
              <w:ind w:firstLine="482"/>
              <w:rPr>
                <w:b/>
                <w:bCs/>
                <w:color w:val="auto"/>
                <w:szCs w:val="24"/>
                <w:highlight w:val="none"/>
              </w:rPr>
            </w:pPr>
          </w:p>
        </w:tc>
        <w:tc>
          <w:tcPr>
            <w:tcW w:w="1063" w:type="dxa"/>
          </w:tcPr>
          <w:p w14:paraId="7B24A855">
            <w:pPr>
              <w:pStyle w:val="2"/>
              <w:ind w:firstLine="482"/>
              <w:rPr>
                <w:b/>
                <w:bCs/>
                <w:color w:val="auto"/>
                <w:szCs w:val="24"/>
                <w:highlight w:val="none"/>
              </w:rPr>
            </w:pPr>
          </w:p>
        </w:tc>
        <w:tc>
          <w:tcPr>
            <w:tcW w:w="1050" w:type="dxa"/>
          </w:tcPr>
          <w:p w14:paraId="571D5161">
            <w:pPr>
              <w:pStyle w:val="2"/>
              <w:ind w:firstLine="482"/>
              <w:rPr>
                <w:b/>
                <w:bCs/>
                <w:color w:val="auto"/>
                <w:szCs w:val="24"/>
                <w:highlight w:val="none"/>
              </w:rPr>
            </w:pPr>
          </w:p>
        </w:tc>
        <w:tc>
          <w:tcPr>
            <w:tcW w:w="1200" w:type="dxa"/>
          </w:tcPr>
          <w:p w14:paraId="6CF88043">
            <w:pPr>
              <w:pStyle w:val="2"/>
              <w:ind w:firstLine="482"/>
              <w:rPr>
                <w:b/>
                <w:bCs/>
                <w:color w:val="auto"/>
                <w:szCs w:val="24"/>
                <w:highlight w:val="none"/>
              </w:rPr>
            </w:pPr>
          </w:p>
        </w:tc>
        <w:tc>
          <w:tcPr>
            <w:tcW w:w="1243" w:type="dxa"/>
          </w:tcPr>
          <w:p w14:paraId="2E243764">
            <w:pPr>
              <w:pStyle w:val="2"/>
              <w:ind w:firstLine="482"/>
              <w:rPr>
                <w:b/>
                <w:bCs/>
                <w:color w:val="auto"/>
                <w:szCs w:val="24"/>
                <w:highlight w:val="none"/>
              </w:rPr>
            </w:pPr>
          </w:p>
        </w:tc>
      </w:tr>
    </w:tbl>
    <w:p w14:paraId="2D3D90BB">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w:t>
      </w:r>
      <w:r>
        <w:rPr>
          <w:rFonts w:hint="eastAsia"/>
          <w:b/>
          <w:bCs/>
          <w:color w:val="auto"/>
          <w:highlight w:val="none"/>
          <w:lang w:val="en-US" w:eastAsia="zh-CN"/>
        </w:rPr>
        <w:t>业绩证明</w:t>
      </w:r>
      <w:r>
        <w:rPr>
          <w:rFonts w:hint="eastAsia" w:cs="宋体"/>
          <w:b/>
          <w:bCs/>
          <w:color w:val="auto"/>
          <w:highlight w:val="none"/>
          <w:lang w:bidi="ar"/>
        </w:rPr>
        <w:t>文件</w:t>
      </w:r>
      <w:r>
        <w:rPr>
          <w:rFonts w:hint="eastAsia" w:cs="宋体"/>
          <w:color w:val="auto"/>
          <w:highlight w:val="none"/>
          <w:lang w:bidi="ar"/>
        </w:rPr>
        <w:t>。</w:t>
      </w:r>
    </w:p>
    <w:p w14:paraId="207D55BE">
      <w:pPr>
        <w:spacing w:before="0" w:after="0" w:afterAutospacing="0" w:line="480" w:lineRule="auto"/>
        <w:ind w:left="0" w:right="0" w:firstLine="200"/>
        <w:rPr>
          <w:rFonts w:hint="default" w:ascii="Times New Roman" w:hAnsi="Times New Roman" w:eastAsia="宋体" w:cs="Times New Roman"/>
          <w:color w:val="auto"/>
          <w:highlight w:val="none"/>
          <w:lang w:val="en-US" w:eastAsia="zh-CN"/>
        </w:rPr>
      </w:pPr>
    </w:p>
    <w:p w14:paraId="1D8F3965">
      <w:pPr>
        <w:pStyle w:val="6"/>
        <w:pageBreakBefore/>
        <w:spacing w:after="100"/>
        <w:ind w:left="0" w:right="-57" w:firstLine="0"/>
        <w:jc w:val="center"/>
        <w:rPr>
          <w:rFonts w:hint="eastAsia" w:ascii="宋体" w:hAnsi="宋体"/>
          <w:color w:val="auto"/>
          <w:sz w:val="24"/>
          <w:szCs w:val="24"/>
          <w:highlight w:val="none"/>
        </w:rPr>
      </w:pPr>
      <w:bookmarkStart w:id="1627" w:name="_Toc14988"/>
      <w:bookmarkStart w:id="1628" w:name="_Toc23770"/>
      <w:bookmarkStart w:id="1629" w:name="_Toc11582"/>
      <w:bookmarkStart w:id="1630" w:name="_Toc28662"/>
      <w:bookmarkStart w:id="1631" w:name="_Toc16676"/>
      <w:bookmarkStart w:id="1632" w:name="_Toc27820"/>
      <w:bookmarkStart w:id="1633" w:name="_Toc492478807"/>
      <w:bookmarkStart w:id="1634" w:name="_Toc414290525"/>
      <w:bookmarkStart w:id="1635" w:name="_Toc14586"/>
      <w:bookmarkStart w:id="1636" w:name="_Toc8914"/>
      <w:bookmarkStart w:id="1637" w:name="_Toc12984811"/>
      <w:bookmarkStart w:id="1638" w:name="_Toc18876"/>
      <w:bookmarkStart w:id="1639" w:name="_Toc8451"/>
      <w:bookmarkStart w:id="1640" w:name="_Toc17687"/>
      <w:bookmarkStart w:id="1641" w:name="_Toc12677"/>
      <w:bookmarkStart w:id="1642" w:name="_Toc8874"/>
      <w:bookmarkStart w:id="1643" w:name="_Toc10812"/>
      <w:bookmarkStart w:id="1644" w:name="_Toc29358"/>
      <w:bookmarkStart w:id="1645" w:name="_Toc24971"/>
      <w:bookmarkStart w:id="1646" w:name="_Toc13328"/>
      <w:bookmarkStart w:id="1647" w:name="_Toc12983551"/>
      <w:bookmarkStart w:id="1648" w:name="_Toc18086"/>
      <w:bookmarkStart w:id="1649" w:name="_Toc6943"/>
      <w:bookmarkStart w:id="1650" w:name="_Toc114134667"/>
      <w:r>
        <w:rPr>
          <w:rFonts w:ascii="宋体" w:hAnsi="宋体"/>
          <w:color w:val="auto"/>
          <w:sz w:val="24"/>
          <w:szCs w:val="24"/>
          <w:highlight w:val="none"/>
        </w:rPr>
        <w:t xml:space="preserve">B </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Pr>
          <w:rFonts w:hint="eastAsia" w:ascii="宋体" w:hAnsi="宋体"/>
          <w:color w:val="auto"/>
          <w:sz w:val="24"/>
          <w:szCs w:val="24"/>
          <w:highlight w:val="none"/>
        </w:rPr>
        <w:t>价格文件</w:t>
      </w:r>
      <w:bookmarkEnd w:id="1648"/>
      <w:bookmarkEnd w:id="1649"/>
      <w:bookmarkEnd w:id="1650"/>
    </w:p>
    <w:p w14:paraId="1A9992D0">
      <w:pPr>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价格文件格式</w:t>
      </w:r>
    </w:p>
    <w:p w14:paraId="10A1F51B">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3044C17C">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58BF801F">
      <w:pPr>
        <w:spacing w:before="0" w:after="0" w:afterAutospacing="0"/>
        <w:ind w:left="0" w:right="0" w:firstLine="420" w:firstLineChars="200"/>
        <w:rPr>
          <w:rFonts w:hint="eastAsia" w:ascii="宋体" w:hAnsi="宋体" w:cs="Arial"/>
          <w:color w:val="auto"/>
          <w:highlight w:val="none"/>
        </w:rPr>
      </w:pPr>
      <w:r>
        <w:rPr>
          <w:rFonts w:hint="eastAsia"/>
          <w:color w:val="auto"/>
          <w:highlight w:val="none"/>
        </w:rPr>
        <w:t>（3）比选申请人认为应提交的其他比选申请资料（如有）。</w:t>
      </w:r>
    </w:p>
    <w:p w14:paraId="45A30971">
      <w:pPr>
        <w:pStyle w:val="7"/>
        <w:tabs>
          <w:tab w:val="left" w:pos="567"/>
          <w:tab w:val="left" w:pos="720"/>
        </w:tabs>
        <w:snapToGrid w:val="0"/>
        <w:spacing w:after="0" w:line="360" w:lineRule="auto"/>
        <w:ind w:right="-57"/>
        <w:jc w:val="left"/>
        <w:rPr>
          <w:rFonts w:hint="eastAsia" w:ascii="宋体" w:hAnsi="宋体" w:eastAsia="宋体"/>
          <w:color w:val="auto"/>
          <w:sz w:val="21"/>
          <w:szCs w:val="21"/>
          <w:highlight w:val="none"/>
        </w:rPr>
      </w:pPr>
      <w:r>
        <w:rPr>
          <w:rFonts w:ascii="宋体" w:hAnsi="宋体" w:eastAsia="宋体"/>
          <w:color w:val="auto"/>
          <w:highlight w:val="none"/>
        </w:rPr>
        <w:br w:type="page"/>
      </w:r>
      <w:bookmarkStart w:id="1651" w:name="_Toc27610"/>
      <w:bookmarkStart w:id="1652" w:name="_Toc10991"/>
      <w:bookmarkStart w:id="1653" w:name="_Toc29688"/>
      <w:bookmarkStart w:id="1654" w:name="_Toc25750680"/>
      <w:bookmarkStart w:id="1655" w:name="_Toc22936"/>
      <w:bookmarkStart w:id="1656" w:name="_Toc13980"/>
      <w:bookmarkStart w:id="1657" w:name="_Toc1158"/>
      <w:bookmarkStart w:id="1658" w:name="_Toc6992"/>
      <w:bookmarkStart w:id="1659" w:name="_Toc18340"/>
      <w:bookmarkStart w:id="1660" w:name="_Toc25419"/>
      <w:bookmarkStart w:id="1661" w:name="_Toc18516"/>
      <w:bookmarkStart w:id="1662" w:name="_Toc7004"/>
      <w:bookmarkStart w:id="1663" w:name="_Toc12984812"/>
      <w:bookmarkStart w:id="1664" w:name="_Toc24326"/>
      <w:bookmarkStart w:id="1665" w:name="_Toc414290526"/>
      <w:bookmarkStart w:id="1666" w:name="_Toc12951"/>
      <w:bookmarkStart w:id="1667" w:name="_Toc3806"/>
      <w:bookmarkStart w:id="1668" w:name="_Toc12983552"/>
      <w:bookmarkStart w:id="1669" w:name="_Toc23615"/>
      <w:bookmarkStart w:id="1670" w:name="_Toc9560"/>
      <w:bookmarkStart w:id="1671" w:name="_Toc16489"/>
      <w:bookmarkStart w:id="1672" w:name="_Toc114134668"/>
      <w:bookmarkStart w:id="1673" w:name="_Toc9861"/>
      <w:bookmarkStart w:id="1674" w:name="_Toc492478808"/>
      <w:bookmarkStart w:id="1675" w:name="_Toc24487"/>
      <w:bookmarkStart w:id="1676" w:name="_Toc375564355"/>
      <w:bookmarkStart w:id="1677" w:name="_Toc29231"/>
      <w:r>
        <w:rPr>
          <w:rFonts w:ascii="宋体" w:hAnsi="宋体" w:eastAsia="宋体"/>
          <w:color w:val="auto"/>
          <w:sz w:val="21"/>
          <w:szCs w:val="21"/>
          <w:highlight w:val="none"/>
        </w:rPr>
        <w:t>B1比选申请报价一览表</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AAE0846">
      <w:pPr>
        <w:snapToGrid w:val="0"/>
        <w:spacing w:after="50"/>
        <w:ind w:right="-57"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p w14:paraId="21801F34">
      <w:pPr>
        <w:widowControl w:val="0"/>
        <w:snapToGrid w:val="0"/>
        <w:spacing w:before="0" w:after="0" w:afterAutospacing="0"/>
        <w:ind w:left="0" w:right="-57" w:rightChars="-27" w:firstLine="0"/>
        <w:rPr>
          <w:rFonts w:hint="eastAsia" w:ascii="宋体" w:hAnsi="宋体" w:eastAsia="宋体"/>
          <w:color w:val="auto"/>
          <w:highlight w:val="none"/>
          <w:u w:val="singl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轨道云著（北区）项目样板房（138户型）精装修设计</w:t>
      </w:r>
    </w:p>
    <w:p w14:paraId="4B39C317">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比选申请人名称：                     单位：元</w:t>
      </w:r>
    </w:p>
    <w:p w14:paraId="01FE21DA">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报价形式：</w:t>
      </w:r>
      <w:r>
        <w:rPr>
          <w:rFonts w:hint="eastAsia" w:ascii="宋体" w:hAnsi="宋体"/>
          <w:color w:val="auto"/>
          <w:kern w:val="2"/>
          <w:highlight w:val="none"/>
          <w:lang w:val="en-US" w:eastAsia="zh-CN"/>
        </w:rPr>
        <w:t>单价</w:t>
      </w:r>
    </w:p>
    <w:tbl>
      <w:tblPr>
        <w:tblStyle w:val="36"/>
        <w:tblW w:w="49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3"/>
        <w:gridCol w:w="6177"/>
      </w:tblGrid>
      <w:tr w14:paraId="75D9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12F3FE3F">
            <w:pPr>
              <w:widowControl w:val="0"/>
              <w:snapToGrid w:val="0"/>
              <w:spacing w:line="500" w:lineRule="exact"/>
              <w:jc w:val="center"/>
              <w:rPr>
                <w:rFonts w:hint="eastAsia" w:ascii="宋体" w:hAnsi="宋体" w:eastAsia="宋体"/>
                <w:b/>
                <w:bCs/>
                <w:color w:val="auto"/>
                <w:kern w:val="2"/>
                <w:sz w:val="24"/>
                <w:szCs w:val="24"/>
                <w:highlight w:val="none"/>
                <w:lang w:eastAsia="zh-CN"/>
              </w:rPr>
            </w:pPr>
            <w:r>
              <w:rPr>
                <w:rFonts w:hint="eastAsia" w:ascii="宋体" w:hAnsi="宋体"/>
                <w:b/>
                <w:bCs/>
                <w:color w:val="auto"/>
                <w:sz w:val="24"/>
                <w:szCs w:val="24"/>
                <w:highlight w:val="none"/>
              </w:rPr>
              <w:t>暂定设计面积</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FB1F9AE">
            <w:pPr>
              <w:jc w:val="center"/>
              <w:textAlignment w:val="center"/>
              <w:rPr>
                <w:rFonts w:hint="default" w:ascii="宋体" w:hAnsi="宋体" w:eastAsia="宋体"/>
                <w:color w:val="auto"/>
                <w:kern w:val="2"/>
                <w:sz w:val="22"/>
                <w:szCs w:val="22"/>
                <w:highlight w:val="none"/>
                <w:lang w:val="en-US" w:eastAsia="zh-CN"/>
              </w:rPr>
            </w:pPr>
            <w:r>
              <w:rPr>
                <w:rFonts w:hint="eastAsia"/>
                <w:color w:val="auto"/>
                <w:highlight w:val="none"/>
                <w:lang w:val="en-US" w:eastAsia="zh-CN"/>
              </w:rPr>
              <w:t>138</w:t>
            </w:r>
          </w:p>
        </w:tc>
      </w:tr>
      <w:tr w14:paraId="7A65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650CC886">
            <w:pPr>
              <w:widowControl w:val="0"/>
              <w:snapToGrid w:val="0"/>
              <w:spacing w:line="500" w:lineRule="exact"/>
              <w:ind w:left="709" w:leftChars="0" w:right="-27" w:rightChars="0" w:hanging="709" w:firstLineChars="0"/>
              <w:jc w:val="center"/>
              <w:rPr>
                <w:rFonts w:hint="eastAsia" w:ascii="宋体" w:hAnsi="宋体"/>
                <w:b/>
                <w:bCs/>
                <w:color w:val="auto"/>
                <w:sz w:val="24"/>
                <w:szCs w:val="24"/>
                <w:highlight w:val="none"/>
              </w:rPr>
            </w:pPr>
            <w:r>
              <w:rPr>
                <w:rFonts w:hint="eastAsia" w:ascii="宋体" w:hAnsi="宋体"/>
                <w:b/>
                <w:bCs/>
                <w:color w:val="auto"/>
                <w:sz w:val="24"/>
                <w:szCs w:val="24"/>
                <w:highlight w:val="none"/>
                <w:lang w:val="en-US" w:eastAsia="zh-CN"/>
              </w:rPr>
              <w:t>不含税固定单价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69056FC4">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3A61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200F3FC6">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lang w:val="en-US" w:eastAsia="zh-CN"/>
              </w:rPr>
              <w:t>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2728D2DD">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0CBA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03EB5CE3">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rPr>
              <w:t>税率</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BC2BBAB">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421C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2E9E3FBE">
            <w:pPr>
              <w:widowControl w:val="0"/>
              <w:snapToGrid w:val="0"/>
              <w:spacing w:line="500" w:lineRule="exact"/>
              <w:jc w:val="center"/>
              <w:rPr>
                <w:rFonts w:ascii="宋体" w:hAnsi="宋体"/>
                <w:b/>
                <w:bCs/>
                <w:color w:val="auto"/>
                <w:kern w:val="2"/>
                <w:sz w:val="24"/>
                <w:szCs w:val="24"/>
                <w:highlight w:val="none"/>
              </w:rPr>
            </w:pPr>
            <w:r>
              <w:rPr>
                <w:rFonts w:hint="eastAsia" w:ascii="宋体" w:hAnsi="宋体"/>
                <w:b/>
                <w:bCs/>
                <w:color w:val="auto"/>
                <w:sz w:val="24"/>
                <w:szCs w:val="24"/>
                <w:highlight w:val="none"/>
              </w:rPr>
              <w:t>不含税总价（元）：</w:t>
            </w:r>
          </w:p>
        </w:tc>
        <w:tc>
          <w:tcPr>
            <w:tcW w:w="3450" w:type="pct"/>
            <w:tcBorders>
              <w:top w:val="single" w:color="auto" w:sz="4" w:space="0"/>
              <w:left w:val="single" w:color="auto" w:sz="4" w:space="0"/>
              <w:bottom w:val="single" w:color="auto" w:sz="4" w:space="0"/>
              <w:right w:val="single" w:color="auto" w:sz="4" w:space="0"/>
            </w:tcBorders>
          </w:tcPr>
          <w:p w14:paraId="30E9EBF6">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6A1D6B67">
            <w:pPr>
              <w:widowControl w:val="0"/>
              <w:snapToGrid w:val="0"/>
              <w:spacing w:line="500" w:lineRule="exact"/>
              <w:ind w:left="0" w:firstLine="0"/>
              <w:rPr>
                <w:rFonts w:ascii="宋体" w:hAnsi="宋体"/>
                <w:b/>
                <w:bCs/>
                <w:color w:val="auto"/>
                <w:kern w:val="2"/>
                <w:sz w:val="24"/>
                <w:szCs w:val="24"/>
                <w:highlight w:val="none"/>
              </w:rPr>
            </w:pPr>
            <w:r>
              <w:rPr>
                <w:rFonts w:hint="eastAsia" w:ascii="宋体" w:hAnsi="宋体"/>
                <w:b/>
                <w:bCs/>
                <w:color w:val="auto"/>
                <w:sz w:val="24"/>
                <w:szCs w:val="24"/>
                <w:highlight w:val="none"/>
              </w:rPr>
              <w:t>小写：</w:t>
            </w:r>
          </w:p>
        </w:tc>
      </w:tr>
      <w:tr w14:paraId="2AEC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3C544224">
            <w:pPr>
              <w:widowControl w:val="0"/>
              <w:snapToGrid w:val="0"/>
              <w:spacing w:line="500" w:lineRule="exact"/>
              <w:jc w:val="center"/>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含税总价</w:t>
            </w:r>
          </w:p>
        </w:tc>
        <w:tc>
          <w:tcPr>
            <w:tcW w:w="3450" w:type="pct"/>
            <w:tcBorders>
              <w:top w:val="single" w:color="auto" w:sz="4" w:space="0"/>
              <w:left w:val="single" w:color="auto" w:sz="4" w:space="0"/>
              <w:bottom w:val="single" w:color="auto" w:sz="4" w:space="0"/>
              <w:right w:val="single" w:color="auto" w:sz="4" w:space="0"/>
            </w:tcBorders>
            <w:vAlign w:val="center"/>
          </w:tcPr>
          <w:p w14:paraId="2E3BA477">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19F29181">
            <w:pPr>
              <w:snapToGrid w:val="0"/>
              <w:spacing w:line="500" w:lineRule="exact"/>
              <w:ind w:left="0" w:leftChars="0" w:firstLine="0" w:firstLineChars="0"/>
              <w:rPr>
                <w:rFonts w:ascii="宋体" w:hAnsi="宋体"/>
                <w:b/>
                <w:bCs/>
                <w:color w:val="auto"/>
                <w:sz w:val="24"/>
                <w:szCs w:val="24"/>
                <w:highlight w:val="none"/>
                <w:u w:val="single"/>
              </w:rPr>
            </w:pPr>
            <w:r>
              <w:rPr>
                <w:rFonts w:hint="eastAsia" w:ascii="宋体" w:hAnsi="宋体"/>
                <w:b/>
                <w:bCs/>
                <w:color w:val="auto"/>
                <w:sz w:val="24"/>
                <w:szCs w:val="24"/>
                <w:highlight w:val="none"/>
              </w:rPr>
              <w:t>小写：</w:t>
            </w:r>
          </w:p>
        </w:tc>
      </w:tr>
    </w:tbl>
    <w:p w14:paraId="0D0CCF9A">
      <w:pPr>
        <w:pStyle w:val="17"/>
        <w:rPr>
          <w:rFonts w:hint="eastAsia" w:hAnsi="宋体"/>
          <w:color w:val="auto"/>
          <w:highlight w:val="none"/>
        </w:rPr>
      </w:pPr>
    </w:p>
    <w:p w14:paraId="46BB72ED">
      <w:pPr>
        <w:snapToGrid w:val="0"/>
        <w:spacing w:after="50" w:line="280" w:lineRule="exact"/>
        <w:ind w:left="955" w:right="-817" w:firstLine="2625" w:firstLineChars="1250"/>
        <w:rPr>
          <w:rFonts w:hint="eastAsia" w:ascii="宋体" w:hAnsi="宋体"/>
          <w:color w:val="auto"/>
          <w:highlight w:val="none"/>
          <w:u w:val="single"/>
        </w:rPr>
      </w:pPr>
      <w:r>
        <w:rPr>
          <w:rFonts w:hint="eastAsia" w:ascii="宋体" w:hAnsi="宋体"/>
          <w:color w:val="auto"/>
          <w:highlight w:val="none"/>
        </w:rPr>
        <w:t>比选申请人名称（盖章）：</w:t>
      </w:r>
    </w:p>
    <w:p w14:paraId="2034D188">
      <w:pPr>
        <w:snapToGrid w:val="0"/>
        <w:spacing w:after="50" w:line="280" w:lineRule="exact"/>
        <w:ind w:left="707" w:right="-817" w:firstLine="2835" w:firstLineChars="1350"/>
        <w:rPr>
          <w:rFonts w:hint="eastAsia" w:ascii="宋体" w:hAnsi="宋体"/>
          <w:color w:val="auto"/>
          <w:highlight w:val="none"/>
          <w:u w:val="single"/>
        </w:rPr>
      </w:pPr>
      <w:r>
        <w:rPr>
          <w:rFonts w:hint="eastAsia" w:ascii="宋体" w:hAnsi="宋体"/>
          <w:color w:val="auto"/>
          <w:highlight w:val="none"/>
        </w:rPr>
        <w:t>法定代表人或被授权人（签字）：</w:t>
      </w:r>
    </w:p>
    <w:p w14:paraId="2557034F">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1626AA52">
      <w:pPr>
        <w:pStyle w:val="7"/>
        <w:tabs>
          <w:tab w:val="left" w:pos="567"/>
          <w:tab w:val="left" w:pos="720"/>
        </w:tabs>
        <w:snapToGrid w:val="0"/>
        <w:spacing w:after="0" w:line="360" w:lineRule="auto"/>
        <w:ind w:right="0"/>
        <w:jc w:val="left"/>
        <w:rPr>
          <w:rFonts w:hint="eastAsia" w:ascii="宋体" w:hAnsi="宋体" w:eastAsia="宋体" w:cs="Arial"/>
          <w:color w:val="auto"/>
          <w:highlight w:val="none"/>
        </w:rPr>
      </w:pPr>
      <w:r>
        <w:rPr>
          <w:rFonts w:ascii="宋体" w:hAnsi="宋体" w:eastAsia="宋体"/>
          <w:color w:val="auto"/>
          <w:highlight w:val="none"/>
        </w:rPr>
        <w:br w:type="page"/>
      </w:r>
      <w:bookmarkStart w:id="1678" w:name="_Toc58124833"/>
      <w:bookmarkStart w:id="1679" w:name="_Toc61680485"/>
      <w:bookmarkStart w:id="1680" w:name="_Toc110413986"/>
      <w:bookmarkStart w:id="1681" w:name="_Toc68859063"/>
      <w:bookmarkStart w:id="1682" w:name="_Toc492478809"/>
      <w:bookmarkStart w:id="1683" w:name="_Toc6270"/>
      <w:bookmarkStart w:id="1684" w:name="_Toc414290527"/>
      <w:bookmarkStart w:id="1685" w:name="_Toc14503"/>
      <w:bookmarkStart w:id="1686" w:name="_Toc4976"/>
      <w:bookmarkStart w:id="1687" w:name="_Toc12984813"/>
      <w:bookmarkStart w:id="1688" w:name="_Toc14859"/>
      <w:bookmarkStart w:id="1689" w:name="_Toc2585"/>
      <w:bookmarkStart w:id="1690" w:name="_Toc114134669"/>
      <w:bookmarkStart w:id="1691" w:name="_Toc27419"/>
      <w:bookmarkStart w:id="1692" w:name="_Toc2257"/>
      <w:bookmarkStart w:id="1693" w:name="_Toc25750681"/>
      <w:bookmarkStart w:id="1694" w:name="_Toc8713"/>
      <w:bookmarkStart w:id="1695" w:name="_Toc29702"/>
      <w:bookmarkStart w:id="1696" w:name="_Toc10260"/>
      <w:bookmarkStart w:id="1697" w:name="_Toc11065"/>
      <w:bookmarkStart w:id="1698" w:name="_Toc32224"/>
      <w:bookmarkStart w:id="1699" w:name="_Toc17112"/>
      <w:bookmarkStart w:id="1700" w:name="_Toc12983553"/>
      <w:bookmarkStart w:id="1701" w:name="_Toc20737"/>
      <w:bookmarkStart w:id="1702" w:name="_Toc21109"/>
      <w:bookmarkStart w:id="1703" w:name="_Toc241920153"/>
      <w:bookmarkStart w:id="1704" w:name="_Toc6833"/>
      <w:bookmarkStart w:id="1705" w:name="_Toc15419"/>
      <w:bookmarkStart w:id="1706" w:name="_Toc20864"/>
      <w:bookmarkStart w:id="1707" w:name="_Toc375564356"/>
      <w:bookmarkStart w:id="1708" w:name="_Toc25869"/>
      <w:bookmarkStart w:id="1709" w:name="_Toc5235"/>
      <w:r>
        <w:rPr>
          <w:rFonts w:ascii="宋体" w:hAnsi="宋体" w:eastAsia="宋体"/>
          <w:color w:val="auto"/>
          <w:sz w:val="21"/>
          <w:szCs w:val="21"/>
          <w:highlight w:val="none"/>
        </w:rPr>
        <w:t>B2比选申请</w:t>
      </w:r>
      <w:bookmarkEnd w:id="1678"/>
      <w:bookmarkEnd w:id="1679"/>
      <w:bookmarkEnd w:id="1680"/>
      <w:bookmarkEnd w:id="1681"/>
      <w:r>
        <w:rPr>
          <w:rFonts w:ascii="宋体" w:hAnsi="宋体" w:eastAsia="宋体"/>
          <w:color w:val="auto"/>
          <w:sz w:val="21"/>
          <w:szCs w:val="21"/>
          <w:highlight w:val="none"/>
        </w:rPr>
        <w:t>函格式</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460BD3D">
      <w:pPr>
        <w:spacing w:before="0" w:after="0" w:afterAutospacing="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比选申请函</w:t>
      </w:r>
    </w:p>
    <w:p w14:paraId="6E48C8DD">
      <w:pPr>
        <w:spacing w:before="0" w:after="0" w:afterAutospacing="0"/>
        <w:ind w:left="0" w:right="0" w:firstLine="0"/>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14:paraId="794EC23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5D7DA29A">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据此，签字人宣布同意如下：</w:t>
      </w:r>
    </w:p>
    <w:p w14:paraId="37D3DA11">
      <w:pPr>
        <w:spacing w:before="0" w:after="0" w:afterAutospacing="0"/>
        <w:ind w:left="0" w:right="0" w:firstLine="420" w:firstLineChars="200"/>
        <w:rPr>
          <w:rFonts w:hint="eastAsia" w:ascii="宋体" w:hAnsi="宋体"/>
          <w:color w:val="auto"/>
          <w:highlight w:val="none"/>
        </w:rPr>
      </w:pPr>
      <w:bookmarkStart w:id="1710"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710"/>
    </w:p>
    <w:p w14:paraId="55619C2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1CAFBC0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1CCC9C0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0898ED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68394B4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790900B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，含税总报价为合同暂定含税总价款，合同的最终税金在结算阶段，按实际产生的税金进行核算，但合同不含税价格不因国家税率调整而调整。</w:t>
      </w:r>
    </w:p>
    <w:p w14:paraId="696D28D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BC5DC70">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地址：</w:t>
      </w:r>
    </w:p>
    <w:p w14:paraId="10A67DF8">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邮编：传真：</w:t>
      </w:r>
    </w:p>
    <w:p w14:paraId="5E3B5F4B">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电话：电子邮件：</w:t>
      </w:r>
    </w:p>
    <w:p w14:paraId="26C3B609">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D2B3F6D">
      <w:pPr>
        <w:spacing w:before="0" w:after="0" w:afterAutospacing="0"/>
        <w:ind w:left="0" w:right="0" w:firstLine="420" w:firstLineChars="200"/>
        <w:rPr>
          <w:rFonts w:hint="eastAsia"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3F2D0F5D">
      <w:pPr>
        <w:spacing w:before="0" w:after="0" w:afterAutospacing="0"/>
        <w:ind w:left="0" w:right="0" w:firstLine="420" w:firstLineChars="200"/>
        <w:rPr>
          <w:rFonts w:hint="eastAsia"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3EB349A9">
      <w:pPr>
        <w:rPr>
          <w:rFonts w:hint="eastAsia" w:ascii="宋体" w:hAnsi="宋体"/>
          <w:color w:val="auto"/>
          <w:highlight w:val="none"/>
        </w:rPr>
      </w:pPr>
    </w:p>
    <w:p w14:paraId="7F1DC14A">
      <w:pPr>
        <w:rPr>
          <w:rFonts w:hint="eastAsia" w:ascii="宋体" w:hAnsi="宋体"/>
          <w:color w:val="auto"/>
          <w:highlight w:val="none"/>
        </w:rPr>
        <w:sectPr>
          <w:headerReference r:id="rId13" w:type="first"/>
          <w:headerReference r:id="rId12" w:type="default"/>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p>
    <w:p w14:paraId="338D3F7A">
      <w:pPr>
        <w:pStyle w:val="6"/>
        <w:pageBreakBefore/>
        <w:spacing w:after="100"/>
        <w:ind w:right="-57" w:firstLine="0"/>
        <w:jc w:val="center"/>
        <w:rPr>
          <w:rFonts w:hint="eastAsia" w:hAnsi="宋体"/>
          <w:b w:val="0"/>
          <w:color w:val="auto"/>
          <w:sz w:val="24"/>
          <w:szCs w:val="24"/>
          <w:highlight w:val="none"/>
        </w:rPr>
      </w:pPr>
      <w:bookmarkStart w:id="1711" w:name="_Toc492478827"/>
      <w:bookmarkStart w:id="1712" w:name="_Toc19107"/>
      <w:bookmarkStart w:id="1713" w:name="_Toc414290562"/>
      <w:bookmarkStart w:id="1714" w:name="_Toc25635"/>
      <w:bookmarkStart w:id="1715" w:name="_Toc9876"/>
      <w:bookmarkStart w:id="1716" w:name="_Toc14091"/>
      <w:bookmarkStart w:id="1717" w:name="_Toc2327"/>
      <w:bookmarkStart w:id="1718" w:name="_Toc13480"/>
      <w:bookmarkStart w:id="1719" w:name="_Toc3307"/>
      <w:bookmarkStart w:id="1720" w:name="_Toc32381"/>
      <w:bookmarkStart w:id="1721" w:name="_Toc30812"/>
      <w:bookmarkStart w:id="1722" w:name="_Toc114134670"/>
      <w:bookmarkStart w:id="1723" w:name="_Toc13870"/>
      <w:bookmarkStart w:id="1724" w:name="_Toc25220"/>
      <w:bookmarkStart w:id="1725" w:name="_Toc8563"/>
      <w:bookmarkStart w:id="1726" w:name="_Toc22423"/>
      <w:bookmarkStart w:id="1727" w:name="_Toc15451"/>
      <w:bookmarkStart w:id="1728" w:name="_Toc19413"/>
      <w:bookmarkStart w:id="1729" w:name="_Toc29577"/>
      <w:bookmarkStart w:id="1730" w:name="_Toc17664"/>
      <w:bookmarkStart w:id="1731" w:name="_Toc1979"/>
      <w:bookmarkStart w:id="1732" w:name="_Toc6034"/>
      <w:r>
        <w:rPr>
          <w:rFonts w:hint="eastAsia"/>
          <w:color w:val="auto"/>
          <w:sz w:val="24"/>
          <w:szCs w:val="24"/>
          <w:highlight w:val="none"/>
        </w:rPr>
        <w:t>C</w:t>
      </w:r>
      <w:r>
        <w:rPr>
          <w:rFonts w:hAnsi="宋体"/>
          <w:color w:val="auto"/>
          <w:sz w:val="24"/>
          <w:szCs w:val="24"/>
          <w:highlight w:val="none"/>
        </w:rPr>
        <w:t>技术</w:t>
      </w:r>
      <w:bookmarkEnd w:id="1711"/>
      <w:bookmarkEnd w:id="1712"/>
      <w:bookmarkEnd w:id="1713"/>
      <w:bookmarkStart w:id="1733" w:name="_Toc17887241"/>
      <w:bookmarkStart w:id="1734" w:name="_Toc18770050"/>
      <w:bookmarkStart w:id="1735" w:name="_Toc74938308"/>
      <w:bookmarkStart w:id="1736" w:name="_Toc224010320"/>
      <w:bookmarkStart w:id="1737" w:name="_Toc99697927"/>
      <w:r>
        <w:rPr>
          <w:rFonts w:hint="eastAsia" w:hAnsi="宋体"/>
          <w:color w:val="auto"/>
          <w:sz w:val="24"/>
          <w:szCs w:val="24"/>
          <w:highlight w:val="none"/>
        </w:rPr>
        <w:t>文件</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3626F66">
      <w:pPr>
        <w:spacing w:before="0" w:after="0" w:afterAutospacing="0"/>
        <w:ind w:left="0" w:right="0" w:firstLine="422" w:firstLineChars="200"/>
        <w:jc w:val="left"/>
        <w:rPr>
          <w:rFonts w:hint="eastAsia" w:ascii="宋体" w:hAnsi="宋体" w:cs="宋体"/>
          <w:color w:val="auto"/>
          <w:highlight w:val="none"/>
        </w:rPr>
      </w:pPr>
      <w:r>
        <w:rPr>
          <w:rFonts w:hint="eastAsia" w:hAnsi="宋体"/>
          <w:b/>
          <w:color w:val="auto"/>
          <w:highlight w:val="none"/>
        </w:rPr>
        <w:t>技术文件格式</w:t>
      </w:r>
    </w:p>
    <w:p w14:paraId="025878BF">
      <w:pPr>
        <w:spacing w:before="0" w:after="0" w:afterAutospacing="0"/>
        <w:ind w:left="707" w:leftChars="150" w:right="0" w:hanging="392" w:hangingChars="187"/>
        <w:jc w:val="left"/>
        <w:rPr>
          <w:rFonts w:hint="eastAsia" w:hAnsi="宋体"/>
          <w:b/>
          <w:color w:val="auto"/>
          <w:highlight w:val="none"/>
        </w:rPr>
      </w:pPr>
      <w:r>
        <w:rPr>
          <w:rFonts w:hint="eastAsia" w:ascii="宋体" w:hAnsi="宋体" w:cs="宋体"/>
          <w:color w:val="auto"/>
          <w:highlight w:val="none"/>
        </w:rPr>
        <w:t>（</w:t>
      </w:r>
      <w:r>
        <w:rPr>
          <w:rFonts w:hint="eastAsia" w:ascii="Calibri" w:hAnsi="Calibri" w:cs="Calibri"/>
          <w:color w:val="auto"/>
          <w:highlight w:val="none"/>
          <w:lang w:val="en-US" w:eastAsia="zh-CN"/>
        </w:rPr>
        <w:t>1</w:t>
      </w:r>
      <w:r>
        <w:rPr>
          <w:rFonts w:hint="eastAsia" w:ascii="宋体" w:hAnsi="宋体" w:cs="宋体"/>
          <w:color w:val="auto"/>
          <w:highlight w:val="none"/>
        </w:rPr>
        <w:t>）技术响应表（格式见</w:t>
      </w:r>
      <w:r>
        <w:rPr>
          <w:rFonts w:ascii="Calibri" w:hAnsi="Calibri" w:cs="Calibri"/>
          <w:color w:val="auto"/>
          <w:highlight w:val="none"/>
        </w:rPr>
        <w:t>C1</w:t>
      </w:r>
      <w:r>
        <w:rPr>
          <w:rFonts w:hint="eastAsia" w:ascii="宋体" w:hAnsi="宋体" w:cs="宋体"/>
          <w:color w:val="auto"/>
          <w:highlight w:val="none"/>
        </w:rPr>
        <w:t>）；</w:t>
      </w:r>
    </w:p>
    <w:p w14:paraId="171CDEF4">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）商务响应表（格式见C2）；</w:t>
      </w:r>
    </w:p>
    <w:p w14:paraId="49A1E686">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）服务建议书（设计服务方案、服务响应方案，格式自拟，需包含工期，工期格式见C3）；</w:t>
      </w:r>
    </w:p>
    <w:p w14:paraId="63156FC7">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）项目人员配置（格式见C4）；</w:t>
      </w:r>
    </w:p>
    <w:p w14:paraId="486E21F9">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ascii="宋体" w:hAnsi="宋体"/>
          <w:color w:val="auto"/>
          <w:highlight w:val="none"/>
        </w:rPr>
        <w:t>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1550元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lang w:bidi="ar"/>
        </w:rPr>
        <w:t>②中标通知书；③</w:t>
      </w:r>
      <w:r>
        <w:rPr>
          <w:rFonts w:hint="eastAsia"/>
          <w:color w:val="auto"/>
          <w:highlight w:val="none"/>
          <w:lang w:val="en-US" w:eastAsia="zh-CN"/>
        </w:rPr>
        <w:t>方案文本案例（含项目名称和效果图即可无需全套文本）</w:t>
      </w:r>
      <w:r>
        <w:rPr>
          <w:rFonts w:hint="eastAsia" w:ascii="宋体" w:hAnsi="宋体" w:cs="宋体"/>
          <w:color w:val="auto"/>
          <w:highlight w:val="none"/>
          <w:lang w:val="en-US" w:eastAsia="zh-CN"/>
        </w:rPr>
        <w:t>④</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441A30E3">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1733"/>
      <w:bookmarkEnd w:id="1734"/>
      <w:bookmarkEnd w:id="1735"/>
      <w:bookmarkEnd w:id="1736"/>
      <w:bookmarkEnd w:id="1737"/>
      <w:bookmarkStart w:id="1738" w:name="_Toc25750684"/>
    </w:p>
    <w:p w14:paraId="3BD24FB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E49758E">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32F7A0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F69A6F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3379A63">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72AB271">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C0C50CC">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F848157">
      <w:pPr>
        <w:pStyle w:val="14"/>
        <w:rPr>
          <w:rFonts w:hint="eastAsia" w:ascii="宋体" w:hAnsi="宋体"/>
          <w:color w:val="auto"/>
          <w:highlight w:val="none"/>
        </w:rPr>
      </w:pPr>
    </w:p>
    <w:p w14:paraId="7962E1A2">
      <w:pPr>
        <w:pStyle w:val="14"/>
        <w:rPr>
          <w:rFonts w:hint="eastAsia" w:ascii="宋体" w:hAnsi="宋体"/>
          <w:color w:val="auto"/>
          <w:highlight w:val="none"/>
        </w:rPr>
      </w:pPr>
    </w:p>
    <w:p w14:paraId="61770DCB">
      <w:pPr>
        <w:pStyle w:val="14"/>
        <w:rPr>
          <w:rFonts w:hint="eastAsia" w:ascii="宋体" w:hAnsi="宋体"/>
          <w:color w:val="auto"/>
          <w:highlight w:val="none"/>
        </w:rPr>
      </w:pPr>
    </w:p>
    <w:p w14:paraId="5D7697AE">
      <w:pPr>
        <w:pStyle w:val="2"/>
        <w:rPr>
          <w:rFonts w:hint="eastAsia"/>
          <w:color w:val="auto"/>
          <w:highlight w:val="none"/>
        </w:rPr>
      </w:pPr>
    </w:p>
    <w:p w14:paraId="2F590E06">
      <w:pPr>
        <w:pStyle w:val="14"/>
        <w:rPr>
          <w:rFonts w:hint="eastAsia" w:ascii="宋体" w:hAnsi="宋体"/>
          <w:color w:val="auto"/>
          <w:highlight w:val="none"/>
        </w:rPr>
      </w:pPr>
    </w:p>
    <w:p w14:paraId="067BB787">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bookmarkStart w:id="1739" w:name="_Toc1420"/>
      <w:bookmarkStart w:id="1740" w:name="_Toc28454"/>
      <w:bookmarkStart w:id="1741" w:name="_Toc114134671"/>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738"/>
      <w:bookmarkEnd w:id="1739"/>
      <w:bookmarkEnd w:id="1740"/>
      <w:bookmarkEnd w:id="1741"/>
    </w:p>
    <w:p w14:paraId="533C641F">
      <w:pPr>
        <w:spacing w:before="0"/>
        <w:ind w:right="-57" w:firstLine="0"/>
        <w:jc w:val="center"/>
        <w:rPr>
          <w:rFonts w:hint="eastAsia"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4ED9EE4D">
      <w:pPr>
        <w:spacing w:before="0" w:after="0" w:afterAutospacing="0"/>
        <w:ind w:right="0"/>
        <w:rPr>
          <w:rFonts w:hint="eastAsia" w:ascii="宋体" w:hAnsi="宋体"/>
          <w:color w:val="auto"/>
          <w:highlight w:val="none"/>
          <w:u w:val="single"/>
        </w:rPr>
      </w:pPr>
      <w:r>
        <w:rPr>
          <w:rFonts w:ascii="宋体" w:hAnsi="宋体"/>
          <w:color w:val="auto"/>
          <w:highlight w:val="none"/>
        </w:rPr>
        <w:t>比选申请人名称：</w:t>
      </w:r>
    </w:p>
    <w:tbl>
      <w:tblPr>
        <w:tblStyle w:val="3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1C0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997CF2D">
            <w:pPr>
              <w:widowControl w:val="0"/>
              <w:adjustRightInd w:val="0"/>
              <w:jc w:val="center"/>
              <w:rPr>
                <w:rFonts w:hint="eastAsia"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6FF3A499">
            <w:pPr>
              <w:adjustRightInd w:val="0"/>
              <w:jc w:val="center"/>
              <w:rPr>
                <w:rFonts w:hint="eastAsia"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70FE64B6">
            <w:pPr>
              <w:widowControl w:val="0"/>
              <w:adjustRightInd w:val="0"/>
              <w:jc w:val="center"/>
              <w:rPr>
                <w:rFonts w:hint="eastAsia"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A6A7FF1">
            <w:pPr>
              <w:adjustRightInd w:val="0"/>
              <w:jc w:val="center"/>
              <w:rPr>
                <w:rFonts w:hint="eastAsia"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12BB3B10">
            <w:pPr>
              <w:widowControl w:val="0"/>
              <w:adjustRightInd w:val="0"/>
              <w:jc w:val="center"/>
              <w:rPr>
                <w:rFonts w:hint="eastAsia"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33D5879D">
            <w:pPr>
              <w:widowControl w:val="0"/>
              <w:adjustRightInd w:val="0"/>
              <w:jc w:val="center"/>
              <w:rPr>
                <w:rFonts w:hint="eastAsia" w:ascii="宋体" w:hAnsi="宋体"/>
                <w:color w:val="auto"/>
                <w:highlight w:val="none"/>
              </w:rPr>
            </w:pPr>
            <w:r>
              <w:rPr>
                <w:rFonts w:hint="eastAsia" w:ascii="宋体" w:hAnsi="宋体"/>
                <w:color w:val="auto"/>
                <w:highlight w:val="none"/>
              </w:rPr>
              <w:t>说明</w:t>
            </w:r>
          </w:p>
        </w:tc>
      </w:tr>
      <w:tr w14:paraId="356A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ED777F5">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5B21E33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E16C6DE">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0AD7FF3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B671FF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E426D5F">
            <w:pPr>
              <w:widowControl w:val="0"/>
              <w:adjustRightInd w:val="0"/>
              <w:jc w:val="center"/>
              <w:rPr>
                <w:rFonts w:cs="Arial"/>
                <w:color w:val="auto"/>
                <w:kern w:val="2"/>
                <w:highlight w:val="none"/>
                <w:u w:val="single"/>
              </w:rPr>
            </w:pPr>
          </w:p>
        </w:tc>
      </w:tr>
      <w:tr w14:paraId="0DD2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8A7E36F">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BCD0E4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4A9F51D">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472D3745">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CAE34D3">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22D4591">
            <w:pPr>
              <w:widowControl w:val="0"/>
              <w:adjustRightInd w:val="0"/>
              <w:jc w:val="center"/>
              <w:rPr>
                <w:rFonts w:cs="Arial"/>
                <w:color w:val="auto"/>
                <w:kern w:val="2"/>
                <w:highlight w:val="none"/>
                <w:u w:val="single"/>
              </w:rPr>
            </w:pPr>
          </w:p>
        </w:tc>
      </w:tr>
      <w:tr w14:paraId="10AB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0929F42">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73F49C0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A1214A8">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2AF245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412A12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9BD5D2A">
            <w:pPr>
              <w:widowControl w:val="0"/>
              <w:adjustRightInd w:val="0"/>
              <w:jc w:val="center"/>
              <w:rPr>
                <w:rFonts w:cs="Arial"/>
                <w:color w:val="auto"/>
                <w:kern w:val="2"/>
                <w:highlight w:val="none"/>
                <w:u w:val="single"/>
              </w:rPr>
            </w:pPr>
          </w:p>
        </w:tc>
      </w:tr>
      <w:tr w14:paraId="72E9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CFFBC18">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69DFB38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5F7B8A2">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B72F03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3769E97">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8AEBF34">
            <w:pPr>
              <w:widowControl w:val="0"/>
              <w:adjustRightInd w:val="0"/>
              <w:jc w:val="center"/>
              <w:rPr>
                <w:rFonts w:cs="Arial"/>
                <w:color w:val="auto"/>
                <w:kern w:val="2"/>
                <w:highlight w:val="none"/>
                <w:u w:val="single"/>
              </w:rPr>
            </w:pPr>
          </w:p>
        </w:tc>
      </w:tr>
      <w:tr w14:paraId="6415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4E17D82">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2998A497">
            <w:pPr>
              <w:widowControl w:val="0"/>
              <w:adjustRightInd w:val="0"/>
              <w:jc w:val="center"/>
              <w:rPr>
                <w:color w:val="auto"/>
                <w:highlight w:val="none"/>
              </w:rPr>
            </w:pPr>
            <w:r>
              <w:rPr>
                <w:rFonts w:hint="eastAsia"/>
                <w:color w:val="auto"/>
                <w:highlight w:val="none"/>
              </w:rPr>
              <w:t>第五章</w:t>
            </w:r>
          </w:p>
        </w:tc>
        <w:tc>
          <w:tcPr>
            <w:tcW w:w="1961" w:type="dxa"/>
            <w:tcBorders>
              <w:top w:val="single" w:color="auto" w:sz="4" w:space="0"/>
              <w:left w:val="single" w:color="auto" w:sz="4" w:space="0"/>
              <w:bottom w:val="single" w:color="auto" w:sz="4" w:space="0"/>
              <w:right w:val="single" w:color="auto" w:sz="4" w:space="0"/>
            </w:tcBorders>
            <w:vAlign w:val="center"/>
          </w:tcPr>
          <w:p w14:paraId="5FEF0FD1">
            <w:pPr>
              <w:widowControl w:val="0"/>
              <w:adjustRightInd w:val="0"/>
              <w:jc w:val="center"/>
              <w:rPr>
                <w:rFonts w:hint="eastAsia" w:ascii="宋体" w:hAnsi="宋体"/>
                <w:color w:val="auto"/>
                <w:highlight w:val="none"/>
              </w:rPr>
            </w:pPr>
            <w:r>
              <w:rPr>
                <w:rFonts w:hint="eastAsia" w:ascii="宋体" w:hAnsi="宋体"/>
                <w:color w:val="auto"/>
                <w:highlight w:val="none"/>
              </w:rPr>
              <w:t>比选人需求</w:t>
            </w:r>
          </w:p>
        </w:tc>
        <w:tc>
          <w:tcPr>
            <w:tcW w:w="2201" w:type="dxa"/>
            <w:tcBorders>
              <w:top w:val="single" w:color="auto" w:sz="4" w:space="0"/>
              <w:left w:val="single" w:color="auto" w:sz="4" w:space="0"/>
              <w:bottom w:val="single" w:color="auto" w:sz="4" w:space="0"/>
              <w:right w:val="single" w:color="auto" w:sz="4" w:space="0"/>
            </w:tcBorders>
            <w:vAlign w:val="center"/>
          </w:tcPr>
          <w:p w14:paraId="713EB265">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D4EB4FF">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F82481F">
            <w:pPr>
              <w:widowControl w:val="0"/>
              <w:adjustRightInd w:val="0"/>
              <w:jc w:val="center"/>
              <w:rPr>
                <w:rFonts w:cs="Arial"/>
                <w:color w:val="auto"/>
                <w:kern w:val="2"/>
                <w:highlight w:val="none"/>
                <w:u w:val="single"/>
              </w:rPr>
            </w:pPr>
          </w:p>
        </w:tc>
      </w:tr>
      <w:tr w14:paraId="76CD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9713364">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3F0071DB">
      <w:pPr>
        <w:snapToGrid w:val="0"/>
        <w:spacing w:after="50" w:line="280" w:lineRule="exact"/>
        <w:ind w:left="955" w:leftChars="455" w:right="-817" w:firstLine="2832" w:firstLineChars="1349"/>
        <w:rPr>
          <w:rFonts w:hint="eastAsia" w:ascii="宋体" w:hAnsi="宋体"/>
          <w:color w:val="auto"/>
          <w:highlight w:val="none"/>
        </w:rPr>
      </w:pPr>
    </w:p>
    <w:p w14:paraId="0F1CA96A">
      <w:pPr>
        <w:snapToGrid w:val="0"/>
        <w:spacing w:after="50" w:line="280" w:lineRule="exact"/>
        <w:ind w:left="955" w:leftChars="455" w:right="-817" w:firstLine="2832" w:firstLineChars="1349"/>
        <w:rPr>
          <w:rFonts w:hint="eastAsia" w:ascii="宋体" w:hAnsi="宋体"/>
          <w:color w:val="auto"/>
          <w:highlight w:val="none"/>
          <w:u w:val="single"/>
        </w:rPr>
      </w:pPr>
      <w:r>
        <w:rPr>
          <w:rFonts w:hint="eastAsia" w:ascii="宋体" w:hAnsi="宋体"/>
          <w:color w:val="auto"/>
          <w:highlight w:val="none"/>
        </w:rPr>
        <w:t>比选申请人名称（盖章）：</w:t>
      </w:r>
    </w:p>
    <w:p w14:paraId="599C0C97">
      <w:pPr>
        <w:snapToGrid w:val="0"/>
        <w:spacing w:after="50" w:line="280" w:lineRule="exact"/>
        <w:ind w:left="707" w:right="-817" w:firstLine="0"/>
        <w:jc w:val="center"/>
        <w:rPr>
          <w:rFonts w:hint="eastAsia" w:ascii="宋体" w:hAnsi="宋体"/>
          <w:color w:val="auto"/>
          <w:highlight w:val="none"/>
          <w:u w:val="single"/>
        </w:rPr>
      </w:pPr>
      <w:r>
        <w:rPr>
          <w:rFonts w:hint="eastAsia" w:ascii="宋体" w:hAnsi="宋体"/>
          <w:color w:val="auto"/>
          <w:highlight w:val="none"/>
        </w:rPr>
        <w:t xml:space="preserve"> 法定代表人或被授权人（签字）：</w:t>
      </w:r>
    </w:p>
    <w:p w14:paraId="529BE8D4">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423FDD0A">
      <w:pPr>
        <w:spacing w:before="0"/>
        <w:ind w:right="-57" w:firstLine="0"/>
        <w:rPr>
          <w:rFonts w:hint="eastAsia" w:ascii="宋体" w:hAnsi="宋体"/>
          <w:color w:val="auto"/>
          <w:highlight w:val="none"/>
        </w:rPr>
      </w:pPr>
    </w:p>
    <w:p w14:paraId="270FA22D">
      <w:pPr>
        <w:spacing w:before="0" w:after="0" w:afterAutospacing="0"/>
        <w:ind w:left="607" w:right="0" w:hanging="607" w:hangingChars="336"/>
        <w:rPr>
          <w:rFonts w:hint="eastAsia" w:ascii="宋体" w:hAnsi="宋体"/>
          <w:b/>
          <w:color w:val="auto"/>
          <w:sz w:val="18"/>
          <w:szCs w:val="18"/>
          <w:highlight w:val="none"/>
        </w:rPr>
      </w:pPr>
      <w:r>
        <w:rPr>
          <w:rFonts w:ascii="宋体" w:hAnsi="宋体"/>
          <w:b/>
          <w:color w:val="auto"/>
          <w:sz w:val="18"/>
          <w:szCs w:val="18"/>
          <w:highlight w:val="none"/>
        </w:rPr>
        <w:t>说明：</w:t>
      </w:r>
    </w:p>
    <w:p w14:paraId="1DCD4E26">
      <w:pPr>
        <w:pStyle w:val="49"/>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683BCB50">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58F3AF27">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17934503">
      <w:pPr>
        <w:spacing w:before="0"/>
        <w:ind w:left="105" w:leftChars="50" w:right="-57" w:firstLine="271" w:firstLineChars="150"/>
        <w:rPr>
          <w:rFonts w:hint="eastAsia"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07CB2F67">
      <w:pPr>
        <w:pStyle w:val="7"/>
        <w:tabs>
          <w:tab w:val="left" w:pos="567"/>
          <w:tab w:val="left" w:pos="720"/>
        </w:tabs>
        <w:snapToGrid w:val="0"/>
        <w:spacing w:after="100" w:line="360" w:lineRule="auto"/>
        <w:ind w:right="-57" w:firstLine="0"/>
        <w:jc w:val="left"/>
        <w:rPr>
          <w:rFonts w:hint="eastAsia" w:ascii="宋体" w:hAnsi="宋体" w:eastAsia="宋体"/>
          <w:color w:val="auto"/>
          <w:sz w:val="18"/>
          <w:szCs w:val="18"/>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bookmarkStart w:id="1742" w:name="_Toc25750685"/>
    </w:p>
    <w:bookmarkEnd w:id="1742"/>
    <w:p w14:paraId="18E63572">
      <w:pPr>
        <w:pStyle w:val="7"/>
        <w:tabs>
          <w:tab w:val="left" w:pos="567"/>
          <w:tab w:val="left" w:pos="720"/>
        </w:tabs>
        <w:snapToGrid w:val="0"/>
        <w:spacing w:before="120" w:after="0" w:line="360" w:lineRule="auto"/>
        <w:ind w:right="-57" w:firstLine="0"/>
        <w:jc w:val="left"/>
        <w:rPr>
          <w:rFonts w:hint="eastAsia" w:ascii="宋体" w:hAnsi="宋体" w:eastAsia="宋体"/>
          <w:color w:val="auto"/>
          <w:sz w:val="21"/>
          <w:szCs w:val="21"/>
          <w:highlight w:val="none"/>
        </w:rPr>
      </w:pPr>
      <w:bookmarkStart w:id="1743" w:name="_Toc9326"/>
      <w:bookmarkStart w:id="1744" w:name="_Toc31626"/>
      <w:bookmarkStart w:id="1745" w:name="_Toc25750687"/>
      <w:bookmarkStart w:id="1746" w:name="_Toc11413467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743"/>
      <w:bookmarkEnd w:id="1744"/>
      <w:bookmarkEnd w:id="1745"/>
      <w:bookmarkEnd w:id="1746"/>
    </w:p>
    <w:p w14:paraId="529D24A3">
      <w:pPr>
        <w:ind w:right="-57" w:firstLine="0"/>
        <w:jc w:val="center"/>
        <w:rPr>
          <w:rFonts w:hint="eastAsia" w:ascii="宋体" w:hAnsi="宋体"/>
          <w:b/>
          <w:color w:val="auto"/>
          <w:highlight w:val="none"/>
        </w:rPr>
      </w:pPr>
      <w:r>
        <w:rPr>
          <w:rFonts w:hint="eastAsia" w:ascii="宋体" w:hAnsi="宋体"/>
          <w:b/>
          <w:color w:val="auto"/>
          <w:highlight w:val="none"/>
        </w:rPr>
        <w:t>商务响应表</w:t>
      </w:r>
    </w:p>
    <w:p w14:paraId="71937354">
      <w:pPr>
        <w:spacing w:before="0" w:after="0" w:afterAutospacing="0"/>
        <w:ind w:right="-57" w:firstLine="0"/>
        <w:jc w:val="left"/>
        <w:rPr>
          <w:rFonts w:hint="eastAsia" w:ascii="宋体" w:hAnsi="宋体"/>
          <w:color w:val="auto"/>
          <w:highlight w:val="none"/>
          <w:u w:val="single"/>
        </w:rPr>
      </w:pPr>
      <w:r>
        <w:rPr>
          <w:rFonts w:hint="eastAsia" w:ascii="宋体" w:hAnsi="宋体"/>
          <w:color w:val="auto"/>
          <w:highlight w:val="none"/>
        </w:rPr>
        <w:t>项目名称：</w:t>
      </w:r>
    </w:p>
    <w:tbl>
      <w:tblPr>
        <w:tblStyle w:val="36"/>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6FD2D6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0BC4FDB">
            <w:pPr>
              <w:ind w:left="0" w:firstLine="0"/>
              <w:rPr>
                <w:rFonts w:hint="eastAsia"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13506598">
            <w:pPr>
              <w:ind w:left="0" w:firstLine="0"/>
              <w:rPr>
                <w:rFonts w:hint="eastAsia"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E563451">
            <w:pPr>
              <w:ind w:left="0" w:firstLine="0"/>
              <w:rPr>
                <w:rFonts w:hint="eastAsia"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C21AE77">
            <w:pPr>
              <w:ind w:left="0" w:firstLine="0"/>
              <w:rPr>
                <w:rFonts w:hint="eastAsia"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532ED70F">
            <w:pPr>
              <w:ind w:left="0" w:firstLine="0"/>
              <w:rPr>
                <w:rFonts w:hint="eastAsia" w:ascii="宋体" w:hAnsi="宋体"/>
                <w:color w:val="auto"/>
                <w:highlight w:val="none"/>
              </w:rPr>
            </w:pPr>
            <w:r>
              <w:rPr>
                <w:rFonts w:hint="eastAsia" w:ascii="宋体" w:hAnsi="宋体"/>
                <w:color w:val="auto"/>
                <w:highlight w:val="none"/>
              </w:rPr>
              <w:t>备注</w:t>
            </w:r>
          </w:p>
        </w:tc>
      </w:tr>
      <w:tr w14:paraId="56252F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79C35873">
            <w:pPr>
              <w:ind w:left="0" w:firstLine="0"/>
              <w:rPr>
                <w:rFonts w:hint="eastAsia"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6224C4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8A3E77">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18B3F09">
            <w:pPr>
              <w:ind w:left="0" w:firstLine="0"/>
              <w:rPr>
                <w:rFonts w:hint="eastAsia"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5FE1403">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F528577">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BD6FFEB">
            <w:pPr>
              <w:ind w:left="0" w:firstLine="0"/>
              <w:rPr>
                <w:rFonts w:hint="eastAsia" w:ascii="宋体" w:hAnsi="宋体"/>
                <w:color w:val="auto"/>
                <w:highlight w:val="none"/>
              </w:rPr>
            </w:pPr>
          </w:p>
        </w:tc>
      </w:tr>
      <w:tr w14:paraId="7EBFCC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792113A">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9ABAB8B">
            <w:pPr>
              <w:ind w:left="0" w:firstLine="0"/>
              <w:rPr>
                <w:rFonts w:hint="eastAsia"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9E0ECA8">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4E3B7EE">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F140991">
            <w:pPr>
              <w:ind w:left="0" w:firstLine="0"/>
              <w:rPr>
                <w:rFonts w:hint="eastAsia" w:ascii="宋体" w:hAnsi="宋体"/>
                <w:color w:val="auto"/>
                <w:highlight w:val="none"/>
              </w:rPr>
            </w:pPr>
          </w:p>
        </w:tc>
      </w:tr>
      <w:tr w14:paraId="7D534C0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F25845B">
            <w:pPr>
              <w:ind w:left="0" w:firstLine="0"/>
              <w:rPr>
                <w:rFonts w:hint="eastAsia"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8E4616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F98B8DA">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20F87D68">
            <w:pPr>
              <w:ind w:left="0" w:firstLine="0"/>
              <w:rPr>
                <w:rFonts w:hint="eastAsia"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77EFBC25">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311CE94">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D2ED66A">
            <w:pPr>
              <w:ind w:left="0" w:firstLine="0"/>
              <w:rPr>
                <w:rFonts w:hint="eastAsia" w:ascii="宋体" w:hAnsi="宋体"/>
                <w:color w:val="auto"/>
                <w:highlight w:val="none"/>
              </w:rPr>
            </w:pPr>
          </w:p>
        </w:tc>
      </w:tr>
      <w:tr w14:paraId="2FCA57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C794511">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35B942A">
            <w:pPr>
              <w:ind w:left="0" w:firstLine="0"/>
              <w:rPr>
                <w:rFonts w:hint="eastAsia"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5B4FD3D1">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207DDA7C">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7338D8F">
            <w:pPr>
              <w:ind w:left="0" w:firstLine="0"/>
              <w:rPr>
                <w:rFonts w:hint="eastAsia" w:ascii="宋体" w:hAnsi="宋体"/>
                <w:color w:val="auto"/>
                <w:highlight w:val="none"/>
              </w:rPr>
            </w:pPr>
          </w:p>
        </w:tc>
      </w:tr>
    </w:tbl>
    <w:p w14:paraId="008BBE51">
      <w:pPr>
        <w:snapToGrid w:val="0"/>
        <w:spacing w:after="50"/>
        <w:ind w:right="-57" w:firstLine="0"/>
        <w:rPr>
          <w:rFonts w:hint="eastAsia"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0C10E3B9">
      <w:pPr>
        <w:snapToGrid w:val="0"/>
        <w:spacing w:after="50"/>
        <w:ind w:right="-57" w:firstLine="0"/>
        <w:rPr>
          <w:rFonts w:hint="eastAsia" w:ascii="宋体" w:hAnsi="宋体"/>
          <w:color w:val="auto"/>
          <w:spacing w:val="20"/>
          <w:sz w:val="24"/>
          <w:szCs w:val="24"/>
          <w:highlight w:val="none"/>
        </w:rPr>
      </w:pPr>
    </w:p>
    <w:p w14:paraId="7EFCEFD2">
      <w:pPr>
        <w:snapToGrid w:val="0"/>
        <w:spacing w:after="50" w:line="280" w:lineRule="exact"/>
        <w:ind w:left="953" w:right="-817" w:firstLine="1443"/>
        <w:rPr>
          <w:rFonts w:hint="eastAsia" w:ascii="宋体" w:hAnsi="宋体"/>
          <w:color w:val="auto"/>
          <w:sz w:val="24"/>
          <w:szCs w:val="24"/>
          <w:highlight w:val="none"/>
        </w:rPr>
      </w:pPr>
    </w:p>
    <w:p w14:paraId="488938CC">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5354C2C0">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p>
    <w:p w14:paraId="75C01504">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64F32F6A">
      <w:pPr>
        <w:spacing w:before="0"/>
        <w:ind w:left="105" w:leftChars="50" w:right="-57" w:firstLine="316" w:firstLineChars="150"/>
        <w:rPr>
          <w:rFonts w:hint="eastAsia" w:ascii="宋体" w:hAnsi="宋体"/>
          <w:b/>
          <w:color w:val="auto"/>
          <w:highlight w:val="none"/>
        </w:rPr>
      </w:pPr>
    </w:p>
    <w:p w14:paraId="606EE42D">
      <w:pPr>
        <w:spacing w:before="0" w:after="0" w:afterAutospacing="0" w:line="240" w:lineRule="auto"/>
        <w:ind w:left="0" w:right="0" w:firstLine="0"/>
        <w:jc w:val="left"/>
        <w:rPr>
          <w:rStyle w:val="54"/>
          <w:rFonts w:hint="eastAsia" w:ascii="宋体" w:hAnsi="宋体" w:eastAsia="宋体" w:cs="宋体"/>
          <w:color w:val="auto"/>
          <w:highlight w:val="none"/>
        </w:rPr>
      </w:pPr>
      <w:bookmarkStart w:id="1747" w:name="_Toc6454"/>
      <w:bookmarkStart w:id="1748" w:name="_Toc6337"/>
      <w:bookmarkStart w:id="1749" w:name="_Toc26409"/>
      <w:bookmarkStart w:id="1750" w:name="_Toc20298"/>
      <w:bookmarkStart w:id="1751" w:name="_Toc12695"/>
      <w:bookmarkStart w:id="1752" w:name="_Toc28535"/>
      <w:bookmarkStart w:id="1753" w:name="_Toc30897"/>
      <w:bookmarkStart w:id="1754" w:name="_Toc16754"/>
      <w:bookmarkStart w:id="1755" w:name="_Toc9597"/>
      <w:bookmarkStart w:id="1756" w:name="_Toc492478835"/>
      <w:bookmarkStart w:id="1757" w:name="_Toc25750688"/>
      <w:bookmarkStart w:id="1758" w:name="_Toc328"/>
      <w:bookmarkStart w:id="1759" w:name="_Toc31681"/>
      <w:bookmarkStart w:id="1760" w:name="_Toc21321"/>
      <w:bookmarkStart w:id="1761" w:name="_Toc5010"/>
      <w:bookmarkStart w:id="1762" w:name="_Toc28135"/>
      <w:bookmarkStart w:id="1763" w:name="_Toc14566"/>
      <w:bookmarkStart w:id="1764" w:name="_Toc25061"/>
      <w:bookmarkStart w:id="1765" w:name="_Toc13941"/>
      <w:r>
        <w:rPr>
          <w:rStyle w:val="54"/>
          <w:rFonts w:ascii="宋体" w:hAnsi="宋体" w:eastAsia="宋体"/>
          <w:color w:val="auto"/>
          <w:highlight w:val="none"/>
        </w:rPr>
        <w:br w:type="page"/>
      </w:r>
    </w:p>
    <w:p w14:paraId="1934770E">
      <w:pPr>
        <w:spacing w:before="0" w:after="0" w:afterAutospacing="0" w:line="240" w:lineRule="auto"/>
        <w:ind w:left="0" w:right="0" w:firstLine="0"/>
        <w:jc w:val="left"/>
        <w:rPr>
          <w:rFonts w:hint="eastAsia" w:ascii="宋体" w:hAnsi="宋体"/>
          <w:b/>
          <w:color w:val="auto"/>
          <w:highlight w:val="none"/>
        </w:rPr>
      </w:pPr>
      <w:r>
        <w:rPr>
          <w:rFonts w:hint="eastAsia" w:ascii="宋体" w:hAnsi="宋体"/>
          <w:b/>
          <w:color w:val="auto"/>
          <w:highlight w:val="none"/>
        </w:rPr>
        <w:t>C3工期</w:t>
      </w:r>
    </w:p>
    <w:p w14:paraId="0CC80C5C">
      <w:pPr>
        <w:pStyle w:val="2"/>
        <w:ind w:left="0" w:leftChars="0" w:firstLine="0" w:firstLineChars="0"/>
        <w:rPr>
          <w:rFonts w:hint="eastAsia" w:eastAsiaTheme="minorEastAsia"/>
          <w:color w:val="auto"/>
          <w:sz w:val="21"/>
          <w:highlight w:val="none"/>
          <w:lang w:eastAsia="zh-CN"/>
        </w:rPr>
      </w:pPr>
      <w:r>
        <w:rPr>
          <w:rFonts w:hint="eastAsia" w:eastAsiaTheme="minorEastAsia"/>
          <w:color w:val="auto"/>
          <w:sz w:val="21"/>
          <w:highlight w:val="none"/>
        </w:rPr>
        <w:t>项目名称：</w:t>
      </w:r>
      <w:r>
        <w:rPr>
          <w:rFonts w:hint="eastAsia" w:ascii="宋体" w:hAnsi="宋体" w:eastAsia="宋体" w:cs="宋体"/>
          <w:color w:val="auto"/>
          <w:sz w:val="21"/>
          <w:highlight w:val="none"/>
          <w:shd w:val="clear" w:color="auto" w:fill="FFFFFF"/>
          <w:lang w:eastAsia="zh-CN"/>
        </w:rPr>
        <w:t>轨道云著（北区）项目样板房（138户型）精装修设计</w:t>
      </w:r>
    </w:p>
    <w:tbl>
      <w:tblPr>
        <w:tblStyle w:val="36"/>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3065"/>
        <w:gridCol w:w="2305"/>
        <w:gridCol w:w="2727"/>
      </w:tblGrid>
      <w:tr w14:paraId="53CF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3" w:type="pct"/>
            <w:tcBorders>
              <w:top w:val="single" w:color="auto" w:sz="4" w:space="0"/>
              <w:left w:val="single" w:color="auto" w:sz="4" w:space="0"/>
              <w:bottom w:val="single" w:color="auto" w:sz="4" w:space="0"/>
              <w:right w:val="single" w:color="auto" w:sz="4" w:space="0"/>
            </w:tcBorders>
          </w:tcPr>
          <w:p w14:paraId="718EE8B4">
            <w:pPr>
              <w:widowControl w:val="0"/>
              <w:rPr>
                <w:rFonts w:hint="eastAsia" w:ascii="宋体" w:hAnsi="宋体"/>
                <w:color w:val="auto"/>
                <w:kern w:val="2"/>
                <w:highlight w:val="none"/>
              </w:rPr>
            </w:pPr>
            <w:r>
              <w:rPr>
                <w:rFonts w:hint="eastAsia" w:ascii="宋体" w:hAnsi="宋体"/>
                <w:color w:val="auto"/>
                <w:highlight w:val="none"/>
              </w:rPr>
              <w:t>序号</w:t>
            </w:r>
          </w:p>
        </w:tc>
        <w:tc>
          <w:tcPr>
            <w:tcW w:w="1660" w:type="pct"/>
            <w:tcBorders>
              <w:top w:val="single" w:color="auto" w:sz="4" w:space="0"/>
              <w:left w:val="single" w:color="auto" w:sz="4" w:space="0"/>
              <w:bottom w:val="single" w:color="auto" w:sz="4" w:space="0"/>
              <w:right w:val="single" w:color="auto" w:sz="4" w:space="0"/>
            </w:tcBorders>
          </w:tcPr>
          <w:p w14:paraId="128245F1">
            <w:pPr>
              <w:widowControl w:val="0"/>
              <w:rPr>
                <w:rFonts w:hint="eastAsia" w:ascii="宋体" w:hAnsi="宋体"/>
                <w:color w:val="auto"/>
                <w:kern w:val="2"/>
                <w:highlight w:val="none"/>
              </w:rPr>
            </w:pPr>
            <w:r>
              <w:rPr>
                <w:rFonts w:hint="eastAsia" w:ascii="宋体" w:hAnsi="宋体"/>
                <w:color w:val="auto"/>
                <w:highlight w:val="none"/>
              </w:rPr>
              <w:t>阶段</w:t>
            </w:r>
          </w:p>
        </w:tc>
        <w:tc>
          <w:tcPr>
            <w:tcW w:w="1248" w:type="pct"/>
            <w:tcBorders>
              <w:top w:val="single" w:color="auto" w:sz="4" w:space="0"/>
              <w:left w:val="single" w:color="auto" w:sz="4" w:space="0"/>
              <w:bottom w:val="single" w:color="auto" w:sz="4" w:space="0"/>
              <w:right w:val="single" w:color="auto" w:sz="4" w:space="0"/>
            </w:tcBorders>
          </w:tcPr>
          <w:p w14:paraId="2AC1EE77">
            <w:pPr>
              <w:widowControl w:val="0"/>
              <w:ind w:left="0" w:firstLine="0"/>
              <w:rPr>
                <w:rFonts w:hint="eastAsia" w:ascii="宋体" w:hAnsi="宋体"/>
                <w:color w:val="auto"/>
                <w:kern w:val="2"/>
                <w:highlight w:val="none"/>
              </w:rPr>
            </w:pPr>
            <w:r>
              <w:rPr>
                <w:rFonts w:hint="eastAsia" w:ascii="宋体" w:hAnsi="宋体"/>
                <w:color w:val="auto"/>
                <w:highlight w:val="none"/>
              </w:rPr>
              <w:t>比选申请人响应工期</w:t>
            </w:r>
          </w:p>
        </w:tc>
        <w:tc>
          <w:tcPr>
            <w:tcW w:w="1477" w:type="pct"/>
            <w:tcBorders>
              <w:top w:val="single" w:color="auto" w:sz="4" w:space="0"/>
              <w:left w:val="single" w:color="auto" w:sz="4" w:space="0"/>
              <w:bottom w:val="single" w:color="auto" w:sz="4" w:space="0"/>
              <w:right w:val="single" w:color="auto" w:sz="4" w:space="0"/>
            </w:tcBorders>
          </w:tcPr>
          <w:p w14:paraId="6CE622BF">
            <w:pPr>
              <w:widowControl w:val="0"/>
              <w:rPr>
                <w:rFonts w:hint="eastAsia" w:ascii="宋体" w:hAnsi="宋体"/>
                <w:color w:val="auto"/>
                <w:kern w:val="2"/>
                <w:highlight w:val="none"/>
              </w:rPr>
            </w:pPr>
            <w:r>
              <w:rPr>
                <w:rFonts w:hint="eastAsia" w:ascii="宋体" w:hAnsi="宋体"/>
                <w:color w:val="auto"/>
                <w:highlight w:val="none"/>
              </w:rPr>
              <w:t>比选人要求工期</w:t>
            </w:r>
          </w:p>
        </w:tc>
      </w:tr>
      <w:tr w14:paraId="05E2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13" w:type="pct"/>
            <w:tcBorders>
              <w:top w:val="single" w:color="auto" w:sz="4" w:space="0"/>
              <w:left w:val="single" w:color="auto" w:sz="4" w:space="0"/>
              <w:bottom w:val="single" w:color="auto" w:sz="4" w:space="0"/>
              <w:right w:val="single" w:color="auto" w:sz="4" w:space="0"/>
            </w:tcBorders>
            <w:vAlign w:val="center"/>
          </w:tcPr>
          <w:p w14:paraId="67CD1F78">
            <w:pPr>
              <w:widowControl w:val="0"/>
              <w:rPr>
                <w:rFonts w:hint="eastAsia" w:ascii="宋体" w:hAnsi="宋体"/>
                <w:color w:val="auto"/>
                <w:kern w:val="2"/>
                <w:highlight w:val="none"/>
              </w:rPr>
            </w:pPr>
            <w:r>
              <w:rPr>
                <w:rFonts w:hint="eastAsia" w:ascii="宋体" w:hAnsi="宋体"/>
                <w:color w:val="auto"/>
                <w:highlight w:val="none"/>
              </w:rPr>
              <w:t>1</w:t>
            </w:r>
          </w:p>
        </w:tc>
        <w:tc>
          <w:tcPr>
            <w:tcW w:w="1660" w:type="pct"/>
            <w:tcBorders>
              <w:top w:val="single" w:color="auto" w:sz="4" w:space="0"/>
              <w:left w:val="single" w:color="auto" w:sz="4" w:space="0"/>
              <w:bottom w:val="single" w:color="auto" w:sz="4" w:space="0"/>
              <w:right w:val="single" w:color="auto" w:sz="4" w:space="0"/>
            </w:tcBorders>
            <w:vAlign w:val="center"/>
          </w:tcPr>
          <w:p w14:paraId="433D2E89">
            <w:pPr>
              <w:widowControl w:val="0"/>
              <w:rPr>
                <w:rFonts w:hint="eastAsia" w:ascii="宋体" w:hAnsi="宋体"/>
                <w:color w:val="auto"/>
                <w:kern w:val="2"/>
                <w:highlight w:val="none"/>
              </w:rPr>
            </w:pPr>
            <w:r>
              <w:rPr>
                <w:rFonts w:hint="eastAsia" w:ascii="宋体" w:hAnsi="宋体"/>
                <w:color w:val="auto"/>
                <w:highlight w:val="none"/>
              </w:rPr>
              <w:t>概念方案设计阶段成果</w:t>
            </w:r>
          </w:p>
        </w:tc>
        <w:tc>
          <w:tcPr>
            <w:tcW w:w="1248" w:type="pct"/>
            <w:tcBorders>
              <w:top w:val="single" w:color="auto" w:sz="4" w:space="0"/>
              <w:left w:val="single" w:color="auto" w:sz="4" w:space="0"/>
              <w:bottom w:val="single" w:color="auto" w:sz="4" w:space="0"/>
              <w:right w:val="single" w:color="auto" w:sz="4" w:space="0"/>
            </w:tcBorders>
            <w:vAlign w:val="center"/>
          </w:tcPr>
          <w:p w14:paraId="1D2F25D9">
            <w:pPr>
              <w:widowControl w:val="0"/>
              <w:ind w:left="0" w:firstLine="0"/>
              <w:rPr>
                <w:rFonts w:hint="eastAsia" w:ascii="宋体" w:hAnsi="宋体"/>
                <w:color w:val="auto"/>
                <w:kern w:val="2"/>
                <w:highlight w:val="none"/>
              </w:rPr>
            </w:pPr>
            <w:r>
              <w:rPr>
                <w:rFonts w:hint="eastAsia" w:ascii="宋体" w:hAnsi="宋体"/>
                <w:color w:val="auto"/>
                <w:highlight w:val="none"/>
              </w:rPr>
              <w:t>合同签订后   日</w:t>
            </w:r>
          </w:p>
        </w:tc>
        <w:tc>
          <w:tcPr>
            <w:tcW w:w="1477" w:type="pct"/>
            <w:tcBorders>
              <w:top w:val="single" w:color="auto" w:sz="4" w:space="0"/>
              <w:left w:val="single" w:color="auto" w:sz="4" w:space="0"/>
              <w:bottom w:val="single" w:color="auto" w:sz="4" w:space="0"/>
              <w:right w:val="single" w:color="auto" w:sz="4" w:space="0"/>
            </w:tcBorders>
            <w:vAlign w:val="center"/>
          </w:tcPr>
          <w:p w14:paraId="34CBB4C6">
            <w:pPr>
              <w:widowControl w:val="0"/>
              <w:ind w:left="0" w:firstLine="0"/>
              <w:rPr>
                <w:rFonts w:hint="eastAsia" w:ascii="宋体" w:hAnsi="宋体"/>
                <w:color w:val="auto"/>
                <w:kern w:val="2"/>
                <w:highlight w:val="none"/>
              </w:rPr>
            </w:pPr>
            <w:r>
              <w:rPr>
                <w:rFonts w:hint="eastAsia" w:ascii="宋体" w:hAnsi="宋体"/>
                <w:color w:val="auto"/>
                <w:highlight w:val="none"/>
              </w:rPr>
              <w:t>合同签订且收到比选人设计任务书后</w:t>
            </w:r>
            <w:r>
              <w:rPr>
                <w:rFonts w:hint="eastAsia" w:ascii="宋体" w:hAnsi="宋体"/>
                <w:color w:val="auto"/>
                <w:highlight w:val="none"/>
                <w:u w:val="single"/>
              </w:rPr>
              <w:t>5</w:t>
            </w:r>
            <w:r>
              <w:rPr>
                <w:rFonts w:hint="eastAsia" w:ascii="宋体" w:hAnsi="宋体"/>
                <w:color w:val="auto"/>
                <w:highlight w:val="none"/>
              </w:rPr>
              <w:t>日</w:t>
            </w:r>
          </w:p>
        </w:tc>
      </w:tr>
      <w:tr w14:paraId="46B8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13" w:type="pct"/>
            <w:tcBorders>
              <w:top w:val="single" w:color="auto" w:sz="4" w:space="0"/>
              <w:left w:val="single" w:color="auto" w:sz="4" w:space="0"/>
              <w:bottom w:val="single" w:color="auto" w:sz="4" w:space="0"/>
              <w:right w:val="single" w:color="auto" w:sz="4" w:space="0"/>
            </w:tcBorders>
            <w:vAlign w:val="center"/>
          </w:tcPr>
          <w:p w14:paraId="6AC2182C">
            <w:pPr>
              <w:widowControl w:val="0"/>
              <w:rPr>
                <w:rFonts w:hint="eastAsia" w:ascii="宋体" w:hAnsi="宋体"/>
                <w:color w:val="auto"/>
                <w:kern w:val="2"/>
                <w:highlight w:val="none"/>
              </w:rPr>
            </w:pPr>
            <w:r>
              <w:rPr>
                <w:rFonts w:hint="eastAsia" w:ascii="宋体" w:hAnsi="宋体"/>
                <w:color w:val="auto"/>
                <w:highlight w:val="none"/>
              </w:rPr>
              <w:t>2</w:t>
            </w:r>
          </w:p>
        </w:tc>
        <w:tc>
          <w:tcPr>
            <w:tcW w:w="1660" w:type="pct"/>
            <w:tcBorders>
              <w:top w:val="single" w:color="auto" w:sz="4" w:space="0"/>
              <w:left w:val="single" w:color="auto" w:sz="4" w:space="0"/>
              <w:bottom w:val="single" w:color="auto" w:sz="4" w:space="0"/>
              <w:right w:val="single" w:color="auto" w:sz="4" w:space="0"/>
            </w:tcBorders>
            <w:vAlign w:val="center"/>
          </w:tcPr>
          <w:p w14:paraId="3326312B">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正式方案及效果图设计阶段（含深化方案设计和扩初方案设计）成果</w:t>
            </w:r>
          </w:p>
        </w:tc>
        <w:tc>
          <w:tcPr>
            <w:tcW w:w="1248" w:type="pct"/>
            <w:tcBorders>
              <w:top w:val="single" w:color="auto" w:sz="4" w:space="0"/>
              <w:left w:val="single" w:color="auto" w:sz="4" w:space="0"/>
              <w:bottom w:val="single" w:color="auto" w:sz="4" w:space="0"/>
              <w:right w:val="single" w:color="auto" w:sz="4" w:space="0"/>
            </w:tcBorders>
            <w:vAlign w:val="center"/>
          </w:tcPr>
          <w:p w14:paraId="5B3908A6">
            <w:pPr>
              <w:widowControl w:val="0"/>
              <w:ind w:left="0" w:firstLine="0"/>
              <w:rPr>
                <w:rFonts w:hint="eastAsia" w:ascii="宋体" w:hAnsi="宋体"/>
                <w:color w:val="auto"/>
                <w:kern w:val="2"/>
                <w:highlight w:val="none"/>
              </w:rPr>
            </w:pPr>
            <w:r>
              <w:rPr>
                <w:rFonts w:hint="eastAsia" w:ascii="宋体" w:hAnsi="宋体"/>
                <w:color w:val="auto"/>
                <w:highlight w:val="none"/>
              </w:rPr>
              <w:t>概念方案文本经甲方确认后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360DB3D4">
            <w:pPr>
              <w:widowControl w:val="0"/>
              <w:ind w:left="0" w:firstLine="0"/>
              <w:rPr>
                <w:rFonts w:hint="eastAsia" w:ascii="宋体" w:hAnsi="宋体"/>
                <w:color w:val="auto"/>
                <w:kern w:val="2"/>
                <w:highlight w:val="none"/>
              </w:rPr>
            </w:pPr>
            <w:r>
              <w:rPr>
                <w:rFonts w:hint="eastAsia" w:ascii="宋体" w:hAnsi="宋体"/>
                <w:color w:val="auto"/>
                <w:highlight w:val="none"/>
              </w:rPr>
              <w:t>概念方案经比选人书</w:t>
            </w:r>
            <w:r>
              <w:rPr>
                <w:rFonts w:ascii="宋体" w:hAnsi="宋体"/>
                <w:color w:val="auto"/>
                <w:highlight w:val="none"/>
              </w:rPr>
              <w:t>面</w:t>
            </w:r>
            <w:r>
              <w:rPr>
                <w:rFonts w:hint="eastAsia" w:ascii="宋体" w:hAnsi="宋体"/>
                <w:color w:val="auto"/>
                <w:highlight w:val="none"/>
              </w:rPr>
              <w:t>确认后</w:t>
            </w:r>
            <w:r>
              <w:rPr>
                <w:rFonts w:hint="eastAsia" w:ascii="宋体" w:hAnsi="宋体"/>
                <w:color w:val="auto"/>
                <w:highlight w:val="none"/>
                <w:u w:val="single"/>
              </w:rPr>
              <w:t>10</w:t>
            </w:r>
            <w:r>
              <w:rPr>
                <w:rFonts w:hint="eastAsia" w:ascii="宋体" w:hAnsi="宋体"/>
                <w:color w:val="auto"/>
                <w:highlight w:val="none"/>
              </w:rPr>
              <w:t>日内</w:t>
            </w:r>
          </w:p>
        </w:tc>
      </w:tr>
      <w:tr w14:paraId="3742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14:paraId="32C2CB1F">
            <w:pPr>
              <w:widowControl w:val="0"/>
              <w:rPr>
                <w:rFonts w:hint="eastAsia" w:ascii="宋体" w:hAnsi="宋体"/>
                <w:color w:val="auto"/>
                <w:kern w:val="2"/>
                <w:highlight w:val="none"/>
              </w:rPr>
            </w:pPr>
            <w:r>
              <w:rPr>
                <w:rFonts w:hint="eastAsia" w:ascii="宋体" w:hAnsi="宋体"/>
                <w:color w:val="auto"/>
                <w:highlight w:val="none"/>
              </w:rPr>
              <w:t>3</w:t>
            </w:r>
          </w:p>
        </w:tc>
        <w:tc>
          <w:tcPr>
            <w:tcW w:w="1660" w:type="pct"/>
            <w:tcBorders>
              <w:top w:val="single" w:color="auto" w:sz="4" w:space="0"/>
              <w:left w:val="single" w:color="auto" w:sz="4" w:space="0"/>
              <w:bottom w:val="single" w:color="auto" w:sz="4" w:space="0"/>
              <w:right w:val="single" w:color="auto" w:sz="4" w:space="0"/>
            </w:tcBorders>
            <w:vAlign w:val="center"/>
          </w:tcPr>
          <w:p w14:paraId="75F73E2C">
            <w:pPr>
              <w:widowControl w:val="0"/>
              <w:rPr>
                <w:rFonts w:hint="eastAsia" w:ascii="宋体" w:hAnsi="宋体"/>
                <w:color w:val="auto"/>
                <w:kern w:val="2"/>
                <w:highlight w:val="none"/>
              </w:rPr>
            </w:pPr>
            <w:r>
              <w:rPr>
                <w:rFonts w:hint="eastAsia" w:ascii="宋体" w:hAnsi="宋体"/>
                <w:color w:val="auto"/>
                <w:highlight w:val="none"/>
              </w:rPr>
              <w:t>施工图设计阶段成果</w:t>
            </w:r>
          </w:p>
        </w:tc>
        <w:tc>
          <w:tcPr>
            <w:tcW w:w="1248" w:type="pct"/>
            <w:tcBorders>
              <w:top w:val="single" w:color="auto" w:sz="4" w:space="0"/>
              <w:left w:val="single" w:color="auto" w:sz="4" w:space="0"/>
              <w:bottom w:val="single" w:color="auto" w:sz="4" w:space="0"/>
              <w:right w:val="single" w:color="auto" w:sz="4" w:space="0"/>
            </w:tcBorders>
            <w:vAlign w:val="center"/>
          </w:tcPr>
          <w:p w14:paraId="29191CFD">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4379EB41">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正式方案及效果图经比选人确认后</w:t>
            </w:r>
            <w:r>
              <w:rPr>
                <w:rFonts w:ascii="宋体" w:hAnsi="宋体"/>
                <w:color w:val="auto"/>
                <w:highlight w:val="none"/>
                <w:u w:val="single"/>
              </w:rPr>
              <w:t>2</w:t>
            </w:r>
            <w:r>
              <w:rPr>
                <w:rFonts w:hint="eastAsia" w:ascii="宋体" w:hAnsi="宋体"/>
                <w:color w:val="auto"/>
                <w:highlight w:val="none"/>
                <w:u w:val="single"/>
              </w:rPr>
              <w:t>0</w:t>
            </w:r>
            <w:r>
              <w:rPr>
                <w:rFonts w:hint="eastAsia" w:ascii="宋体" w:hAnsi="宋体"/>
                <w:color w:val="auto"/>
                <w:highlight w:val="none"/>
              </w:rPr>
              <w:t>日内</w:t>
            </w:r>
          </w:p>
        </w:tc>
      </w:tr>
    </w:tbl>
    <w:p w14:paraId="1E51B930">
      <w:pPr>
        <w:spacing w:before="0" w:after="0" w:afterAutospacing="0" w:line="240" w:lineRule="auto"/>
        <w:ind w:left="0" w:right="0" w:firstLine="0"/>
        <w:jc w:val="left"/>
        <w:rPr>
          <w:rFonts w:hint="eastAsia" w:ascii="宋体" w:hAnsi="宋体"/>
          <w:b/>
          <w:color w:val="auto"/>
          <w:highlight w:val="none"/>
        </w:rPr>
      </w:pPr>
      <w:r>
        <w:rPr>
          <w:rFonts w:ascii="宋体" w:hAnsi="宋体"/>
          <w:b/>
          <w:color w:val="auto"/>
          <w:highlight w:val="none"/>
        </w:rPr>
        <w:br w:type="page"/>
      </w:r>
    </w:p>
    <w:p w14:paraId="403A1E2F">
      <w:pPr>
        <w:pStyle w:val="7"/>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766" w:name="_Toc114134673"/>
      <w:bookmarkStart w:id="1767" w:name="_Toc10225"/>
      <w:bookmarkStart w:id="1768" w:name="_Toc6080"/>
      <w:r>
        <w:rPr>
          <w:rFonts w:hint="eastAsia" w:ascii="宋体" w:hAnsi="宋体" w:eastAsia="宋体"/>
          <w:color w:val="auto"/>
          <w:sz w:val="21"/>
          <w:szCs w:val="21"/>
          <w:highlight w:val="none"/>
        </w:rPr>
        <w:t>C4 项目人员配置</w:t>
      </w:r>
      <w:bookmarkEnd w:id="1766"/>
      <w:bookmarkEnd w:id="1767"/>
      <w:bookmarkEnd w:id="1768"/>
    </w:p>
    <w:p w14:paraId="37159647">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b/>
          <w:bCs/>
          <w:color w:val="auto"/>
          <w:highlight w:val="none"/>
          <w:lang w:val="en-US" w:eastAsia="zh-CN"/>
        </w:rPr>
        <w:t>项目人员配置表</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加盖比选申请人公章</w:t>
      </w:r>
      <w:r>
        <w:rPr>
          <w:rFonts w:hint="eastAsia" w:cs="Times New Roman"/>
          <w:color w:val="auto"/>
          <w:highlight w:val="none"/>
          <w:lang w:val="en-US" w:eastAsia="zh-CN"/>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949"/>
        <w:gridCol w:w="950"/>
        <w:gridCol w:w="842"/>
        <w:gridCol w:w="874"/>
        <w:gridCol w:w="917"/>
        <w:gridCol w:w="929"/>
        <w:gridCol w:w="917"/>
        <w:gridCol w:w="1045"/>
        <w:gridCol w:w="1082"/>
      </w:tblGrid>
      <w:tr w14:paraId="135D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6E62FFF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949" w:type="dxa"/>
          </w:tcPr>
          <w:p w14:paraId="0AE631EB">
            <w:pPr>
              <w:pStyle w:val="2"/>
              <w:ind w:left="0" w:leftChars="0" w:firstLine="0" w:firstLineChars="0"/>
              <w:jc w:val="center"/>
              <w:rPr>
                <w:rFonts w:hint="eastAsia" w:eastAsia="宋体"/>
                <w:b/>
                <w:bCs/>
                <w:color w:val="auto"/>
                <w:sz w:val="22"/>
                <w:szCs w:val="22"/>
                <w:highlight w:val="none"/>
                <w:lang w:val="en-US" w:eastAsia="zh-CN"/>
              </w:rPr>
            </w:pPr>
            <w:r>
              <w:rPr>
                <w:rFonts w:hint="eastAsia" w:eastAsia="宋体"/>
                <w:b/>
                <w:bCs/>
                <w:color w:val="auto"/>
                <w:sz w:val="22"/>
                <w:szCs w:val="22"/>
                <w:highlight w:val="none"/>
                <w:lang w:val="en-US" w:eastAsia="zh-CN"/>
              </w:rPr>
              <w:t>设计专业</w:t>
            </w:r>
          </w:p>
        </w:tc>
        <w:tc>
          <w:tcPr>
            <w:tcW w:w="950" w:type="dxa"/>
          </w:tcPr>
          <w:p w14:paraId="1E43C70F">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842" w:type="dxa"/>
          </w:tcPr>
          <w:p w14:paraId="7C670211">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874" w:type="dxa"/>
          </w:tcPr>
          <w:p w14:paraId="7AD91FB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917" w:type="dxa"/>
          </w:tcPr>
          <w:p w14:paraId="08B1A1E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929" w:type="dxa"/>
          </w:tcPr>
          <w:p w14:paraId="0D2E7C24">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917" w:type="dxa"/>
          </w:tcPr>
          <w:p w14:paraId="2A240C15">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045" w:type="dxa"/>
          </w:tcPr>
          <w:p w14:paraId="2A5118E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lang w:val="en-US" w:eastAsia="zh-CN"/>
              </w:rPr>
              <w:t>本项目</w:t>
            </w:r>
            <w:r>
              <w:rPr>
                <w:rFonts w:hint="eastAsia" w:eastAsia="宋体"/>
                <w:b/>
                <w:bCs/>
                <w:color w:val="auto"/>
                <w:sz w:val="22"/>
                <w:szCs w:val="22"/>
                <w:highlight w:val="none"/>
              </w:rPr>
              <w:t>工作职责分工</w:t>
            </w:r>
          </w:p>
        </w:tc>
        <w:tc>
          <w:tcPr>
            <w:tcW w:w="1082" w:type="dxa"/>
          </w:tcPr>
          <w:p w14:paraId="4B8DB66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56D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1410D122">
            <w:pPr>
              <w:pStyle w:val="2"/>
              <w:ind w:firstLine="482"/>
              <w:rPr>
                <w:b/>
                <w:bCs/>
                <w:color w:val="auto"/>
                <w:szCs w:val="24"/>
                <w:highlight w:val="none"/>
              </w:rPr>
            </w:pPr>
          </w:p>
        </w:tc>
        <w:tc>
          <w:tcPr>
            <w:tcW w:w="949" w:type="dxa"/>
          </w:tcPr>
          <w:p w14:paraId="2033A077">
            <w:pPr>
              <w:pStyle w:val="2"/>
              <w:ind w:firstLine="482"/>
              <w:rPr>
                <w:b/>
                <w:bCs/>
                <w:color w:val="auto"/>
                <w:szCs w:val="24"/>
                <w:highlight w:val="none"/>
              </w:rPr>
            </w:pPr>
          </w:p>
        </w:tc>
        <w:tc>
          <w:tcPr>
            <w:tcW w:w="950" w:type="dxa"/>
          </w:tcPr>
          <w:p w14:paraId="4FAFD867">
            <w:pPr>
              <w:pStyle w:val="2"/>
              <w:ind w:firstLine="482"/>
              <w:rPr>
                <w:b/>
                <w:bCs/>
                <w:color w:val="auto"/>
                <w:szCs w:val="24"/>
                <w:highlight w:val="none"/>
              </w:rPr>
            </w:pPr>
          </w:p>
        </w:tc>
        <w:tc>
          <w:tcPr>
            <w:tcW w:w="842" w:type="dxa"/>
          </w:tcPr>
          <w:p w14:paraId="02256296">
            <w:pPr>
              <w:pStyle w:val="2"/>
              <w:ind w:firstLine="482"/>
              <w:rPr>
                <w:b/>
                <w:bCs/>
                <w:color w:val="auto"/>
                <w:szCs w:val="24"/>
                <w:highlight w:val="none"/>
              </w:rPr>
            </w:pPr>
          </w:p>
        </w:tc>
        <w:tc>
          <w:tcPr>
            <w:tcW w:w="874" w:type="dxa"/>
          </w:tcPr>
          <w:p w14:paraId="450EEE10">
            <w:pPr>
              <w:pStyle w:val="2"/>
              <w:ind w:firstLine="482"/>
              <w:rPr>
                <w:b/>
                <w:bCs/>
                <w:color w:val="auto"/>
                <w:szCs w:val="24"/>
                <w:highlight w:val="none"/>
              </w:rPr>
            </w:pPr>
          </w:p>
        </w:tc>
        <w:tc>
          <w:tcPr>
            <w:tcW w:w="917" w:type="dxa"/>
          </w:tcPr>
          <w:p w14:paraId="4F030453">
            <w:pPr>
              <w:pStyle w:val="2"/>
              <w:ind w:firstLine="482"/>
              <w:rPr>
                <w:b/>
                <w:bCs/>
                <w:color w:val="auto"/>
                <w:szCs w:val="24"/>
                <w:highlight w:val="none"/>
              </w:rPr>
            </w:pPr>
          </w:p>
        </w:tc>
        <w:tc>
          <w:tcPr>
            <w:tcW w:w="929" w:type="dxa"/>
          </w:tcPr>
          <w:p w14:paraId="7DC70182">
            <w:pPr>
              <w:pStyle w:val="2"/>
              <w:ind w:firstLine="482"/>
              <w:rPr>
                <w:b/>
                <w:bCs/>
                <w:color w:val="auto"/>
                <w:szCs w:val="24"/>
                <w:highlight w:val="none"/>
              </w:rPr>
            </w:pPr>
          </w:p>
        </w:tc>
        <w:tc>
          <w:tcPr>
            <w:tcW w:w="917" w:type="dxa"/>
          </w:tcPr>
          <w:p w14:paraId="48D66785">
            <w:pPr>
              <w:pStyle w:val="2"/>
              <w:ind w:firstLine="482"/>
              <w:rPr>
                <w:b/>
                <w:bCs/>
                <w:color w:val="auto"/>
                <w:szCs w:val="24"/>
                <w:highlight w:val="none"/>
              </w:rPr>
            </w:pPr>
          </w:p>
        </w:tc>
        <w:tc>
          <w:tcPr>
            <w:tcW w:w="1045" w:type="dxa"/>
          </w:tcPr>
          <w:p w14:paraId="055021F5">
            <w:pPr>
              <w:pStyle w:val="2"/>
              <w:ind w:firstLine="482"/>
              <w:rPr>
                <w:b/>
                <w:bCs/>
                <w:color w:val="auto"/>
                <w:szCs w:val="24"/>
                <w:highlight w:val="none"/>
              </w:rPr>
            </w:pPr>
          </w:p>
        </w:tc>
        <w:tc>
          <w:tcPr>
            <w:tcW w:w="1082" w:type="dxa"/>
          </w:tcPr>
          <w:p w14:paraId="54BF2696">
            <w:pPr>
              <w:pStyle w:val="2"/>
              <w:ind w:firstLine="482"/>
              <w:rPr>
                <w:b/>
                <w:bCs/>
                <w:color w:val="auto"/>
                <w:szCs w:val="24"/>
                <w:highlight w:val="none"/>
              </w:rPr>
            </w:pPr>
          </w:p>
        </w:tc>
      </w:tr>
      <w:tr w14:paraId="7514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605E2C22">
            <w:pPr>
              <w:pStyle w:val="2"/>
              <w:ind w:firstLine="482"/>
              <w:rPr>
                <w:b/>
                <w:bCs/>
                <w:color w:val="auto"/>
                <w:szCs w:val="24"/>
                <w:highlight w:val="none"/>
              </w:rPr>
            </w:pPr>
          </w:p>
        </w:tc>
        <w:tc>
          <w:tcPr>
            <w:tcW w:w="949" w:type="dxa"/>
          </w:tcPr>
          <w:p w14:paraId="140F3ECD">
            <w:pPr>
              <w:pStyle w:val="2"/>
              <w:ind w:firstLine="482"/>
              <w:rPr>
                <w:b/>
                <w:bCs/>
                <w:color w:val="auto"/>
                <w:szCs w:val="24"/>
                <w:highlight w:val="none"/>
              </w:rPr>
            </w:pPr>
          </w:p>
        </w:tc>
        <w:tc>
          <w:tcPr>
            <w:tcW w:w="950" w:type="dxa"/>
          </w:tcPr>
          <w:p w14:paraId="2B8CE01B">
            <w:pPr>
              <w:pStyle w:val="2"/>
              <w:ind w:firstLine="482"/>
              <w:rPr>
                <w:b/>
                <w:bCs/>
                <w:color w:val="auto"/>
                <w:szCs w:val="24"/>
                <w:highlight w:val="none"/>
              </w:rPr>
            </w:pPr>
          </w:p>
        </w:tc>
        <w:tc>
          <w:tcPr>
            <w:tcW w:w="842" w:type="dxa"/>
          </w:tcPr>
          <w:p w14:paraId="52BEBDA0">
            <w:pPr>
              <w:pStyle w:val="2"/>
              <w:ind w:firstLine="482"/>
              <w:rPr>
                <w:b/>
                <w:bCs/>
                <w:color w:val="auto"/>
                <w:szCs w:val="24"/>
                <w:highlight w:val="none"/>
              </w:rPr>
            </w:pPr>
          </w:p>
        </w:tc>
        <w:tc>
          <w:tcPr>
            <w:tcW w:w="874" w:type="dxa"/>
          </w:tcPr>
          <w:p w14:paraId="5C2A2674">
            <w:pPr>
              <w:pStyle w:val="2"/>
              <w:ind w:firstLine="482"/>
              <w:rPr>
                <w:b/>
                <w:bCs/>
                <w:color w:val="auto"/>
                <w:szCs w:val="24"/>
                <w:highlight w:val="none"/>
              </w:rPr>
            </w:pPr>
          </w:p>
        </w:tc>
        <w:tc>
          <w:tcPr>
            <w:tcW w:w="917" w:type="dxa"/>
          </w:tcPr>
          <w:p w14:paraId="265C215B">
            <w:pPr>
              <w:pStyle w:val="2"/>
              <w:ind w:firstLine="482"/>
              <w:rPr>
                <w:b/>
                <w:bCs/>
                <w:color w:val="auto"/>
                <w:szCs w:val="24"/>
                <w:highlight w:val="none"/>
              </w:rPr>
            </w:pPr>
          </w:p>
        </w:tc>
        <w:tc>
          <w:tcPr>
            <w:tcW w:w="929" w:type="dxa"/>
          </w:tcPr>
          <w:p w14:paraId="751DD199">
            <w:pPr>
              <w:pStyle w:val="2"/>
              <w:ind w:firstLine="482"/>
              <w:rPr>
                <w:b/>
                <w:bCs/>
                <w:color w:val="auto"/>
                <w:szCs w:val="24"/>
                <w:highlight w:val="none"/>
              </w:rPr>
            </w:pPr>
          </w:p>
        </w:tc>
        <w:tc>
          <w:tcPr>
            <w:tcW w:w="917" w:type="dxa"/>
          </w:tcPr>
          <w:p w14:paraId="5C7FA627">
            <w:pPr>
              <w:pStyle w:val="2"/>
              <w:ind w:firstLine="482"/>
              <w:rPr>
                <w:b/>
                <w:bCs/>
                <w:color w:val="auto"/>
                <w:szCs w:val="24"/>
                <w:highlight w:val="none"/>
              </w:rPr>
            </w:pPr>
          </w:p>
        </w:tc>
        <w:tc>
          <w:tcPr>
            <w:tcW w:w="1045" w:type="dxa"/>
          </w:tcPr>
          <w:p w14:paraId="586EFD8F">
            <w:pPr>
              <w:pStyle w:val="2"/>
              <w:ind w:firstLine="482"/>
              <w:rPr>
                <w:b/>
                <w:bCs/>
                <w:color w:val="auto"/>
                <w:szCs w:val="24"/>
                <w:highlight w:val="none"/>
              </w:rPr>
            </w:pPr>
          </w:p>
        </w:tc>
        <w:tc>
          <w:tcPr>
            <w:tcW w:w="1082" w:type="dxa"/>
          </w:tcPr>
          <w:p w14:paraId="67CAD06B">
            <w:pPr>
              <w:pStyle w:val="2"/>
              <w:ind w:firstLine="482"/>
              <w:rPr>
                <w:b/>
                <w:bCs/>
                <w:color w:val="auto"/>
                <w:szCs w:val="24"/>
                <w:highlight w:val="none"/>
              </w:rPr>
            </w:pPr>
          </w:p>
        </w:tc>
      </w:tr>
      <w:tr w14:paraId="36DC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0C78B903">
            <w:pPr>
              <w:pStyle w:val="2"/>
              <w:ind w:firstLine="482"/>
              <w:rPr>
                <w:b/>
                <w:bCs/>
                <w:color w:val="auto"/>
                <w:szCs w:val="24"/>
                <w:highlight w:val="none"/>
              </w:rPr>
            </w:pPr>
          </w:p>
        </w:tc>
        <w:tc>
          <w:tcPr>
            <w:tcW w:w="949" w:type="dxa"/>
          </w:tcPr>
          <w:p w14:paraId="79E76DBE">
            <w:pPr>
              <w:pStyle w:val="2"/>
              <w:ind w:firstLine="482"/>
              <w:rPr>
                <w:b/>
                <w:bCs/>
                <w:color w:val="auto"/>
                <w:szCs w:val="24"/>
                <w:highlight w:val="none"/>
              </w:rPr>
            </w:pPr>
          </w:p>
        </w:tc>
        <w:tc>
          <w:tcPr>
            <w:tcW w:w="950" w:type="dxa"/>
          </w:tcPr>
          <w:p w14:paraId="54C61D3C">
            <w:pPr>
              <w:pStyle w:val="2"/>
              <w:ind w:firstLine="482"/>
              <w:rPr>
                <w:b/>
                <w:bCs/>
                <w:color w:val="auto"/>
                <w:szCs w:val="24"/>
                <w:highlight w:val="none"/>
              </w:rPr>
            </w:pPr>
          </w:p>
        </w:tc>
        <w:tc>
          <w:tcPr>
            <w:tcW w:w="842" w:type="dxa"/>
          </w:tcPr>
          <w:p w14:paraId="6F0E194C">
            <w:pPr>
              <w:pStyle w:val="2"/>
              <w:ind w:firstLine="482"/>
              <w:rPr>
                <w:b/>
                <w:bCs/>
                <w:color w:val="auto"/>
                <w:szCs w:val="24"/>
                <w:highlight w:val="none"/>
              </w:rPr>
            </w:pPr>
          </w:p>
        </w:tc>
        <w:tc>
          <w:tcPr>
            <w:tcW w:w="874" w:type="dxa"/>
          </w:tcPr>
          <w:p w14:paraId="293784A2">
            <w:pPr>
              <w:pStyle w:val="2"/>
              <w:ind w:firstLine="482"/>
              <w:rPr>
                <w:b/>
                <w:bCs/>
                <w:color w:val="auto"/>
                <w:szCs w:val="24"/>
                <w:highlight w:val="none"/>
              </w:rPr>
            </w:pPr>
          </w:p>
        </w:tc>
        <w:tc>
          <w:tcPr>
            <w:tcW w:w="917" w:type="dxa"/>
          </w:tcPr>
          <w:p w14:paraId="5251B7C9">
            <w:pPr>
              <w:pStyle w:val="2"/>
              <w:ind w:firstLine="482"/>
              <w:rPr>
                <w:b/>
                <w:bCs/>
                <w:color w:val="auto"/>
                <w:szCs w:val="24"/>
                <w:highlight w:val="none"/>
              </w:rPr>
            </w:pPr>
          </w:p>
        </w:tc>
        <w:tc>
          <w:tcPr>
            <w:tcW w:w="929" w:type="dxa"/>
          </w:tcPr>
          <w:p w14:paraId="5546F095">
            <w:pPr>
              <w:pStyle w:val="2"/>
              <w:ind w:firstLine="482"/>
              <w:rPr>
                <w:b/>
                <w:bCs/>
                <w:color w:val="auto"/>
                <w:szCs w:val="24"/>
                <w:highlight w:val="none"/>
              </w:rPr>
            </w:pPr>
          </w:p>
        </w:tc>
        <w:tc>
          <w:tcPr>
            <w:tcW w:w="917" w:type="dxa"/>
          </w:tcPr>
          <w:p w14:paraId="589F6974">
            <w:pPr>
              <w:pStyle w:val="2"/>
              <w:ind w:firstLine="482"/>
              <w:rPr>
                <w:b/>
                <w:bCs/>
                <w:color w:val="auto"/>
                <w:szCs w:val="24"/>
                <w:highlight w:val="none"/>
              </w:rPr>
            </w:pPr>
          </w:p>
        </w:tc>
        <w:tc>
          <w:tcPr>
            <w:tcW w:w="1045" w:type="dxa"/>
          </w:tcPr>
          <w:p w14:paraId="2E5E985B">
            <w:pPr>
              <w:pStyle w:val="2"/>
              <w:ind w:firstLine="482"/>
              <w:rPr>
                <w:b/>
                <w:bCs/>
                <w:color w:val="auto"/>
                <w:szCs w:val="24"/>
                <w:highlight w:val="none"/>
              </w:rPr>
            </w:pPr>
          </w:p>
        </w:tc>
        <w:tc>
          <w:tcPr>
            <w:tcW w:w="1082" w:type="dxa"/>
          </w:tcPr>
          <w:p w14:paraId="23782DD6">
            <w:pPr>
              <w:pStyle w:val="2"/>
              <w:ind w:firstLine="482"/>
              <w:rPr>
                <w:b/>
                <w:bCs/>
                <w:color w:val="auto"/>
                <w:szCs w:val="24"/>
                <w:highlight w:val="none"/>
              </w:rPr>
            </w:pPr>
          </w:p>
        </w:tc>
      </w:tr>
      <w:tr w14:paraId="2E55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6AD5DC9D">
            <w:pPr>
              <w:pStyle w:val="2"/>
              <w:ind w:firstLine="482"/>
              <w:rPr>
                <w:b/>
                <w:bCs/>
                <w:color w:val="auto"/>
                <w:szCs w:val="24"/>
                <w:highlight w:val="none"/>
              </w:rPr>
            </w:pPr>
          </w:p>
        </w:tc>
        <w:tc>
          <w:tcPr>
            <w:tcW w:w="949" w:type="dxa"/>
          </w:tcPr>
          <w:p w14:paraId="16560D42">
            <w:pPr>
              <w:pStyle w:val="2"/>
              <w:ind w:firstLine="482"/>
              <w:rPr>
                <w:b/>
                <w:bCs/>
                <w:color w:val="auto"/>
                <w:szCs w:val="24"/>
                <w:highlight w:val="none"/>
              </w:rPr>
            </w:pPr>
          </w:p>
        </w:tc>
        <w:tc>
          <w:tcPr>
            <w:tcW w:w="950" w:type="dxa"/>
          </w:tcPr>
          <w:p w14:paraId="2A9732F6">
            <w:pPr>
              <w:pStyle w:val="2"/>
              <w:ind w:firstLine="482"/>
              <w:rPr>
                <w:b/>
                <w:bCs/>
                <w:color w:val="auto"/>
                <w:szCs w:val="24"/>
                <w:highlight w:val="none"/>
              </w:rPr>
            </w:pPr>
          </w:p>
        </w:tc>
        <w:tc>
          <w:tcPr>
            <w:tcW w:w="842" w:type="dxa"/>
          </w:tcPr>
          <w:p w14:paraId="770578CE">
            <w:pPr>
              <w:pStyle w:val="2"/>
              <w:ind w:firstLine="482"/>
              <w:rPr>
                <w:b/>
                <w:bCs/>
                <w:color w:val="auto"/>
                <w:szCs w:val="24"/>
                <w:highlight w:val="none"/>
              </w:rPr>
            </w:pPr>
          </w:p>
        </w:tc>
        <w:tc>
          <w:tcPr>
            <w:tcW w:w="874" w:type="dxa"/>
          </w:tcPr>
          <w:p w14:paraId="3922929F">
            <w:pPr>
              <w:pStyle w:val="2"/>
              <w:ind w:firstLine="482"/>
              <w:rPr>
                <w:b/>
                <w:bCs/>
                <w:color w:val="auto"/>
                <w:szCs w:val="24"/>
                <w:highlight w:val="none"/>
              </w:rPr>
            </w:pPr>
          </w:p>
        </w:tc>
        <w:tc>
          <w:tcPr>
            <w:tcW w:w="917" w:type="dxa"/>
          </w:tcPr>
          <w:p w14:paraId="55E1325B">
            <w:pPr>
              <w:pStyle w:val="2"/>
              <w:ind w:firstLine="482"/>
              <w:rPr>
                <w:b/>
                <w:bCs/>
                <w:color w:val="auto"/>
                <w:szCs w:val="24"/>
                <w:highlight w:val="none"/>
              </w:rPr>
            </w:pPr>
          </w:p>
        </w:tc>
        <w:tc>
          <w:tcPr>
            <w:tcW w:w="929" w:type="dxa"/>
          </w:tcPr>
          <w:p w14:paraId="7DEE340C">
            <w:pPr>
              <w:pStyle w:val="2"/>
              <w:ind w:firstLine="482"/>
              <w:rPr>
                <w:b/>
                <w:bCs/>
                <w:color w:val="auto"/>
                <w:szCs w:val="24"/>
                <w:highlight w:val="none"/>
              </w:rPr>
            </w:pPr>
          </w:p>
        </w:tc>
        <w:tc>
          <w:tcPr>
            <w:tcW w:w="917" w:type="dxa"/>
          </w:tcPr>
          <w:p w14:paraId="2272D0FA">
            <w:pPr>
              <w:pStyle w:val="2"/>
              <w:ind w:firstLine="482"/>
              <w:rPr>
                <w:b/>
                <w:bCs/>
                <w:color w:val="auto"/>
                <w:szCs w:val="24"/>
                <w:highlight w:val="none"/>
              </w:rPr>
            </w:pPr>
          </w:p>
        </w:tc>
        <w:tc>
          <w:tcPr>
            <w:tcW w:w="1045" w:type="dxa"/>
          </w:tcPr>
          <w:p w14:paraId="18D621E5">
            <w:pPr>
              <w:pStyle w:val="2"/>
              <w:ind w:firstLine="482"/>
              <w:rPr>
                <w:b/>
                <w:bCs/>
                <w:color w:val="auto"/>
                <w:szCs w:val="24"/>
                <w:highlight w:val="none"/>
              </w:rPr>
            </w:pPr>
          </w:p>
        </w:tc>
        <w:tc>
          <w:tcPr>
            <w:tcW w:w="1082" w:type="dxa"/>
          </w:tcPr>
          <w:p w14:paraId="1FC598C8">
            <w:pPr>
              <w:pStyle w:val="2"/>
              <w:ind w:firstLine="482"/>
              <w:rPr>
                <w:b/>
                <w:bCs/>
                <w:color w:val="auto"/>
                <w:szCs w:val="24"/>
                <w:highlight w:val="none"/>
              </w:rPr>
            </w:pPr>
          </w:p>
        </w:tc>
      </w:tr>
    </w:tbl>
    <w:p w14:paraId="160A2C0C">
      <w:pPr>
        <w:ind w:left="0" w:leftChars="0" w:firstLine="0" w:firstLineChars="0"/>
        <w:rPr>
          <w:rFonts w:hint="eastAsia"/>
          <w:color w:val="auto"/>
          <w:highlight w:val="none"/>
        </w:rPr>
      </w:pPr>
    </w:p>
    <w:p w14:paraId="071720F3">
      <w:pPr>
        <w:pStyle w:val="2"/>
        <w:rPr>
          <w:rFonts w:hint="eastAsia"/>
          <w:color w:val="auto"/>
          <w:highlight w:val="none"/>
        </w:rPr>
      </w:pPr>
    </w:p>
    <w:p w14:paraId="226A5D4B">
      <w:pPr>
        <w:pStyle w:val="4"/>
        <w:rPr>
          <w:rFonts w:hint="eastAsia"/>
          <w:color w:val="auto"/>
          <w:highlight w:val="none"/>
        </w:rPr>
      </w:pPr>
    </w:p>
    <w:p w14:paraId="4EE9867B">
      <w:pPr>
        <w:pStyle w:val="5"/>
        <w:rPr>
          <w:rFonts w:hint="eastAsia"/>
          <w:color w:val="auto"/>
          <w:highlight w:val="none"/>
        </w:rPr>
      </w:pPr>
    </w:p>
    <w:p w14:paraId="75BE5867">
      <w:pPr>
        <w:pStyle w:val="2"/>
        <w:rPr>
          <w:rFonts w:hint="eastAsia"/>
          <w:color w:val="auto"/>
          <w:highlight w:val="none"/>
        </w:rPr>
      </w:pPr>
    </w:p>
    <w:p w14:paraId="52B4D9D5">
      <w:pPr>
        <w:pStyle w:val="4"/>
        <w:rPr>
          <w:rFonts w:hint="eastAsia"/>
          <w:color w:val="auto"/>
          <w:highlight w:val="none"/>
        </w:rPr>
      </w:pPr>
    </w:p>
    <w:p w14:paraId="0E683BA4">
      <w:pPr>
        <w:pStyle w:val="5"/>
        <w:rPr>
          <w:rFonts w:hint="eastAsia"/>
          <w:color w:val="auto"/>
          <w:highlight w:val="none"/>
        </w:rPr>
      </w:pPr>
    </w:p>
    <w:p w14:paraId="344B015E">
      <w:pPr>
        <w:pStyle w:val="2"/>
        <w:rPr>
          <w:rFonts w:hint="eastAsia"/>
          <w:color w:val="auto"/>
          <w:highlight w:val="none"/>
        </w:rPr>
      </w:pPr>
    </w:p>
    <w:p w14:paraId="3D8D1133">
      <w:pPr>
        <w:pStyle w:val="4"/>
        <w:rPr>
          <w:rFonts w:hint="eastAsia"/>
          <w:color w:val="auto"/>
          <w:highlight w:val="none"/>
        </w:rPr>
      </w:pPr>
    </w:p>
    <w:p w14:paraId="444AF329">
      <w:pPr>
        <w:pStyle w:val="5"/>
        <w:rPr>
          <w:rFonts w:hint="eastAsia"/>
          <w:color w:val="auto"/>
          <w:highlight w:val="none"/>
        </w:rPr>
      </w:pPr>
    </w:p>
    <w:p w14:paraId="085C3890">
      <w:pPr>
        <w:pStyle w:val="2"/>
        <w:rPr>
          <w:rFonts w:hint="eastAsia"/>
          <w:color w:val="auto"/>
          <w:highlight w:val="none"/>
        </w:rPr>
      </w:pPr>
    </w:p>
    <w:p w14:paraId="4684632A">
      <w:pPr>
        <w:pStyle w:val="4"/>
        <w:rPr>
          <w:rFonts w:hint="eastAsia"/>
          <w:color w:val="auto"/>
          <w:highlight w:val="none"/>
        </w:rPr>
      </w:pPr>
    </w:p>
    <w:p w14:paraId="31144312">
      <w:pPr>
        <w:pStyle w:val="5"/>
        <w:rPr>
          <w:rFonts w:hint="eastAsia"/>
          <w:color w:val="auto"/>
          <w:highlight w:val="none"/>
        </w:rPr>
      </w:pPr>
    </w:p>
    <w:p w14:paraId="51AF1227">
      <w:pPr>
        <w:pStyle w:val="2"/>
        <w:rPr>
          <w:rFonts w:hint="eastAsia"/>
          <w:color w:val="auto"/>
          <w:highlight w:val="none"/>
        </w:rPr>
      </w:pPr>
    </w:p>
    <w:p w14:paraId="39DE973C">
      <w:pPr>
        <w:pStyle w:val="4"/>
        <w:rPr>
          <w:rFonts w:hint="eastAsia"/>
          <w:color w:val="auto"/>
          <w:highlight w:val="none"/>
        </w:rPr>
      </w:pPr>
    </w:p>
    <w:p w14:paraId="02A2AF7C">
      <w:pPr>
        <w:pStyle w:val="5"/>
        <w:rPr>
          <w:rFonts w:hint="eastAsia"/>
          <w:color w:val="auto"/>
          <w:highlight w:val="none"/>
        </w:rPr>
      </w:pPr>
    </w:p>
    <w:p w14:paraId="29BA6B99">
      <w:pPr>
        <w:pStyle w:val="2"/>
        <w:rPr>
          <w:rFonts w:hint="eastAsia"/>
          <w:color w:val="auto"/>
          <w:highlight w:val="none"/>
        </w:rPr>
      </w:pPr>
    </w:p>
    <w:p w14:paraId="2BC25647">
      <w:pPr>
        <w:pStyle w:val="4"/>
        <w:rPr>
          <w:rFonts w:hint="eastAsia"/>
          <w:color w:val="auto"/>
          <w:highlight w:val="none"/>
        </w:rPr>
      </w:pPr>
    </w:p>
    <w:p w14:paraId="10A4D050">
      <w:pPr>
        <w:pStyle w:val="14"/>
        <w:jc w:val="center"/>
        <w:rPr>
          <w:b/>
          <w:color w:val="auto"/>
          <w:highlight w:val="none"/>
        </w:rPr>
      </w:pPr>
      <w:r>
        <w:rPr>
          <w:rFonts w:hint="eastAsia"/>
          <w:b/>
          <w:color w:val="auto"/>
          <w:highlight w:val="none"/>
        </w:rPr>
        <w:t>拟派项目成员履历表</w:t>
      </w:r>
    </w:p>
    <w:tbl>
      <w:tblPr>
        <w:tblStyle w:val="36"/>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7CBE78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DD83B5F">
            <w:pPr>
              <w:pStyle w:val="14"/>
              <w:rPr>
                <w:color w:val="auto"/>
                <w:highlight w:val="none"/>
              </w:rPr>
            </w:pPr>
            <w:r>
              <w:rPr>
                <w:rFonts w:hint="eastAsia"/>
                <w:color w:val="auto"/>
                <w:highlight w:val="none"/>
              </w:rPr>
              <w:t>姓名</w:t>
            </w:r>
          </w:p>
        </w:tc>
        <w:tc>
          <w:tcPr>
            <w:tcW w:w="2527" w:type="dxa"/>
            <w:tcBorders>
              <w:top w:val="single" w:color="000000" w:sz="6" w:space="0"/>
              <w:left w:val="nil"/>
              <w:bottom w:val="single" w:color="000000" w:sz="6" w:space="0"/>
              <w:right w:val="single" w:color="000000" w:sz="6" w:space="0"/>
            </w:tcBorders>
            <w:vAlign w:val="center"/>
          </w:tcPr>
          <w:p w14:paraId="0B6A68BB">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C4090C6">
            <w:pPr>
              <w:pStyle w:val="14"/>
              <w:rPr>
                <w:color w:val="auto"/>
                <w:highlight w:val="none"/>
              </w:rPr>
            </w:pPr>
            <w:r>
              <w:rPr>
                <w:rFonts w:hint="eastAsia"/>
                <w:color w:val="auto"/>
                <w:highlight w:val="none"/>
              </w:rPr>
              <w:t>年龄</w:t>
            </w:r>
          </w:p>
        </w:tc>
        <w:tc>
          <w:tcPr>
            <w:tcW w:w="2506" w:type="dxa"/>
            <w:tcBorders>
              <w:top w:val="single" w:color="000000" w:sz="6" w:space="0"/>
              <w:left w:val="nil"/>
              <w:bottom w:val="single" w:color="000000" w:sz="6" w:space="0"/>
              <w:right w:val="single" w:color="000000" w:sz="6" w:space="0"/>
            </w:tcBorders>
            <w:vAlign w:val="center"/>
          </w:tcPr>
          <w:p w14:paraId="23FEB04E">
            <w:pPr>
              <w:pStyle w:val="14"/>
              <w:rPr>
                <w:color w:val="auto"/>
                <w:highlight w:val="none"/>
              </w:rPr>
            </w:pPr>
          </w:p>
        </w:tc>
      </w:tr>
      <w:tr w14:paraId="6783FB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2310438">
            <w:pPr>
              <w:pStyle w:val="14"/>
              <w:rPr>
                <w:color w:val="auto"/>
                <w:highlight w:val="none"/>
              </w:rPr>
            </w:pPr>
            <w:r>
              <w:rPr>
                <w:rFonts w:hint="eastAsia"/>
                <w:color w:val="auto"/>
                <w:highlight w:val="none"/>
              </w:rPr>
              <w:t>学历</w:t>
            </w:r>
          </w:p>
        </w:tc>
        <w:tc>
          <w:tcPr>
            <w:tcW w:w="2527" w:type="dxa"/>
            <w:tcBorders>
              <w:top w:val="single" w:color="000000" w:sz="6" w:space="0"/>
              <w:left w:val="nil"/>
              <w:bottom w:val="single" w:color="000000" w:sz="6" w:space="0"/>
              <w:right w:val="single" w:color="000000" w:sz="6" w:space="0"/>
            </w:tcBorders>
            <w:vAlign w:val="center"/>
          </w:tcPr>
          <w:p w14:paraId="1D7BAB24">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2C6152E7">
            <w:pPr>
              <w:pStyle w:val="14"/>
              <w:rPr>
                <w:color w:val="auto"/>
                <w:highlight w:val="none"/>
              </w:rPr>
            </w:pPr>
            <w:r>
              <w:rPr>
                <w:rFonts w:hint="eastAsia"/>
                <w:color w:val="auto"/>
                <w:highlight w:val="none"/>
              </w:rPr>
              <w:t>性别</w:t>
            </w:r>
          </w:p>
        </w:tc>
        <w:tc>
          <w:tcPr>
            <w:tcW w:w="2506" w:type="dxa"/>
            <w:tcBorders>
              <w:top w:val="single" w:color="000000" w:sz="6" w:space="0"/>
              <w:left w:val="nil"/>
              <w:bottom w:val="single" w:color="000000" w:sz="6" w:space="0"/>
              <w:right w:val="single" w:color="000000" w:sz="6" w:space="0"/>
            </w:tcBorders>
            <w:vAlign w:val="center"/>
          </w:tcPr>
          <w:p w14:paraId="2CB6450E">
            <w:pPr>
              <w:pStyle w:val="14"/>
              <w:rPr>
                <w:color w:val="auto"/>
                <w:highlight w:val="none"/>
              </w:rPr>
            </w:pPr>
          </w:p>
        </w:tc>
      </w:tr>
      <w:tr w14:paraId="086AF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4D529B62">
            <w:pPr>
              <w:pStyle w:val="14"/>
              <w:rPr>
                <w:color w:val="auto"/>
                <w:highlight w:val="none"/>
              </w:rPr>
            </w:pPr>
            <w:r>
              <w:rPr>
                <w:rFonts w:hint="eastAsia"/>
                <w:color w:val="auto"/>
                <w:highlight w:val="none"/>
              </w:rPr>
              <w:t>毕业学校</w:t>
            </w:r>
          </w:p>
        </w:tc>
        <w:tc>
          <w:tcPr>
            <w:tcW w:w="2527" w:type="dxa"/>
            <w:tcBorders>
              <w:top w:val="single" w:color="000000" w:sz="6" w:space="0"/>
              <w:left w:val="nil"/>
              <w:bottom w:val="single" w:color="000000" w:sz="6" w:space="0"/>
              <w:right w:val="single" w:color="000000" w:sz="6" w:space="0"/>
            </w:tcBorders>
            <w:vAlign w:val="center"/>
          </w:tcPr>
          <w:p w14:paraId="751FDD4F">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627A1051">
            <w:pPr>
              <w:pStyle w:val="14"/>
              <w:rPr>
                <w:color w:val="auto"/>
                <w:highlight w:val="none"/>
              </w:rPr>
            </w:pPr>
            <w:r>
              <w:rPr>
                <w:rFonts w:hint="eastAsia"/>
                <w:color w:val="auto"/>
                <w:highlight w:val="none"/>
              </w:rPr>
              <w:t>技术资格</w:t>
            </w:r>
          </w:p>
        </w:tc>
        <w:tc>
          <w:tcPr>
            <w:tcW w:w="2506" w:type="dxa"/>
            <w:tcBorders>
              <w:top w:val="single" w:color="000000" w:sz="6" w:space="0"/>
              <w:left w:val="nil"/>
              <w:bottom w:val="single" w:color="000000" w:sz="6" w:space="0"/>
              <w:right w:val="single" w:color="000000" w:sz="6" w:space="0"/>
            </w:tcBorders>
            <w:vAlign w:val="center"/>
          </w:tcPr>
          <w:p w14:paraId="7FD0CD90">
            <w:pPr>
              <w:pStyle w:val="14"/>
              <w:rPr>
                <w:color w:val="auto"/>
                <w:highlight w:val="none"/>
              </w:rPr>
            </w:pPr>
          </w:p>
        </w:tc>
      </w:tr>
      <w:tr w14:paraId="1BE70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B2692FB">
            <w:pPr>
              <w:pStyle w:val="14"/>
              <w:rPr>
                <w:color w:val="auto"/>
                <w:highlight w:val="none"/>
              </w:rPr>
            </w:pPr>
            <w:r>
              <w:rPr>
                <w:rFonts w:hint="eastAsia"/>
                <w:color w:val="auto"/>
                <w:highlight w:val="none"/>
              </w:rPr>
              <w:t>所学专业</w:t>
            </w:r>
          </w:p>
        </w:tc>
        <w:tc>
          <w:tcPr>
            <w:tcW w:w="2527" w:type="dxa"/>
            <w:tcBorders>
              <w:top w:val="single" w:color="000000" w:sz="6" w:space="0"/>
              <w:left w:val="nil"/>
              <w:bottom w:val="single" w:color="000000" w:sz="6" w:space="0"/>
              <w:right w:val="single" w:color="000000" w:sz="6" w:space="0"/>
            </w:tcBorders>
            <w:vAlign w:val="center"/>
          </w:tcPr>
          <w:p w14:paraId="61E15E7B">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1DF27079">
            <w:pPr>
              <w:pStyle w:val="14"/>
              <w:ind w:left="0" w:leftChars="0" w:firstLine="0" w:firstLineChars="0"/>
              <w:rPr>
                <w:color w:val="auto"/>
                <w:highlight w:val="none"/>
              </w:rPr>
            </w:pPr>
            <w:r>
              <w:rPr>
                <w:rFonts w:hint="eastAsia"/>
                <w:color w:val="auto"/>
                <w:highlight w:val="none"/>
              </w:rPr>
              <w:t>在比选申请人单位职务</w:t>
            </w:r>
          </w:p>
        </w:tc>
        <w:tc>
          <w:tcPr>
            <w:tcW w:w="2506" w:type="dxa"/>
            <w:tcBorders>
              <w:top w:val="single" w:color="000000" w:sz="6" w:space="0"/>
              <w:left w:val="nil"/>
              <w:bottom w:val="single" w:color="000000" w:sz="6" w:space="0"/>
              <w:right w:val="single" w:color="000000" w:sz="6" w:space="0"/>
            </w:tcBorders>
            <w:vAlign w:val="center"/>
          </w:tcPr>
          <w:p w14:paraId="78D198FC">
            <w:pPr>
              <w:pStyle w:val="14"/>
              <w:rPr>
                <w:color w:val="auto"/>
                <w:highlight w:val="none"/>
              </w:rPr>
            </w:pPr>
          </w:p>
        </w:tc>
      </w:tr>
      <w:tr w14:paraId="27755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8743991">
            <w:pPr>
              <w:pStyle w:val="14"/>
              <w:rPr>
                <w:color w:val="auto"/>
                <w:highlight w:val="none"/>
              </w:rPr>
            </w:pPr>
            <w:r>
              <w:rPr>
                <w:rFonts w:hint="eastAsia"/>
                <w:color w:val="auto"/>
                <w:highlight w:val="none"/>
              </w:rPr>
              <w:t>毕业时间</w:t>
            </w:r>
          </w:p>
        </w:tc>
        <w:tc>
          <w:tcPr>
            <w:tcW w:w="2527" w:type="dxa"/>
            <w:tcBorders>
              <w:top w:val="single" w:color="000000" w:sz="6" w:space="0"/>
              <w:left w:val="nil"/>
              <w:bottom w:val="single" w:color="000000" w:sz="6" w:space="0"/>
              <w:right w:val="single" w:color="000000" w:sz="6" w:space="0"/>
            </w:tcBorders>
            <w:vAlign w:val="center"/>
          </w:tcPr>
          <w:p w14:paraId="6DD1338F">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DB3E485">
            <w:pPr>
              <w:pStyle w:val="14"/>
              <w:rPr>
                <w:color w:val="auto"/>
                <w:highlight w:val="none"/>
              </w:rPr>
            </w:pPr>
            <w:r>
              <w:rPr>
                <w:rFonts w:hint="eastAsia"/>
                <w:color w:val="auto"/>
                <w:highlight w:val="none"/>
              </w:rPr>
              <w:t>拟在本项目</w:t>
            </w:r>
          </w:p>
          <w:p w14:paraId="495287A0">
            <w:pPr>
              <w:pStyle w:val="14"/>
              <w:rPr>
                <w:color w:val="auto"/>
                <w:highlight w:val="none"/>
              </w:rPr>
            </w:pPr>
            <w:r>
              <w:rPr>
                <w:rFonts w:hint="eastAsia"/>
                <w:color w:val="auto"/>
                <w:highlight w:val="none"/>
              </w:rPr>
              <w:t>担任岗位</w:t>
            </w:r>
          </w:p>
        </w:tc>
        <w:tc>
          <w:tcPr>
            <w:tcW w:w="2506" w:type="dxa"/>
            <w:tcBorders>
              <w:top w:val="single" w:color="000000" w:sz="6" w:space="0"/>
              <w:left w:val="nil"/>
              <w:bottom w:val="single" w:color="000000" w:sz="6" w:space="0"/>
              <w:right w:val="single" w:color="000000" w:sz="6" w:space="0"/>
            </w:tcBorders>
            <w:vAlign w:val="center"/>
          </w:tcPr>
          <w:p w14:paraId="7E29DFA3">
            <w:pPr>
              <w:pStyle w:val="14"/>
              <w:rPr>
                <w:color w:val="auto"/>
                <w:highlight w:val="none"/>
              </w:rPr>
            </w:pPr>
          </w:p>
        </w:tc>
      </w:tr>
      <w:tr w14:paraId="7A764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5C13B0E6">
            <w:pPr>
              <w:pStyle w:val="14"/>
              <w:rPr>
                <w:color w:val="auto"/>
                <w:highlight w:val="none"/>
              </w:rPr>
            </w:pPr>
            <w:r>
              <w:rPr>
                <w:rFonts w:hint="eastAsia"/>
                <w:color w:val="auto"/>
                <w:highlight w:val="none"/>
              </w:rPr>
              <w:t>专业工作简历</w:t>
            </w:r>
          </w:p>
        </w:tc>
      </w:tr>
      <w:tr w14:paraId="063A8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2586B390">
            <w:pPr>
              <w:pStyle w:val="14"/>
              <w:rPr>
                <w:color w:val="auto"/>
                <w:highlight w:val="none"/>
              </w:rPr>
            </w:pPr>
          </w:p>
          <w:p w14:paraId="3BA36E1C">
            <w:pPr>
              <w:pStyle w:val="14"/>
              <w:rPr>
                <w:color w:val="auto"/>
                <w:highlight w:val="none"/>
              </w:rPr>
            </w:pPr>
          </w:p>
          <w:p w14:paraId="07C3F700">
            <w:pPr>
              <w:pStyle w:val="14"/>
              <w:rPr>
                <w:color w:val="auto"/>
                <w:highlight w:val="none"/>
              </w:rPr>
            </w:pPr>
          </w:p>
          <w:p w14:paraId="03E771C7">
            <w:pPr>
              <w:pStyle w:val="14"/>
              <w:ind w:left="0" w:firstLine="0"/>
              <w:rPr>
                <w:color w:val="auto"/>
                <w:highlight w:val="none"/>
              </w:rPr>
            </w:pPr>
          </w:p>
          <w:p w14:paraId="61048A4D">
            <w:pPr>
              <w:pStyle w:val="14"/>
              <w:rPr>
                <w:color w:val="auto"/>
                <w:highlight w:val="none"/>
              </w:rPr>
            </w:pPr>
          </w:p>
        </w:tc>
      </w:tr>
    </w:tbl>
    <w:p w14:paraId="0FAD7CE8">
      <w:pPr>
        <w:pStyle w:val="14"/>
        <w:rPr>
          <w:color w:val="auto"/>
          <w:highlight w:val="none"/>
        </w:rPr>
      </w:pPr>
      <w:r>
        <w:rPr>
          <w:rFonts w:hint="eastAsia"/>
          <w:color w:val="auto"/>
          <w:highlight w:val="none"/>
        </w:rPr>
        <w:t>注：每人一页，本表须附人员基本信息、相关证书等证明资料。</w:t>
      </w:r>
    </w:p>
    <w:p w14:paraId="0D9D9A8A">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723E53D5">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p>
    <w:p w14:paraId="5C22F8F4">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44B59C1B">
      <w:pPr>
        <w:spacing w:before="0" w:after="0" w:afterAutospacing="0" w:line="240" w:lineRule="auto"/>
        <w:ind w:left="0" w:right="0" w:firstLine="0"/>
        <w:jc w:val="left"/>
        <w:rPr>
          <w:rStyle w:val="54"/>
          <w:rFonts w:hint="eastAsia" w:ascii="宋体" w:hAnsi="宋体" w:eastAsia="宋体" w:cs="宋体"/>
          <w:color w:val="auto"/>
          <w:highlight w:val="none"/>
        </w:rPr>
      </w:pPr>
      <w:r>
        <w:rPr>
          <w:rStyle w:val="54"/>
          <w:rFonts w:ascii="宋体" w:hAnsi="宋体" w:eastAsia="宋体"/>
          <w:color w:val="auto"/>
          <w:highlight w:val="none"/>
        </w:rPr>
        <w:br w:type="page"/>
      </w:r>
    </w:p>
    <w:p w14:paraId="06328E21">
      <w:pPr>
        <w:pStyle w:val="7"/>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769" w:name="_Toc114134674"/>
      <w:bookmarkStart w:id="1770" w:name="_Toc8583"/>
      <w:bookmarkStart w:id="1771" w:name="_Toc32762"/>
      <w:r>
        <w:rPr>
          <w:rFonts w:hint="eastAsia" w:ascii="宋体" w:hAnsi="宋体" w:eastAsia="宋体"/>
          <w:color w:val="auto"/>
          <w:sz w:val="21"/>
          <w:szCs w:val="21"/>
          <w:highlight w:val="none"/>
        </w:rPr>
        <w:t>C5业绩表</w:t>
      </w:r>
      <w:bookmarkEnd w:id="1769"/>
      <w:bookmarkEnd w:id="1770"/>
      <w:bookmarkEnd w:id="1771"/>
    </w:p>
    <w:p w14:paraId="5C83450E">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9C442A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2FD055A">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2FC30A50">
            <w:pPr>
              <w:ind w:left="0" w:firstLine="0"/>
              <w:rPr>
                <w:rFonts w:hint="eastAsia"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86F76E0">
            <w:pPr>
              <w:ind w:left="0" w:firstLine="0"/>
              <w:rPr>
                <w:rFonts w:hint="eastAsia"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17306B16">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3788DA33">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18279AA4">
            <w:pPr>
              <w:ind w:left="0" w:firstLine="0"/>
              <w:jc w:val="center"/>
              <w:rPr>
                <w:rFonts w:hint="eastAsia"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42643D53">
            <w:pPr>
              <w:ind w:left="0" w:firstLine="0"/>
              <w:rPr>
                <w:rFonts w:hint="eastAsia"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1A917864">
            <w:pPr>
              <w:ind w:left="0" w:firstLine="0"/>
              <w:rPr>
                <w:rFonts w:hint="eastAsia" w:ascii="宋体" w:hAnsi="宋体"/>
                <w:color w:val="auto"/>
                <w:highlight w:val="none"/>
              </w:rPr>
            </w:pPr>
            <w:r>
              <w:rPr>
                <w:rFonts w:hint="eastAsia" w:ascii="宋体" w:hAnsi="宋体"/>
                <w:color w:val="auto"/>
                <w:highlight w:val="none"/>
              </w:rPr>
              <w:t>联系电话</w:t>
            </w:r>
          </w:p>
        </w:tc>
      </w:tr>
      <w:tr w14:paraId="31B3979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593D246E">
            <w:pPr>
              <w:ind w:left="0" w:firstLine="0"/>
              <w:rPr>
                <w:rFonts w:hint="eastAsia" w:ascii="宋体" w:hAnsi="宋体"/>
                <w:color w:val="auto"/>
                <w:highlight w:val="none"/>
              </w:rPr>
            </w:pPr>
          </w:p>
        </w:tc>
        <w:tc>
          <w:tcPr>
            <w:tcW w:w="1092" w:type="dxa"/>
          </w:tcPr>
          <w:p w14:paraId="19AB792A">
            <w:pPr>
              <w:ind w:left="0" w:firstLine="0"/>
              <w:rPr>
                <w:rFonts w:hint="eastAsia" w:ascii="宋体" w:hAnsi="宋体"/>
                <w:color w:val="auto"/>
                <w:highlight w:val="none"/>
              </w:rPr>
            </w:pPr>
          </w:p>
        </w:tc>
        <w:tc>
          <w:tcPr>
            <w:tcW w:w="1789" w:type="dxa"/>
          </w:tcPr>
          <w:p w14:paraId="6253F4A2">
            <w:pPr>
              <w:ind w:left="0" w:firstLine="0"/>
              <w:rPr>
                <w:rFonts w:hint="eastAsia" w:ascii="宋体" w:hAnsi="宋体"/>
                <w:color w:val="auto"/>
                <w:highlight w:val="none"/>
              </w:rPr>
            </w:pPr>
          </w:p>
        </w:tc>
        <w:tc>
          <w:tcPr>
            <w:tcW w:w="992" w:type="dxa"/>
          </w:tcPr>
          <w:p w14:paraId="49DCC36B">
            <w:pPr>
              <w:ind w:left="0" w:firstLine="0"/>
              <w:rPr>
                <w:rFonts w:hint="eastAsia" w:ascii="宋体" w:hAnsi="宋体"/>
                <w:color w:val="auto"/>
                <w:highlight w:val="none"/>
              </w:rPr>
            </w:pPr>
          </w:p>
        </w:tc>
        <w:tc>
          <w:tcPr>
            <w:tcW w:w="993" w:type="dxa"/>
          </w:tcPr>
          <w:p w14:paraId="3541AE2C">
            <w:pPr>
              <w:ind w:left="0" w:firstLine="0"/>
              <w:rPr>
                <w:rFonts w:hint="eastAsia" w:ascii="宋体" w:hAnsi="宋体"/>
                <w:color w:val="auto"/>
                <w:highlight w:val="none"/>
              </w:rPr>
            </w:pPr>
          </w:p>
        </w:tc>
        <w:tc>
          <w:tcPr>
            <w:tcW w:w="1388" w:type="dxa"/>
          </w:tcPr>
          <w:p w14:paraId="33C3A0B5">
            <w:pPr>
              <w:ind w:left="0" w:firstLine="0"/>
              <w:rPr>
                <w:rFonts w:hint="eastAsia" w:ascii="宋体" w:hAnsi="宋体"/>
                <w:color w:val="auto"/>
                <w:highlight w:val="none"/>
              </w:rPr>
            </w:pPr>
          </w:p>
        </w:tc>
        <w:tc>
          <w:tcPr>
            <w:tcW w:w="1044" w:type="dxa"/>
          </w:tcPr>
          <w:p w14:paraId="72F9079B">
            <w:pPr>
              <w:ind w:left="0" w:firstLine="0"/>
              <w:rPr>
                <w:rFonts w:hint="eastAsia" w:ascii="宋体" w:hAnsi="宋体"/>
                <w:color w:val="auto"/>
                <w:highlight w:val="none"/>
              </w:rPr>
            </w:pPr>
          </w:p>
        </w:tc>
        <w:tc>
          <w:tcPr>
            <w:tcW w:w="1043" w:type="dxa"/>
          </w:tcPr>
          <w:p w14:paraId="56A5CCEE">
            <w:pPr>
              <w:ind w:left="0" w:firstLine="0"/>
              <w:rPr>
                <w:rFonts w:hint="eastAsia" w:ascii="宋体" w:hAnsi="宋体"/>
                <w:color w:val="auto"/>
                <w:highlight w:val="none"/>
              </w:rPr>
            </w:pPr>
          </w:p>
        </w:tc>
      </w:tr>
      <w:tr w14:paraId="0ABE150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1CC0AA5">
            <w:pPr>
              <w:ind w:left="0" w:firstLine="0"/>
              <w:rPr>
                <w:rFonts w:hint="eastAsia" w:ascii="宋体" w:hAnsi="宋体"/>
                <w:color w:val="auto"/>
                <w:highlight w:val="none"/>
              </w:rPr>
            </w:pPr>
          </w:p>
        </w:tc>
        <w:tc>
          <w:tcPr>
            <w:tcW w:w="1092" w:type="dxa"/>
            <w:vAlign w:val="center"/>
          </w:tcPr>
          <w:p w14:paraId="1BC14704">
            <w:pPr>
              <w:ind w:left="0" w:firstLine="0"/>
              <w:rPr>
                <w:rFonts w:hint="eastAsia" w:ascii="宋体" w:hAnsi="宋体"/>
                <w:color w:val="auto"/>
                <w:highlight w:val="none"/>
              </w:rPr>
            </w:pPr>
          </w:p>
        </w:tc>
        <w:tc>
          <w:tcPr>
            <w:tcW w:w="1789" w:type="dxa"/>
            <w:vAlign w:val="center"/>
          </w:tcPr>
          <w:p w14:paraId="60CE2D95">
            <w:pPr>
              <w:ind w:left="0" w:firstLine="0"/>
              <w:rPr>
                <w:rFonts w:hint="eastAsia" w:ascii="宋体" w:hAnsi="宋体"/>
                <w:color w:val="auto"/>
                <w:highlight w:val="none"/>
              </w:rPr>
            </w:pPr>
          </w:p>
        </w:tc>
        <w:tc>
          <w:tcPr>
            <w:tcW w:w="992" w:type="dxa"/>
            <w:vAlign w:val="center"/>
          </w:tcPr>
          <w:p w14:paraId="60B791C2">
            <w:pPr>
              <w:ind w:left="0" w:firstLine="0"/>
              <w:rPr>
                <w:rFonts w:hint="eastAsia" w:ascii="宋体" w:hAnsi="宋体"/>
                <w:color w:val="auto"/>
                <w:highlight w:val="none"/>
              </w:rPr>
            </w:pPr>
          </w:p>
        </w:tc>
        <w:tc>
          <w:tcPr>
            <w:tcW w:w="993" w:type="dxa"/>
            <w:vAlign w:val="center"/>
          </w:tcPr>
          <w:p w14:paraId="7D5F9724">
            <w:pPr>
              <w:ind w:left="0" w:firstLine="0"/>
              <w:rPr>
                <w:rFonts w:hint="eastAsia" w:ascii="宋体" w:hAnsi="宋体"/>
                <w:color w:val="auto"/>
                <w:highlight w:val="none"/>
              </w:rPr>
            </w:pPr>
          </w:p>
        </w:tc>
        <w:tc>
          <w:tcPr>
            <w:tcW w:w="1388" w:type="dxa"/>
          </w:tcPr>
          <w:p w14:paraId="57362DD9">
            <w:pPr>
              <w:ind w:left="0" w:firstLine="0"/>
              <w:rPr>
                <w:rFonts w:hint="eastAsia" w:ascii="宋体" w:hAnsi="宋体"/>
                <w:color w:val="auto"/>
                <w:highlight w:val="none"/>
              </w:rPr>
            </w:pPr>
          </w:p>
        </w:tc>
        <w:tc>
          <w:tcPr>
            <w:tcW w:w="1044" w:type="dxa"/>
            <w:vAlign w:val="center"/>
          </w:tcPr>
          <w:p w14:paraId="5489BBB7">
            <w:pPr>
              <w:ind w:left="0" w:firstLine="0"/>
              <w:rPr>
                <w:rFonts w:hint="eastAsia" w:ascii="宋体" w:hAnsi="宋体"/>
                <w:color w:val="auto"/>
                <w:highlight w:val="none"/>
              </w:rPr>
            </w:pPr>
          </w:p>
        </w:tc>
        <w:tc>
          <w:tcPr>
            <w:tcW w:w="1043" w:type="dxa"/>
            <w:vAlign w:val="center"/>
          </w:tcPr>
          <w:p w14:paraId="42F34C2C">
            <w:pPr>
              <w:ind w:left="0" w:firstLine="0"/>
              <w:rPr>
                <w:rFonts w:hint="eastAsia" w:ascii="宋体" w:hAnsi="宋体"/>
                <w:color w:val="auto"/>
                <w:highlight w:val="none"/>
              </w:rPr>
            </w:pPr>
          </w:p>
        </w:tc>
      </w:tr>
      <w:tr w14:paraId="2B05F18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9391CE9">
            <w:pPr>
              <w:ind w:left="0" w:firstLine="0"/>
              <w:rPr>
                <w:rFonts w:hint="eastAsia" w:ascii="宋体" w:hAnsi="宋体"/>
                <w:color w:val="auto"/>
                <w:highlight w:val="none"/>
              </w:rPr>
            </w:pPr>
          </w:p>
        </w:tc>
        <w:tc>
          <w:tcPr>
            <w:tcW w:w="1092" w:type="dxa"/>
            <w:vAlign w:val="center"/>
          </w:tcPr>
          <w:p w14:paraId="5F16E40B">
            <w:pPr>
              <w:ind w:left="0" w:firstLine="0"/>
              <w:rPr>
                <w:rFonts w:hint="eastAsia" w:ascii="宋体" w:hAnsi="宋体"/>
                <w:color w:val="auto"/>
                <w:highlight w:val="none"/>
              </w:rPr>
            </w:pPr>
          </w:p>
        </w:tc>
        <w:tc>
          <w:tcPr>
            <w:tcW w:w="1789" w:type="dxa"/>
            <w:vAlign w:val="center"/>
          </w:tcPr>
          <w:p w14:paraId="0C376C31">
            <w:pPr>
              <w:ind w:left="0" w:firstLine="0"/>
              <w:rPr>
                <w:rFonts w:hint="eastAsia" w:ascii="宋体" w:hAnsi="宋体"/>
                <w:color w:val="auto"/>
                <w:highlight w:val="none"/>
              </w:rPr>
            </w:pPr>
          </w:p>
        </w:tc>
        <w:tc>
          <w:tcPr>
            <w:tcW w:w="992" w:type="dxa"/>
            <w:vAlign w:val="center"/>
          </w:tcPr>
          <w:p w14:paraId="453E4062">
            <w:pPr>
              <w:ind w:left="0" w:firstLine="0"/>
              <w:rPr>
                <w:rFonts w:hint="eastAsia" w:ascii="宋体" w:hAnsi="宋体"/>
                <w:color w:val="auto"/>
                <w:highlight w:val="none"/>
              </w:rPr>
            </w:pPr>
          </w:p>
        </w:tc>
        <w:tc>
          <w:tcPr>
            <w:tcW w:w="993" w:type="dxa"/>
            <w:vAlign w:val="center"/>
          </w:tcPr>
          <w:p w14:paraId="0038CC5E">
            <w:pPr>
              <w:ind w:left="0" w:firstLine="0"/>
              <w:rPr>
                <w:rFonts w:hint="eastAsia" w:ascii="宋体" w:hAnsi="宋体"/>
                <w:color w:val="auto"/>
                <w:highlight w:val="none"/>
              </w:rPr>
            </w:pPr>
          </w:p>
        </w:tc>
        <w:tc>
          <w:tcPr>
            <w:tcW w:w="1388" w:type="dxa"/>
          </w:tcPr>
          <w:p w14:paraId="1E04E0AE">
            <w:pPr>
              <w:ind w:left="0" w:firstLine="0"/>
              <w:rPr>
                <w:rFonts w:hint="eastAsia" w:ascii="宋体" w:hAnsi="宋体"/>
                <w:color w:val="auto"/>
                <w:highlight w:val="none"/>
              </w:rPr>
            </w:pPr>
          </w:p>
        </w:tc>
        <w:tc>
          <w:tcPr>
            <w:tcW w:w="1044" w:type="dxa"/>
            <w:vAlign w:val="center"/>
          </w:tcPr>
          <w:p w14:paraId="3C2C4556">
            <w:pPr>
              <w:ind w:left="0" w:firstLine="0"/>
              <w:rPr>
                <w:rFonts w:hint="eastAsia" w:ascii="宋体" w:hAnsi="宋体"/>
                <w:color w:val="auto"/>
                <w:highlight w:val="none"/>
              </w:rPr>
            </w:pPr>
          </w:p>
        </w:tc>
        <w:tc>
          <w:tcPr>
            <w:tcW w:w="1043" w:type="dxa"/>
            <w:vAlign w:val="center"/>
          </w:tcPr>
          <w:p w14:paraId="096CB91B">
            <w:pPr>
              <w:ind w:left="0" w:firstLine="0"/>
              <w:rPr>
                <w:rFonts w:hint="eastAsia" w:ascii="宋体" w:hAnsi="宋体"/>
                <w:color w:val="auto"/>
                <w:highlight w:val="none"/>
              </w:rPr>
            </w:pPr>
          </w:p>
        </w:tc>
      </w:tr>
    </w:tbl>
    <w:p w14:paraId="4C78DC98">
      <w:pPr>
        <w:spacing w:before="0"/>
        <w:ind w:left="567" w:right="-57" w:hanging="567"/>
        <w:jc w:val="left"/>
        <w:rPr>
          <w:rFonts w:hint="eastAsia" w:ascii="宋体" w:hAnsi="宋体"/>
          <w:color w:val="auto"/>
          <w:highlight w:val="none"/>
        </w:rPr>
      </w:pPr>
    </w:p>
    <w:p w14:paraId="630132F7">
      <w:pPr>
        <w:pStyle w:val="2"/>
        <w:ind w:firstLine="3081" w:firstLineChars="1100"/>
        <w:rPr>
          <w:rFonts w:hint="eastAsia"/>
          <w:color w:val="auto"/>
          <w:highlight w:val="none"/>
        </w:rPr>
      </w:pPr>
      <w:r>
        <w:rPr>
          <w:rFonts w:hint="eastAsia" w:ascii="宋体" w:hAnsi="宋体"/>
          <w:b/>
          <w:color w:val="auto"/>
          <w:spacing w:val="20"/>
          <w:highlight w:val="none"/>
        </w:rPr>
        <w:t>项目</w:t>
      </w:r>
      <w:r>
        <w:rPr>
          <w:rFonts w:hint="eastAsia" w:ascii="宋体" w:hAnsi="宋体" w:eastAsia="宋体"/>
          <w:b/>
          <w:color w:val="auto"/>
          <w:spacing w:val="20"/>
          <w:highlight w:val="none"/>
          <w:lang w:val="en-US" w:eastAsia="zh-CN"/>
        </w:rPr>
        <w:t>负责人</w:t>
      </w:r>
      <w:r>
        <w:rPr>
          <w:rFonts w:ascii="宋体" w:hAnsi="宋体"/>
          <w:b/>
          <w:color w:val="auto"/>
          <w:spacing w:val="20"/>
          <w:highlight w:val="none"/>
        </w:rPr>
        <w:t>业绩表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7B5F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tcPr>
          <w:p w14:paraId="559746B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61" w:type="dxa"/>
          </w:tcPr>
          <w:p w14:paraId="3C202D3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40" w:type="dxa"/>
          </w:tcPr>
          <w:p w14:paraId="640B870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976" w:type="dxa"/>
          </w:tcPr>
          <w:p w14:paraId="08FE5E79">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24" w:type="dxa"/>
          </w:tcPr>
          <w:p w14:paraId="76266495">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37" w:type="dxa"/>
          </w:tcPr>
          <w:p w14:paraId="30919CE7">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业绩</w:t>
            </w:r>
          </w:p>
        </w:tc>
        <w:tc>
          <w:tcPr>
            <w:tcW w:w="1024" w:type="dxa"/>
          </w:tcPr>
          <w:p w14:paraId="46AABB9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168" w:type="dxa"/>
          </w:tcPr>
          <w:p w14:paraId="31305A4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09" w:type="dxa"/>
          </w:tcPr>
          <w:p w14:paraId="45E2CB94">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97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tcPr>
          <w:p w14:paraId="2F2D48E6">
            <w:pPr>
              <w:pStyle w:val="2"/>
              <w:ind w:firstLine="482"/>
              <w:rPr>
                <w:b/>
                <w:bCs/>
                <w:color w:val="auto"/>
                <w:szCs w:val="24"/>
                <w:highlight w:val="none"/>
              </w:rPr>
            </w:pPr>
          </w:p>
        </w:tc>
        <w:tc>
          <w:tcPr>
            <w:tcW w:w="1061" w:type="dxa"/>
          </w:tcPr>
          <w:p w14:paraId="72E7F4EE">
            <w:pPr>
              <w:pStyle w:val="2"/>
              <w:ind w:firstLine="482"/>
              <w:rPr>
                <w:b/>
                <w:bCs/>
                <w:color w:val="auto"/>
                <w:szCs w:val="24"/>
                <w:highlight w:val="none"/>
              </w:rPr>
            </w:pPr>
          </w:p>
        </w:tc>
        <w:tc>
          <w:tcPr>
            <w:tcW w:w="940" w:type="dxa"/>
          </w:tcPr>
          <w:p w14:paraId="4D1C8FD5">
            <w:pPr>
              <w:pStyle w:val="2"/>
              <w:ind w:firstLine="482"/>
              <w:rPr>
                <w:b/>
                <w:bCs/>
                <w:color w:val="auto"/>
                <w:szCs w:val="24"/>
                <w:highlight w:val="none"/>
              </w:rPr>
            </w:pPr>
          </w:p>
        </w:tc>
        <w:tc>
          <w:tcPr>
            <w:tcW w:w="976" w:type="dxa"/>
          </w:tcPr>
          <w:p w14:paraId="7912166B">
            <w:pPr>
              <w:pStyle w:val="2"/>
              <w:ind w:firstLine="482"/>
              <w:rPr>
                <w:b/>
                <w:bCs/>
                <w:color w:val="auto"/>
                <w:szCs w:val="24"/>
                <w:highlight w:val="none"/>
              </w:rPr>
            </w:pPr>
          </w:p>
        </w:tc>
        <w:tc>
          <w:tcPr>
            <w:tcW w:w="1024" w:type="dxa"/>
          </w:tcPr>
          <w:p w14:paraId="3749F310">
            <w:pPr>
              <w:pStyle w:val="2"/>
              <w:ind w:firstLine="482"/>
              <w:rPr>
                <w:b/>
                <w:bCs/>
                <w:color w:val="auto"/>
                <w:szCs w:val="24"/>
                <w:highlight w:val="none"/>
              </w:rPr>
            </w:pPr>
          </w:p>
        </w:tc>
        <w:tc>
          <w:tcPr>
            <w:tcW w:w="1037" w:type="dxa"/>
          </w:tcPr>
          <w:p w14:paraId="662F3F7D">
            <w:pPr>
              <w:pStyle w:val="2"/>
              <w:ind w:firstLine="482"/>
              <w:rPr>
                <w:b/>
                <w:bCs/>
                <w:color w:val="auto"/>
                <w:szCs w:val="24"/>
                <w:highlight w:val="none"/>
              </w:rPr>
            </w:pPr>
          </w:p>
        </w:tc>
        <w:tc>
          <w:tcPr>
            <w:tcW w:w="1024" w:type="dxa"/>
          </w:tcPr>
          <w:p w14:paraId="59F46DAF">
            <w:pPr>
              <w:pStyle w:val="2"/>
              <w:ind w:firstLine="482"/>
              <w:rPr>
                <w:b/>
                <w:bCs/>
                <w:color w:val="auto"/>
                <w:szCs w:val="24"/>
                <w:highlight w:val="none"/>
              </w:rPr>
            </w:pPr>
          </w:p>
        </w:tc>
        <w:tc>
          <w:tcPr>
            <w:tcW w:w="1168" w:type="dxa"/>
          </w:tcPr>
          <w:p w14:paraId="492153FB">
            <w:pPr>
              <w:pStyle w:val="2"/>
              <w:ind w:firstLine="482"/>
              <w:rPr>
                <w:b/>
                <w:bCs/>
                <w:color w:val="auto"/>
                <w:szCs w:val="24"/>
                <w:highlight w:val="none"/>
              </w:rPr>
            </w:pPr>
          </w:p>
        </w:tc>
        <w:tc>
          <w:tcPr>
            <w:tcW w:w="1209" w:type="dxa"/>
          </w:tcPr>
          <w:p w14:paraId="7C160225">
            <w:pPr>
              <w:pStyle w:val="2"/>
              <w:ind w:firstLine="482"/>
              <w:rPr>
                <w:b/>
                <w:bCs/>
                <w:color w:val="auto"/>
                <w:szCs w:val="24"/>
                <w:highlight w:val="none"/>
              </w:rPr>
            </w:pPr>
          </w:p>
        </w:tc>
      </w:tr>
    </w:tbl>
    <w:p w14:paraId="4A50633F">
      <w:pPr>
        <w:pStyle w:val="4"/>
        <w:ind w:left="0" w:leftChars="0" w:firstLine="0" w:firstLineChars="0"/>
        <w:rPr>
          <w:rFonts w:hint="eastAsia"/>
          <w:color w:val="auto"/>
          <w:highlight w:val="none"/>
        </w:rPr>
      </w:pPr>
    </w:p>
    <w:p w14:paraId="5E096A23">
      <w:pPr>
        <w:numPr>
          <w:ilvl w:val="0"/>
          <w:numId w:val="0"/>
        </w:numPr>
        <w:spacing w:before="0" w:after="0" w:afterAutospacing="0"/>
        <w:ind w:leftChars="0" w:right="0" w:rightChars="0" w:firstLine="420" w:firstLineChars="200"/>
        <w:rPr>
          <w:rFonts w:hint="eastAsia" w:ascii="宋体" w:hAnsi="宋体"/>
          <w:color w:val="auto"/>
          <w:highlight w:val="none"/>
          <w:lang w:eastAsia="zh-CN"/>
        </w:rPr>
      </w:pPr>
      <w:r>
        <w:rPr>
          <w:rFonts w:ascii="宋体" w:hAnsi="宋体"/>
          <w:color w:val="auto"/>
          <w:highlight w:val="none"/>
        </w:rPr>
        <w:t>注：</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Start w:id="1772" w:name="_Toc19887"/>
      <w:bookmarkStart w:id="1773" w:name="_Toc14738"/>
      <w:bookmarkStart w:id="1774" w:name="_Toc147"/>
      <w:bookmarkStart w:id="1775" w:name="_Toc1104"/>
      <w:bookmarkStart w:id="1776" w:name="_Toc21231"/>
      <w:bookmarkStart w:id="1777" w:name="_Toc17186"/>
      <w:bookmarkStart w:id="1778" w:name="_Toc3174"/>
      <w:bookmarkStart w:id="1779" w:name="_Toc6090"/>
      <w:bookmarkStart w:id="1780" w:name="_Toc5008"/>
      <w:bookmarkStart w:id="1781" w:name="_Toc3551"/>
      <w:bookmarkStart w:id="1782" w:name="_Toc4284"/>
      <w:bookmarkStart w:id="1783" w:name="_Toc25908"/>
      <w:bookmarkStart w:id="1784" w:name="_Toc26286"/>
      <w:bookmarkStart w:id="1785" w:name="_Toc531"/>
      <w:bookmarkStart w:id="1786" w:name="_Toc1777"/>
      <w:bookmarkStart w:id="1787" w:name="_Toc22547"/>
      <w:bookmarkStart w:id="1788" w:name="_Toc14104"/>
      <w:bookmarkStart w:id="1789" w:name="_Toc9329"/>
      <w:r>
        <w:rPr>
          <w:rFonts w:ascii="宋体" w:hAnsi="宋体"/>
          <w:color w:val="auto"/>
          <w:highlight w:val="none"/>
        </w:rPr>
        <w:t>1.</w:t>
      </w:r>
      <w:r>
        <w:rPr>
          <w:rFonts w:hint="eastAsia" w:ascii="宋体" w:hAnsi="宋体"/>
          <w:color w:val="auto"/>
          <w:highlight w:val="none"/>
        </w:rPr>
        <w:t>类似项目业绩：比选申请人自2023年1月1日至比选申请截止时间前，承接过（完工/在建项目）房地产项目样板房装修设计业绩，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1550元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p>
    <w:p w14:paraId="0B9D51C5">
      <w:pPr>
        <w:numPr>
          <w:ilvl w:val="0"/>
          <w:numId w:val="0"/>
        </w:numPr>
        <w:spacing w:before="0" w:after="0" w:afterAutospacing="0"/>
        <w:ind w:leftChars="0" w:right="0" w:rightChars="0" w:firstLine="420" w:firstLineChars="200"/>
        <w:rPr>
          <w:color w:val="auto"/>
          <w:highlight w:val="none"/>
        </w:rPr>
      </w:pPr>
      <w:r>
        <w:rPr>
          <w:rFonts w:hint="eastAsia" w:ascii="宋体" w:hAnsi="宋体"/>
          <w:color w:val="auto"/>
          <w:highlight w:val="none"/>
          <w:lang w:val="en-US" w:eastAsia="zh-CN"/>
        </w:rPr>
        <w:t>2.本</w:t>
      </w:r>
      <w:r>
        <w:rPr>
          <w:rFonts w:hint="eastAsia"/>
          <w:color w:val="auto"/>
          <w:highlight w:val="none"/>
          <w:lang w:val="en-US" w:eastAsia="zh-CN"/>
        </w:rPr>
        <w:t>项目负责人负责过房地产项目样板间或展示区设计业绩，单个业绩项目体量设计费达1550元/㎡及以上的业绩</w:t>
      </w:r>
      <w:r>
        <w:rPr>
          <w:rFonts w:hint="eastAsia" w:ascii="宋体" w:hAnsi="宋体"/>
          <w:color w:val="auto"/>
          <w:highlight w:val="none"/>
        </w:rPr>
        <w:t>。</w:t>
      </w:r>
      <w:r>
        <w:rPr>
          <w:color w:val="auto"/>
          <w:highlight w:val="none"/>
        </w:rPr>
        <w:t>（</w:t>
      </w:r>
      <w:r>
        <w:rPr>
          <w:rFonts w:hint="eastAsia" w:ascii="宋体" w:hAnsi="宋体" w:cs="宋体"/>
          <w:color w:val="auto"/>
          <w:highlight w:val="none"/>
          <w:lang w:bidi="ar"/>
        </w:rPr>
        <w:t>①合同文件；②中标通知书；③</w:t>
      </w:r>
      <w:r>
        <w:rPr>
          <w:rFonts w:hint="eastAsia"/>
          <w:color w:val="auto"/>
          <w:highlight w:val="none"/>
          <w:lang w:val="en-US" w:eastAsia="zh-CN"/>
        </w:rPr>
        <w:t>方案文本案例（含项目名称和效果图即可无需全套文本）④</w:t>
      </w:r>
      <w:r>
        <w:rPr>
          <w:rFonts w:hint="eastAsia" w:ascii="宋体" w:hAnsi="宋体" w:cs="宋体"/>
          <w:color w:val="auto"/>
          <w:highlight w:val="none"/>
          <w:lang w:bidi="ar"/>
        </w:rPr>
        <w:t>业主证明材料。所提供材料需能证明符合</w:t>
      </w:r>
      <w:r>
        <w:rPr>
          <w:rFonts w:hint="eastAsia" w:ascii="宋体" w:hAnsi="宋体" w:cs="宋体"/>
          <w:color w:val="auto"/>
          <w:highlight w:val="none"/>
          <w:lang w:val="en-US" w:eastAsia="zh-CN" w:bidi="ar"/>
        </w:rPr>
        <w:t>作为项目负责人的</w:t>
      </w:r>
      <w:r>
        <w:rPr>
          <w:rFonts w:hint="eastAsia" w:ascii="宋体" w:hAnsi="宋体" w:cs="宋体"/>
          <w:color w:val="auto"/>
          <w:highlight w:val="none"/>
          <w:lang w:bidi="ar"/>
        </w:rPr>
        <w:t>业绩内容，否则视为无效证明文件，提供复印件加盖比选申请人公章，原件备查</w:t>
      </w:r>
      <w:r>
        <w:rPr>
          <w:color w:val="auto"/>
          <w:highlight w:val="none"/>
        </w:rPr>
        <w:t>）</w:t>
      </w:r>
    </w:p>
    <w:p w14:paraId="4FB09F2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lang w:val="en-US" w:eastAsia="zh-CN"/>
        </w:rPr>
        <w:t>3</w:t>
      </w:r>
      <w:r>
        <w:rPr>
          <w:rFonts w:ascii="宋体" w:hAnsi="宋体"/>
          <w:color w:val="auto"/>
          <w:highlight w:val="none"/>
        </w:rPr>
        <w:t>.</w:t>
      </w:r>
      <w:r>
        <w:rPr>
          <w:rFonts w:hint="eastAsia" w:ascii="宋体" w:hAnsi="宋体"/>
          <w:color w:val="auto"/>
          <w:highlight w:val="none"/>
        </w:rPr>
        <w:t>项目按照时间顺序排列，时间以合同签订时间为准。</w:t>
      </w:r>
    </w:p>
    <w:p w14:paraId="78731178">
      <w:pPr>
        <w:spacing w:before="0" w:after="0" w:afterAutospacing="0"/>
        <w:ind w:left="0" w:right="0" w:firstLine="420" w:firstLineChars="200"/>
        <w:jc w:val="both"/>
        <w:rPr>
          <w:rFonts w:hint="eastAsia" w:ascii="宋体" w:hAnsi="宋体" w:cs="宋体"/>
          <w:b/>
          <w:bCs/>
          <w:color w:val="auto"/>
          <w:sz w:val="32"/>
          <w:szCs w:val="32"/>
          <w:highlight w:val="none"/>
        </w:rPr>
      </w:pPr>
      <w:r>
        <w:rPr>
          <w:rFonts w:hint="eastAsia" w:ascii="宋体" w:hAnsi="宋体"/>
          <w:color w:val="auto"/>
          <w:highlight w:val="none"/>
          <w:lang w:val="en-US" w:eastAsia="zh-CN"/>
        </w:rPr>
        <w:t>4</w:t>
      </w:r>
      <w:r>
        <w:rPr>
          <w:rFonts w:hint="eastAsia" w:ascii="宋体" w:hAnsi="宋体"/>
          <w:color w:val="auto"/>
          <w:highlight w:val="none"/>
        </w:rPr>
        <w:t>.比选申请人须提供相应的业绩证明材料：（提供相应的业绩证明材料：提供下述材料之一即可：①合同文件；②业主（采购方）开具的证明材料，但所提供的材料须能明确反映项目特征（设计面积及单方造价等），复印件加盖比选申请人公章，提供合同文件或甲方证明，提供复印件，原件备查）</w:t>
      </w:r>
      <w:r>
        <w:rPr>
          <w:rStyle w:val="54"/>
          <w:rFonts w:ascii="宋体" w:hAnsi="宋体" w:eastAsia="宋体"/>
          <w:color w:val="auto"/>
          <w:highlight w:val="none"/>
        </w:rPr>
        <w:br w:type="page"/>
      </w:r>
      <w:r>
        <w:rPr>
          <w:rStyle w:val="54"/>
          <w:rFonts w:hint="eastAsia" w:ascii="宋体" w:hAnsi="宋体" w:eastAsia="宋体" w:cs="宋体"/>
          <w:bCs/>
          <w:color w:val="auto"/>
          <w:highlight w:val="none"/>
        </w:rPr>
        <w:t>第五章  比选人需求</w:t>
      </w:r>
      <w:bookmarkEnd w:id="1772"/>
    </w:p>
    <w:p w14:paraId="71721FE0">
      <w:pPr>
        <w:autoSpaceDE w:val="0"/>
        <w:autoSpaceDN w:val="0"/>
        <w:adjustRightInd w:val="0"/>
        <w:ind w:firstLine="424" w:firstLineChars="202"/>
        <w:rPr>
          <w:rFonts w:hint="eastAsia" w:ascii="宋体" w:hAnsi="宋体" w:cs="仿宋"/>
          <w:color w:val="auto"/>
          <w:highlight w:val="none"/>
          <w:lang w:val="zh-CN"/>
        </w:rPr>
      </w:pPr>
      <w:bookmarkStart w:id="1790" w:name="_Toc10897"/>
    </w:p>
    <w:p w14:paraId="423DDB2C">
      <w:pPr>
        <w:autoSpaceDE w:val="0"/>
        <w:autoSpaceDN w:val="0"/>
        <w:adjustRightInd w:val="0"/>
        <w:spacing w:before="0" w:line="240" w:lineRule="auto"/>
        <w:ind w:left="0" w:right="0" w:firstLine="420" w:firstLineChars="200"/>
        <w:rPr>
          <w:rFonts w:hint="eastAsia" w:ascii="宋体" w:hAnsi="宋体"/>
          <w:color w:val="auto"/>
          <w:highlight w:val="none"/>
          <w:lang w:val="zh-CN"/>
        </w:rPr>
      </w:pPr>
      <w:r>
        <w:rPr>
          <w:rFonts w:hint="eastAsia" w:ascii="宋体" w:hAnsi="宋体" w:cs="仿宋"/>
          <w:color w:val="auto"/>
          <w:highlight w:val="none"/>
          <w:lang w:val="zh-CN"/>
        </w:rPr>
        <w:t>本部分内容是根据采购项目的实际需求制定的。</w:t>
      </w:r>
    </w:p>
    <w:p w14:paraId="5A0DF821">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一、与服务相关的货物样品要求：</w:t>
      </w:r>
      <w:r>
        <w:rPr>
          <w:rFonts w:ascii="宋体" w:hAnsi="宋体" w:cs="仿宋"/>
          <w:color w:val="auto"/>
          <w:highlight w:val="none"/>
          <w:lang w:val="zh-CN"/>
        </w:rPr>
        <w:t xml:space="preserve"> </w:t>
      </w:r>
    </w:p>
    <w:p w14:paraId="64F4FF53">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宋体"/>
          <w:color w:val="auto"/>
          <w:highlight w:val="none"/>
        </w:rPr>
        <w:t>提供图纸所需的全部设计样板。</w:t>
      </w:r>
      <w:r>
        <w:rPr>
          <w:rFonts w:hint="eastAsia" w:ascii="宋体" w:hAnsi="宋体" w:cs="仿宋"/>
          <w:color w:val="auto"/>
          <w:highlight w:val="none"/>
          <w:lang w:val="zh-CN"/>
        </w:rPr>
        <w:t>具体样板有：</w:t>
      </w:r>
    </w:p>
    <w:p w14:paraId="1D9DC618">
      <w:pPr>
        <w:pStyle w:val="49"/>
        <w:widowControl w:val="0"/>
        <w:numPr>
          <w:ilvl w:val="0"/>
          <w:numId w:val="11"/>
        </w:numPr>
        <w:autoSpaceDE w:val="0"/>
        <w:autoSpaceDN w:val="0"/>
        <w:adjustRightInd w:val="0"/>
        <w:spacing w:before="0" w:after="0" w:afterAutospacing="0"/>
        <w:ind w:right="0"/>
        <w:rPr>
          <w:rFonts w:hint="eastAsia" w:ascii="宋体" w:hAnsi="宋体" w:cs="仿宋"/>
          <w:color w:val="auto"/>
          <w:highlight w:val="none"/>
          <w:lang w:val="zh-CN"/>
        </w:rPr>
      </w:pPr>
      <w:r>
        <w:rPr>
          <w:rFonts w:hint="eastAsia" w:ascii="宋体" w:hAnsi="宋体" w:cs="仿宋"/>
          <w:color w:val="auto"/>
          <w:highlight w:val="none"/>
          <w:lang w:val="zh-CN"/>
        </w:rPr>
        <w:t>提供实样：墙砖、地砖、石材、木地板、踢脚线、木饰面、线条、地毯、涂料、硬包、软包、墙纸墙布、石膏线条、不锈钢装饰面</w:t>
      </w:r>
      <w:r>
        <w:rPr>
          <w:rFonts w:hint="eastAsia" w:ascii="宋体" w:hAnsi="宋体" w:cs="仿宋"/>
          <w:color w:val="auto"/>
          <w:highlight w:val="none"/>
        </w:rPr>
        <w:t>等</w:t>
      </w:r>
      <w:r>
        <w:rPr>
          <w:rFonts w:hint="eastAsia" w:ascii="宋体" w:hAnsi="宋体" w:cs="仿宋"/>
          <w:color w:val="auto"/>
          <w:highlight w:val="none"/>
          <w:lang w:val="zh-CN"/>
        </w:rPr>
        <w:t>（</w:t>
      </w:r>
      <w:r>
        <w:rPr>
          <w:rFonts w:hint="eastAsia" w:ascii="宋体" w:hAnsi="宋体" w:cs="仿宋"/>
          <w:color w:val="auto"/>
          <w:highlight w:val="none"/>
        </w:rPr>
        <w:t>包括但不限于以上样板</w:t>
      </w:r>
      <w:r>
        <w:rPr>
          <w:rFonts w:hint="eastAsia" w:ascii="宋体" w:hAnsi="宋体" w:cs="仿宋"/>
          <w:color w:val="auto"/>
          <w:highlight w:val="none"/>
          <w:lang w:val="zh-CN"/>
        </w:rPr>
        <w:t>）</w:t>
      </w:r>
    </w:p>
    <w:p w14:paraId="48C55911">
      <w:pPr>
        <w:pStyle w:val="49"/>
        <w:widowControl w:val="0"/>
        <w:numPr>
          <w:ilvl w:val="0"/>
          <w:numId w:val="11"/>
        </w:numPr>
        <w:autoSpaceDE w:val="0"/>
        <w:autoSpaceDN w:val="0"/>
        <w:adjustRightInd w:val="0"/>
        <w:spacing w:before="0" w:after="0" w:afterAutospacing="0"/>
        <w:ind w:right="0"/>
        <w:rPr>
          <w:rFonts w:hint="eastAsia" w:ascii="宋体" w:hAnsi="宋体" w:cs="仿宋"/>
          <w:color w:val="auto"/>
          <w:highlight w:val="none"/>
          <w:lang w:val="zh-CN"/>
        </w:rPr>
      </w:pPr>
      <w:r>
        <w:rPr>
          <w:rFonts w:hint="eastAsia" w:ascii="宋体" w:hAnsi="宋体" w:cs="仿宋"/>
          <w:color w:val="auto"/>
          <w:highlight w:val="none"/>
          <w:lang w:val="zh-CN"/>
        </w:rPr>
        <w:t>提供图片样及参数：五金件、户内门、橱柜（含配件、五金）、灯具（筒灯、</w:t>
      </w:r>
      <w:r>
        <w:rPr>
          <w:rFonts w:ascii="宋体" w:hAnsi="宋体" w:cs="仿宋"/>
          <w:color w:val="auto"/>
          <w:highlight w:val="none"/>
          <w:lang w:val="zh-CN"/>
        </w:rPr>
        <w:t>LED灯带等）、开关插座面板、卫生洁器具（详细）、坐便器、蹲便器及冲洗阀、小便斗及冲洗阀、拖把池及龙头、洗手盆及龙头、淋浴器、洗衣机龙头、地漏、消火栓箱、洗菜盆及龙头、水表</w:t>
      </w:r>
      <w:r>
        <w:rPr>
          <w:rFonts w:hint="eastAsia" w:ascii="宋体" w:hAnsi="宋体" w:cs="仿宋"/>
          <w:color w:val="auto"/>
          <w:highlight w:val="none"/>
          <w:lang w:val="zh-CN"/>
        </w:rPr>
        <w:t>、家具、灯具、布艺、窗帘、壁饰、地毯（装饰地毯）、饰品、绿植清单、软装深化清单（详细）</w:t>
      </w:r>
      <w:r>
        <w:rPr>
          <w:rFonts w:hint="eastAsia" w:ascii="宋体" w:hAnsi="宋体" w:cs="仿宋"/>
          <w:color w:val="auto"/>
          <w:highlight w:val="none"/>
        </w:rPr>
        <w:t>等</w:t>
      </w:r>
      <w:r>
        <w:rPr>
          <w:rFonts w:hint="eastAsia" w:ascii="宋体" w:hAnsi="宋体" w:cs="仿宋"/>
          <w:color w:val="auto"/>
          <w:highlight w:val="none"/>
          <w:lang w:val="zh-CN"/>
        </w:rPr>
        <w:t>（</w:t>
      </w:r>
      <w:r>
        <w:rPr>
          <w:rFonts w:hint="eastAsia" w:ascii="宋体" w:hAnsi="宋体" w:cs="仿宋"/>
          <w:color w:val="auto"/>
          <w:highlight w:val="none"/>
        </w:rPr>
        <w:t>包括但不限于以上样板</w:t>
      </w:r>
      <w:r>
        <w:rPr>
          <w:rFonts w:hint="eastAsia" w:ascii="宋体" w:hAnsi="宋体" w:cs="仿宋"/>
          <w:color w:val="auto"/>
          <w:highlight w:val="none"/>
          <w:lang w:val="zh-CN"/>
        </w:rPr>
        <w:t>）</w:t>
      </w:r>
    </w:p>
    <w:p w14:paraId="13164929">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包括但不限于以上样板。</w:t>
      </w:r>
    </w:p>
    <w:p w14:paraId="59015B32">
      <w:pPr>
        <w:autoSpaceDE w:val="0"/>
        <w:autoSpaceDN w:val="0"/>
        <w:adjustRightInd w:val="0"/>
        <w:spacing w:before="0" w:line="240" w:lineRule="auto"/>
        <w:ind w:left="0" w:right="0" w:firstLine="420" w:firstLineChars="200"/>
        <w:rPr>
          <w:rFonts w:hint="eastAsia" w:ascii="宋体" w:hAnsi="宋体"/>
          <w:color w:val="auto"/>
          <w:highlight w:val="none"/>
          <w:lang w:val="zh-CN"/>
        </w:rPr>
      </w:pPr>
      <w:r>
        <w:rPr>
          <w:rFonts w:hint="eastAsia" w:ascii="宋体" w:hAnsi="宋体" w:cs="楷体"/>
          <w:color w:val="auto"/>
          <w:highlight w:val="none"/>
          <w:lang w:val="zh-CN"/>
        </w:rPr>
        <w:t>二、服务需求及要求</w:t>
      </w:r>
    </w:p>
    <w:p w14:paraId="24147AF0">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1.服务需求一览表（</w:t>
      </w:r>
      <w:r>
        <w:rPr>
          <w:rFonts w:hint="eastAsia" w:ascii="宋体" w:hAnsi="宋体" w:cs="仿宋"/>
          <w:color w:val="auto"/>
          <w:highlight w:val="none"/>
        </w:rPr>
        <w:t>可按实际内容进行调整</w:t>
      </w:r>
      <w:r>
        <w:rPr>
          <w:rFonts w:hint="eastAsia" w:ascii="宋体" w:hAnsi="宋体" w:cs="仿宋"/>
          <w:color w:val="auto"/>
          <w:highlight w:val="none"/>
          <w:lang w:val="zh-CN"/>
        </w:rPr>
        <w:t>）</w:t>
      </w:r>
    </w:p>
    <w:tbl>
      <w:tblPr>
        <w:tblStyle w:val="3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3"/>
        <w:gridCol w:w="2884"/>
        <w:gridCol w:w="1553"/>
        <w:gridCol w:w="1082"/>
        <w:gridCol w:w="2337"/>
      </w:tblGrid>
      <w:tr w14:paraId="78969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0BD00A2">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序号</w:t>
            </w:r>
          </w:p>
        </w:tc>
        <w:tc>
          <w:tcPr>
            <w:tcW w:w="1591" w:type="pct"/>
            <w:tcBorders>
              <w:top w:val="single" w:color="auto" w:sz="4" w:space="0"/>
              <w:left w:val="single" w:color="auto" w:sz="4" w:space="0"/>
              <w:bottom w:val="single" w:color="auto" w:sz="4" w:space="0"/>
              <w:right w:val="single" w:color="auto" w:sz="4" w:space="0"/>
            </w:tcBorders>
            <w:vAlign w:val="center"/>
          </w:tcPr>
          <w:p w14:paraId="2DCE3094">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服务内容</w:t>
            </w:r>
          </w:p>
        </w:tc>
        <w:tc>
          <w:tcPr>
            <w:tcW w:w="856" w:type="pct"/>
            <w:tcBorders>
              <w:top w:val="single" w:color="auto" w:sz="4" w:space="0"/>
              <w:left w:val="single" w:color="auto" w:sz="4" w:space="0"/>
              <w:bottom w:val="single" w:color="auto" w:sz="4" w:space="0"/>
              <w:right w:val="single" w:color="auto" w:sz="4" w:space="0"/>
            </w:tcBorders>
            <w:vAlign w:val="center"/>
          </w:tcPr>
          <w:p w14:paraId="5A2A5C8E">
            <w:pPr>
              <w:autoSpaceDE w:val="0"/>
              <w:autoSpaceDN w:val="0"/>
              <w:adjustRightInd w:val="0"/>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单位</w:t>
            </w:r>
          </w:p>
        </w:tc>
        <w:tc>
          <w:tcPr>
            <w:tcW w:w="597" w:type="pct"/>
            <w:tcBorders>
              <w:top w:val="single" w:color="auto" w:sz="4" w:space="0"/>
              <w:left w:val="single" w:color="auto" w:sz="4" w:space="0"/>
              <w:bottom w:val="single" w:color="auto" w:sz="4" w:space="0"/>
              <w:right w:val="single" w:color="auto" w:sz="4" w:space="0"/>
            </w:tcBorders>
            <w:vAlign w:val="center"/>
          </w:tcPr>
          <w:p w14:paraId="262D95AB">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数量</w:t>
            </w:r>
          </w:p>
        </w:tc>
        <w:tc>
          <w:tcPr>
            <w:tcW w:w="1289" w:type="pct"/>
            <w:tcBorders>
              <w:top w:val="single" w:color="auto" w:sz="4" w:space="0"/>
              <w:left w:val="single" w:color="auto" w:sz="4" w:space="0"/>
              <w:bottom w:val="single" w:color="auto" w:sz="4" w:space="0"/>
              <w:right w:val="single" w:color="auto" w:sz="4" w:space="0"/>
            </w:tcBorders>
            <w:vAlign w:val="center"/>
          </w:tcPr>
          <w:p w14:paraId="3DD3920B">
            <w:pPr>
              <w:autoSpaceDE w:val="0"/>
              <w:autoSpaceDN w:val="0"/>
              <w:adjustRightInd w:val="0"/>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备注</w:t>
            </w:r>
          </w:p>
        </w:tc>
      </w:tr>
      <w:tr w14:paraId="43161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32F9D09">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591" w:type="pct"/>
            <w:tcBorders>
              <w:top w:val="single" w:color="auto" w:sz="4" w:space="0"/>
              <w:left w:val="single" w:color="auto" w:sz="4" w:space="0"/>
              <w:bottom w:val="single" w:color="auto" w:sz="4" w:space="0"/>
              <w:right w:val="single" w:color="auto" w:sz="4" w:space="0"/>
            </w:tcBorders>
            <w:vAlign w:val="center"/>
          </w:tcPr>
          <w:p w14:paraId="14A82A6E">
            <w:pPr>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前期竞品调研</w:t>
            </w:r>
          </w:p>
        </w:tc>
        <w:tc>
          <w:tcPr>
            <w:tcW w:w="856" w:type="pct"/>
            <w:tcBorders>
              <w:top w:val="single" w:color="auto" w:sz="4" w:space="0"/>
              <w:left w:val="single" w:color="auto" w:sz="4" w:space="0"/>
              <w:bottom w:val="single" w:color="auto" w:sz="4" w:space="0"/>
              <w:right w:val="single" w:color="auto" w:sz="4" w:space="0"/>
            </w:tcBorders>
            <w:vAlign w:val="center"/>
          </w:tcPr>
          <w:p w14:paraId="12706E5E">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7E46CCA9">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7D26584A">
            <w:pPr>
              <w:spacing w:before="0"/>
              <w:ind w:left="0" w:right="0" w:firstLine="420" w:firstLineChars="200"/>
              <w:rPr>
                <w:rFonts w:hint="eastAsia" w:ascii="宋体" w:hAnsi="宋体" w:cs="仿宋"/>
                <w:color w:val="auto"/>
                <w:highlight w:val="none"/>
                <w:lang w:val="zh-CN"/>
              </w:rPr>
            </w:pPr>
          </w:p>
        </w:tc>
      </w:tr>
      <w:tr w14:paraId="4EA92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2027D15">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2</w:t>
            </w:r>
          </w:p>
        </w:tc>
        <w:tc>
          <w:tcPr>
            <w:tcW w:w="1591" w:type="pct"/>
            <w:tcBorders>
              <w:top w:val="single" w:color="auto" w:sz="4" w:space="0"/>
              <w:left w:val="single" w:color="auto" w:sz="4" w:space="0"/>
              <w:bottom w:val="single" w:color="auto" w:sz="4" w:space="0"/>
              <w:right w:val="single" w:color="auto" w:sz="4" w:space="0"/>
            </w:tcBorders>
            <w:vAlign w:val="center"/>
          </w:tcPr>
          <w:p w14:paraId="74856265">
            <w:pPr>
              <w:spacing w:before="0"/>
              <w:ind w:left="0" w:right="0" w:firstLine="420" w:firstLineChars="200"/>
              <w:rPr>
                <w:rFonts w:hint="eastAsia" w:ascii="宋体" w:hAnsi="宋体" w:cs="仿宋"/>
                <w:color w:val="auto"/>
                <w:highlight w:val="none"/>
                <w:lang w:val="zh-CN"/>
              </w:rPr>
            </w:pPr>
            <w:r>
              <w:rPr>
                <w:rFonts w:ascii="宋体" w:hAnsi="宋体" w:cs="仿宋"/>
                <w:color w:val="auto"/>
                <w:highlight w:val="none"/>
                <w:lang w:val="zh-CN"/>
              </w:rPr>
              <w:t>设计阶段</w:t>
            </w:r>
          </w:p>
        </w:tc>
        <w:tc>
          <w:tcPr>
            <w:tcW w:w="856" w:type="pct"/>
            <w:tcBorders>
              <w:top w:val="single" w:color="auto" w:sz="4" w:space="0"/>
              <w:left w:val="single" w:color="auto" w:sz="4" w:space="0"/>
              <w:bottom w:val="single" w:color="auto" w:sz="4" w:space="0"/>
              <w:right w:val="single" w:color="auto" w:sz="4" w:space="0"/>
            </w:tcBorders>
            <w:vAlign w:val="center"/>
          </w:tcPr>
          <w:p w14:paraId="3C1CBFBE">
            <w:pPr>
              <w:spacing w:before="0"/>
              <w:ind w:left="0" w:right="0" w:firstLine="420" w:firstLineChars="200"/>
              <w:jc w:val="center"/>
              <w:rPr>
                <w:rFonts w:hint="eastAsia" w:ascii="宋体" w:hAnsi="宋体" w:cs="仿宋"/>
                <w:color w:val="auto"/>
                <w:highlight w:val="none"/>
                <w:lang w:val="zh-CN"/>
              </w:rPr>
            </w:pPr>
            <w:r>
              <w:rPr>
                <w:rFonts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35F4AA06">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062B8565">
            <w:pPr>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　</w:t>
            </w:r>
          </w:p>
        </w:tc>
      </w:tr>
      <w:tr w14:paraId="49E2C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A16F0E1">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3</w:t>
            </w:r>
          </w:p>
        </w:tc>
        <w:tc>
          <w:tcPr>
            <w:tcW w:w="1591" w:type="pct"/>
            <w:tcBorders>
              <w:top w:val="single" w:color="auto" w:sz="4" w:space="0"/>
              <w:left w:val="single" w:color="auto" w:sz="4" w:space="0"/>
              <w:bottom w:val="single" w:color="auto" w:sz="4" w:space="0"/>
              <w:right w:val="single" w:color="auto" w:sz="4" w:space="0"/>
            </w:tcBorders>
            <w:vAlign w:val="center"/>
          </w:tcPr>
          <w:p w14:paraId="6D23C6D2">
            <w:pPr>
              <w:spacing w:before="0"/>
              <w:ind w:left="0" w:right="0" w:firstLine="420" w:firstLineChars="200"/>
              <w:rPr>
                <w:rFonts w:hint="eastAsia" w:ascii="宋体" w:hAnsi="宋体" w:cs="仿宋"/>
                <w:color w:val="auto"/>
                <w:highlight w:val="none"/>
                <w:lang w:val="zh-CN"/>
              </w:rPr>
            </w:pPr>
            <w:r>
              <w:rPr>
                <w:rFonts w:ascii="宋体" w:hAnsi="宋体" w:cs="仿宋"/>
                <w:color w:val="auto"/>
                <w:highlight w:val="none"/>
                <w:lang w:val="zh-CN"/>
              </w:rPr>
              <w:t>施工现场服务阶段</w:t>
            </w:r>
          </w:p>
        </w:tc>
        <w:tc>
          <w:tcPr>
            <w:tcW w:w="856" w:type="pct"/>
            <w:tcBorders>
              <w:top w:val="single" w:color="auto" w:sz="4" w:space="0"/>
              <w:left w:val="single" w:color="auto" w:sz="4" w:space="0"/>
              <w:bottom w:val="single" w:color="auto" w:sz="4" w:space="0"/>
              <w:right w:val="single" w:color="auto" w:sz="4" w:space="0"/>
            </w:tcBorders>
            <w:vAlign w:val="center"/>
          </w:tcPr>
          <w:p w14:paraId="108F5363">
            <w:pPr>
              <w:spacing w:before="0"/>
              <w:ind w:left="0" w:right="0" w:firstLine="420" w:firstLineChars="200"/>
              <w:jc w:val="center"/>
              <w:rPr>
                <w:rFonts w:hint="eastAsia" w:ascii="宋体" w:hAnsi="宋体" w:cs="仿宋"/>
                <w:color w:val="auto"/>
                <w:highlight w:val="none"/>
                <w:lang w:val="zh-CN"/>
              </w:rPr>
            </w:pPr>
            <w:r>
              <w:rPr>
                <w:rFonts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657EC26C">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4AF591AF">
            <w:pPr>
              <w:spacing w:before="0"/>
              <w:ind w:left="0" w:right="0" w:firstLine="420" w:firstLineChars="200"/>
              <w:rPr>
                <w:rFonts w:hint="eastAsia" w:ascii="宋体" w:hAnsi="宋体" w:cs="仿宋"/>
                <w:color w:val="auto"/>
                <w:highlight w:val="none"/>
                <w:lang w:val="zh-CN"/>
              </w:rPr>
            </w:pPr>
          </w:p>
        </w:tc>
      </w:tr>
      <w:tr w14:paraId="04F782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1C2D2679">
            <w:pPr>
              <w:autoSpaceDE w:val="0"/>
              <w:autoSpaceDN w:val="0"/>
              <w:adjustRightInd w:val="0"/>
              <w:spacing w:before="0"/>
              <w:ind w:left="0" w:right="0" w:firstLine="420" w:firstLineChars="200"/>
              <w:rPr>
                <w:rFonts w:hint="eastAsia" w:ascii="宋体" w:hAnsi="宋体" w:cs="楷体"/>
                <w:color w:val="auto"/>
                <w:highlight w:val="none"/>
                <w:lang w:val="zh-CN"/>
              </w:rPr>
            </w:pPr>
            <w:r>
              <w:rPr>
                <w:rFonts w:hint="eastAsia" w:ascii="宋体" w:hAnsi="宋体" w:cs="楷体"/>
                <w:color w:val="auto"/>
                <w:highlight w:val="none"/>
                <w:lang w:val="zh-CN"/>
              </w:rPr>
              <w:t>……</w:t>
            </w:r>
          </w:p>
        </w:tc>
        <w:tc>
          <w:tcPr>
            <w:tcW w:w="1591" w:type="pct"/>
            <w:tcBorders>
              <w:top w:val="single" w:color="auto" w:sz="4" w:space="0"/>
              <w:left w:val="single" w:color="auto" w:sz="4" w:space="0"/>
              <w:bottom w:val="single" w:color="auto" w:sz="4" w:space="0"/>
              <w:right w:val="single" w:color="auto" w:sz="4" w:space="0"/>
            </w:tcBorders>
            <w:vAlign w:val="center"/>
          </w:tcPr>
          <w:p w14:paraId="0B29BA84">
            <w:pPr>
              <w:spacing w:before="0"/>
              <w:ind w:left="0" w:right="0" w:firstLine="420" w:firstLineChars="200"/>
              <w:rPr>
                <w:rFonts w:hint="eastAsia" w:ascii="宋体" w:hAnsi="宋体" w:cs="仿宋"/>
                <w:color w:val="auto"/>
                <w:highlight w:val="none"/>
                <w:lang w:val="zh-CN"/>
              </w:rPr>
            </w:pPr>
          </w:p>
        </w:tc>
        <w:tc>
          <w:tcPr>
            <w:tcW w:w="856" w:type="pct"/>
            <w:tcBorders>
              <w:top w:val="single" w:color="auto" w:sz="4" w:space="0"/>
              <w:left w:val="single" w:color="auto" w:sz="4" w:space="0"/>
              <w:bottom w:val="single" w:color="auto" w:sz="4" w:space="0"/>
              <w:right w:val="single" w:color="auto" w:sz="4" w:space="0"/>
            </w:tcBorders>
            <w:vAlign w:val="center"/>
          </w:tcPr>
          <w:p w14:paraId="5AE5032A">
            <w:pPr>
              <w:spacing w:before="0"/>
              <w:ind w:left="0" w:right="0" w:firstLine="420" w:firstLineChars="200"/>
              <w:jc w:val="center"/>
              <w:rPr>
                <w:rFonts w:hint="eastAsia" w:ascii="宋体" w:hAnsi="宋体" w:cs="仿宋"/>
                <w:color w:val="auto"/>
                <w:highlight w:val="none"/>
                <w:lang w:val="zh-CN"/>
              </w:rPr>
            </w:pPr>
          </w:p>
        </w:tc>
        <w:tc>
          <w:tcPr>
            <w:tcW w:w="597" w:type="pct"/>
            <w:tcBorders>
              <w:top w:val="single" w:color="auto" w:sz="4" w:space="0"/>
              <w:left w:val="single" w:color="auto" w:sz="4" w:space="0"/>
              <w:bottom w:val="single" w:color="auto" w:sz="4" w:space="0"/>
              <w:right w:val="single" w:color="auto" w:sz="4" w:space="0"/>
            </w:tcBorders>
            <w:vAlign w:val="center"/>
          </w:tcPr>
          <w:p w14:paraId="1EB7385A">
            <w:pPr>
              <w:spacing w:before="0"/>
              <w:ind w:left="0" w:right="0" w:firstLine="420" w:firstLineChars="200"/>
              <w:jc w:val="center"/>
              <w:rPr>
                <w:rFonts w:hint="eastAsia" w:ascii="宋体" w:hAnsi="宋体" w:cs="仿宋"/>
                <w:color w:val="auto"/>
                <w:highlight w:val="none"/>
                <w:lang w:val="zh-CN"/>
              </w:rPr>
            </w:pPr>
          </w:p>
        </w:tc>
        <w:tc>
          <w:tcPr>
            <w:tcW w:w="1289" w:type="pct"/>
            <w:tcBorders>
              <w:top w:val="single" w:color="auto" w:sz="4" w:space="0"/>
              <w:left w:val="single" w:color="auto" w:sz="4" w:space="0"/>
              <w:bottom w:val="single" w:color="auto" w:sz="4" w:space="0"/>
              <w:right w:val="single" w:color="auto" w:sz="4" w:space="0"/>
            </w:tcBorders>
            <w:vAlign w:val="center"/>
          </w:tcPr>
          <w:p w14:paraId="75F9A338">
            <w:pPr>
              <w:spacing w:before="0"/>
              <w:ind w:left="0" w:right="0" w:firstLine="420" w:firstLineChars="200"/>
              <w:rPr>
                <w:rFonts w:hint="eastAsia" w:ascii="宋体" w:hAnsi="宋体" w:cs="仿宋"/>
                <w:color w:val="auto"/>
                <w:highlight w:val="none"/>
                <w:lang w:val="zh-CN"/>
              </w:rPr>
            </w:pPr>
          </w:p>
        </w:tc>
      </w:tr>
    </w:tbl>
    <w:p w14:paraId="26684607">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p>
    <w:p w14:paraId="09533D88">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2.服务要求</w:t>
      </w:r>
    </w:p>
    <w:tbl>
      <w:tblPr>
        <w:tblStyle w:val="3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1512"/>
        <w:gridCol w:w="6380"/>
      </w:tblGrid>
      <w:tr w14:paraId="4BEF09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642" w:type="pct"/>
            <w:tcBorders>
              <w:top w:val="single" w:color="auto" w:sz="6" w:space="0"/>
              <w:left w:val="single" w:color="auto" w:sz="6" w:space="0"/>
              <w:bottom w:val="single" w:color="auto" w:sz="6" w:space="0"/>
              <w:right w:val="single" w:color="auto" w:sz="6" w:space="0"/>
            </w:tcBorders>
            <w:vAlign w:val="center"/>
          </w:tcPr>
          <w:p w14:paraId="596C4CB7">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bookmarkStart w:id="1791" w:name="_Toc272250924"/>
            <w:bookmarkStart w:id="1792" w:name="_Toc294519923"/>
            <w:bookmarkStart w:id="1793" w:name="_Toc292794206"/>
            <w:r>
              <w:rPr>
                <w:rFonts w:hint="eastAsia" w:ascii="宋体" w:hAnsi="宋体" w:cs="仿宋"/>
                <w:color w:val="auto"/>
                <w:highlight w:val="none"/>
                <w:lang w:val="zh-CN"/>
              </w:rPr>
              <w:t>序号</w:t>
            </w:r>
          </w:p>
        </w:tc>
        <w:tc>
          <w:tcPr>
            <w:tcW w:w="835" w:type="pct"/>
            <w:tcBorders>
              <w:top w:val="single" w:color="auto" w:sz="6" w:space="0"/>
              <w:left w:val="single" w:color="auto" w:sz="6" w:space="0"/>
              <w:bottom w:val="single" w:color="auto" w:sz="6" w:space="0"/>
              <w:right w:val="single" w:color="auto" w:sz="6" w:space="0"/>
            </w:tcBorders>
            <w:vAlign w:val="center"/>
          </w:tcPr>
          <w:p w14:paraId="2AC7FF2B">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r>
              <w:rPr>
                <w:rFonts w:hint="eastAsia" w:ascii="宋体" w:hAnsi="宋体"/>
                <w:color w:val="auto"/>
                <w:highlight w:val="none"/>
                <w:lang w:val="zh-CN"/>
              </w:rPr>
              <w:t>服务名称及内容</w:t>
            </w:r>
          </w:p>
        </w:tc>
        <w:tc>
          <w:tcPr>
            <w:tcW w:w="3523" w:type="pct"/>
            <w:tcBorders>
              <w:top w:val="single" w:color="auto" w:sz="6" w:space="0"/>
              <w:left w:val="single" w:color="auto" w:sz="6" w:space="0"/>
              <w:bottom w:val="single" w:color="auto" w:sz="6" w:space="0"/>
              <w:right w:val="single" w:color="auto" w:sz="6" w:space="0"/>
            </w:tcBorders>
            <w:vAlign w:val="center"/>
          </w:tcPr>
          <w:p w14:paraId="5594E3AB">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r>
              <w:rPr>
                <w:rFonts w:hint="eastAsia" w:ascii="宋体" w:hAnsi="宋体" w:cs="仿宋"/>
                <w:color w:val="auto"/>
                <w:highlight w:val="none"/>
                <w:lang w:val="zh-CN"/>
              </w:rPr>
              <w:t>技术指标</w:t>
            </w:r>
          </w:p>
        </w:tc>
      </w:tr>
      <w:tr w14:paraId="4809B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2C3F5545">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1★</w:t>
            </w:r>
          </w:p>
        </w:tc>
        <w:tc>
          <w:tcPr>
            <w:tcW w:w="835" w:type="pct"/>
            <w:tcBorders>
              <w:top w:val="single" w:color="auto" w:sz="6" w:space="0"/>
              <w:left w:val="single" w:color="auto" w:sz="6" w:space="0"/>
              <w:bottom w:val="single" w:color="auto" w:sz="6" w:space="0"/>
              <w:right w:val="single" w:color="auto" w:sz="6" w:space="0"/>
            </w:tcBorders>
          </w:tcPr>
          <w:p w14:paraId="14B6F6B6">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概念方案设计阶段</w:t>
            </w:r>
          </w:p>
        </w:tc>
        <w:tc>
          <w:tcPr>
            <w:tcW w:w="3523" w:type="pct"/>
            <w:tcBorders>
              <w:top w:val="single" w:color="auto" w:sz="6" w:space="0"/>
              <w:left w:val="single" w:color="auto" w:sz="6" w:space="0"/>
              <w:bottom w:val="single" w:color="auto" w:sz="6" w:space="0"/>
              <w:right w:val="single" w:color="auto" w:sz="6" w:space="0"/>
            </w:tcBorders>
          </w:tcPr>
          <w:p w14:paraId="4A2351E6">
            <w:pPr>
              <w:autoSpaceDE w:val="0"/>
              <w:autoSpaceDN w:val="0"/>
              <w:adjustRightInd w:val="0"/>
              <w:spacing w:before="0" w:after="0" w:afterAutospacing="0" w:line="240" w:lineRule="auto"/>
              <w:ind w:left="0" w:right="0" w:firstLine="420" w:firstLineChars="200"/>
              <w:rPr>
                <w:rFonts w:hint="eastAsia"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rPr>
              <w:t>开展设计工作前，出具</w:t>
            </w:r>
            <w:r>
              <w:rPr>
                <w:rFonts w:hint="eastAsia" w:asciiTheme="minorEastAsia" w:hAnsiTheme="minorEastAsia" w:eastAsiaTheme="minorEastAsia"/>
                <w:color w:val="auto"/>
                <w:highlight w:val="none"/>
              </w:rPr>
              <w:t>项目周边竞品调查报告（明确对标项目）</w:t>
            </w:r>
            <w:r>
              <w:rPr>
                <w:rFonts w:hint="eastAsia" w:asciiTheme="minorEastAsia" w:hAnsiTheme="minorEastAsia" w:eastAsiaTheme="minorEastAsia"/>
                <w:color w:val="auto"/>
                <w:highlight w:val="none"/>
                <w:lang w:val="zh-CN"/>
              </w:rPr>
              <w:t>平面功能图齐备，平面动线分析图，满足使用功能要求，；</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zh-CN"/>
              </w:rPr>
              <w:t>主要空间意向方案，作出不少于三个概念方向的意向方案（意向方案应包括效果图、主材图、初步概算），并应就此与甲方进行现场沟通。</w:t>
            </w:r>
          </w:p>
        </w:tc>
      </w:tr>
      <w:tr w14:paraId="38410A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38C01B87">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2★</w:t>
            </w:r>
          </w:p>
        </w:tc>
        <w:tc>
          <w:tcPr>
            <w:tcW w:w="835" w:type="pct"/>
            <w:tcBorders>
              <w:top w:val="single" w:color="auto" w:sz="6" w:space="0"/>
              <w:left w:val="single" w:color="auto" w:sz="6" w:space="0"/>
              <w:bottom w:val="single" w:color="auto" w:sz="6" w:space="0"/>
              <w:right w:val="single" w:color="auto" w:sz="6" w:space="0"/>
            </w:tcBorders>
          </w:tcPr>
          <w:p w14:paraId="3CECE229">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正式方案及效果图设计阶段</w:t>
            </w:r>
          </w:p>
        </w:tc>
        <w:tc>
          <w:tcPr>
            <w:tcW w:w="3523" w:type="pct"/>
            <w:tcBorders>
              <w:top w:val="single" w:color="auto" w:sz="6" w:space="0"/>
              <w:left w:val="single" w:color="auto" w:sz="6" w:space="0"/>
              <w:bottom w:val="single" w:color="auto" w:sz="6" w:space="0"/>
              <w:right w:val="single" w:color="auto" w:sz="6" w:space="0"/>
            </w:tcBorders>
          </w:tcPr>
          <w:p w14:paraId="110140E9">
            <w:pPr>
              <w:autoSpaceDE w:val="0"/>
              <w:autoSpaceDN w:val="0"/>
              <w:adjustRightInd w:val="0"/>
              <w:ind w:left="0" w:leftChars="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1、深化方案设计：乙方应在提出深化方案时提供确定的平面功能、平面动线图、各个主要空间效果图（每个空间至少</w:t>
            </w:r>
            <w:r>
              <w:rPr>
                <w:rFonts w:hint="eastAsia" w:asciiTheme="minorEastAsia" w:hAnsiTheme="minorEastAsia" w:eastAsiaTheme="minorEastAsia"/>
                <w:color w:val="auto"/>
                <w:highlight w:val="none"/>
              </w:rPr>
              <w:t>6</w:t>
            </w:r>
            <w:r>
              <w:rPr>
                <w:rFonts w:hint="eastAsia" w:asciiTheme="minorEastAsia" w:hAnsiTheme="minorEastAsia" w:eastAsiaTheme="minorEastAsia"/>
                <w:color w:val="auto"/>
                <w:highlight w:val="none"/>
                <w:lang w:val="zh-CN"/>
              </w:rPr>
              <w:t>个视角的3D效果图，主要空间不少于</w:t>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lang w:val="zh-CN"/>
              </w:rPr>
              <w:t>个视角效果图，效果图品质需满足营销宣传需求）、概算、</w:t>
            </w:r>
            <w:r>
              <w:rPr>
                <w:rFonts w:hint="eastAsia" w:asciiTheme="minorEastAsia" w:hAnsiTheme="minorEastAsia" w:eastAsiaTheme="minorEastAsia"/>
                <w:color w:val="auto"/>
                <w:highlight w:val="none"/>
              </w:rPr>
              <w:t>设计样板</w:t>
            </w:r>
            <w:r>
              <w:rPr>
                <w:rFonts w:hint="eastAsia" w:asciiTheme="minorEastAsia" w:hAnsiTheme="minorEastAsia" w:eastAsiaTheme="minorEastAsia"/>
                <w:color w:val="auto"/>
                <w:highlight w:val="none"/>
                <w:lang w:val="zh-CN"/>
              </w:rPr>
              <w:t>，</w:t>
            </w:r>
            <w:r>
              <w:rPr>
                <w:rFonts w:hint="eastAsia" w:asciiTheme="minorEastAsia" w:hAnsiTheme="minorEastAsia" w:eastAsiaTheme="minorEastAsia"/>
                <w:color w:val="auto"/>
                <w:highlight w:val="none"/>
              </w:rPr>
              <w:t>配合营销完成设计理念输出，包括文字或PPT等形式，结合建筑景观梳理归家动线及节点效果图（需要单独出ppt），</w:t>
            </w:r>
            <w:r>
              <w:rPr>
                <w:rFonts w:hint="eastAsia" w:asciiTheme="minorEastAsia" w:hAnsiTheme="minorEastAsia" w:eastAsiaTheme="minorEastAsia"/>
                <w:color w:val="auto"/>
                <w:highlight w:val="none"/>
                <w:lang w:val="zh-CN"/>
              </w:rPr>
              <w:t>并应就此与甲方进行现场沟通。</w:t>
            </w:r>
          </w:p>
          <w:p w14:paraId="175BCFD6">
            <w:pPr>
              <w:autoSpaceDE w:val="0"/>
              <w:autoSpaceDN w:val="0"/>
              <w:adjustRightInd w:val="0"/>
              <w:spacing w:before="0" w:after="0" w:afterAutospacing="0" w:line="240" w:lineRule="auto"/>
              <w:ind w:left="0" w:leftChars="0" w:right="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2、对</w:t>
            </w:r>
            <w:r>
              <w:rPr>
                <w:rFonts w:asciiTheme="minorEastAsia" w:hAnsiTheme="minorEastAsia" w:eastAsiaTheme="minorEastAsia"/>
                <w:color w:val="auto"/>
                <w:highlight w:val="none"/>
                <w:lang w:val="zh-CN"/>
              </w:rPr>
              <w:t>于</w:t>
            </w:r>
            <w:r>
              <w:rPr>
                <w:rFonts w:hint="eastAsia" w:asciiTheme="minorEastAsia" w:hAnsiTheme="minorEastAsia" w:eastAsiaTheme="minorEastAsia"/>
                <w:color w:val="auto"/>
                <w:highlight w:val="none"/>
                <w:lang w:val="zh-CN"/>
              </w:rPr>
              <w:t>扩初方案设计：乙方应在提交扩初方案时提供立面图、设计材料样板封样（具体程序详见附件）、精确的概算，并应就此与甲方进行现场沟通。同时根据硬装、软装设计材料封样要求，乙方应在扩初方案时就同种材料提供不少于三个不同厂家、价格相近、满足设计效果品质的实物材料封样（广西及周边地域性材料），供甲方选择定样。具体要求以甲方书面要求为准。</w:t>
            </w:r>
          </w:p>
        </w:tc>
      </w:tr>
      <w:tr w14:paraId="3D7701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3236EEB8">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3★</w:t>
            </w:r>
          </w:p>
        </w:tc>
        <w:tc>
          <w:tcPr>
            <w:tcW w:w="835" w:type="pct"/>
            <w:tcBorders>
              <w:top w:val="single" w:color="auto" w:sz="6" w:space="0"/>
              <w:left w:val="single" w:color="auto" w:sz="6" w:space="0"/>
              <w:bottom w:val="single" w:color="auto" w:sz="6" w:space="0"/>
              <w:right w:val="single" w:color="auto" w:sz="6" w:space="0"/>
            </w:tcBorders>
          </w:tcPr>
          <w:p w14:paraId="0070E263">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施工图阶段设计</w:t>
            </w:r>
            <w:r>
              <w:rPr>
                <w:rFonts w:asciiTheme="minorEastAsia" w:hAnsiTheme="minorEastAsia" w:eastAsiaTheme="minorEastAsia"/>
                <w:color w:val="auto"/>
                <w:highlight w:val="none"/>
                <w:lang w:val="zh-CN"/>
              </w:rPr>
              <w:t>阶段</w:t>
            </w:r>
          </w:p>
        </w:tc>
        <w:tc>
          <w:tcPr>
            <w:tcW w:w="3523" w:type="pct"/>
            <w:tcBorders>
              <w:top w:val="single" w:color="auto" w:sz="6" w:space="0"/>
              <w:left w:val="single" w:color="auto" w:sz="6" w:space="0"/>
              <w:bottom w:val="single" w:color="auto" w:sz="6" w:space="0"/>
              <w:right w:val="single" w:color="auto" w:sz="6" w:space="0"/>
            </w:tcBorders>
          </w:tcPr>
          <w:p w14:paraId="65EAB61F">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原则上施工图应与甲方确认的定稿方案一致。施工图局部如与定稿方案中的效果图有优化、细化部分的，需重新按照施工图渲染一套完整的效果图（各个空间至少需要2张效果图，客厅、大堂、售楼处等重要展示空间至少需要</w:t>
            </w: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lang w:val="zh-CN"/>
              </w:rPr>
              <w:t>张以上效果图</w:t>
            </w:r>
            <w:r>
              <w:rPr>
                <w:rFonts w:hint="eastAsia" w:asciiTheme="minorEastAsia" w:hAnsiTheme="minorEastAsia" w:eastAsiaTheme="minorEastAsia"/>
                <w:color w:val="auto"/>
                <w:highlight w:val="none"/>
                <w:lang w:val="zh-CN"/>
              </w:rPr>
              <w:t>，效果图品质需满足营销宣传需求），</w:t>
            </w:r>
            <w:r>
              <w:rPr>
                <w:rFonts w:hint="eastAsia" w:asciiTheme="minorEastAsia" w:hAnsiTheme="minorEastAsia" w:eastAsiaTheme="minorEastAsia"/>
                <w:color w:val="auto"/>
                <w:highlight w:val="none"/>
              </w:rPr>
              <w:t>根据施工图重新调整渲染效果图，并完成营销所需宣传效果图</w:t>
            </w:r>
            <w:r>
              <w:rPr>
                <w:rFonts w:hint="eastAsia" w:asciiTheme="minorEastAsia" w:hAnsiTheme="minorEastAsia" w:eastAsiaTheme="minorEastAsia"/>
                <w:color w:val="auto"/>
                <w:highlight w:val="none"/>
                <w:lang w:val="zh-CN"/>
              </w:rPr>
              <w:t>。</w:t>
            </w:r>
          </w:p>
          <w:p w14:paraId="7859A1E5">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2、对</w:t>
            </w:r>
            <w:r>
              <w:rPr>
                <w:rFonts w:asciiTheme="minorEastAsia" w:hAnsiTheme="minorEastAsia" w:eastAsiaTheme="minorEastAsia"/>
                <w:color w:val="auto"/>
                <w:highlight w:val="none"/>
                <w:lang w:val="zh-CN"/>
              </w:rPr>
              <w:t>于</w:t>
            </w:r>
            <w:r>
              <w:rPr>
                <w:rFonts w:hint="eastAsia" w:asciiTheme="minorEastAsia" w:hAnsiTheme="minorEastAsia" w:eastAsiaTheme="minorEastAsia"/>
                <w:color w:val="auto"/>
                <w:highlight w:val="none"/>
                <w:lang w:val="zh-CN"/>
              </w:rPr>
              <w:t>实地测量：除</w:t>
            </w:r>
            <w:r>
              <w:rPr>
                <w:rFonts w:asciiTheme="minorEastAsia" w:hAnsiTheme="minorEastAsia" w:eastAsiaTheme="minorEastAsia"/>
                <w:color w:val="auto"/>
                <w:highlight w:val="none"/>
                <w:lang w:val="zh-CN"/>
              </w:rPr>
              <w:t>非现场不具备测量条件，否则</w:t>
            </w:r>
            <w:r>
              <w:rPr>
                <w:rFonts w:hint="eastAsia" w:asciiTheme="minorEastAsia" w:hAnsiTheme="minorEastAsia" w:eastAsiaTheme="minorEastAsia"/>
                <w:color w:val="auto"/>
                <w:highlight w:val="none"/>
                <w:lang w:val="zh-CN"/>
              </w:rPr>
              <w:t>乙方设计开始前均需至现场进行测量，测量结果应经监理方确认。乙方应根据现场测量结果，结合建筑、结构等图纸做设计，并相应调整已完成的装修施工图。</w:t>
            </w:r>
          </w:p>
          <w:p w14:paraId="21A4B7D8">
            <w:pPr>
              <w:pStyle w:val="2"/>
              <w:ind w:left="0" w:leftChars="0" w:firstLine="0" w:firstLineChars="0"/>
              <w:rPr>
                <w:rFonts w:hint="eastAsia" w:cs="宋体"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3、涉及构筑物二次结构深化的需对</w:t>
            </w:r>
            <w:r>
              <w:rPr>
                <w:rFonts w:cs="宋体" w:asciiTheme="minorEastAsia" w:hAnsiTheme="minorEastAsia" w:eastAsiaTheme="minorEastAsia"/>
                <w:color w:val="auto"/>
                <w:sz w:val="21"/>
                <w:highlight w:val="none"/>
              </w:rPr>
              <w:t>构筑物均应进行结构设计，提供结构模型，计算书，并应进行相应施工图审查</w:t>
            </w:r>
            <w:r>
              <w:rPr>
                <w:rFonts w:hint="eastAsia" w:cs="宋体" w:asciiTheme="minorEastAsia" w:hAnsiTheme="minorEastAsia" w:eastAsiaTheme="minorEastAsia"/>
                <w:color w:val="auto"/>
                <w:sz w:val="21"/>
                <w:highlight w:val="none"/>
              </w:rPr>
              <w:t>。</w:t>
            </w:r>
          </w:p>
          <w:p w14:paraId="472D9171">
            <w:pPr>
              <w:pStyle w:val="2"/>
              <w:ind w:left="0" w:leftChars="0" w:firstLine="0" w:firstLineChars="0"/>
              <w:rPr>
                <w:rFonts w:hint="eastAsia" w:cs="宋体" w:asciiTheme="minorEastAsia" w:hAnsiTheme="minorEastAsia" w:eastAsiaTheme="minorEastAsia"/>
                <w:color w:val="auto"/>
                <w:sz w:val="21"/>
                <w:highlight w:val="none"/>
              </w:rPr>
            </w:pPr>
            <w:r>
              <w:rPr>
                <w:rFonts w:hint="eastAsia" w:cs="宋体" w:asciiTheme="minorEastAsia" w:hAnsiTheme="minorEastAsia" w:eastAsiaTheme="minorEastAsia"/>
                <w:color w:val="auto"/>
                <w:sz w:val="21"/>
                <w:highlight w:val="none"/>
              </w:rPr>
              <w:t>4、施工图完成后应结合建筑、景观图纸进行叠图</w:t>
            </w:r>
          </w:p>
          <w:p w14:paraId="3A3169D4">
            <w:pPr>
              <w:pStyle w:val="2"/>
              <w:ind w:left="0" w:leftChars="0" w:firstLine="0" w:firstLineChars="0"/>
              <w:rPr>
                <w:rFonts w:asciiTheme="minorEastAsia" w:hAnsiTheme="minorEastAsia" w:eastAsiaTheme="minorEastAsia"/>
                <w:color w:val="auto"/>
                <w:sz w:val="21"/>
                <w:highlight w:val="none"/>
              </w:rPr>
            </w:pPr>
            <w:r>
              <w:rPr>
                <w:rFonts w:hint="eastAsia" w:cs="宋体" w:asciiTheme="minorEastAsia" w:hAnsiTheme="minorEastAsia" w:eastAsiaTheme="minorEastAsia"/>
                <w:color w:val="auto"/>
                <w:sz w:val="21"/>
                <w:highlight w:val="none"/>
              </w:rPr>
              <w:t>5、施工图应</w:t>
            </w:r>
            <w:r>
              <w:rPr>
                <w:rFonts w:hint="eastAsia" w:asciiTheme="minorEastAsia" w:hAnsiTheme="minorEastAsia" w:eastAsiaTheme="minorEastAsia"/>
                <w:color w:val="auto"/>
                <w:sz w:val="21"/>
                <w:highlight w:val="none"/>
              </w:rPr>
              <w:t>避免出现二次设计或需另外深化的图纸</w:t>
            </w:r>
          </w:p>
          <w:p w14:paraId="3022ADEC">
            <w:pPr>
              <w:pStyle w:val="2"/>
              <w:spacing w:before="0" w:after="0" w:afterAutospacing="0"/>
              <w:ind w:left="0" w:leftChars="0" w:right="0"/>
              <w:rPr>
                <w:rFonts w:hint="eastAsia" w:cs="宋体" w:asciiTheme="minorEastAsia" w:hAnsiTheme="minorEastAsia" w:eastAsiaTheme="minorEastAsia"/>
                <w:color w:val="auto"/>
                <w:sz w:val="21"/>
                <w:highlight w:val="none"/>
              </w:rPr>
            </w:pPr>
          </w:p>
        </w:tc>
      </w:tr>
      <w:tr w14:paraId="2A883A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198D628E">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3★</w:t>
            </w:r>
          </w:p>
        </w:tc>
        <w:tc>
          <w:tcPr>
            <w:tcW w:w="835" w:type="pct"/>
            <w:tcBorders>
              <w:top w:val="single" w:color="auto" w:sz="6" w:space="0"/>
              <w:left w:val="single" w:color="auto" w:sz="6" w:space="0"/>
              <w:bottom w:val="single" w:color="auto" w:sz="6" w:space="0"/>
              <w:right w:val="single" w:color="auto" w:sz="6" w:space="0"/>
            </w:tcBorders>
          </w:tcPr>
          <w:p w14:paraId="600A9AD4">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施工服务阶段</w:t>
            </w:r>
          </w:p>
        </w:tc>
        <w:tc>
          <w:tcPr>
            <w:tcW w:w="3523" w:type="pct"/>
            <w:tcBorders>
              <w:top w:val="single" w:color="auto" w:sz="6" w:space="0"/>
              <w:left w:val="single" w:color="auto" w:sz="6" w:space="0"/>
              <w:bottom w:val="single" w:color="auto" w:sz="6" w:space="0"/>
              <w:right w:val="single" w:color="auto" w:sz="6" w:space="0"/>
            </w:tcBorders>
          </w:tcPr>
          <w:p w14:paraId="11D7F2B9">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1、乙方的图纸会审设计师须按甲方要求及时到甲方处进行技术交底，答疑解决问题。</w:t>
            </w:r>
          </w:p>
          <w:p w14:paraId="2487545D">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2、乙方应指派设计师对施工送样进行审核并在甲方要求的时限内给出意见。</w:t>
            </w:r>
          </w:p>
          <w:p w14:paraId="76BC2D41">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3、装修施工单位进场前，乙方应指派设计师至施工现场与施工单位进行对接、交底。</w:t>
            </w:r>
          </w:p>
          <w:p w14:paraId="2C20FCAB">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4、乙方提供的装修施工图应整合消防图、通风空调图、灯具图等图纸内容，且在基层施工、面层施工时乙方应指派设计师至现场进行指</w:t>
            </w:r>
            <w:r>
              <w:rPr>
                <w:rFonts w:asciiTheme="minorEastAsia" w:hAnsiTheme="minorEastAsia" w:eastAsiaTheme="minorEastAsia"/>
                <w:color w:val="auto"/>
                <w:highlight w:val="none"/>
                <w:lang w:val="zh-CN"/>
              </w:rPr>
              <w:t>导、</w:t>
            </w:r>
            <w:r>
              <w:rPr>
                <w:rFonts w:hint="eastAsia" w:asciiTheme="minorEastAsia" w:hAnsiTheme="minorEastAsia" w:eastAsiaTheme="minorEastAsia"/>
                <w:color w:val="auto"/>
                <w:highlight w:val="none"/>
                <w:lang w:val="zh-CN"/>
              </w:rPr>
              <w:t>巡查。</w:t>
            </w:r>
          </w:p>
          <w:p w14:paraId="0889EEE3">
            <w:pPr>
              <w:pStyle w:val="2"/>
              <w:ind w:left="0" w:leftChars="0" w:firstLine="0" w:firstLineChars="0"/>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5、配合施工单位选样定样。</w:t>
            </w:r>
          </w:p>
          <w:p w14:paraId="5C8662C6">
            <w:pPr>
              <w:pStyle w:val="2"/>
              <w:spacing w:before="0" w:after="0" w:afterAutospacing="0"/>
              <w:ind w:left="0" w:leftChars="0" w:right="0" w:firstLine="0" w:firstLineChars="0"/>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6、</w:t>
            </w:r>
            <w:r>
              <w:rPr>
                <w:rFonts w:hint="eastAsia" w:asciiTheme="minorEastAsia" w:hAnsiTheme="minorEastAsia" w:eastAsiaTheme="minorEastAsia"/>
                <w:color w:val="auto"/>
                <w:sz w:val="21"/>
                <w:highlight w:val="none"/>
                <w:lang w:val="zh-CN"/>
              </w:rPr>
              <w:t>装修施工</w:t>
            </w:r>
            <w:r>
              <w:rPr>
                <w:rFonts w:hint="eastAsia" w:asciiTheme="minorEastAsia" w:hAnsiTheme="minorEastAsia" w:eastAsiaTheme="minorEastAsia"/>
                <w:color w:val="auto"/>
                <w:sz w:val="21"/>
                <w:highlight w:val="none"/>
              </w:rPr>
              <w:t>过程中</w:t>
            </w:r>
            <w:r>
              <w:rPr>
                <w:rFonts w:hint="eastAsia" w:asciiTheme="minorEastAsia" w:hAnsiTheme="minorEastAsia" w:eastAsiaTheme="minorEastAsia"/>
                <w:color w:val="auto"/>
                <w:sz w:val="21"/>
                <w:highlight w:val="none"/>
                <w:lang w:val="zh-CN"/>
              </w:rPr>
              <w:t>，乙方应指派</w:t>
            </w:r>
            <w:r>
              <w:rPr>
                <w:rFonts w:hint="eastAsia" w:asciiTheme="minorEastAsia" w:hAnsiTheme="minorEastAsia" w:eastAsiaTheme="minorEastAsia"/>
                <w:color w:val="auto"/>
                <w:sz w:val="21"/>
                <w:highlight w:val="none"/>
              </w:rPr>
              <w:t>方案</w:t>
            </w:r>
            <w:r>
              <w:rPr>
                <w:rFonts w:hint="eastAsia" w:asciiTheme="minorEastAsia" w:hAnsiTheme="minorEastAsia" w:eastAsiaTheme="minorEastAsia"/>
                <w:color w:val="auto"/>
                <w:sz w:val="21"/>
                <w:highlight w:val="none"/>
                <w:lang w:val="zh-CN"/>
              </w:rPr>
              <w:t>设计师</w:t>
            </w:r>
            <w:r>
              <w:rPr>
                <w:rFonts w:hint="eastAsia" w:asciiTheme="minorEastAsia" w:hAnsiTheme="minorEastAsia" w:eastAsiaTheme="minorEastAsia"/>
                <w:color w:val="auto"/>
                <w:sz w:val="21"/>
                <w:highlight w:val="none"/>
              </w:rPr>
              <w:t>和施工图设计师</w:t>
            </w:r>
            <w:r>
              <w:rPr>
                <w:rFonts w:hint="eastAsia" w:asciiTheme="minorEastAsia" w:hAnsiTheme="minorEastAsia" w:eastAsiaTheme="minorEastAsia"/>
                <w:color w:val="auto"/>
                <w:sz w:val="21"/>
                <w:highlight w:val="none"/>
                <w:lang w:val="zh-CN"/>
              </w:rPr>
              <w:t>至施工现场</w:t>
            </w:r>
            <w:r>
              <w:rPr>
                <w:rFonts w:hint="eastAsia" w:asciiTheme="minorEastAsia" w:hAnsiTheme="minorEastAsia" w:eastAsiaTheme="minorEastAsia"/>
                <w:color w:val="auto"/>
                <w:sz w:val="21"/>
                <w:highlight w:val="none"/>
              </w:rPr>
              <w:t>驻场</w:t>
            </w:r>
            <w:r>
              <w:rPr>
                <w:rFonts w:hint="eastAsia" w:asciiTheme="minorEastAsia" w:hAnsiTheme="minorEastAsia" w:eastAsiaTheme="minorEastAsia"/>
                <w:color w:val="auto"/>
                <w:sz w:val="21"/>
                <w:highlight w:val="none"/>
                <w:lang w:val="zh-CN"/>
              </w:rPr>
              <w:t>。</w:t>
            </w:r>
          </w:p>
        </w:tc>
      </w:tr>
    </w:tbl>
    <w:p w14:paraId="473F8BCF">
      <w:pPr>
        <w:autoSpaceDE w:val="0"/>
        <w:autoSpaceDN w:val="0"/>
        <w:adjustRightInd w:val="0"/>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注：本表请按如下要求进行标注：</w:t>
      </w:r>
    </w:p>
    <w:p w14:paraId="6BE36E4C">
      <w:pPr>
        <w:autoSpaceDE w:val="0"/>
        <w:autoSpaceDN w:val="0"/>
        <w:adjustRightInd w:val="0"/>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带“★”条款为实质性条款，投标人必须按照招标文件的要求做出实质性响应，有一项不满足的即为投标无效。（在技术指标中进行标注）</w:t>
      </w:r>
      <w:bookmarkEnd w:id="1791"/>
      <w:bookmarkEnd w:id="1792"/>
      <w:bookmarkEnd w:id="1793"/>
    </w:p>
    <w:p w14:paraId="0F0B3B3F">
      <w:pPr>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三．项目实施方案及其他技术要求：（根据项目实际情况和评审标准编写）。</w:t>
      </w:r>
    </w:p>
    <w:p w14:paraId="3CEC8713">
      <w:pPr>
        <w:spacing w:line="240" w:lineRule="auto"/>
        <w:ind w:right="-28" w:firstLine="424" w:firstLineChars="202"/>
        <w:rPr>
          <w:rFonts w:hint="eastAsia" w:ascii="宋体" w:hAnsi="宋体"/>
          <w:color w:val="auto"/>
          <w:highlight w:val="none"/>
        </w:rPr>
      </w:pPr>
      <w:r>
        <w:rPr>
          <w:rFonts w:hint="eastAsia" w:ascii="宋体" w:hAnsi="宋体"/>
          <w:color w:val="auto"/>
          <w:highlight w:val="none"/>
        </w:rPr>
        <w:t>四、验收标准</w:t>
      </w:r>
      <w:r>
        <w:rPr>
          <w:rFonts w:hint="eastAsia" w:ascii="宋体" w:hAnsi="宋体" w:cs="仿宋"/>
          <w:color w:val="auto"/>
          <w:highlight w:val="none"/>
          <w:lang w:val="zh-CN"/>
        </w:rPr>
        <w:t>（根据项目实际情况编写）</w:t>
      </w:r>
    </w:p>
    <w:p w14:paraId="5906BDAA">
      <w:pPr>
        <w:spacing w:line="240" w:lineRule="auto"/>
        <w:ind w:right="-28" w:firstLine="424" w:firstLineChars="202"/>
        <w:rPr>
          <w:rFonts w:hint="eastAsia" w:ascii="宋体" w:hAnsi="宋体"/>
          <w:color w:val="auto"/>
          <w:highlight w:val="none"/>
        </w:rPr>
      </w:pPr>
      <w:r>
        <w:rPr>
          <w:rFonts w:hint="eastAsia" w:ascii="宋体" w:hAnsi="宋体"/>
          <w:color w:val="auto"/>
          <w:highlight w:val="none"/>
        </w:rPr>
        <w:t>五、后期服务（如有）</w:t>
      </w:r>
    </w:p>
    <w:p w14:paraId="72A713D2">
      <w:pPr>
        <w:pStyle w:val="17"/>
        <w:pageBreakBefore/>
        <w:ind w:right="-57" w:firstLine="0"/>
        <w:jc w:val="center"/>
        <w:outlineLvl w:val="0"/>
        <w:rPr>
          <w:rStyle w:val="54"/>
          <w:rFonts w:hint="eastAsia" w:ascii="宋体" w:hAnsi="宋体" w:eastAsia="宋体"/>
          <w:color w:val="auto"/>
          <w:highlight w:val="none"/>
        </w:rPr>
      </w:pPr>
      <w:r>
        <w:rPr>
          <w:rStyle w:val="54"/>
          <w:rFonts w:hint="eastAsia" w:ascii="宋体" w:hAnsi="宋体" w:eastAsia="宋体"/>
          <w:color w:val="auto"/>
          <w:highlight w:val="none"/>
        </w:rPr>
        <w:t>第六章</w:t>
      </w:r>
      <w:r>
        <w:rPr>
          <w:rStyle w:val="54"/>
          <w:rFonts w:hint="eastAsia" w:hAnsi="宋体"/>
          <w:color w:val="auto"/>
          <w:highlight w:val="none"/>
        </w:rPr>
        <w:t xml:space="preserve">  </w:t>
      </w:r>
      <w:r>
        <w:rPr>
          <w:rStyle w:val="54"/>
          <w:rFonts w:hint="eastAsia" w:ascii="宋体" w:hAnsi="宋体" w:eastAsia="宋体"/>
          <w:color w:val="auto"/>
          <w:highlight w:val="none"/>
        </w:rPr>
        <w:t>评分办法</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EB0632B">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794" w:name="_Toc114134684"/>
      <w:bookmarkStart w:id="1795" w:name="_Toc30293"/>
      <w:r>
        <w:rPr>
          <w:rFonts w:hint="eastAsia" w:ascii="宋体" w:hAnsi="宋体" w:cs="Arial"/>
          <w:b/>
          <w:bCs/>
          <w:color w:val="auto"/>
          <w:sz w:val="28"/>
          <w:szCs w:val="28"/>
          <w:highlight w:val="none"/>
        </w:rPr>
        <w:t>一、评审原则</w:t>
      </w:r>
      <w:bookmarkEnd w:id="1794"/>
      <w:bookmarkEnd w:id="1795"/>
    </w:p>
    <w:p w14:paraId="1FD9101C">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比选评审小组成员构成：本项目由南宁轨道盛拓天和房地产有限公司</w:t>
      </w:r>
      <w:r>
        <w:rPr>
          <w:rFonts w:hint="eastAsia" w:ascii="宋体" w:hAnsi="宋体" w:cs="Arial"/>
          <w:bCs/>
          <w:color w:val="auto"/>
          <w:highlight w:val="none"/>
          <w:lang w:val="en-US" w:eastAsia="zh-CN"/>
        </w:rPr>
        <w:t>3</w:t>
      </w:r>
      <w:r>
        <w:rPr>
          <w:rFonts w:hint="eastAsia" w:ascii="宋体" w:hAnsi="宋体" w:cs="Arial"/>
          <w:bCs/>
          <w:color w:val="auto"/>
          <w:highlight w:val="none"/>
        </w:rPr>
        <w:t>人及以上单数组成评审小组，对比选申请文件按评审标准进行评审。</w:t>
      </w:r>
    </w:p>
    <w:p w14:paraId="654BD172">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评审依据：比选评审小组以比选文件、比选申请文件为评审依据。</w:t>
      </w:r>
    </w:p>
    <w:p w14:paraId="28AEE300">
      <w:pPr>
        <w:spacing w:before="0" w:after="0" w:afterAutospacing="0"/>
        <w:ind w:left="0" w:right="0" w:firstLine="420" w:firstLineChars="200"/>
        <w:rPr>
          <w:rFonts w:hint="eastAsia"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58472FA5">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796" w:name="_Toc11240"/>
      <w:bookmarkStart w:id="1797" w:name="_Toc114134685"/>
      <w:bookmarkStart w:id="1798" w:name="_Toc478566177"/>
      <w:bookmarkStart w:id="1799" w:name="_Toc15880"/>
      <w:bookmarkStart w:id="1800" w:name="_Toc29000"/>
      <w:bookmarkStart w:id="1801" w:name="_Toc5136"/>
      <w:bookmarkStart w:id="1802" w:name="_Toc3711"/>
      <w:r>
        <w:rPr>
          <w:rFonts w:hint="eastAsia" w:ascii="宋体" w:hAnsi="宋体" w:cs="Arial"/>
          <w:b/>
          <w:bCs/>
          <w:color w:val="auto"/>
          <w:sz w:val="28"/>
          <w:szCs w:val="28"/>
          <w:highlight w:val="none"/>
        </w:rPr>
        <w:t>二、评定方法</w:t>
      </w:r>
      <w:bookmarkEnd w:id="1796"/>
      <w:bookmarkEnd w:id="1797"/>
      <w:bookmarkEnd w:id="1798"/>
      <w:bookmarkEnd w:id="1799"/>
      <w:bookmarkEnd w:id="1800"/>
      <w:bookmarkEnd w:id="1801"/>
      <w:bookmarkEnd w:id="1802"/>
    </w:p>
    <w:p w14:paraId="3DFBB312">
      <w:pPr>
        <w:spacing w:before="0" w:after="0" w:afterAutospacing="0"/>
        <w:ind w:left="0" w:right="0" w:firstLine="420" w:firstLineChars="200"/>
        <w:outlineLvl w:val="1"/>
        <w:rPr>
          <w:rFonts w:hint="eastAsia" w:ascii="宋体" w:hAnsi="宋体" w:cs="Arial"/>
          <w:color w:val="auto"/>
          <w:highlight w:val="none"/>
        </w:rPr>
      </w:pPr>
      <w:bookmarkStart w:id="1803" w:name="_Toc11152"/>
      <w:bookmarkStart w:id="1804" w:name="_Toc114134686"/>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rFonts w:hint="eastAsia"/>
          <w:b/>
          <w:color w:val="auto"/>
          <w:highlight w:val="none"/>
          <w:u w:val="single"/>
        </w:rPr>
        <w:t>60</w:t>
      </w:r>
      <w:r>
        <w:rPr>
          <w:rFonts w:hint="eastAsia"/>
          <w:b/>
          <w:color w:val="auto"/>
          <w:highlight w:val="none"/>
        </w:rPr>
        <w:t>分，价格得分</w:t>
      </w:r>
      <w:r>
        <w:rPr>
          <w:rFonts w:hint="eastAsia"/>
          <w:b/>
          <w:color w:val="auto"/>
          <w:highlight w:val="none"/>
          <w:u w:val="single"/>
        </w:rPr>
        <w:t>40</w:t>
      </w:r>
      <w:r>
        <w:rPr>
          <w:rFonts w:hint="eastAsia"/>
          <w:b/>
          <w:color w:val="auto"/>
          <w:highlight w:val="none"/>
        </w:rPr>
        <w:t>分。</w:t>
      </w:r>
      <w:bookmarkEnd w:id="1803"/>
      <w:bookmarkEnd w:id="1804"/>
    </w:p>
    <w:p w14:paraId="7C11831E">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2.2比选评审小组将依照本比选文件相关要求，对照比选申请文件的应答进行比较，并对各比选申请文件的技术、商务内容进行评审打分。</w:t>
      </w:r>
    </w:p>
    <w:p w14:paraId="46DFFDF9">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1A1F1ED6">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36EEC85E">
      <w:pPr>
        <w:spacing w:before="0" w:after="0" w:afterAutospacing="0"/>
        <w:ind w:left="0" w:right="0" w:firstLine="420" w:firstLineChars="200"/>
        <w:outlineLvl w:val="1"/>
        <w:rPr>
          <w:rFonts w:hint="eastAsia" w:ascii="宋体" w:hAnsi="宋体" w:cs="Arial"/>
          <w:b/>
          <w:bCs/>
          <w:color w:val="auto"/>
          <w:sz w:val="28"/>
          <w:szCs w:val="28"/>
          <w:highlight w:val="none"/>
        </w:rPr>
      </w:pPr>
      <w:bookmarkStart w:id="1805" w:name="_Toc114134687"/>
      <w:bookmarkStart w:id="1806" w:name="_Toc23518"/>
      <w:r>
        <w:rPr>
          <w:rFonts w:hint="eastAsia" w:ascii="宋体" w:hAnsi="宋体" w:cs="Arial"/>
          <w:color w:val="auto"/>
          <w:highlight w:val="none"/>
        </w:rPr>
        <w:t>2.5</w:t>
      </w:r>
      <w:r>
        <w:rPr>
          <w:rFonts w:hint="eastAsia" w:ascii="宋体" w:hAnsi="宋体" w:cs="Arial"/>
          <w:b/>
          <w:bCs/>
          <w:color w:val="auto"/>
          <w:highlight w:val="none"/>
        </w:rPr>
        <w:t>技术得分低于技术得分满分的60%（即36分）的比选申请人不得推选为中选候选人。</w:t>
      </w:r>
    </w:p>
    <w:p w14:paraId="018982B6">
      <w:pPr>
        <w:spacing w:before="0" w:after="0" w:afterAutospacing="0"/>
        <w:ind w:left="0" w:right="0" w:firstLine="562" w:firstLineChars="200"/>
        <w:outlineLvl w:val="1"/>
        <w:rPr>
          <w:rFonts w:hint="eastAsia" w:ascii="宋体" w:hAnsi="宋体" w:cs="Arial"/>
          <w:b/>
          <w:bCs/>
          <w:color w:val="auto"/>
          <w:sz w:val="28"/>
          <w:szCs w:val="28"/>
          <w:highlight w:val="none"/>
        </w:rPr>
      </w:pPr>
      <w:r>
        <w:rPr>
          <w:rFonts w:hint="eastAsia" w:ascii="宋体" w:hAnsi="宋体" w:cs="Arial"/>
          <w:b/>
          <w:bCs/>
          <w:color w:val="auto"/>
          <w:sz w:val="28"/>
          <w:szCs w:val="28"/>
          <w:highlight w:val="none"/>
        </w:rPr>
        <w:t>三、评审流程</w:t>
      </w:r>
      <w:bookmarkEnd w:id="1805"/>
      <w:bookmarkEnd w:id="1806"/>
    </w:p>
    <w:p w14:paraId="13683B50">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3.1资格审查</w:t>
      </w:r>
    </w:p>
    <w:p w14:paraId="20B8329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5578ED7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1B3A7E9B">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3.2初步评审</w:t>
      </w:r>
    </w:p>
    <w:p w14:paraId="2E17BB0E">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（1）比选评审小组将对比选申请文件的实质性内容进行初步评审，判定其内容是否真实、完整，是否满足比选文件要求并在实质性内容上予以响应。</w:t>
      </w:r>
    </w:p>
    <w:p w14:paraId="5F6FCB25">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5ED13A15">
      <w:pPr>
        <w:tabs>
          <w:tab w:val="left" w:pos="851"/>
        </w:tabs>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w:t>
      </w:r>
      <w:r>
        <w:rPr>
          <w:color w:val="auto"/>
          <w:highlight w:val="none"/>
        </w:rPr>
        <w:t>比选评审小组</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1BAE2A32">
      <w:pPr>
        <w:tabs>
          <w:tab w:val="left" w:pos="851"/>
          <w:tab w:val="left" w:pos="1134"/>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3.3详细评审</w:t>
      </w:r>
    </w:p>
    <w:p w14:paraId="03958F98">
      <w:pPr>
        <w:tabs>
          <w:tab w:val="left" w:pos="851"/>
        </w:tabs>
        <w:spacing w:before="0" w:after="0" w:afterAutospacing="0"/>
        <w:ind w:left="0" w:right="0" w:firstLine="420" w:firstLineChars="200"/>
        <w:rPr>
          <w:rFonts w:hint="eastAsia" w:hAnsi="宋体"/>
          <w:color w:val="auto"/>
          <w:highlight w:val="none"/>
        </w:rPr>
      </w:pPr>
      <w:r>
        <w:rPr>
          <w:rFonts w:hAnsi="宋体"/>
          <w:color w:val="auto"/>
          <w:highlight w:val="none"/>
        </w:rPr>
        <w:t>3.3.1</w:t>
      </w:r>
      <w:r>
        <w:rPr>
          <w:color w:val="auto"/>
          <w:highlight w:val="none"/>
        </w:rPr>
        <w:t>比选评审小组</w:t>
      </w:r>
      <w:r>
        <w:rPr>
          <w:rFonts w:hint="eastAsia"/>
          <w:color w:val="auto"/>
          <w:highlight w:val="none"/>
        </w:rPr>
        <w:t>对通过初步评审的比选申请文件的技术文件进行详细评审</w:t>
      </w:r>
      <w:r>
        <w:rPr>
          <w:rFonts w:hint="eastAsia" w:hAnsi="宋体"/>
          <w:color w:val="auto"/>
          <w:highlight w:val="none"/>
        </w:rPr>
        <w:t>。</w:t>
      </w:r>
    </w:p>
    <w:p w14:paraId="1BB25C04">
      <w:pPr>
        <w:tabs>
          <w:tab w:val="left" w:pos="851"/>
        </w:tabs>
        <w:spacing w:before="0" w:after="0" w:afterAutospacing="0"/>
        <w:ind w:left="-2" w:leftChars="-1" w:right="0" w:firstLine="420" w:firstLineChars="200"/>
        <w:rPr>
          <w:rFonts w:hint="eastAsia" w:ascii="宋体" w:hAnsi="宋体"/>
          <w:color w:val="auto"/>
          <w:highlight w:val="none"/>
        </w:rPr>
      </w:pPr>
      <w:r>
        <w:rPr>
          <w:rFonts w:hint="eastAsia" w:hAnsi="宋体"/>
          <w:color w:val="auto"/>
          <w:highlight w:val="none"/>
        </w:rPr>
        <w:t xml:space="preserve">3.3.2 </w:t>
      </w:r>
      <w:r>
        <w:rPr>
          <w:color w:val="auto"/>
          <w:highlight w:val="none"/>
        </w:rPr>
        <w:t>比选评审小组</w:t>
      </w:r>
      <w:r>
        <w:rPr>
          <w:rFonts w:hint="eastAsia"/>
          <w:color w:val="auto"/>
          <w:highlight w:val="none"/>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480B5DC">
      <w:pPr>
        <w:tabs>
          <w:tab w:val="left" w:pos="851"/>
          <w:tab w:val="left" w:pos="1134"/>
        </w:tabs>
        <w:spacing w:before="0" w:after="0" w:afterAutospacing="0"/>
        <w:ind w:left="422" w:right="0" w:firstLine="0"/>
        <w:rPr>
          <w:rFonts w:hint="eastAsia" w:hAnsi="宋体"/>
          <w:color w:val="auto"/>
          <w:highlight w:val="none"/>
        </w:rPr>
      </w:pPr>
      <w:r>
        <w:rPr>
          <w:rFonts w:hAnsi="宋体"/>
          <w:color w:val="auto"/>
          <w:highlight w:val="none"/>
        </w:rPr>
        <w:t>3.3.</w:t>
      </w:r>
      <w:r>
        <w:rPr>
          <w:rFonts w:hint="eastAsia" w:hAnsi="宋体"/>
          <w:color w:val="auto"/>
          <w:highlight w:val="none"/>
        </w:rPr>
        <w:t>3价格评审</w:t>
      </w:r>
    </w:p>
    <w:p w14:paraId="78CD796F">
      <w:pPr>
        <w:tabs>
          <w:tab w:val="left" w:pos="851"/>
          <w:tab w:val="left" w:pos="1134"/>
        </w:tabs>
        <w:spacing w:before="0" w:after="0" w:afterAutospacing="0"/>
        <w:ind w:left="942" w:leftChars="112" w:right="0" w:hanging="707" w:hangingChars="337"/>
        <w:jc w:val="left"/>
        <w:rPr>
          <w:color w:val="auto"/>
          <w:highlight w:val="none"/>
        </w:rPr>
      </w:pPr>
      <w:r>
        <w:rPr>
          <w:rFonts w:hint="eastAsia"/>
          <w:color w:val="auto"/>
          <w:highlight w:val="none"/>
        </w:rPr>
        <w:t>3.3.3.1</w:t>
      </w:r>
      <w:r>
        <w:rPr>
          <w:color w:val="auto"/>
          <w:highlight w:val="none"/>
        </w:rPr>
        <w:t>比选评审小组</w:t>
      </w:r>
      <w:r>
        <w:rPr>
          <w:rFonts w:hint="eastAsia"/>
          <w:color w:val="auto"/>
          <w:highlight w:val="none"/>
        </w:rPr>
        <w:t>对通过初步评审的比选申请文件的报价文件进行详细评审。</w:t>
      </w:r>
    </w:p>
    <w:p w14:paraId="7DB88038">
      <w:pPr>
        <w:tabs>
          <w:tab w:val="left" w:pos="851"/>
          <w:tab w:val="left" w:pos="1134"/>
        </w:tabs>
        <w:spacing w:before="0" w:after="0" w:afterAutospacing="0"/>
        <w:ind w:left="105" w:leftChars="50" w:right="0" w:firstLine="105" w:firstLineChars="50"/>
        <w:jc w:val="left"/>
        <w:rPr>
          <w:color w:val="auto"/>
          <w:highlight w:val="none"/>
        </w:rPr>
      </w:pPr>
      <w:r>
        <w:rPr>
          <w:rFonts w:hint="eastAsia"/>
          <w:color w:val="auto"/>
          <w:highlight w:val="none"/>
        </w:rPr>
        <w:t>3.3.3.2比选申请报价有算术错误的，比选评审小组按以下原则对比选申请报价进行修正，修正的价格经比选申请人书面确认后具有约束力。比选申请人不接受修正价格的，其比选申请作否决比选申请处理：</w:t>
      </w:r>
    </w:p>
    <w:p w14:paraId="2A1BEFF0">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0CD08CF4">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37BC1A0C">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6401B0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45A6949">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3B85EBC3">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w:t>
      </w:r>
      <w:r>
        <w:rPr>
          <w:color w:val="auto"/>
          <w:highlight w:val="none"/>
        </w:rPr>
        <w:t>比选评审小组</w:t>
      </w:r>
      <w:r>
        <w:rPr>
          <w:rFonts w:hint="eastAsia"/>
          <w:bCs/>
          <w:color w:val="auto"/>
          <w:highlight w:val="none"/>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color w:val="auto"/>
          <w:highlight w:val="none"/>
        </w:rPr>
        <w:t>比选评审小组</w:t>
      </w:r>
      <w:r>
        <w:rPr>
          <w:rFonts w:hint="eastAsia"/>
          <w:bCs/>
          <w:color w:val="auto"/>
          <w:highlight w:val="none"/>
        </w:rPr>
        <w:t>应当认定该比选申请人以低于成本报价比选申请，否决其比选申请。</w:t>
      </w:r>
    </w:p>
    <w:p w14:paraId="1BB2744E">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807" w:name="_Hlk36511445"/>
      <w:r>
        <w:rPr>
          <w:rFonts w:hint="eastAsia"/>
          <w:b/>
          <w:bCs/>
          <w:color w:val="auto"/>
          <w:highlight w:val="none"/>
        </w:rPr>
        <w:t>比选申请报价清单如有漏项的比选申请文件，将予以否决。</w:t>
      </w:r>
      <w:bookmarkEnd w:id="1807"/>
    </w:p>
    <w:p w14:paraId="28248D5C">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3.3.3.4</w:t>
      </w:r>
      <w:r>
        <w:rPr>
          <w:color w:val="auto"/>
          <w:highlight w:val="none"/>
        </w:rPr>
        <w:t>比选评审小组</w:t>
      </w:r>
      <w:r>
        <w:rPr>
          <w:rFonts w:hint="eastAsia"/>
          <w:color w:val="auto"/>
          <w:highlight w:val="none"/>
        </w:rPr>
        <w:t>按照附表四《比选报价评分表》规定的量化因素和分值，对各比选申请人的比选申请报价评审，并计算出价格得分（得分出现小数点，保留小数点后二位，第三位小数四舍五入）。</w:t>
      </w:r>
    </w:p>
    <w:p w14:paraId="1D4FBEAB">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17525B19">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3.4.1在评审阶段，比选评审小组认为必要时，可书面通知比选申请人要求其澄清或补正比选申请文件中的问题，或者要求其补充某些资料。对此，比选申请人不得拒绝。</w:t>
      </w:r>
    </w:p>
    <w:p w14:paraId="4D7D91AB">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比选申请人须以书面形式提供澄清或补正文件，经比选评审小组确认方可作为比选申请文件的组成部分。</w:t>
      </w:r>
    </w:p>
    <w:p w14:paraId="654A20D0">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比选评审小组将予以采信，取消该疑问事项及对应的比选申请报价偏差；不能合理说明或者不能提供有效证明材料的，比选评审小组将不予采信，该疑问事项及对应的比选申请报价偏差将确认成立，但其比选申请总价保持不变。</w:t>
      </w:r>
    </w:p>
    <w:p w14:paraId="67D9C7A4">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3.4.4</w:t>
      </w:r>
      <w:r>
        <w:rPr>
          <w:rFonts w:ascii="宋体" w:hAnsi="宋体"/>
          <w:color w:val="auto"/>
          <w:highlight w:val="none"/>
        </w:rPr>
        <w:t>如果比选评审小组对比选申请人提交的澄清、说明或补正依然存有疑问，可以对比选申请人进一步质疑。比选申请人应当相应地进一步澄清、说明或补正，直至比选评审小组认为全部质疑得到解答。</w:t>
      </w:r>
    </w:p>
    <w:p w14:paraId="28CCD6FD">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比选评审小组私下接触或对原比选申请价和内容提出修改，但在评审中进行的初步修正，则不在此列。比选人不接受比选申请人主动提出的对比选申请文件的澄清或补正。</w:t>
      </w:r>
    </w:p>
    <w:p w14:paraId="55607DC7">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71C61B46">
      <w:pPr>
        <w:tabs>
          <w:tab w:val="left" w:pos="993"/>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color w:val="auto"/>
          <w:highlight w:val="none"/>
        </w:rPr>
        <w:t>。</w:t>
      </w:r>
    </w:p>
    <w:p w14:paraId="5811406B">
      <w:pPr>
        <w:tabs>
          <w:tab w:val="left" w:pos="851"/>
          <w:tab w:val="left" w:pos="99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）比选评审小组根据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808" w:name="_Hlk31877730"/>
      <w:r>
        <w:rPr>
          <w:rFonts w:hint="eastAsia" w:cs="宋体"/>
          <w:color w:val="auto"/>
          <w:highlight w:val="none"/>
        </w:rPr>
        <w:t>则由比选评审小组采用记名投票方式确定</w:t>
      </w:r>
      <w:bookmarkEnd w:id="1808"/>
      <w:r>
        <w:rPr>
          <w:rFonts w:hint="eastAsia" w:ascii="宋体" w:hAnsi="宋体"/>
          <w:color w:val="auto"/>
          <w:highlight w:val="none"/>
        </w:rPr>
        <w:t>其排名顺序。</w:t>
      </w:r>
    </w:p>
    <w:p w14:paraId="28E1299B">
      <w:pPr>
        <w:spacing w:before="0" w:after="0" w:afterAutospacing="0"/>
        <w:ind w:left="0" w:right="0" w:firstLine="420" w:firstLineChars="200"/>
        <w:rPr>
          <w:rFonts w:hint="eastAsia" w:ascii="宋体" w:hAnsi="宋体"/>
          <w:b/>
          <w:color w:val="auto"/>
          <w:highlight w:val="none"/>
        </w:rPr>
      </w:pPr>
      <w:r>
        <w:rPr>
          <w:rFonts w:hint="eastAsia" w:ascii="宋体" w:hAnsi="宋体"/>
          <w:color w:val="auto"/>
          <w:highlight w:val="none"/>
        </w:rPr>
        <w:t>（3）</w:t>
      </w:r>
      <w:r>
        <w:rPr>
          <w:rFonts w:hint="eastAsia" w:ascii="宋体" w:hAnsi="宋体" w:cs="Arial"/>
          <w:b/>
          <w:bCs/>
          <w:color w:val="auto"/>
          <w:highlight w:val="none"/>
        </w:rPr>
        <w:t>技术得分低于技术得分满分的60%（即36分）的比选申请人不得推选为中选候选人。</w:t>
      </w:r>
    </w:p>
    <w:p w14:paraId="6105E5E4">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3A5139B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比选申请文件有下列情形之一的，比选评审小组应按否决比选申请处理：</w:t>
      </w:r>
    </w:p>
    <w:p w14:paraId="591FEBCF">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（1）不符合附表一《资格审查表》规定的；</w:t>
      </w:r>
    </w:p>
    <w:p w14:paraId="38A6453B">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（2）不符合附表二《符合性评审表》规定的；</w:t>
      </w:r>
    </w:p>
    <w:p w14:paraId="5DBACAE3">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62065A3A">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（4）在比选申请文件中有虚假文件和/或资料的；</w:t>
      </w:r>
    </w:p>
    <w:p w14:paraId="28C05543">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（5）比选申请文件中附有比选人不能接受的条件；</w:t>
      </w:r>
    </w:p>
    <w:p w14:paraId="7593BE48">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（6）比选申请文件实质上不响应比选文件的要求的；</w:t>
      </w:r>
    </w:p>
    <w:p w14:paraId="3FF7D348">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 xml:space="preserve">（7）比选申请人以经比选评审小组评审认定为低于成本的报价竞标； </w:t>
      </w:r>
    </w:p>
    <w:p w14:paraId="21714634">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（8）比选申请人扰乱会场秩序，经劝阻仍然无理取闹的；</w:t>
      </w:r>
    </w:p>
    <w:p w14:paraId="119EF297">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（9）比选申请人未能按照比选评审小组要求，对其比选申请文件进行澄清、说明和补正的；</w:t>
      </w:r>
    </w:p>
    <w:p w14:paraId="19CD3917">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7113DD9A">
      <w:pPr>
        <w:tabs>
          <w:tab w:val="left" w:pos="1276"/>
        </w:tabs>
        <w:spacing w:before="0" w:after="0"/>
        <w:ind w:left="420" w:right="0" w:firstLine="0"/>
        <w:jc w:val="left"/>
        <w:rPr>
          <w:rFonts w:hint="eastAsia" w:ascii="宋体" w:hAnsi="宋体"/>
          <w:b/>
          <w:color w:val="auto"/>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p>
    <w:p w14:paraId="22294A45">
      <w:pPr>
        <w:pStyle w:val="6"/>
        <w:spacing w:after="0" w:line="360" w:lineRule="auto"/>
        <w:ind w:right="-57"/>
        <w:rPr>
          <w:color w:val="auto"/>
          <w:sz w:val="21"/>
          <w:szCs w:val="21"/>
          <w:highlight w:val="none"/>
        </w:rPr>
      </w:pPr>
      <w:bookmarkStart w:id="1809" w:name="_Toc25750694"/>
      <w:bookmarkStart w:id="1810" w:name="_Toc19557"/>
      <w:bookmarkStart w:id="1811" w:name="_Toc27271"/>
      <w:bookmarkStart w:id="1812" w:name="_Toc29923"/>
      <w:bookmarkStart w:id="1813" w:name="_Toc10968"/>
      <w:bookmarkStart w:id="1814" w:name="_Toc31611"/>
      <w:bookmarkStart w:id="1815" w:name="_Toc16364"/>
      <w:bookmarkStart w:id="1816" w:name="_Toc22464"/>
      <w:bookmarkStart w:id="1817" w:name="_Toc18096"/>
      <w:bookmarkStart w:id="1818" w:name="_Toc492478849"/>
      <w:bookmarkStart w:id="1819" w:name="_Toc15073"/>
      <w:bookmarkStart w:id="1820" w:name="_Toc28404"/>
      <w:bookmarkStart w:id="1821" w:name="_Toc114134688"/>
      <w:bookmarkStart w:id="1822" w:name="_Toc29245"/>
      <w:bookmarkStart w:id="1823" w:name="_Toc9588"/>
      <w:bookmarkStart w:id="1824" w:name="_Toc23314"/>
      <w:bookmarkStart w:id="1825" w:name="_Toc19430"/>
      <w:bookmarkStart w:id="1826" w:name="_Toc15224"/>
      <w:bookmarkStart w:id="1827" w:name="_Toc434"/>
      <w:bookmarkStart w:id="1828" w:name="_Toc9189"/>
      <w:bookmarkStart w:id="1829" w:name="_Toc414290583"/>
      <w:bookmarkStart w:id="1830" w:name="_Toc9730"/>
      <w:r>
        <w:rPr>
          <w:rFonts w:hint="eastAsia"/>
          <w:color w:val="auto"/>
          <w:sz w:val="21"/>
          <w:szCs w:val="21"/>
          <w:highlight w:val="none"/>
        </w:rPr>
        <w:t>附表一 资格审查表</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2512ED25">
      <w:pPr>
        <w:snapToGrid w:val="0"/>
        <w:spacing w:before="0" w:line="360" w:lineRule="exact"/>
        <w:ind w:left="420" w:right="24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资格审查表</w:t>
      </w:r>
    </w:p>
    <w:tbl>
      <w:tblPr>
        <w:tblStyle w:val="36"/>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0AC04B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6220612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序号</w:t>
            </w:r>
          </w:p>
        </w:tc>
        <w:tc>
          <w:tcPr>
            <w:tcW w:w="741" w:type="dxa"/>
            <w:vAlign w:val="center"/>
          </w:tcPr>
          <w:p w14:paraId="0F3B3424">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项目内容</w:t>
            </w:r>
          </w:p>
        </w:tc>
        <w:tc>
          <w:tcPr>
            <w:tcW w:w="3067" w:type="dxa"/>
            <w:vAlign w:val="center"/>
          </w:tcPr>
          <w:p w14:paraId="6D4BF3EF">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合格条件标准</w:t>
            </w:r>
          </w:p>
        </w:tc>
        <w:tc>
          <w:tcPr>
            <w:tcW w:w="1425" w:type="dxa"/>
            <w:vAlign w:val="center"/>
          </w:tcPr>
          <w:p w14:paraId="15DA142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评审依据</w:t>
            </w:r>
          </w:p>
        </w:tc>
        <w:tc>
          <w:tcPr>
            <w:tcW w:w="1087" w:type="dxa"/>
            <w:vAlign w:val="center"/>
          </w:tcPr>
          <w:p w14:paraId="6A431D03">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2BBCF2ED">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备注</w:t>
            </w:r>
          </w:p>
        </w:tc>
      </w:tr>
      <w:tr w14:paraId="761780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0E0D4E6E">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1</w:t>
            </w:r>
          </w:p>
        </w:tc>
        <w:tc>
          <w:tcPr>
            <w:tcW w:w="741" w:type="dxa"/>
            <w:vAlign w:val="center"/>
          </w:tcPr>
          <w:p w14:paraId="2F8697B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身份</w:t>
            </w:r>
          </w:p>
          <w:p w14:paraId="59774BC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50A3EF2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材料</w:t>
            </w:r>
          </w:p>
        </w:tc>
        <w:tc>
          <w:tcPr>
            <w:tcW w:w="3067" w:type="dxa"/>
            <w:vAlign w:val="center"/>
          </w:tcPr>
          <w:p w14:paraId="3C19C84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4424952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4A7B82DD">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7F5835DE">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比选申请人应提供法定代表人授权书及法定代表人资格证明书（如无授权时，只需提供法定代表人资格证明书），法人及被授权人身份证复印件加盖公章。</w:t>
            </w:r>
          </w:p>
        </w:tc>
      </w:tr>
      <w:tr w14:paraId="609009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7EB63687">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2</w:t>
            </w:r>
          </w:p>
        </w:tc>
        <w:tc>
          <w:tcPr>
            <w:tcW w:w="741" w:type="dxa"/>
            <w:vAlign w:val="center"/>
          </w:tcPr>
          <w:p w14:paraId="2F56E07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w:t>
            </w:r>
          </w:p>
          <w:p w14:paraId="32ED0B3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申请人</w:t>
            </w:r>
          </w:p>
          <w:p w14:paraId="4AD437B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资格</w:t>
            </w:r>
          </w:p>
        </w:tc>
        <w:tc>
          <w:tcPr>
            <w:tcW w:w="3067" w:type="dxa"/>
            <w:vAlign w:val="center"/>
          </w:tcPr>
          <w:p w14:paraId="4A6A2F30">
            <w:pPr>
              <w:numPr>
                <w:ilvl w:val="255"/>
                <w:numId w:val="0"/>
              </w:numPr>
              <w:spacing w:before="0" w:after="0" w:afterAutospacing="0" w:line="240" w:lineRule="auto"/>
              <w:ind w:right="0"/>
              <w:rPr>
                <w:color w:val="auto"/>
                <w:highlight w:val="none"/>
              </w:rPr>
            </w:pPr>
            <w:r>
              <w:rPr>
                <w:rFonts w:hint="eastAsia"/>
                <w:color w:val="auto"/>
                <w:highlight w:val="none"/>
              </w:rPr>
              <w:t>比选申请人为中华人民共和国境内</w:t>
            </w:r>
            <w:r>
              <w:rPr>
                <w:color w:val="auto"/>
                <w:highlight w:val="none"/>
              </w:rPr>
              <w:t>依法设立独立合格法人</w:t>
            </w:r>
            <w:r>
              <w:rPr>
                <w:rFonts w:hint="eastAsia"/>
                <w:color w:val="auto"/>
                <w:highlight w:val="none"/>
              </w:rPr>
              <w:t>或其他组织。</w:t>
            </w:r>
          </w:p>
        </w:tc>
        <w:tc>
          <w:tcPr>
            <w:tcW w:w="1425" w:type="dxa"/>
            <w:vAlign w:val="center"/>
          </w:tcPr>
          <w:p w14:paraId="66A117C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营业执照副本或事业单位法人证书等证明文件复印件</w:t>
            </w:r>
          </w:p>
        </w:tc>
        <w:tc>
          <w:tcPr>
            <w:tcW w:w="1087" w:type="dxa"/>
            <w:vAlign w:val="center"/>
          </w:tcPr>
          <w:p w14:paraId="4D1946B7">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5DBAC12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比选申请人有效的营业执照或事业单位法人证书复印件等证明文件复印件，并加盖公章。</w:t>
            </w:r>
          </w:p>
        </w:tc>
      </w:tr>
      <w:tr w14:paraId="655D8A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10C3669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3</w:t>
            </w:r>
          </w:p>
        </w:tc>
        <w:tc>
          <w:tcPr>
            <w:tcW w:w="741" w:type="dxa"/>
            <w:vAlign w:val="center"/>
          </w:tcPr>
          <w:p w14:paraId="334263E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业绩</w:t>
            </w:r>
          </w:p>
          <w:p w14:paraId="14FE5FB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7DABCDE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（如有）</w:t>
            </w:r>
          </w:p>
        </w:tc>
        <w:tc>
          <w:tcPr>
            <w:tcW w:w="3067" w:type="dxa"/>
            <w:vAlign w:val="center"/>
          </w:tcPr>
          <w:p w14:paraId="43079EA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r>
              <w:rPr>
                <w:rFonts w:hint="eastAsia"/>
                <w:color w:val="auto"/>
                <w:highlight w:val="none"/>
              </w:rPr>
              <w:t>提供合同文件或甲方证明，提供复印件，原件备查；</w:t>
            </w:r>
          </w:p>
        </w:tc>
        <w:tc>
          <w:tcPr>
            <w:tcW w:w="1425" w:type="dxa"/>
            <w:vAlign w:val="center"/>
          </w:tcPr>
          <w:p w14:paraId="165EC7F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4D2ADB6C">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0030A604">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p>
        </w:tc>
      </w:tr>
      <w:tr w14:paraId="6E7DDA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4FAD7EEE">
            <w:pPr>
              <w:spacing w:before="0" w:after="0" w:afterAutospacing="0" w:line="240" w:lineRule="auto"/>
              <w:ind w:left="0" w:right="0" w:firstLine="0"/>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741" w:type="dxa"/>
            <w:vAlign w:val="center"/>
          </w:tcPr>
          <w:p w14:paraId="68BE371E">
            <w:pPr>
              <w:spacing w:before="0" w:after="0" w:afterAutospacing="0" w:line="240" w:lineRule="auto"/>
              <w:ind w:left="0" w:right="0" w:firstLine="0"/>
              <w:rPr>
                <w:rFonts w:hint="eastAsia" w:ascii="宋体" w:hAnsi="宋体"/>
                <w:color w:val="auto"/>
                <w:highlight w:val="none"/>
              </w:rPr>
            </w:pPr>
            <w:r>
              <w:rPr>
                <w:rFonts w:hint="eastAsia"/>
                <w:color w:val="auto"/>
                <w:highlight w:val="none"/>
              </w:rPr>
              <w:t>人员要求</w:t>
            </w:r>
          </w:p>
        </w:tc>
        <w:tc>
          <w:tcPr>
            <w:tcW w:w="3067" w:type="dxa"/>
            <w:vAlign w:val="center"/>
          </w:tcPr>
          <w:p w14:paraId="6CA28B87">
            <w:pPr>
              <w:spacing w:before="0" w:after="0" w:afterAutospacing="0" w:line="240" w:lineRule="auto"/>
              <w:ind w:left="0" w:right="0" w:firstLine="0"/>
              <w:rPr>
                <w:rFonts w:hint="eastAsia" w:ascii="宋体" w:hAnsi="宋体"/>
                <w:color w:val="auto"/>
                <w:highlight w:val="none"/>
              </w:rPr>
            </w:pPr>
            <w:r>
              <w:rPr>
                <w:rFonts w:hint="eastAsia"/>
                <w:color w:val="auto"/>
                <w:highlight w:val="none"/>
                <w:lang w:val="en-US" w:eastAsia="zh-CN"/>
              </w:rPr>
              <w:t>项目设计负责人要求负责过1个及以上的房地产项目样板间或展示区设计项目业绩，提供所负责项目单项业绩设计单价为达1550元/㎡及以上的设计业绩，提供合同或者方案文本案例（含项目名称和效果图即可无需全套文本）作为项目负责人的证明材料，提供业绩列表加盖公司公章作为证明</w:t>
            </w:r>
          </w:p>
        </w:tc>
        <w:tc>
          <w:tcPr>
            <w:tcW w:w="1425" w:type="dxa"/>
            <w:vAlign w:val="center"/>
          </w:tcPr>
          <w:p w14:paraId="58E1D302">
            <w:pPr>
              <w:spacing w:before="0" w:after="0" w:afterAutospacing="0" w:line="240" w:lineRule="auto"/>
              <w:ind w:left="0" w:leftChars="0" w:right="0" w:rightChars="0" w:firstLine="0" w:firstLineChars="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13F39A0E">
            <w:pPr>
              <w:spacing w:before="0" w:after="0" w:afterAutospacing="0" w:line="240" w:lineRule="auto"/>
              <w:ind w:left="0" w:leftChars="0" w:right="0" w:rightChars="0" w:firstLine="0" w:firstLineChars="0"/>
              <w:rPr>
                <w:rFonts w:hint="eastAsia" w:ascii="宋体" w:hAnsi="宋体"/>
                <w:color w:val="auto"/>
                <w:highlight w:val="none"/>
              </w:rPr>
            </w:pPr>
          </w:p>
        </w:tc>
        <w:tc>
          <w:tcPr>
            <w:tcW w:w="2503" w:type="dxa"/>
            <w:vAlign w:val="center"/>
          </w:tcPr>
          <w:p w14:paraId="77143509">
            <w:pPr>
              <w:spacing w:before="0" w:after="0" w:afterAutospacing="0" w:line="240" w:lineRule="auto"/>
              <w:ind w:left="0" w:leftChars="0" w:right="0" w:rightChars="0" w:firstLine="0" w:firstLineChars="0"/>
              <w:rPr>
                <w:rFonts w:hint="eastAsia" w:ascii="宋体" w:hAnsi="宋体"/>
                <w:color w:val="auto"/>
                <w:highlight w:val="none"/>
              </w:rPr>
            </w:pPr>
            <w:r>
              <w:rPr>
                <w:rFonts w:hint="eastAsia" w:ascii="宋体" w:hAnsi="宋体"/>
                <w:color w:val="auto"/>
                <w:highlight w:val="none"/>
              </w:rPr>
              <w:t>提供相应的业绩证明材料：提供下述材料之一即可：①合同文件；②</w:t>
            </w:r>
            <w:r>
              <w:rPr>
                <w:rFonts w:hint="eastAsia"/>
                <w:color w:val="auto"/>
                <w:highlight w:val="none"/>
                <w:lang w:val="en-US" w:eastAsia="zh-CN"/>
              </w:rPr>
              <w:t>方案文本案例</w:t>
            </w:r>
            <w:r>
              <w:rPr>
                <w:rFonts w:hint="eastAsia" w:ascii="宋体" w:hAnsi="宋体"/>
                <w:color w:val="auto"/>
                <w:highlight w:val="none"/>
              </w:rPr>
              <w:t>，复印件加盖比选申请人公章</w:t>
            </w:r>
          </w:p>
        </w:tc>
      </w:tr>
      <w:tr w14:paraId="2A494E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5097EA7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4</w:t>
            </w:r>
          </w:p>
        </w:tc>
        <w:tc>
          <w:tcPr>
            <w:tcW w:w="741" w:type="dxa"/>
            <w:vAlign w:val="center"/>
          </w:tcPr>
          <w:p w14:paraId="6F0A601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w:t>
            </w:r>
          </w:p>
        </w:tc>
        <w:tc>
          <w:tcPr>
            <w:tcW w:w="3067" w:type="dxa"/>
            <w:vAlign w:val="center"/>
          </w:tcPr>
          <w:p w14:paraId="7C147D0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比选申请人没有处于行政主管部门或业主取消比选申请资格的处罚期内，且没有被责令停业，财产被接管、冻结，破产状态；比选申请截止日前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tc>
        <w:tc>
          <w:tcPr>
            <w:tcW w:w="1425" w:type="dxa"/>
            <w:vAlign w:val="center"/>
          </w:tcPr>
          <w:p w14:paraId="390CBA47">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承诺书原件</w:t>
            </w:r>
          </w:p>
        </w:tc>
        <w:tc>
          <w:tcPr>
            <w:tcW w:w="1087" w:type="dxa"/>
            <w:vAlign w:val="center"/>
          </w:tcPr>
          <w:p w14:paraId="3852F5B5">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61A8F84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按规定格式提供承诺书</w:t>
            </w:r>
          </w:p>
        </w:tc>
      </w:tr>
    </w:tbl>
    <w:p w14:paraId="5964B39B">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注：</w:t>
      </w:r>
    </w:p>
    <w:p w14:paraId="074B2A49">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1.以上所有证明资料原件备查。</w:t>
      </w:r>
    </w:p>
    <w:p w14:paraId="69A1F85A">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05C179A1">
      <w:pPr>
        <w:pStyle w:val="6"/>
        <w:spacing w:after="0" w:line="360" w:lineRule="auto"/>
        <w:ind w:right="-57"/>
        <w:rPr>
          <w:color w:val="auto"/>
          <w:sz w:val="24"/>
          <w:szCs w:val="24"/>
          <w:highlight w:val="none"/>
        </w:rPr>
      </w:pPr>
      <w:r>
        <w:rPr>
          <w:rFonts w:ascii="宋体" w:hAnsi="宋体"/>
          <w:color w:val="auto"/>
          <w:highlight w:val="none"/>
        </w:rPr>
        <w:br w:type="page"/>
      </w:r>
      <w:bookmarkStart w:id="1831" w:name="_Toc25750695"/>
      <w:bookmarkStart w:id="1832" w:name="_Toc29351"/>
      <w:bookmarkStart w:id="1833" w:name="_Toc114134689"/>
      <w:bookmarkStart w:id="1834" w:name="_Toc29670"/>
      <w:bookmarkStart w:id="1835" w:name="_Toc22635"/>
      <w:bookmarkStart w:id="1836" w:name="_Toc3409"/>
      <w:bookmarkStart w:id="1837" w:name="_Toc6102"/>
      <w:bookmarkStart w:id="1838" w:name="_Toc9343"/>
      <w:bookmarkStart w:id="1839" w:name="_Toc6612"/>
      <w:bookmarkStart w:id="1840" w:name="_Toc25123"/>
      <w:bookmarkStart w:id="1841" w:name="_Toc31487"/>
      <w:bookmarkStart w:id="1842" w:name="_Toc5737"/>
      <w:bookmarkStart w:id="1843" w:name="_Toc1459"/>
      <w:bookmarkStart w:id="1844" w:name="_Toc15103"/>
      <w:bookmarkStart w:id="1845" w:name="_Toc492478850"/>
      <w:bookmarkStart w:id="1846" w:name="_Toc12984826"/>
      <w:bookmarkStart w:id="1847" w:name="_Toc20215"/>
      <w:bookmarkStart w:id="1848" w:name="_Toc7852"/>
      <w:bookmarkStart w:id="1849" w:name="_Toc8945"/>
      <w:bookmarkStart w:id="1850" w:name="_Toc19299"/>
      <w:bookmarkStart w:id="1851" w:name="_Toc12983557"/>
      <w:bookmarkStart w:id="1852" w:name="_Toc191"/>
      <w:bookmarkStart w:id="1853" w:name="_Toc5811"/>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831"/>
      <w:bookmarkEnd w:id="1832"/>
      <w:bookmarkEnd w:id="1833"/>
    </w:p>
    <w:p w14:paraId="6A63BC4D">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6"/>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26B248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0F3BB343">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0058CA4A">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69552E28">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03D893FF">
            <w:pPr>
              <w:ind w:left="0" w:firstLine="0"/>
              <w:rPr>
                <w:color w:val="auto"/>
                <w:highlight w:val="none"/>
              </w:rPr>
            </w:pPr>
            <w:r>
              <w:rPr>
                <w:rFonts w:hint="eastAsia"/>
                <w:color w:val="auto"/>
                <w:highlight w:val="none"/>
              </w:rPr>
              <w:t>结论</w:t>
            </w:r>
          </w:p>
        </w:tc>
      </w:tr>
      <w:tr w14:paraId="06C799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20A2656F">
            <w:pPr>
              <w:ind w:left="0" w:firstLine="0"/>
              <w:jc w:val="center"/>
              <w:rPr>
                <w:color w:val="auto"/>
                <w:highlight w:val="none"/>
              </w:rPr>
            </w:pPr>
            <w:r>
              <w:rPr>
                <w:color w:val="auto"/>
                <w:highlight w:val="none"/>
              </w:rPr>
              <w:t>1</w:t>
            </w:r>
          </w:p>
        </w:tc>
        <w:tc>
          <w:tcPr>
            <w:tcW w:w="6096" w:type="dxa"/>
            <w:vAlign w:val="center"/>
          </w:tcPr>
          <w:p w14:paraId="111A25AC">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332402DD">
            <w:pPr>
              <w:ind w:left="0" w:firstLine="0"/>
              <w:rPr>
                <w:color w:val="auto"/>
                <w:highlight w:val="none"/>
              </w:rPr>
            </w:pPr>
          </w:p>
        </w:tc>
        <w:tc>
          <w:tcPr>
            <w:tcW w:w="1098" w:type="dxa"/>
            <w:vMerge w:val="restart"/>
            <w:vAlign w:val="center"/>
          </w:tcPr>
          <w:p w14:paraId="078EA7CA">
            <w:pPr>
              <w:ind w:left="0" w:firstLine="0"/>
              <w:rPr>
                <w:color w:val="auto"/>
                <w:highlight w:val="none"/>
              </w:rPr>
            </w:pPr>
          </w:p>
        </w:tc>
      </w:tr>
      <w:tr w14:paraId="0AECE6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24AF317">
            <w:pPr>
              <w:ind w:left="0" w:firstLine="0"/>
              <w:jc w:val="center"/>
              <w:rPr>
                <w:color w:val="auto"/>
                <w:highlight w:val="none"/>
              </w:rPr>
            </w:pPr>
            <w:r>
              <w:rPr>
                <w:color w:val="auto"/>
                <w:highlight w:val="none"/>
              </w:rPr>
              <w:t>2</w:t>
            </w:r>
          </w:p>
        </w:tc>
        <w:tc>
          <w:tcPr>
            <w:tcW w:w="6096" w:type="dxa"/>
            <w:vAlign w:val="center"/>
          </w:tcPr>
          <w:p w14:paraId="005C7A3F">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76CA81E6">
            <w:pPr>
              <w:ind w:left="0" w:firstLine="0"/>
              <w:rPr>
                <w:color w:val="auto"/>
                <w:highlight w:val="none"/>
              </w:rPr>
            </w:pPr>
          </w:p>
        </w:tc>
        <w:tc>
          <w:tcPr>
            <w:tcW w:w="1098" w:type="dxa"/>
            <w:vMerge w:val="continue"/>
            <w:vAlign w:val="center"/>
          </w:tcPr>
          <w:p w14:paraId="51E64B8B">
            <w:pPr>
              <w:ind w:left="0" w:firstLine="0"/>
              <w:rPr>
                <w:color w:val="auto"/>
                <w:highlight w:val="none"/>
              </w:rPr>
            </w:pPr>
          </w:p>
        </w:tc>
      </w:tr>
      <w:tr w14:paraId="1AB2CA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D5159D0">
            <w:pPr>
              <w:ind w:left="0" w:firstLine="0"/>
              <w:jc w:val="center"/>
              <w:rPr>
                <w:color w:val="auto"/>
                <w:highlight w:val="none"/>
              </w:rPr>
            </w:pPr>
            <w:r>
              <w:rPr>
                <w:rFonts w:hint="eastAsia"/>
                <w:color w:val="auto"/>
                <w:highlight w:val="none"/>
              </w:rPr>
              <w:t>3</w:t>
            </w:r>
          </w:p>
        </w:tc>
        <w:tc>
          <w:tcPr>
            <w:tcW w:w="6096" w:type="dxa"/>
            <w:vAlign w:val="center"/>
          </w:tcPr>
          <w:p w14:paraId="74EF5574">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1CAE3BA1">
            <w:pPr>
              <w:ind w:left="0" w:firstLine="0"/>
              <w:rPr>
                <w:color w:val="auto"/>
                <w:highlight w:val="none"/>
              </w:rPr>
            </w:pPr>
          </w:p>
        </w:tc>
        <w:tc>
          <w:tcPr>
            <w:tcW w:w="1098" w:type="dxa"/>
            <w:vMerge w:val="continue"/>
            <w:vAlign w:val="center"/>
          </w:tcPr>
          <w:p w14:paraId="633245F6">
            <w:pPr>
              <w:ind w:left="0" w:firstLine="0"/>
              <w:rPr>
                <w:color w:val="auto"/>
                <w:highlight w:val="none"/>
              </w:rPr>
            </w:pPr>
          </w:p>
        </w:tc>
      </w:tr>
      <w:tr w14:paraId="0BB548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5805076F">
            <w:pPr>
              <w:ind w:left="0" w:firstLine="0"/>
              <w:jc w:val="center"/>
              <w:rPr>
                <w:color w:val="auto"/>
                <w:highlight w:val="none"/>
              </w:rPr>
            </w:pPr>
            <w:r>
              <w:rPr>
                <w:rFonts w:hint="eastAsia"/>
                <w:color w:val="auto"/>
                <w:highlight w:val="none"/>
              </w:rPr>
              <w:t>4</w:t>
            </w:r>
          </w:p>
        </w:tc>
        <w:tc>
          <w:tcPr>
            <w:tcW w:w="6096" w:type="dxa"/>
            <w:vAlign w:val="center"/>
          </w:tcPr>
          <w:p w14:paraId="53FB0A89">
            <w:pPr>
              <w:ind w:left="0" w:firstLine="0"/>
              <w:rPr>
                <w:color w:val="auto"/>
                <w:highlight w:val="none"/>
              </w:rPr>
            </w:pPr>
            <w:r>
              <w:rPr>
                <w:rFonts w:hint="eastAsia"/>
                <w:color w:val="auto"/>
                <w:highlight w:val="none"/>
              </w:rPr>
              <w:t>在比选申请文件中无虚假资料的</w:t>
            </w:r>
          </w:p>
        </w:tc>
        <w:tc>
          <w:tcPr>
            <w:tcW w:w="1134" w:type="dxa"/>
          </w:tcPr>
          <w:p w14:paraId="60D0021C">
            <w:pPr>
              <w:ind w:left="0" w:firstLine="0"/>
              <w:rPr>
                <w:color w:val="auto"/>
                <w:highlight w:val="none"/>
              </w:rPr>
            </w:pPr>
          </w:p>
        </w:tc>
        <w:tc>
          <w:tcPr>
            <w:tcW w:w="1098" w:type="dxa"/>
            <w:vMerge w:val="continue"/>
            <w:vAlign w:val="center"/>
          </w:tcPr>
          <w:p w14:paraId="26EDCBEF">
            <w:pPr>
              <w:ind w:left="0" w:firstLine="0"/>
              <w:rPr>
                <w:color w:val="auto"/>
                <w:highlight w:val="none"/>
              </w:rPr>
            </w:pPr>
          </w:p>
        </w:tc>
      </w:tr>
      <w:tr w14:paraId="68E41A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44ACE997">
            <w:pPr>
              <w:ind w:left="0" w:firstLine="0"/>
              <w:jc w:val="center"/>
              <w:rPr>
                <w:color w:val="auto"/>
                <w:highlight w:val="none"/>
              </w:rPr>
            </w:pPr>
            <w:r>
              <w:rPr>
                <w:rFonts w:hint="eastAsia"/>
                <w:color w:val="auto"/>
                <w:highlight w:val="none"/>
              </w:rPr>
              <w:t>5</w:t>
            </w:r>
          </w:p>
        </w:tc>
        <w:tc>
          <w:tcPr>
            <w:tcW w:w="6096" w:type="dxa"/>
            <w:vAlign w:val="center"/>
          </w:tcPr>
          <w:p w14:paraId="388A31AE">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28A0A24D">
            <w:pPr>
              <w:ind w:left="0" w:firstLine="0"/>
              <w:rPr>
                <w:color w:val="auto"/>
                <w:highlight w:val="none"/>
              </w:rPr>
            </w:pPr>
          </w:p>
        </w:tc>
        <w:tc>
          <w:tcPr>
            <w:tcW w:w="1098" w:type="dxa"/>
            <w:vMerge w:val="continue"/>
            <w:vAlign w:val="center"/>
          </w:tcPr>
          <w:p w14:paraId="357F1F64">
            <w:pPr>
              <w:ind w:left="0" w:firstLine="0"/>
              <w:rPr>
                <w:color w:val="auto"/>
                <w:highlight w:val="none"/>
              </w:rPr>
            </w:pPr>
          </w:p>
        </w:tc>
      </w:tr>
      <w:tr w14:paraId="71A052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11E2B595">
            <w:pPr>
              <w:ind w:left="0" w:firstLine="0"/>
              <w:jc w:val="center"/>
              <w:rPr>
                <w:color w:val="auto"/>
                <w:highlight w:val="none"/>
              </w:rPr>
            </w:pPr>
            <w:r>
              <w:rPr>
                <w:rFonts w:hint="eastAsia"/>
                <w:color w:val="auto"/>
                <w:highlight w:val="none"/>
              </w:rPr>
              <w:t>6</w:t>
            </w:r>
          </w:p>
        </w:tc>
        <w:tc>
          <w:tcPr>
            <w:tcW w:w="6096" w:type="dxa"/>
            <w:vAlign w:val="center"/>
          </w:tcPr>
          <w:p w14:paraId="415CBE57">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1DFEE5B3">
            <w:pPr>
              <w:ind w:left="0" w:firstLine="0"/>
              <w:rPr>
                <w:color w:val="auto"/>
                <w:highlight w:val="none"/>
              </w:rPr>
            </w:pPr>
          </w:p>
        </w:tc>
        <w:tc>
          <w:tcPr>
            <w:tcW w:w="1098" w:type="dxa"/>
            <w:vMerge w:val="continue"/>
            <w:vAlign w:val="center"/>
          </w:tcPr>
          <w:p w14:paraId="56BED28D">
            <w:pPr>
              <w:ind w:left="0" w:firstLine="0"/>
              <w:rPr>
                <w:color w:val="auto"/>
                <w:highlight w:val="none"/>
              </w:rPr>
            </w:pPr>
          </w:p>
        </w:tc>
      </w:tr>
      <w:tr w14:paraId="52721B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2E9730B1">
            <w:pPr>
              <w:ind w:left="0" w:firstLine="0"/>
              <w:jc w:val="center"/>
              <w:rPr>
                <w:color w:val="auto"/>
                <w:highlight w:val="none"/>
              </w:rPr>
            </w:pPr>
            <w:r>
              <w:rPr>
                <w:rFonts w:hint="eastAsia"/>
                <w:color w:val="auto"/>
                <w:highlight w:val="none"/>
              </w:rPr>
              <w:t>7</w:t>
            </w:r>
          </w:p>
        </w:tc>
        <w:tc>
          <w:tcPr>
            <w:tcW w:w="6096" w:type="dxa"/>
            <w:vAlign w:val="center"/>
          </w:tcPr>
          <w:p w14:paraId="7933B277">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4F5279F6">
            <w:pPr>
              <w:ind w:left="0" w:firstLine="0"/>
              <w:rPr>
                <w:color w:val="auto"/>
                <w:highlight w:val="none"/>
              </w:rPr>
            </w:pPr>
          </w:p>
        </w:tc>
        <w:tc>
          <w:tcPr>
            <w:tcW w:w="1098" w:type="dxa"/>
            <w:vMerge w:val="continue"/>
            <w:vAlign w:val="center"/>
          </w:tcPr>
          <w:p w14:paraId="2A1DC097">
            <w:pPr>
              <w:ind w:left="0" w:firstLine="0"/>
              <w:rPr>
                <w:color w:val="auto"/>
                <w:highlight w:val="none"/>
              </w:rPr>
            </w:pPr>
          </w:p>
        </w:tc>
      </w:tr>
    </w:tbl>
    <w:p w14:paraId="7E9F65BE">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440F37CA">
      <w:pPr>
        <w:pStyle w:val="2"/>
        <w:ind w:firstLine="480"/>
        <w:rPr>
          <w:rFonts w:eastAsiaTheme="minorEastAsia"/>
          <w:color w:val="auto"/>
          <w:highlight w:val="none"/>
        </w:rPr>
      </w:pPr>
    </w:p>
    <w:p w14:paraId="16DC0D56">
      <w:pPr>
        <w:spacing w:before="0" w:after="0"/>
        <w:ind w:left="0" w:right="0" w:firstLine="0"/>
        <w:rPr>
          <w:b/>
          <w:bCs/>
          <w:color w:val="auto"/>
          <w:highlight w:val="none"/>
        </w:rPr>
      </w:pPr>
    </w:p>
    <w:p w14:paraId="12F864A0">
      <w:pPr>
        <w:spacing w:before="0" w:after="0"/>
        <w:ind w:left="0" w:right="0" w:firstLine="0"/>
        <w:rPr>
          <w:b/>
          <w:bCs/>
          <w:color w:val="auto"/>
          <w:highlight w:val="none"/>
        </w:rPr>
      </w:pPr>
    </w:p>
    <w:p w14:paraId="5E39136F">
      <w:pPr>
        <w:spacing w:before="0" w:after="0"/>
        <w:ind w:left="0" w:right="0" w:firstLine="0"/>
        <w:rPr>
          <w:b/>
          <w:bCs/>
          <w:color w:val="auto"/>
          <w:highlight w:val="none"/>
        </w:rPr>
      </w:pPr>
    </w:p>
    <w:p w14:paraId="4EAB63D6">
      <w:pPr>
        <w:spacing w:before="0" w:after="0"/>
        <w:ind w:left="0" w:right="0" w:firstLine="0"/>
        <w:rPr>
          <w:b/>
          <w:bCs/>
          <w:color w:val="auto"/>
          <w:highlight w:val="none"/>
        </w:rPr>
      </w:pPr>
    </w:p>
    <w:p w14:paraId="2021F2C5">
      <w:pPr>
        <w:spacing w:before="0" w:after="0"/>
        <w:ind w:left="0" w:right="0" w:firstLine="0"/>
        <w:rPr>
          <w:b/>
          <w:bCs/>
          <w:color w:val="auto"/>
          <w:highlight w:val="none"/>
        </w:rPr>
      </w:pPr>
    </w:p>
    <w:p w14:paraId="516B23DE">
      <w:pPr>
        <w:spacing w:before="0" w:after="0"/>
        <w:ind w:left="0" w:right="0" w:firstLine="0"/>
        <w:rPr>
          <w:b/>
          <w:bCs/>
          <w:color w:val="auto"/>
          <w:highlight w:val="none"/>
        </w:rPr>
      </w:pPr>
    </w:p>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14:paraId="164BCD40">
      <w:pPr>
        <w:spacing w:before="0" w:after="0" w:afterAutospacing="0" w:line="240" w:lineRule="auto"/>
        <w:ind w:left="0" w:right="0" w:firstLine="0"/>
        <w:jc w:val="left"/>
        <w:rPr>
          <w:rFonts w:hint="eastAsia" w:ascii="宋体" w:hAnsi="宋体"/>
          <w:b/>
          <w:color w:val="auto"/>
          <w:highlight w:val="none"/>
        </w:rPr>
        <w:sectPr>
          <w:footerReference r:id="rId14" w:type="default"/>
          <w:pgSz w:w="11905" w:h="16838"/>
          <w:pgMar w:top="1418" w:right="1418" w:bottom="1418" w:left="1418" w:header="454" w:footer="567" w:gutter="0"/>
          <w:pgBorders>
            <w:top w:val="none" w:sz="0" w:space="0"/>
            <w:left w:val="none" w:sz="0" w:space="0"/>
            <w:bottom w:val="none" w:sz="0" w:space="0"/>
            <w:right w:val="none" w:sz="0" w:space="0"/>
          </w:pgBorders>
          <w:cols w:space="720" w:num="1"/>
          <w:docGrid w:linePitch="319" w:charSpace="0"/>
        </w:sectPr>
      </w:pPr>
    </w:p>
    <w:p w14:paraId="750DBC4E">
      <w:pPr>
        <w:spacing w:before="0" w:after="0"/>
        <w:ind w:left="0" w:right="0" w:firstLine="0"/>
        <w:rPr>
          <w:b/>
          <w:bCs/>
          <w:color w:val="auto"/>
          <w:highlight w:val="none"/>
        </w:rPr>
      </w:pPr>
      <w:r>
        <w:rPr>
          <w:rFonts w:hint="eastAsia"/>
          <w:b/>
          <w:bCs/>
          <w:color w:val="auto"/>
          <w:highlight w:val="none"/>
        </w:rPr>
        <w:t>附表三  《技术文件评分表》</w:t>
      </w:r>
    </w:p>
    <w:tbl>
      <w:tblPr>
        <w:tblStyle w:val="36"/>
        <w:tblW w:w="0" w:type="auto"/>
        <w:jc w:val="center"/>
        <w:tblLayout w:type="fixed"/>
        <w:tblCellMar>
          <w:top w:w="0" w:type="dxa"/>
          <w:left w:w="108" w:type="dxa"/>
          <w:bottom w:w="0" w:type="dxa"/>
          <w:right w:w="108" w:type="dxa"/>
        </w:tblCellMar>
      </w:tblPr>
      <w:tblGrid>
        <w:gridCol w:w="650"/>
        <w:gridCol w:w="1357"/>
        <w:gridCol w:w="1350"/>
        <w:gridCol w:w="5100"/>
        <w:gridCol w:w="829"/>
      </w:tblGrid>
      <w:tr w14:paraId="7AFBA144">
        <w:tblPrEx>
          <w:tblCellMar>
            <w:top w:w="0" w:type="dxa"/>
            <w:left w:w="108" w:type="dxa"/>
            <w:bottom w:w="0" w:type="dxa"/>
            <w:right w:w="108" w:type="dxa"/>
          </w:tblCellMar>
        </w:tblPrEx>
        <w:trPr>
          <w:trHeight w:val="580"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2AFDF50C">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序号</w:t>
            </w:r>
          </w:p>
        </w:tc>
        <w:tc>
          <w:tcPr>
            <w:tcW w:w="1357" w:type="dxa"/>
            <w:tcBorders>
              <w:top w:val="single" w:color="000000" w:sz="4" w:space="0"/>
              <w:left w:val="single" w:color="000000" w:sz="4" w:space="0"/>
              <w:bottom w:val="single" w:color="000000" w:sz="4" w:space="0"/>
              <w:right w:val="single" w:color="000000" w:sz="4" w:space="0"/>
            </w:tcBorders>
            <w:noWrap/>
            <w:vAlign w:val="center"/>
          </w:tcPr>
          <w:p w14:paraId="6BAE98CF">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评审项目和内容</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24293A08">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标准分</w:t>
            </w:r>
          </w:p>
        </w:tc>
        <w:tc>
          <w:tcPr>
            <w:tcW w:w="5100" w:type="dxa"/>
            <w:tcBorders>
              <w:top w:val="single" w:color="000000" w:sz="4" w:space="0"/>
              <w:left w:val="single" w:color="000000" w:sz="4" w:space="0"/>
              <w:bottom w:val="single" w:color="000000" w:sz="4" w:space="0"/>
              <w:right w:val="single" w:color="000000" w:sz="4" w:space="0"/>
            </w:tcBorders>
            <w:noWrap/>
            <w:vAlign w:val="center"/>
          </w:tcPr>
          <w:p w14:paraId="5CA4100F">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评审标准</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1D08F069">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备注</w:t>
            </w:r>
          </w:p>
        </w:tc>
      </w:tr>
      <w:tr w14:paraId="557A522C">
        <w:tblPrEx>
          <w:tblCellMar>
            <w:top w:w="0" w:type="dxa"/>
            <w:left w:w="108" w:type="dxa"/>
            <w:bottom w:w="0" w:type="dxa"/>
            <w:right w:w="108" w:type="dxa"/>
          </w:tblCellMar>
        </w:tblPrEx>
        <w:trPr>
          <w:trHeight w:val="718" w:hRule="atLeast"/>
          <w:jc w:val="center"/>
        </w:trPr>
        <w:tc>
          <w:tcPr>
            <w:tcW w:w="650" w:type="dxa"/>
            <w:vMerge w:val="restart"/>
            <w:tcBorders>
              <w:top w:val="single" w:color="000000" w:sz="4" w:space="0"/>
              <w:left w:val="single" w:color="000000" w:sz="4" w:space="0"/>
              <w:right w:val="single" w:color="000000" w:sz="4" w:space="0"/>
            </w:tcBorders>
            <w:noWrap/>
            <w:vAlign w:val="center"/>
          </w:tcPr>
          <w:p w14:paraId="14CEA766">
            <w:pPr>
              <w:spacing w:before="0" w:after="0" w:afterAutospacing="0" w:line="240" w:lineRule="auto"/>
              <w:ind w:left="0" w:right="0"/>
              <w:jc w:val="center"/>
              <w:textAlignment w:val="center"/>
              <w:rPr>
                <w:rFonts w:hint="eastAsia" w:ascii="宋体" w:hAnsi="宋体" w:cs="宋体"/>
                <w:color w:val="auto"/>
                <w:highlight w:val="none"/>
                <w:lang w:val="en-US" w:eastAsia="zh-CN"/>
              </w:rPr>
            </w:pPr>
          </w:p>
          <w:p w14:paraId="050BFF50">
            <w:pPr>
              <w:bidi w:val="0"/>
              <w:jc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1</w:t>
            </w:r>
          </w:p>
        </w:tc>
        <w:tc>
          <w:tcPr>
            <w:tcW w:w="1357" w:type="dxa"/>
            <w:vMerge w:val="restart"/>
            <w:tcBorders>
              <w:top w:val="single" w:color="000000" w:sz="4" w:space="0"/>
              <w:left w:val="single" w:color="000000" w:sz="4" w:space="0"/>
              <w:bottom w:val="single" w:color="000000" w:sz="4" w:space="0"/>
              <w:right w:val="single" w:color="000000" w:sz="4" w:space="0"/>
            </w:tcBorders>
            <w:vAlign w:val="center"/>
          </w:tcPr>
          <w:p w14:paraId="56EB5D4F">
            <w:pPr>
              <w:spacing w:before="0" w:after="0" w:afterAutospacing="0" w:line="24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人员配置</w:t>
            </w:r>
            <w:r>
              <w:rPr>
                <w:rFonts w:hint="eastAsia" w:ascii="宋体" w:hAnsi="宋体" w:cs="宋体"/>
                <w:b/>
                <w:bCs/>
                <w:color w:val="auto"/>
                <w:sz w:val="18"/>
                <w:szCs w:val="18"/>
                <w:highlight w:val="none"/>
                <w:lang w:bidi="ar"/>
              </w:rPr>
              <w:br w:type="textWrapping"/>
            </w:r>
            <w:r>
              <w:rPr>
                <w:rFonts w:hint="eastAsia" w:ascii="宋体" w:hAnsi="宋体" w:cs="宋体"/>
                <w:b/>
                <w:bCs/>
                <w:color w:val="auto"/>
                <w:sz w:val="18"/>
                <w:szCs w:val="18"/>
                <w:highlight w:val="none"/>
                <w:lang w:bidi="ar"/>
              </w:rPr>
              <w:t>（15分）</w:t>
            </w:r>
          </w:p>
        </w:tc>
        <w:tc>
          <w:tcPr>
            <w:tcW w:w="1350" w:type="dxa"/>
            <w:tcBorders>
              <w:top w:val="single" w:color="000000" w:sz="4" w:space="0"/>
              <w:left w:val="single" w:color="000000" w:sz="4" w:space="0"/>
              <w:right w:val="single" w:color="000000" w:sz="4" w:space="0"/>
            </w:tcBorders>
            <w:noWrap/>
            <w:vAlign w:val="center"/>
          </w:tcPr>
          <w:p w14:paraId="1E67762B">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000000" w:sz="4" w:space="0"/>
              <w:right w:val="single" w:color="000000" w:sz="4" w:space="0"/>
            </w:tcBorders>
            <w:vAlign w:val="center"/>
          </w:tcPr>
          <w:p w14:paraId="022D1AA1">
            <w:pPr>
              <w:spacing w:before="0" w:after="0" w:afterAutospacing="0" w:line="240" w:lineRule="auto"/>
              <w:ind w:left="0" w:right="0" w:firstLine="0"/>
              <w:rPr>
                <w:color w:val="auto"/>
                <w:kern w:val="2"/>
                <w:highlight w:val="none"/>
              </w:rPr>
            </w:pPr>
            <w:r>
              <w:rPr>
                <w:rFonts w:hint="eastAsia"/>
                <w:color w:val="auto"/>
                <w:kern w:val="2"/>
                <w:highlight w:val="none"/>
              </w:rPr>
              <w:t xml:space="preserve">拟投入本项目装修设计专业人员总人数不少于 </w:t>
            </w:r>
            <w:r>
              <w:rPr>
                <w:rFonts w:hint="eastAsia"/>
                <w:color w:val="auto"/>
                <w:kern w:val="2"/>
                <w:highlight w:val="none"/>
                <w:lang w:val="en-US" w:eastAsia="zh-CN"/>
              </w:rPr>
              <w:t>4</w:t>
            </w:r>
            <w:r>
              <w:rPr>
                <w:rFonts w:hint="eastAsia"/>
                <w:color w:val="auto"/>
                <w:kern w:val="2"/>
                <w:highlight w:val="none"/>
              </w:rPr>
              <w:t>人；</w:t>
            </w:r>
          </w:p>
        </w:tc>
        <w:tc>
          <w:tcPr>
            <w:tcW w:w="829" w:type="dxa"/>
            <w:vMerge w:val="restart"/>
            <w:tcBorders>
              <w:top w:val="single" w:color="000000" w:sz="4" w:space="0"/>
              <w:left w:val="single" w:color="000000" w:sz="4" w:space="0"/>
              <w:right w:val="single" w:color="000000" w:sz="4" w:space="0"/>
            </w:tcBorders>
            <w:noWrap/>
            <w:vAlign w:val="center"/>
          </w:tcPr>
          <w:p w14:paraId="17633F26">
            <w:pPr>
              <w:spacing w:before="0" w:after="0" w:afterAutospacing="0" w:line="240" w:lineRule="auto"/>
              <w:ind w:left="0" w:right="0"/>
              <w:rPr>
                <w:rFonts w:hint="eastAsia" w:ascii="宋体" w:hAnsi="宋体" w:cs="宋体"/>
                <w:color w:val="auto"/>
                <w:sz w:val="22"/>
                <w:szCs w:val="22"/>
                <w:highlight w:val="none"/>
              </w:rPr>
            </w:pPr>
          </w:p>
        </w:tc>
      </w:tr>
      <w:tr w14:paraId="048531B5">
        <w:tblPrEx>
          <w:tblCellMar>
            <w:top w:w="0" w:type="dxa"/>
            <w:left w:w="108" w:type="dxa"/>
            <w:bottom w:w="0" w:type="dxa"/>
            <w:right w:w="108" w:type="dxa"/>
          </w:tblCellMar>
        </w:tblPrEx>
        <w:trPr>
          <w:trHeight w:val="623" w:hRule="atLeast"/>
          <w:jc w:val="center"/>
        </w:trPr>
        <w:tc>
          <w:tcPr>
            <w:tcW w:w="650" w:type="dxa"/>
            <w:vMerge w:val="continue"/>
            <w:tcBorders>
              <w:left w:val="single" w:color="000000" w:sz="4" w:space="0"/>
              <w:right w:val="single" w:color="000000" w:sz="4" w:space="0"/>
            </w:tcBorders>
            <w:noWrap/>
            <w:vAlign w:val="center"/>
          </w:tcPr>
          <w:p w14:paraId="50AF49C2">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top w:val="single" w:color="000000" w:sz="4" w:space="0"/>
              <w:left w:val="single" w:color="000000" w:sz="4" w:space="0"/>
              <w:bottom w:val="single" w:color="000000" w:sz="4" w:space="0"/>
              <w:right w:val="single" w:color="000000" w:sz="4" w:space="0"/>
            </w:tcBorders>
            <w:vAlign w:val="center"/>
          </w:tcPr>
          <w:p w14:paraId="6FAD8744">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right w:val="single" w:color="000000" w:sz="4" w:space="0"/>
            </w:tcBorders>
            <w:noWrap/>
            <w:vAlign w:val="center"/>
          </w:tcPr>
          <w:p w14:paraId="6F2B3C34">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10&lt;m≤12</w:t>
            </w:r>
          </w:p>
        </w:tc>
        <w:tc>
          <w:tcPr>
            <w:tcW w:w="5100" w:type="dxa"/>
            <w:tcBorders>
              <w:top w:val="single" w:color="000000" w:sz="4" w:space="0"/>
              <w:left w:val="single" w:color="000000" w:sz="4" w:space="0"/>
              <w:bottom w:val="single" w:color="000000" w:sz="4" w:space="0"/>
              <w:right w:val="single" w:color="000000" w:sz="4" w:space="0"/>
            </w:tcBorders>
            <w:vAlign w:val="center"/>
          </w:tcPr>
          <w:p w14:paraId="68B18482">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3人；</w:t>
            </w:r>
          </w:p>
        </w:tc>
        <w:tc>
          <w:tcPr>
            <w:tcW w:w="829" w:type="dxa"/>
            <w:vMerge w:val="continue"/>
            <w:tcBorders>
              <w:left w:val="single" w:color="000000" w:sz="4" w:space="0"/>
              <w:right w:val="single" w:color="000000" w:sz="4" w:space="0"/>
            </w:tcBorders>
            <w:noWrap/>
            <w:vAlign w:val="center"/>
          </w:tcPr>
          <w:p w14:paraId="7D356589">
            <w:pPr>
              <w:spacing w:before="0" w:after="0" w:afterAutospacing="0" w:line="240" w:lineRule="auto"/>
              <w:ind w:left="0" w:right="0"/>
              <w:jc w:val="center"/>
              <w:rPr>
                <w:rFonts w:hint="eastAsia" w:ascii="宋体" w:hAnsi="宋体" w:cs="宋体"/>
                <w:color w:val="auto"/>
                <w:highlight w:val="none"/>
              </w:rPr>
            </w:pPr>
          </w:p>
        </w:tc>
      </w:tr>
      <w:tr w14:paraId="4E6C9F64">
        <w:tblPrEx>
          <w:tblCellMar>
            <w:top w:w="0" w:type="dxa"/>
            <w:left w:w="108" w:type="dxa"/>
            <w:bottom w:w="0" w:type="dxa"/>
            <w:right w:w="108" w:type="dxa"/>
          </w:tblCellMar>
        </w:tblPrEx>
        <w:trPr>
          <w:trHeight w:val="490" w:hRule="atLeast"/>
          <w:jc w:val="center"/>
        </w:trPr>
        <w:tc>
          <w:tcPr>
            <w:tcW w:w="650" w:type="dxa"/>
            <w:vMerge w:val="continue"/>
            <w:tcBorders>
              <w:left w:val="single" w:color="000000" w:sz="4" w:space="0"/>
              <w:bottom w:val="single" w:color="000000" w:sz="4" w:space="0"/>
              <w:right w:val="single" w:color="000000" w:sz="4" w:space="0"/>
            </w:tcBorders>
            <w:noWrap/>
            <w:vAlign w:val="center"/>
          </w:tcPr>
          <w:p w14:paraId="04D0A6D4">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top w:val="single" w:color="000000" w:sz="4" w:space="0"/>
              <w:left w:val="single" w:color="000000" w:sz="4" w:space="0"/>
              <w:bottom w:val="single" w:color="000000" w:sz="4" w:space="0"/>
              <w:right w:val="single" w:color="000000" w:sz="4" w:space="0"/>
            </w:tcBorders>
            <w:vAlign w:val="center"/>
          </w:tcPr>
          <w:p w14:paraId="539CBDB9">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right w:val="single" w:color="000000" w:sz="4" w:space="0"/>
            </w:tcBorders>
            <w:noWrap/>
            <w:vAlign w:val="center"/>
          </w:tcPr>
          <w:p w14:paraId="3F275094">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0&lt;m≤10</w:t>
            </w:r>
          </w:p>
        </w:tc>
        <w:tc>
          <w:tcPr>
            <w:tcW w:w="5100" w:type="dxa"/>
            <w:tcBorders>
              <w:top w:val="single" w:color="000000" w:sz="4" w:space="0"/>
              <w:left w:val="single" w:color="000000" w:sz="4" w:space="0"/>
              <w:bottom w:val="single" w:color="000000" w:sz="4" w:space="0"/>
              <w:right w:val="single" w:color="000000" w:sz="4" w:space="0"/>
            </w:tcBorders>
            <w:vAlign w:val="center"/>
          </w:tcPr>
          <w:p w14:paraId="624B0698">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2人；</w:t>
            </w:r>
          </w:p>
        </w:tc>
        <w:tc>
          <w:tcPr>
            <w:tcW w:w="829" w:type="dxa"/>
            <w:vMerge w:val="continue"/>
            <w:tcBorders>
              <w:left w:val="single" w:color="000000" w:sz="4" w:space="0"/>
              <w:bottom w:val="single" w:color="000000" w:sz="4" w:space="0"/>
              <w:right w:val="single" w:color="000000" w:sz="4" w:space="0"/>
            </w:tcBorders>
            <w:noWrap/>
            <w:vAlign w:val="center"/>
          </w:tcPr>
          <w:p w14:paraId="7348E456">
            <w:pPr>
              <w:spacing w:before="0" w:after="0" w:afterAutospacing="0" w:line="240" w:lineRule="auto"/>
              <w:ind w:left="0" w:right="0"/>
              <w:jc w:val="center"/>
              <w:rPr>
                <w:rFonts w:hint="eastAsia" w:ascii="宋体" w:hAnsi="宋体" w:cs="宋体"/>
                <w:color w:val="auto"/>
                <w:highlight w:val="none"/>
              </w:rPr>
            </w:pPr>
          </w:p>
        </w:tc>
      </w:tr>
      <w:tr w14:paraId="760167CC">
        <w:tblPrEx>
          <w:tblCellMar>
            <w:top w:w="0" w:type="dxa"/>
            <w:left w:w="108" w:type="dxa"/>
            <w:bottom w:w="0" w:type="dxa"/>
            <w:right w:w="108" w:type="dxa"/>
          </w:tblCellMar>
        </w:tblPrEx>
        <w:trPr>
          <w:trHeight w:val="546"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noWrap/>
            <w:vAlign w:val="center"/>
          </w:tcPr>
          <w:p w14:paraId="0D6F763F">
            <w:pPr>
              <w:spacing w:before="0" w:after="0" w:afterAutospacing="0" w:line="240" w:lineRule="auto"/>
              <w:ind w:left="0" w:right="0"/>
              <w:jc w:val="center"/>
              <w:textAlignment w:val="center"/>
              <w:rPr>
                <w:rFonts w:hint="eastAsia" w:ascii="宋体" w:hAnsi="宋体" w:cs="宋体"/>
                <w:color w:val="auto"/>
                <w:highlight w:val="none"/>
                <w:lang w:val="en-US" w:eastAsia="zh-CN"/>
              </w:rPr>
            </w:pPr>
          </w:p>
          <w:p w14:paraId="0D697139">
            <w:pPr>
              <w:bidi w:val="0"/>
              <w:jc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2</w:t>
            </w:r>
          </w:p>
          <w:p w14:paraId="4C444C14">
            <w:pPr>
              <w:bidi w:val="0"/>
              <w:jc w:val="center"/>
              <w:rPr>
                <w:rFonts w:hint="eastAsia" w:cs="Times New Roman"/>
                <w:color w:val="auto"/>
                <w:sz w:val="21"/>
                <w:szCs w:val="21"/>
                <w:highlight w:val="none"/>
                <w:lang w:val="en-US" w:eastAsia="zh-CN" w:bidi="ar-SA"/>
              </w:rPr>
            </w:pPr>
          </w:p>
        </w:tc>
        <w:tc>
          <w:tcPr>
            <w:tcW w:w="1357" w:type="dxa"/>
            <w:vMerge w:val="restart"/>
            <w:tcBorders>
              <w:top w:val="single" w:color="000000" w:sz="4" w:space="0"/>
              <w:left w:val="single" w:color="000000" w:sz="4" w:space="0"/>
              <w:right w:val="single" w:color="000000" w:sz="4" w:space="0"/>
            </w:tcBorders>
            <w:vAlign w:val="center"/>
          </w:tcPr>
          <w:p w14:paraId="08181925">
            <w:pPr>
              <w:pStyle w:val="2"/>
              <w:spacing w:before="0" w:after="0" w:afterAutospacing="0"/>
              <w:ind w:left="0" w:leftChars="0" w:right="0" w:firstLine="0" w:firstLineChars="0"/>
              <w:jc w:val="center"/>
              <w:rPr>
                <w:rFonts w:hint="eastAsia" w:ascii="宋体" w:hAnsi="宋体" w:eastAsia="宋体" w:cs="宋体"/>
                <w:color w:val="auto"/>
                <w:sz w:val="21"/>
                <w:highlight w:val="none"/>
                <w:lang w:bidi="ar"/>
              </w:rPr>
            </w:pPr>
            <w:r>
              <w:rPr>
                <w:rFonts w:hint="eastAsia" w:ascii="宋体" w:hAnsi="宋体" w:eastAsia="宋体" w:cs="宋体"/>
                <w:b/>
                <w:bCs/>
                <w:color w:val="auto"/>
                <w:sz w:val="21"/>
                <w:highlight w:val="none"/>
                <w:lang w:bidi="ar"/>
              </w:rPr>
              <w:t>设计服务方案（1</w:t>
            </w:r>
            <w:r>
              <w:rPr>
                <w:rFonts w:hint="eastAsia" w:ascii="宋体" w:hAnsi="宋体" w:eastAsia="宋体" w:cs="宋体"/>
                <w:b/>
                <w:bCs/>
                <w:color w:val="auto"/>
                <w:sz w:val="21"/>
                <w:highlight w:val="none"/>
                <w:lang w:val="en-US" w:eastAsia="zh-CN" w:bidi="ar"/>
              </w:rPr>
              <w:t>5</w:t>
            </w:r>
            <w:r>
              <w:rPr>
                <w:rFonts w:hint="eastAsia" w:ascii="宋体" w:hAnsi="宋体" w:eastAsia="宋体" w:cs="宋体"/>
                <w:b/>
                <w:bCs/>
                <w:color w:val="auto"/>
                <w:sz w:val="21"/>
                <w:highlight w:val="none"/>
                <w:lang w:bidi="ar"/>
              </w:rPr>
              <w:t>分）</w:t>
            </w:r>
          </w:p>
        </w:tc>
        <w:tc>
          <w:tcPr>
            <w:tcW w:w="1350" w:type="dxa"/>
            <w:tcBorders>
              <w:top w:val="single" w:color="000000" w:sz="4" w:space="0"/>
              <w:left w:val="single" w:color="000000" w:sz="4" w:space="0"/>
              <w:bottom w:val="single" w:color="auto" w:sz="4" w:space="0"/>
              <w:right w:val="single" w:color="000000" w:sz="4" w:space="0"/>
            </w:tcBorders>
            <w:noWrap/>
            <w:vAlign w:val="center"/>
          </w:tcPr>
          <w:p w14:paraId="1F895425">
            <w:pPr>
              <w:spacing w:before="0" w:after="0" w:afterAutospacing="0" w:line="240" w:lineRule="auto"/>
              <w:ind w:left="0" w:leftChars="0" w:right="0" w:rightChars="0" w:firstLine="0" w:firstLineChars="0"/>
              <w:jc w:val="center"/>
              <w:textAlignment w:val="center"/>
              <w:rPr>
                <w:rFonts w:hint="eastAsia" w:ascii="宋体" w:hAnsi="宋体" w:eastAsia="宋体" w:cs="宋体"/>
                <w:color w:val="auto"/>
                <w:highlight w:val="none"/>
                <w:lang w:eastAsia="zh-CN" w:bidi="ar"/>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auto" w:sz="4" w:space="0"/>
              <w:right w:val="single" w:color="000000" w:sz="4" w:space="0"/>
            </w:tcBorders>
            <w:vAlign w:val="center"/>
          </w:tcPr>
          <w:p w14:paraId="726DCFA7">
            <w:pPr>
              <w:spacing w:before="0" w:after="0" w:afterAutospacing="0" w:line="240" w:lineRule="auto"/>
              <w:ind w:left="0" w:right="0" w:firstLine="0"/>
              <w:rPr>
                <w:color w:val="auto"/>
                <w:kern w:val="2"/>
                <w:highlight w:val="none"/>
              </w:rPr>
            </w:pPr>
            <w:r>
              <w:rPr>
                <w:rFonts w:hint="eastAsia"/>
                <w:color w:val="auto"/>
                <w:kern w:val="2"/>
                <w:highlight w:val="none"/>
              </w:rPr>
              <w:t xml:space="preserve">设计实施方案科学合理，详尽有针对性。至少包含对项目所处区域建设条件的分析、对具体设计工作组织实施分析、对现状分析、能提出科学性建议、对设计造价分析与限额设计措施等内容，内容具体深刻，可行性很强。  </w:t>
            </w:r>
          </w:p>
        </w:tc>
        <w:tc>
          <w:tcPr>
            <w:tcW w:w="829" w:type="dxa"/>
            <w:vMerge w:val="restart"/>
            <w:tcBorders>
              <w:top w:val="single" w:color="000000" w:sz="4" w:space="0"/>
              <w:left w:val="single" w:color="000000" w:sz="4" w:space="0"/>
              <w:right w:val="single" w:color="000000" w:sz="4" w:space="0"/>
            </w:tcBorders>
            <w:noWrap/>
            <w:vAlign w:val="center"/>
          </w:tcPr>
          <w:p w14:paraId="79C42D0E">
            <w:pPr>
              <w:spacing w:before="0" w:after="0" w:afterAutospacing="0" w:line="240" w:lineRule="auto"/>
              <w:ind w:left="0" w:right="0" w:firstLine="0"/>
              <w:rPr>
                <w:rFonts w:hint="eastAsia" w:ascii="宋体" w:hAnsi="宋体" w:cs="宋体"/>
                <w:color w:val="auto"/>
                <w:highlight w:val="none"/>
              </w:rPr>
            </w:pPr>
            <w:r>
              <w:rPr>
                <w:rFonts w:hint="eastAsia"/>
                <w:b/>
                <w:bCs/>
                <w:color w:val="auto"/>
                <w:highlight w:val="none"/>
              </w:rPr>
              <w:t>服务建议书</w:t>
            </w:r>
          </w:p>
        </w:tc>
      </w:tr>
      <w:tr w14:paraId="138029E8">
        <w:tblPrEx>
          <w:tblCellMar>
            <w:top w:w="0" w:type="dxa"/>
            <w:left w:w="108" w:type="dxa"/>
            <w:bottom w:w="0" w:type="dxa"/>
            <w:right w:w="108" w:type="dxa"/>
          </w:tblCellMar>
        </w:tblPrEx>
        <w:trPr>
          <w:trHeight w:val="37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56B7A67F">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right w:val="single" w:color="000000" w:sz="4" w:space="0"/>
            </w:tcBorders>
            <w:vAlign w:val="center"/>
          </w:tcPr>
          <w:p w14:paraId="770EE23A">
            <w:pPr>
              <w:pStyle w:val="2"/>
              <w:spacing w:before="0" w:after="0" w:afterAutospacing="0"/>
              <w:ind w:left="0" w:leftChars="0" w:right="0" w:firstLine="0" w:firstLineChars="0"/>
              <w:jc w:val="center"/>
              <w:rPr>
                <w:rFonts w:ascii="宋体" w:hAnsi="宋体" w:cs="宋体"/>
                <w:b/>
                <w:bCs/>
                <w:color w:val="auto"/>
                <w:sz w:val="18"/>
                <w:szCs w:val="18"/>
                <w:highlight w:val="none"/>
              </w:rPr>
            </w:pPr>
          </w:p>
        </w:tc>
        <w:tc>
          <w:tcPr>
            <w:tcW w:w="1350" w:type="dxa"/>
            <w:tcBorders>
              <w:left w:val="single" w:color="000000" w:sz="4" w:space="0"/>
              <w:bottom w:val="single" w:color="auto" w:sz="4" w:space="0"/>
              <w:right w:val="single" w:color="000000" w:sz="4" w:space="0"/>
            </w:tcBorders>
            <w:noWrap/>
            <w:vAlign w:val="center"/>
          </w:tcPr>
          <w:p w14:paraId="1109B46C">
            <w:pPr>
              <w:spacing w:before="0" w:after="0" w:afterAutospacing="0" w:line="240" w:lineRule="auto"/>
              <w:ind w:left="0" w:leftChars="0" w:right="0" w:rightChars="0" w:firstLine="0" w:firstLineChars="0"/>
              <w:jc w:val="center"/>
              <w:textAlignment w:val="center"/>
              <w:rPr>
                <w:rFonts w:hint="default" w:ascii="宋体" w:hAnsi="宋体" w:eastAsia="宋体" w:cs="宋体"/>
                <w:color w:val="auto"/>
                <w:highlight w:val="none"/>
                <w:lang w:val="en-US" w:eastAsia="zh-CN" w:bidi="ar"/>
              </w:rPr>
            </w:pPr>
            <w:r>
              <w:rPr>
                <w:rFonts w:hint="eastAsia" w:ascii="宋体" w:hAnsi="宋体" w:cs="宋体"/>
                <w:color w:val="auto"/>
                <w:highlight w:val="none"/>
                <w:lang w:bidi="ar"/>
              </w:rPr>
              <w:t>10&lt;m≤12</w:t>
            </w:r>
          </w:p>
        </w:tc>
        <w:tc>
          <w:tcPr>
            <w:tcW w:w="5100" w:type="dxa"/>
            <w:tcBorders>
              <w:top w:val="single" w:color="auto" w:sz="4" w:space="0"/>
              <w:left w:val="single" w:color="000000" w:sz="4" w:space="0"/>
              <w:bottom w:val="single" w:color="auto" w:sz="4" w:space="0"/>
              <w:right w:val="single" w:color="000000" w:sz="4" w:space="0"/>
            </w:tcBorders>
            <w:vAlign w:val="center"/>
          </w:tcPr>
          <w:p w14:paraId="3C5B55B2">
            <w:pPr>
              <w:spacing w:before="0" w:after="0" w:afterAutospacing="0" w:line="240" w:lineRule="auto"/>
              <w:ind w:left="0" w:right="0" w:firstLine="0"/>
              <w:rPr>
                <w:color w:val="auto"/>
                <w:kern w:val="2"/>
                <w:highlight w:val="none"/>
              </w:rPr>
            </w:pPr>
            <w:r>
              <w:rPr>
                <w:rFonts w:hint="eastAsia"/>
                <w:color w:val="auto"/>
                <w:kern w:val="2"/>
                <w:highlight w:val="none"/>
              </w:rPr>
              <w:t>设计实施方案合理、明了。至少包含对具体设计工作组织实施分析、对设计现状分析、对设计造价分析与限额设计措施等内容，内容可行。</w:t>
            </w:r>
          </w:p>
        </w:tc>
        <w:tc>
          <w:tcPr>
            <w:tcW w:w="829" w:type="dxa"/>
            <w:vMerge w:val="continue"/>
            <w:tcBorders>
              <w:left w:val="single" w:color="000000" w:sz="4" w:space="0"/>
              <w:right w:val="single" w:color="000000" w:sz="4" w:space="0"/>
            </w:tcBorders>
            <w:noWrap/>
            <w:vAlign w:val="center"/>
          </w:tcPr>
          <w:p w14:paraId="16F36BED">
            <w:pPr>
              <w:spacing w:before="0" w:after="0" w:afterAutospacing="0" w:line="240" w:lineRule="auto"/>
              <w:ind w:left="0" w:right="0"/>
              <w:jc w:val="center"/>
              <w:rPr>
                <w:rFonts w:hint="eastAsia" w:ascii="宋体" w:hAnsi="宋体" w:cs="宋体"/>
                <w:color w:val="auto"/>
                <w:highlight w:val="none"/>
              </w:rPr>
            </w:pPr>
          </w:p>
        </w:tc>
      </w:tr>
      <w:tr w14:paraId="0EF55474">
        <w:tblPrEx>
          <w:tblCellMar>
            <w:top w:w="0" w:type="dxa"/>
            <w:left w:w="108" w:type="dxa"/>
            <w:bottom w:w="0" w:type="dxa"/>
            <w:right w:w="108" w:type="dxa"/>
          </w:tblCellMar>
        </w:tblPrEx>
        <w:trPr>
          <w:trHeight w:val="636"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66912965">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bottom w:val="single" w:color="auto" w:sz="4" w:space="0"/>
              <w:right w:val="single" w:color="000000" w:sz="4" w:space="0"/>
            </w:tcBorders>
            <w:vAlign w:val="center"/>
          </w:tcPr>
          <w:p w14:paraId="0FB48516">
            <w:pPr>
              <w:pStyle w:val="2"/>
              <w:spacing w:before="0" w:after="0" w:afterAutospacing="0"/>
              <w:ind w:left="0" w:leftChars="0" w:right="0" w:firstLine="0" w:firstLineChars="0"/>
              <w:jc w:val="center"/>
              <w:rPr>
                <w:rFonts w:ascii="宋体" w:hAnsi="宋体" w:cs="宋体"/>
                <w:b/>
                <w:bCs/>
                <w:color w:val="auto"/>
                <w:sz w:val="18"/>
                <w:szCs w:val="18"/>
                <w:highlight w:val="none"/>
              </w:rPr>
            </w:pPr>
          </w:p>
        </w:tc>
        <w:tc>
          <w:tcPr>
            <w:tcW w:w="1350" w:type="dxa"/>
            <w:tcBorders>
              <w:left w:val="single" w:color="000000" w:sz="4" w:space="0"/>
              <w:bottom w:val="single" w:color="000000" w:sz="4" w:space="0"/>
              <w:right w:val="single" w:color="000000" w:sz="4" w:space="0"/>
            </w:tcBorders>
            <w:noWrap/>
            <w:vAlign w:val="center"/>
          </w:tcPr>
          <w:p w14:paraId="1B6258CA">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0&lt;m≤10</w:t>
            </w:r>
          </w:p>
        </w:tc>
        <w:tc>
          <w:tcPr>
            <w:tcW w:w="5100" w:type="dxa"/>
            <w:tcBorders>
              <w:top w:val="single" w:color="auto" w:sz="4" w:space="0"/>
              <w:left w:val="single" w:color="000000" w:sz="4" w:space="0"/>
              <w:bottom w:val="single" w:color="000000" w:sz="4" w:space="0"/>
              <w:right w:val="single" w:color="000000" w:sz="4" w:space="0"/>
            </w:tcBorders>
            <w:vAlign w:val="center"/>
          </w:tcPr>
          <w:p w14:paraId="26F4EEEA">
            <w:pPr>
              <w:spacing w:before="0" w:after="0" w:afterAutospacing="0" w:line="240" w:lineRule="auto"/>
              <w:ind w:left="0" w:right="0" w:firstLine="0"/>
              <w:rPr>
                <w:color w:val="auto"/>
                <w:kern w:val="2"/>
                <w:highlight w:val="none"/>
              </w:rPr>
            </w:pPr>
            <w:r>
              <w:rPr>
                <w:rFonts w:hint="eastAsia"/>
                <w:color w:val="auto"/>
                <w:kern w:val="2"/>
                <w:highlight w:val="none"/>
              </w:rPr>
              <w:t>设计实施方案不合理，内容缺失。没有对设计工作组织实施分析，无设计造价分析与限额设计措施等内容。</w:t>
            </w:r>
          </w:p>
        </w:tc>
        <w:tc>
          <w:tcPr>
            <w:tcW w:w="829" w:type="dxa"/>
            <w:vMerge w:val="continue"/>
            <w:tcBorders>
              <w:left w:val="single" w:color="000000" w:sz="4" w:space="0"/>
              <w:right w:val="single" w:color="000000" w:sz="4" w:space="0"/>
            </w:tcBorders>
            <w:noWrap/>
            <w:vAlign w:val="center"/>
          </w:tcPr>
          <w:p w14:paraId="1D7E3CF5">
            <w:pPr>
              <w:spacing w:before="0" w:after="0" w:afterAutospacing="0" w:line="240" w:lineRule="auto"/>
              <w:ind w:left="0" w:right="0"/>
              <w:jc w:val="center"/>
              <w:rPr>
                <w:rFonts w:hint="eastAsia" w:ascii="宋体" w:hAnsi="宋体" w:cs="宋体"/>
                <w:color w:val="auto"/>
                <w:highlight w:val="none"/>
              </w:rPr>
            </w:pPr>
          </w:p>
        </w:tc>
      </w:tr>
      <w:tr w14:paraId="02C8F350">
        <w:tblPrEx>
          <w:tblCellMar>
            <w:top w:w="0" w:type="dxa"/>
            <w:left w:w="108" w:type="dxa"/>
            <w:bottom w:w="0" w:type="dxa"/>
            <w:right w:w="108" w:type="dxa"/>
          </w:tblCellMar>
        </w:tblPrEx>
        <w:trPr>
          <w:trHeight w:val="90"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noWrap/>
            <w:vAlign w:val="center"/>
          </w:tcPr>
          <w:p w14:paraId="49FF5AE2">
            <w:pPr>
              <w:spacing w:before="0" w:after="0" w:afterAutospacing="0" w:line="240" w:lineRule="auto"/>
              <w:ind w:right="0"/>
              <w:jc w:val="center"/>
              <w:textAlignment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3</w:t>
            </w:r>
          </w:p>
        </w:tc>
        <w:tc>
          <w:tcPr>
            <w:tcW w:w="1357" w:type="dxa"/>
            <w:vMerge w:val="restart"/>
            <w:tcBorders>
              <w:top w:val="single" w:color="auto" w:sz="4" w:space="0"/>
              <w:left w:val="single" w:color="000000" w:sz="4" w:space="0"/>
              <w:right w:val="single" w:color="000000" w:sz="4" w:space="0"/>
            </w:tcBorders>
            <w:vAlign w:val="center"/>
          </w:tcPr>
          <w:p w14:paraId="785F96B6">
            <w:pPr>
              <w:spacing w:before="0" w:after="0" w:afterAutospacing="0" w:line="240" w:lineRule="auto"/>
              <w:ind w:left="0" w:right="0" w:firstLine="0"/>
              <w:jc w:val="center"/>
              <w:rPr>
                <w:rFonts w:hint="eastAsia" w:ascii="宋体" w:hAnsi="宋体" w:cs="宋体"/>
                <w:b/>
                <w:bCs/>
                <w:color w:val="auto"/>
                <w:highlight w:val="none"/>
                <w:lang w:bidi="ar"/>
              </w:rPr>
            </w:pPr>
            <w:r>
              <w:rPr>
                <w:rFonts w:hint="eastAsia" w:ascii="宋体" w:hAnsi="宋体" w:cs="宋体"/>
                <w:b/>
                <w:bCs/>
                <w:color w:val="auto"/>
                <w:highlight w:val="none"/>
                <w:lang w:bidi="ar"/>
              </w:rPr>
              <w:t>服务响应方案</w:t>
            </w:r>
          </w:p>
          <w:p w14:paraId="0625B530">
            <w:pPr>
              <w:spacing w:before="0" w:after="0" w:afterAutospacing="0" w:line="240" w:lineRule="auto"/>
              <w:ind w:left="0" w:right="0" w:firstLine="0"/>
              <w:jc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rPr>
              <w:t>（1</w:t>
            </w:r>
            <w:r>
              <w:rPr>
                <w:rFonts w:hint="eastAsia" w:ascii="宋体" w:hAnsi="宋体" w:cs="宋体"/>
                <w:b/>
                <w:bCs/>
                <w:color w:val="auto"/>
                <w:sz w:val="18"/>
                <w:szCs w:val="18"/>
                <w:highlight w:val="none"/>
                <w:lang w:val="en-US" w:eastAsia="zh-CN"/>
              </w:rPr>
              <w:t>5</w:t>
            </w:r>
            <w:r>
              <w:rPr>
                <w:rFonts w:hint="eastAsia" w:ascii="宋体" w:hAnsi="宋体" w:cs="宋体"/>
                <w:b/>
                <w:bCs/>
                <w:color w:val="auto"/>
                <w:sz w:val="18"/>
                <w:szCs w:val="18"/>
                <w:highlight w:val="none"/>
              </w:rPr>
              <w:t>分）</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FA4A9A8">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000000" w:sz="4" w:space="0"/>
              <w:right w:val="single" w:color="000000" w:sz="4" w:space="0"/>
            </w:tcBorders>
            <w:vAlign w:val="center"/>
          </w:tcPr>
          <w:p w14:paraId="1B0D8D37">
            <w:pPr>
              <w:spacing w:before="0" w:after="0" w:afterAutospacing="0" w:line="240" w:lineRule="auto"/>
              <w:ind w:left="0" w:right="0" w:firstLine="0"/>
              <w:rPr>
                <w:color w:val="auto"/>
                <w:kern w:val="2"/>
                <w:highlight w:val="none"/>
              </w:rPr>
            </w:pPr>
            <w:r>
              <w:rPr>
                <w:rFonts w:hint="eastAsia"/>
                <w:color w:val="auto"/>
                <w:kern w:val="2"/>
                <w:highlight w:val="none"/>
              </w:rPr>
              <w:t xml:space="preserve">设计管理要点明确清晰、可行性非常强，至少包含工作计划编排及保证措施、质量保证措施、优化设计管理、对拟投入人员考核及处罚管理等内容，内容充实，完全满足比选文件要求。  </w:t>
            </w:r>
          </w:p>
        </w:tc>
        <w:tc>
          <w:tcPr>
            <w:tcW w:w="829" w:type="dxa"/>
            <w:vMerge w:val="continue"/>
            <w:tcBorders>
              <w:left w:val="single" w:color="000000" w:sz="4" w:space="0"/>
              <w:right w:val="single" w:color="000000" w:sz="4" w:space="0"/>
            </w:tcBorders>
            <w:noWrap/>
            <w:vAlign w:val="center"/>
          </w:tcPr>
          <w:p w14:paraId="71EF4221">
            <w:pPr>
              <w:spacing w:before="0" w:after="0" w:afterAutospacing="0" w:line="240" w:lineRule="auto"/>
              <w:ind w:left="0" w:right="0"/>
              <w:jc w:val="center"/>
              <w:rPr>
                <w:rFonts w:hint="eastAsia" w:ascii="宋体" w:hAnsi="宋体" w:cs="宋体"/>
                <w:color w:val="auto"/>
                <w:highlight w:val="none"/>
              </w:rPr>
            </w:pPr>
          </w:p>
        </w:tc>
      </w:tr>
      <w:tr w14:paraId="166885CF">
        <w:tblPrEx>
          <w:tblCellMar>
            <w:top w:w="0" w:type="dxa"/>
            <w:left w:w="108" w:type="dxa"/>
            <w:bottom w:w="0" w:type="dxa"/>
            <w:right w:w="108" w:type="dxa"/>
          </w:tblCellMar>
        </w:tblPrEx>
        <w:trPr>
          <w:trHeight w:val="60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26899FA0">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right w:val="single" w:color="000000" w:sz="4" w:space="0"/>
            </w:tcBorders>
            <w:vAlign w:val="center"/>
          </w:tcPr>
          <w:p w14:paraId="75AC37B3">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AE1CEAD">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10&lt;m≤12</w:t>
            </w:r>
          </w:p>
        </w:tc>
        <w:tc>
          <w:tcPr>
            <w:tcW w:w="5100" w:type="dxa"/>
            <w:tcBorders>
              <w:top w:val="single" w:color="000000" w:sz="4" w:space="0"/>
              <w:left w:val="single" w:color="000000" w:sz="4" w:space="0"/>
              <w:bottom w:val="single" w:color="000000" w:sz="4" w:space="0"/>
              <w:right w:val="single" w:color="000000" w:sz="4" w:space="0"/>
            </w:tcBorders>
            <w:vAlign w:val="center"/>
          </w:tcPr>
          <w:p w14:paraId="73C2BE67">
            <w:pPr>
              <w:spacing w:before="0" w:after="0" w:afterAutospacing="0" w:line="240" w:lineRule="auto"/>
              <w:ind w:left="0" w:right="0" w:firstLine="0"/>
              <w:rPr>
                <w:color w:val="auto"/>
                <w:kern w:val="2"/>
                <w:highlight w:val="none"/>
              </w:rPr>
            </w:pPr>
            <w:r>
              <w:rPr>
                <w:rFonts w:hint="eastAsia"/>
                <w:color w:val="auto"/>
                <w:kern w:val="2"/>
                <w:highlight w:val="none"/>
              </w:rPr>
              <w:t>设计管理要点清晰、可行性强，至少包含工作计划编排或保证措施、质量保证措施、对拟投入人员考核及处罚管理等内容，内容充实，能满足比选文件要求。</w:t>
            </w:r>
          </w:p>
        </w:tc>
        <w:tc>
          <w:tcPr>
            <w:tcW w:w="829" w:type="dxa"/>
            <w:vMerge w:val="continue"/>
            <w:tcBorders>
              <w:left w:val="single" w:color="000000" w:sz="4" w:space="0"/>
              <w:right w:val="single" w:color="000000" w:sz="4" w:space="0"/>
            </w:tcBorders>
            <w:noWrap/>
            <w:vAlign w:val="center"/>
          </w:tcPr>
          <w:p w14:paraId="110F637E">
            <w:pPr>
              <w:spacing w:before="0" w:after="0" w:afterAutospacing="0" w:line="240" w:lineRule="auto"/>
              <w:ind w:left="0" w:right="0"/>
              <w:jc w:val="center"/>
              <w:rPr>
                <w:rFonts w:hint="eastAsia" w:ascii="宋体" w:hAnsi="宋体" w:cs="宋体"/>
                <w:color w:val="auto"/>
                <w:highlight w:val="none"/>
              </w:rPr>
            </w:pPr>
          </w:p>
        </w:tc>
      </w:tr>
      <w:tr w14:paraId="2ED3E0DE">
        <w:tblPrEx>
          <w:tblCellMar>
            <w:top w:w="0" w:type="dxa"/>
            <w:left w:w="108" w:type="dxa"/>
            <w:bottom w:w="0" w:type="dxa"/>
            <w:right w:w="108" w:type="dxa"/>
          </w:tblCellMar>
        </w:tblPrEx>
        <w:trPr>
          <w:trHeight w:val="483"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0DC2BDAA">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bottom w:val="single" w:color="000000" w:sz="4" w:space="0"/>
              <w:right w:val="single" w:color="000000" w:sz="4" w:space="0"/>
            </w:tcBorders>
            <w:vAlign w:val="center"/>
          </w:tcPr>
          <w:p w14:paraId="758E5886">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0E70769">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0&lt;m≤10</w:t>
            </w:r>
          </w:p>
        </w:tc>
        <w:tc>
          <w:tcPr>
            <w:tcW w:w="5100" w:type="dxa"/>
            <w:tcBorders>
              <w:top w:val="single" w:color="000000" w:sz="4" w:space="0"/>
              <w:left w:val="single" w:color="000000" w:sz="4" w:space="0"/>
              <w:bottom w:val="single" w:color="000000" w:sz="4" w:space="0"/>
              <w:right w:val="single" w:color="000000" w:sz="4" w:space="0"/>
            </w:tcBorders>
            <w:vAlign w:val="center"/>
          </w:tcPr>
          <w:p w14:paraId="6A14355D">
            <w:pPr>
              <w:spacing w:before="0" w:after="0" w:afterAutospacing="0" w:line="240" w:lineRule="auto"/>
              <w:ind w:left="0" w:right="0" w:firstLine="0"/>
              <w:rPr>
                <w:color w:val="auto"/>
                <w:kern w:val="2"/>
                <w:highlight w:val="none"/>
              </w:rPr>
            </w:pPr>
            <w:r>
              <w:rPr>
                <w:rFonts w:hint="eastAsia"/>
                <w:color w:val="auto"/>
                <w:kern w:val="2"/>
                <w:highlight w:val="none"/>
              </w:rPr>
              <w:t>无设计管理要点，缺少工作计划编排或保证措施、质量保证措施等内容，无法满足比选文件要求。</w:t>
            </w:r>
          </w:p>
        </w:tc>
        <w:tc>
          <w:tcPr>
            <w:tcW w:w="829" w:type="dxa"/>
            <w:vMerge w:val="continue"/>
            <w:tcBorders>
              <w:left w:val="single" w:color="000000" w:sz="4" w:space="0"/>
              <w:bottom w:val="single" w:color="000000" w:sz="4" w:space="0"/>
              <w:right w:val="single" w:color="000000" w:sz="4" w:space="0"/>
            </w:tcBorders>
            <w:noWrap/>
            <w:vAlign w:val="center"/>
          </w:tcPr>
          <w:p w14:paraId="2450121E">
            <w:pPr>
              <w:spacing w:before="0" w:after="0" w:afterAutospacing="0" w:line="240" w:lineRule="auto"/>
              <w:ind w:left="0" w:right="0"/>
              <w:jc w:val="center"/>
              <w:rPr>
                <w:rFonts w:hint="eastAsia" w:ascii="宋体" w:hAnsi="宋体" w:cs="宋体"/>
                <w:color w:val="auto"/>
                <w:highlight w:val="none"/>
              </w:rPr>
            </w:pPr>
          </w:p>
        </w:tc>
      </w:tr>
      <w:tr w14:paraId="49E7F8D7">
        <w:tblPrEx>
          <w:tblCellMar>
            <w:top w:w="0" w:type="dxa"/>
            <w:left w:w="108" w:type="dxa"/>
            <w:bottom w:w="0" w:type="dxa"/>
            <w:right w:w="108" w:type="dxa"/>
          </w:tblCellMar>
        </w:tblPrEx>
        <w:trPr>
          <w:trHeight w:val="681"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11666191">
            <w:pPr>
              <w:ind w:left="709" w:leftChars="0" w:right="-27" w:rightChars="0" w:hanging="709" w:firstLineChars="0"/>
              <w:jc w:val="center"/>
              <w:textAlignment w:val="center"/>
              <w:rPr>
                <w:rFonts w:hint="default" w:ascii="宋体" w:hAnsi="宋体" w:eastAsia="宋体" w:cs="宋体"/>
                <w:b/>
                <w:bCs/>
                <w:color w:val="auto"/>
                <w:highlight w:val="none"/>
                <w:lang w:val="en-US" w:eastAsia="zh-CN" w:bidi="ar"/>
              </w:rPr>
            </w:pPr>
            <w:r>
              <w:rPr>
                <w:rFonts w:hint="eastAsia" w:ascii="宋体" w:hAnsi="宋体" w:cs="宋体"/>
                <w:color w:val="auto"/>
                <w:highlight w:val="none"/>
                <w:lang w:val="en-US" w:eastAsia="zh-CN" w:bidi="ar"/>
              </w:rPr>
              <w:t>4</w:t>
            </w:r>
          </w:p>
        </w:tc>
        <w:tc>
          <w:tcPr>
            <w:tcW w:w="1357" w:type="dxa"/>
            <w:tcBorders>
              <w:top w:val="single" w:color="000000" w:sz="4" w:space="0"/>
              <w:left w:val="single" w:color="000000" w:sz="4" w:space="0"/>
              <w:bottom w:val="single" w:color="000000" w:sz="4" w:space="0"/>
              <w:right w:val="single" w:color="000000" w:sz="4" w:space="0"/>
            </w:tcBorders>
            <w:vAlign w:val="center"/>
          </w:tcPr>
          <w:p w14:paraId="1FB9C501">
            <w:pPr>
              <w:ind w:left="0" w:leftChars="0" w:right="-27" w:rightChars="0" w:firstLine="0" w:firstLineChars="0"/>
              <w:jc w:val="both"/>
              <w:textAlignment w:val="center"/>
              <w:rPr>
                <w:rFonts w:hint="eastAsia" w:ascii="宋体" w:hAnsi="宋体" w:cs="宋体"/>
                <w:b/>
                <w:bCs/>
                <w:color w:val="auto"/>
                <w:highlight w:val="none"/>
                <w:lang w:bidi="ar"/>
              </w:rPr>
            </w:pPr>
            <w:r>
              <w:rPr>
                <w:rFonts w:hint="eastAsia" w:ascii="宋体" w:hAnsi="宋体" w:cs="宋体"/>
                <w:b/>
                <w:bCs/>
                <w:color w:val="auto"/>
                <w:highlight w:val="none"/>
                <w:lang w:val="en-US" w:eastAsia="zh-CN" w:bidi="ar"/>
              </w:rPr>
              <w:t>项目</w:t>
            </w:r>
            <w:r>
              <w:rPr>
                <w:rFonts w:hint="eastAsia" w:ascii="宋体" w:hAnsi="宋体" w:cs="宋体"/>
                <w:b/>
                <w:bCs/>
                <w:color w:val="auto"/>
                <w:highlight w:val="none"/>
                <w:lang w:bidi="ar"/>
              </w:rPr>
              <w:t>业绩</w:t>
            </w:r>
            <w:r>
              <w:rPr>
                <w:rFonts w:hint="eastAsia" w:ascii="宋体" w:hAnsi="宋体" w:cs="宋体"/>
                <w:b/>
                <w:bCs/>
                <w:color w:val="auto"/>
                <w:highlight w:val="none"/>
                <w:lang w:bidi="ar"/>
              </w:rPr>
              <w:br w:type="textWrapping"/>
            </w:r>
            <w:r>
              <w:rPr>
                <w:rFonts w:hint="eastAsia" w:ascii="宋体" w:hAnsi="宋体" w:cs="宋体"/>
                <w:b/>
                <w:bCs/>
                <w:color w:val="auto"/>
                <w:highlight w:val="none"/>
                <w:lang w:bidi="ar"/>
              </w:rPr>
              <w:t>（</w:t>
            </w:r>
            <w:r>
              <w:rPr>
                <w:rFonts w:hint="eastAsia" w:ascii="宋体" w:hAnsi="宋体" w:cs="宋体"/>
                <w:b/>
                <w:bCs/>
                <w:color w:val="auto"/>
                <w:highlight w:val="none"/>
                <w:lang w:val="en-US" w:eastAsia="zh-CN" w:bidi="ar"/>
              </w:rPr>
              <w:t>9</w:t>
            </w:r>
            <w:r>
              <w:rPr>
                <w:rFonts w:hint="eastAsia" w:ascii="宋体" w:hAnsi="宋体" w:cs="宋体"/>
                <w:b/>
                <w:bCs/>
                <w:color w:val="auto"/>
                <w:highlight w:val="none"/>
                <w:lang w:bidi="ar"/>
              </w:rPr>
              <w:t>分）</w:t>
            </w:r>
          </w:p>
        </w:tc>
        <w:tc>
          <w:tcPr>
            <w:tcW w:w="6450" w:type="dxa"/>
            <w:gridSpan w:val="2"/>
            <w:tcBorders>
              <w:top w:val="single" w:color="000000" w:sz="4" w:space="0"/>
              <w:left w:val="single" w:color="000000" w:sz="4" w:space="0"/>
              <w:bottom w:val="single" w:color="000000" w:sz="4" w:space="0"/>
              <w:right w:val="single" w:color="000000" w:sz="4" w:space="0"/>
            </w:tcBorders>
            <w:vAlign w:val="center"/>
          </w:tcPr>
          <w:p w14:paraId="0A3D8A7E">
            <w:pPr>
              <w:spacing w:before="0" w:after="0" w:afterAutospacing="0" w:line="240" w:lineRule="auto"/>
              <w:ind w:left="0" w:right="0" w:firstLine="0"/>
              <w:rPr>
                <w:rFonts w:hint="eastAsia"/>
                <w:color w:val="auto"/>
                <w:kern w:val="2"/>
                <w:highlight w:val="none"/>
              </w:rPr>
            </w:pPr>
            <w:r>
              <w:rPr>
                <w:rFonts w:hint="eastAsia"/>
                <w:color w:val="auto"/>
                <w:kern w:val="2"/>
                <w:highlight w:val="none"/>
              </w:rPr>
              <w:t>比选申请人自2023年1月1日至比选申请截止时间前，承接过（完工/在建项目）房地产项目样板房装修设计业绩，</w:t>
            </w:r>
            <w:r>
              <w:rPr>
                <w:rFonts w:hint="eastAsia"/>
                <w:color w:val="auto"/>
                <w:kern w:val="2"/>
                <w:highlight w:val="none"/>
                <w:lang w:val="en-US" w:eastAsia="zh-CN"/>
              </w:rPr>
              <w:t>提供</w:t>
            </w:r>
            <w:r>
              <w:rPr>
                <w:rFonts w:hint="eastAsia"/>
                <w:color w:val="auto"/>
                <w:kern w:val="2"/>
                <w:highlight w:val="none"/>
              </w:rPr>
              <w:t>单个业绩合同金额</w:t>
            </w:r>
            <w:r>
              <w:rPr>
                <w:rFonts w:hint="eastAsia"/>
                <w:color w:val="auto"/>
                <w:kern w:val="2"/>
                <w:highlight w:val="none"/>
                <w:lang w:val="en-US" w:eastAsia="zh-CN"/>
              </w:rPr>
              <w:t>设计单价</w:t>
            </w:r>
            <w:r>
              <w:rPr>
                <w:rFonts w:hint="eastAsia"/>
                <w:color w:val="auto"/>
                <w:kern w:val="2"/>
                <w:highlight w:val="none"/>
              </w:rPr>
              <w:t>达</w:t>
            </w:r>
            <w:r>
              <w:rPr>
                <w:rFonts w:hint="eastAsia"/>
                <w:color w:val="auto"/>
                <w:kern w:val="2"/>
                <w:highlight w:val="none"/>
                <w:lang w:val="en-US" w:eastAsia="zh-CN"/>
              </w:rPr>
              <w:t>1550元/㎡</w:t>
            </w:r>
            <w:r>
              <w:rPr>
                <w:rFonts w:hint="eastAsia"/>
                <w:color w:val="auto"/>
                <w:kern w:val="2"/>
                <w:highlight w:val="none"/>
              </w:rPr>
              <w:t>及以上</w:t>
            </w:r>
            <w:r>
              <w:rPr>
                <w:rFonts w:hint="eastAsia"/>
                <w:color w:val="auto"/>
                <w:kern w:val="2"/>
                <w:highlight w:val="none"/>
                <w:lang w:val="en-US" w:eastAsia="zh-CN"/>
              </w:rPr>
              <w:t>的</w:t>
            </w:r>
            <w:r>
              <w:rPr>
                <w:rFonts w:hint="eastAsia"/>
                <w:color w:val="auto"/>
                <w:kern w:val="2"/>
                <w:highlight w:val="none"/>
              </w:rPr>
              <w:t>设计业绩，</w:t>
            </w:r>
            <w:r>
              <w:rPr>
                <w:rFonts w:hint="eastAsia"/>
                <w:color w:val="auto"/>
                <w:kern w:val="2"/>
                <w:highlight w:val="none"/>
                <w:lang w:val="en-US" w:eastAsia="zh-CN"/>
              </w:rPr>
              <w:t>提供1个得3分，满分9分。</w:t>
            </w:r>
          </w:p>
          <w:p w14:paraId="3FCAD50E">
            <w:pPr>
              <w:spacing w:before="0" w:after="0" w:afterAutospacing="0" w:line="240" w:lineRule="auto"/>
              <w:ind w:left="0" w:leftChars="0" w:right="0" w:rightChars="0" w:firstLine="0" w:firstLineChars="0"/>
              <w:rPr>
                <w:rFonts w:hint="eastAsia" w:ascii="宋体" w:hAnsi="宋体" w:cs="宋体"/>
                <w:color w:val="auto"/>
                <w:kern w:val="2"/>
                <w:highlight w:val="none"/>
                <w:lang w:bidi="ar"/>
              </w:rPr>
            </w:pPr>
            <w:r>
              <w:rPr>
                <w:rFonts w:hint="eastAsia"/>
                <w:color w:val="auto"/>
                <w:kern w:val="2"/>
                <w:highlight w:val="none"/>
              </w:rPr>
              <w:t>提供下述材料之一即可：①合同文件；②中标通知书；③业主证明材料。所提供材料需能证明符合业绩内容，否则视为无效证明文件，提供复印件加盖比选申请人公章，原件备查。</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59812151">
            <w:pPr>
              <w:ind w:left="709" w:leftChars="0" w:right="-27" w:rightChars="0" w:hanging="709" w:firstLineChars="0"/>
              <w:jc w:val="center"/>
              <w:rPr>
                <w:rFonts w:hint="eastAsia" w:ascii="宋体" w:hAnsi="宋体" w:cs="宋体"/>
                <w:color w:val="auto"/>
                <w:highlight w:val="none"/>
              </w:rPr>
            </w:pPr>
          </w:p>
        </w:tc>
      </w:tr>
      <w:tr w14:paraId="447B196D">
        <w:tblPrEx>
          <w:tblCellMar>
            <w:top w:w="0" w:type="dxa"/>
            <w:left w:w="108" w:type="dxa"/>
            <w:bottom w:w="0" w:type="dxa"/>
            <w:right w:w="108" w:type="dxa"/>
          </w:tblCellMar>
        </w:tblPrEx>
        <w:trPr>
          <w:trHeight w:val="681"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7F1F36CA">
            <w:pPr>
              <w:ind w:left="709" w:leftChars="0" w:right="-27" w:rightChars="0" w:hanging="709"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val="en-US" w:eastAsia="zh-CN" w:bidi="ar"/>
              </w:rPr>
              <w:t>5</w:t>
            </w:r>
          </w:p>
        </w:tc>
        <w:tc>
          <w:tcPr>
            <w:tcW w:w="1357" w:type="dxa"/>
            <w:tcBorders>
              <w:top w:val="single" w:color="000000" w:sz="4" w:space="0"/>
              <w:left w:val="single" w:color="000000" w:sz="4" w:space="0"/>
              <w:bottom w:val="single" w:color="000000" w:sz="4" w:space="0"/>
              <w:right w:val="single" w:color="000000" w:sz="4" w:space="0"/>
            </w:tcBorders>
            <w:vAlign w:val="center"/>
          </w:tcPr>
          <w:p w14:paraId="0EFABAA7">
            <w:pPr>
              <w:ind w:left="0" w:leftChars="0" w:firstLine="0" w:firstLineChars="0"/>
              <w:jc w:val="both"/>
              <w:textAlignment w:val="center"/>
              <w:rPr>
                <w:rFonts w:hint="eastAsia" w:ascii="宋体" w:hAnsi="宋体" w:cs="宋体"/>
                <w:b/>
                <w:bCs/>
                <w:color w:val="auto"/>
                <w:highlight w:val="none"/>
                <w:lang w:val="en-US" w:eastAsia="zh-CN" w:bidi="ar"/>
              </w:rPr>
            </w:pPr>
            <w:r>
              <w:rPr>
                <w:rFonts w:hint="eastAsia" w:ascii="宋体" w:hAnsi="宋体" w:cs="宋体"/>
                <w:b/>
                <w:bCs/>
                <w:color w:val="auto"/>
                <w:highlight w:val="none"/>
                <w:lang w:val="en-US" w:eastAsia="zh-CN" w:bidi="ar"/>
              </w:rPr>
              <w:t>负责人业绩</w:t>
            </w:r>
          </w:p>
          <w:p w14:paraId="565679A1">
            <w:pPr>
              <w:ind w:left="709" w:leftChars="0" w:right="-27" w:rightChars="0" w:hanging="709" w:firstLineChars="0"/>
              <w:jc w:val="center"/>
              <w:textAlignment w:val="center"/>
              <w:rPr>
                <w:rFonts w:hint="eastAsia" w:ascii="宋体" w:hAnsi="宋体" w:cs="宋体"/>
                <w:b/>
                <w:bCs/>
                <w:color w:val="auto"/>
                <w:highlight w:val="none"/>
                <w:lang w:bidi="ar"/>
              </w:rPr>
            </w:pPr>
            <w:r>
              <w:rPr>
                <w:rFonts w:hint="eastAsia" w:ascii="宋体" w:hAnsi="宋体" w:cs="宋体"/>
                <w:b/>
                <w:bCs/>
                <w:color w:val="auto"/>
                <w:highlight w:val="none"/>
                <w:lang w:val="en-US" w:eastAsia="zh-CN" w:bidi="ar"/>
              </w:rPr>
              <w:t>（6分）</w:t>
            </w:r>
          </w:p>
        </w:tc>
        <w:tc>
          <w:tcPr>
            <w:tcW w:w="6450" w:type="dxa"/>
            <w:gridSpan w:val="2"/>
            <w:tcBorders>
              <w:top w:val="single" w:color="000000" w:sz="4" w:space="0"/>
              <w:left w:val="single" w:color="000000" w:sz="4" w:space="0"/>
              <w:bottom w:val="single" w:color="000000" w:sz="4" w:space="0"/>
              <w:right w:val="single" w:color="000000" w:sz="4" w:space="0"/>
            </w:tcBorders>
            <w:vAlign w:val="center"/>
          </w:tcPr>
          <w:p w14:paraId="52221FB3">
            <w:pPr>
              <w:widowControl/>
              <w:spacing w:line="300" w:lineRule="exact"/>
              <w:ind w:left="0" w:leftChars="0" w:firstLine="0" w:firstLineChars="0"/>
              <w:textAlignment w:val="center"/>
              <w:rPr>
                <w:rFonts w:hint="eastAsia" w:ascii="宋体" w:hAnsi="宋体" w:cs="宋体"/>
                <w:color w:val="auto"/>
                <w:kern w:val="2"/>
                <w:highlight w:val="none"/>
                <w:lang w:val="en-US" w:eastAsia="zh-CN" w:bidi="ar"/>
              </w:rPr>
            </w:pPr>
            <w:r>
              <w:rPr>
                <w:rFonts w:hint="eastAsia" w:ascii="宋体" w:hAnsi="宋体"/>
                <w:color w:val="auto"/>
                <w:highlight w:val="none"/>
              </w:rPr>
              <w:t>比选申请人自2023年1月1日至比选申请截止时间前，</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项目负责人负责过房地产项目样板间或展示区设计业绩，单个业绩项目体量设计费达1550元/㎡及以上</w:t>
            </w:r>
            <w:r>
              <w:rPr>
                <w:rFonts w:hint="eastAsia" w:ascii="宋体" w:hAnsi="宋体" w:cs="宋体"/>
                <w:color w:val="auto"/>
                <w:kern w:val="2"/>
                <w:highlight w:val="none"/>
                <w:lang w:bidi="ar"/>
              </w:rPr>
              <w:t>，</w:t>
            </w:r>
            <w:r>
              <w:rPr>
                <w:rFonts w:hint="eastAsia" w:ascii="宋体" w:hAnsi="宋体" w:cs="宋体"/>
                <w:color w:val="auto"/>
                <w:kern w:val="2"/>
                <w:highlight w:val="none"/>
                <w:lang w:val="en-US" w:eastAsia="zh-CN" w:bidi="ar"/>
              </w:rPr>
              <w:t>提供1个得3分，满分6分。</w:t>
            </w:r>
          </w:p>
          <w:p w14:paraId="1E9A48E5">
            <w:pPr>
              <w:widowControl/>
              <w:spacing w:line="300" w:lineRule="exact"/>
              <w:ind w:left="0" w:leftChars="0" w:firstLine="0" w:firstLineChars="0"/>
              <w:textAlignment w:val="center"/>
              <w:rPr>
                <w:rFonts w:hint="eastAsia" w:ascii="宋体" w:hAnsi="宋体" w:cs="宋体"/>
                <w:color w:val="auto"/>
                <w:kern w:val="2"/>
                <w:highlight w:val="none"/>
                <w:lang w:bidi="ar"/>
              </w:rPr>
            </w:pPr>
            <w:r>
              <w:rPr>
                <w:rFonts w:hint="eastAsia" w:ascii="宋体" w:hAnsi="宋体" w:cs="宋体"/>
                <w:color w:val="auto"/>
                <w:highlight w:val="none"/>
                <w:lang w:bidi="ar"/>
              </w:rPr>
              <w:t>提供下述材料之一即可：①合同文件；②中标通知书；③</w:t>
            </w:r>
            <w:r>
              <w:rPr>
                <w:rFonts w:hint="eastAsia"/>
                <w:color w:val="auto"/>
                <w:highlight w:val="none"/>
                <w:lang w:val="en-US" w:eastAsia="zh-CN"/>
              </w:rPr>
              <w:t>方案文本案例（含项目名称和效果图即可无需全套文本）④</w:t>
            </w:r>
            <w:r>
              <w:rPr>
                <w:rFonts w:hint="eastAsia" w:ascii="宋体" w:hAnsi="宋体" w:cs="宋体"/>
                <w:color w:val="auto"/>
                <w:highlight w:val="none"/>
                <w:lang w:bidi="ar"/>
              </w:rPr>
              <w:t>业主证明材料。所提供材料需能证明符合</w:t>
            </w:r>
            <w:r>
              <w:rPr>
                <w:rFonts w:hint="eastAsia" w:ascii="宋体" w:hAnsi="宋体" w:cs="宋体"/>
                <w:color w:val="auto"/>
                <w:highlight w:val="none"/>
                <w:lang w:val="en-US" w:eastAsia="zh-CN" w:bidi="ar"/>
              </w:rPr>
              <w:t>作为项目负责人的</w:t>
            </w:r>
            <w:r>
              <w:rPr>
                <w:rFonts w:hint="eastAsia" w:ascii="宋体" w:hAnsi="宋体" w:cs="宋体"/>
                <w:color w:val="auto"/>
                <w:highlight w:val="none"/>
                <w:lang w:bidi="ar"/>
              </w:rPr>
              <w:t>业绩内容，否则视为无效证明文件，提供复印件加盖比选申请人公章，原件备查</w:t>
            </w:r>
            <w:r>
              <w:rPr>
                <w:rFonts w:hint="eastAsia"/>
                <w:color w:val="auto"/>
                <w:kern w:val="2"/>
                <w:highlight w:val="none"/>
              </w:rPr>
              <w:t>。</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36DCFB62">
            <w:pPr>
              <w:ind w:left="709" w:leftChars="0" w:right="-27" w:rightChars="0" w:hanging="709" w:firstLineChars="0"/>
              <w:jc w:val="center"/>
              <w:rPr>
                <w:rFonts w:hint="eastAsia" w:ascii="宋体" w:hAnsi="宋体" w:cs="宋体"/>
                <w:color w:val="auto"/>
                <w:highlight w:val="none"/>
              </w:rPr>
            </w:pPr>
          </w:p>
        </w:tc>
      </w:tr>
      <w:tr w14:paraId="238C7E9C">
        <w:tblPrEx>
          <w:tblCellMar>
            <w:top w:w="0" w:type="dxa"/>
            <w:left w:w="108" w:type="dxa"/>
            <w:bottom w:w="0" w:type="dxa"/>
            <w:right w:w="108" w:type="dxa"/>
          </w:tblCellMar>
        </w:tblPrEx>
        <w:trPr>
          <w:trHeight w:val="5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noWrap/>
            <w:vAlign w:val="center"/>
          </w:tcPr>
          <w:p w14:paraId="634236D5">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技术文件得分</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E3E6457">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60</w:t>
            </w:r>
          </w:p>
        </w:tc>
        <w:tc>
          <w:tcPr>
            <w:tcW w:w="5100" w:type="dxa"/>
            <w:tcBorders>
              <w:top w:val="single" w:color="000000" w:sz="4" w:space="0"/>
              <w:left w:val="single" w:color="000000" w:sz="4" w:space="0"/>
              <w:bottom w:val="single" w:color="000000" w:sz="4" w:space="0"/>
              <w:right w:val="single" w:color="000000" w:sz="4" w:space="0"/>
            </w:tcBorders>
            <w:noWrap/>
            <w:vAlign w:val="center"/>
          </w:tcPr>
          <w:p w14:paraId="3A9C4B14">
            <w:pPr>
              <w:spacing w:before="0" w:after="0" w:afterAutospacing="0" w:line="240" w:lineRule="auto"/>
              <w:ind w:left="0" w:right="0"/>
              <w:jc w:val="left"/>
              <w:rPr>
                <w:rFonts w:hint="eastAsia" w:ascii="宋体" w:hAnsi="宋体" w:cs="宋体"/>
                <w:color w:val="auto"/>
                <w:highlight w:val="none"/>
              </w:rPr>
            </w:pP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18F90048">
            <w:pPr>
              <w:spacing w:before="0" w:after="0" w:afterAutospacing="0" w:line="240" w:lineRule="auto"/>
              <w:ind w:left="0" w:right="0"/>
              <w:rPr>
                <w:rFonts w:hint="eastAsia" w:ascii="宋体" w:hAnsi="宋体" w:cs="宋体"/>
                <w:color w:val="auto"/>
                <w:sz w:val="22"/>
                <w:szCs w:val="22"/>
                <w:highlight w:val="none"/>
              </w:rPr>
            </w:pPr>
          </w:p>
        </w:tc>
      </w:tr>
    </w:tbl>
    <w:p w14:paraId="5FE1DFD7">
      <w:pPr>
        <w:spacing w:before="0"/>
        <w:ind w:left="0" w:right="0" w:firstLine="0"/>
        <w:rPr>
          <w:rFonts w:hint="eastAsia" w:hAnsi="宋体"/>
          <w:b/>
          <w:color w:val="auto"/>
          <w:sz w:val="24"/>
          <w:szCs w:val="24"/>
          <w:highlight w:val="none"/>
        </w:rPr>
      </w:pPr>
      <w:r>
        <w:rPr>
          <w:rFonts w:hint="eastAsia"/>
          <w:b/>
          <w:bCs/>
          <w:color w:val="auto"/>
          <w:highlight w:val="none"/>
        </w:rPr>
        <w:t>注：</w:t>
      </w:r>
      <w:r>
        <w:rPr>
          <w:rFonts w:hint="eastAsia" w:ascii="宋体" w:hAnsi="宋体" w:cs="Arial"/>
          <w:b/>
          <w:bCs/>
          <w:color w:val="auto"/>
          <w:highlight w:val="none"/>
        </w:rPr>
        <w:t>技术得分低于技术得分满分的60%（即36分）的比选申请人不得推选为中选候选人。</w:t>
      </w:r>
    </w:p>
    <w:p w14:paraId="77552BA5">
      <w:pPr>
        <w:rPr>
          <w:rFonts w:hint="eastAsia" w:ascii="宋体" w:hAnsi="宋体"/>
          <w:color w:val="auto"/>
          <w:highlight w:val="none"/>
        </w:rPr>
      </w:pPr>
      <w:r>
        <w:rPr>
          <w:rFonts w:ascii="宋体" w:hAnsi="宋体"/>
          <w:color w:val="auto"/>
          <w:highlight w:val="none"/>
        </w:rPr>
        <w:br w:type="page"/>
      </w:r>
    </w:p>
    <w:p w14:paraId="19785267">
      <w:pPr>
        <w:spacing w:before="0" w:after="0"/>
        <w:ind w:left="0" w:right="0" w:firstLine="0"/>
        <w:jc w:val="left"/>
        <w:rPr>
          <w:b/>
          <w:bCs/>
          <w:color w:val="auto"/>
          <w:highlight w:val="none"/>
        </w:rPr>
      </w:pPr>
      <w:r>
        <w:rPr>
          <w:rFonts w:hint="eastAsia"/>
          <w:b/>
          <w:bCs/>
          <w:color w:val="auto"/>
          <w:highlight w:val="none"/>
        </w:rPr>
        <w:t>附表四  《价格文件评分表》</w:t>
      </w:r>
    </w:p>
    <w:p w14:paraId="37FDFDD4">
      <w:pPr>
        <w:spacing w:before="0" w:after="0"/>
        <w:ind w:left="0" w:right="0" w:firstLine="0"/>
        <w:jc w:val="center"/>
        <w:rPr>
          <w:b/>
          <w:bCs/>
          <w:color w:val="auto"/>
          <w:highlight w:val="none"/>
        </w:rPr>
      </w:pPr>
      <w:r>
        <w:rPr>
          <w:rFonts w:hint="eastAsia"/>
          <w:b/>
          <w:bCs/>
          <w:color w:val="auto"/>
          <w:highlight w:val="none"/>
        </w:rPr>
        <w:t>价格文件评分表</w:t>
      </w:r>
    </w:p>
    <w:tbl>
      <w:tblPr>
        <w:tblStyle w:val="36"/>
        <w:tblW w:w="10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74"/>
        <w:gridCol w:w="3826"/>
        <w:gridCol w:w="3283"/>
        <w:gridCol w:w="882"/>
        <w:gridCol w:w="895"/>
      </w:tblGrid>
      <w:tr w14:paraId="3135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jc w:val="center"/>
        </w:trPr>
        <w:tc>
          <w:tcPr>
            <w:tcW w:w="756" w:type="dxa"/>
            <w:tcBorders>
              <w:top w:val="single" w:color="auto" w:sz="4" w:space="0"/>
              <w:left w:val="single" w:color="auto" w:sz="4" w:space="0"/>
              <w:bottom w:val="single" w:color="auto" w:sz="4" w:space="0"/>
              <w:right w:val="single" w:color="auto" w:sz="4" w:space="0"/>
            </w:tcBorders>
            <w:vAlign w:val="center"/>
          </w:tcPr>
          <w:p w14:paraId="25FF81A3">
            <w:pPr>
              <w:widowControl w:val="0"/>
              <w:ind w:right="-57"/>
              <w:jc w:val="center"/>
              <w:rPr>
                <w:b/>
                <w:color w:val="auto"/>
                <w:kern w:val="2"/>
                <w:highlight w:val="none"/>
              </w:rPr>
            </w:pPr>
            <w:r>
              <w:rPr>
                <w:rFonts w:hint="eastAsia"/>
                <w:b/>
                <w:color w:val="auto"/>
                <w:highlight w:val="none"/>
              </w:rPr>
              <w:t>序号</w:t>
            </w:r>
          </w:p>
        </w:tc>
        <w:tc>
          <w:tcPr>
            <w:tcW w:w="1274" w:type="dxa"/>
            <w:tcBorders>
              <w:top w:val="single" w:color="auto" w:sz="4" w:space="0"/>
              <w:left w:val="single" w:color="auto" w:sz="4" w:space="0"/>
              <w:bottom w:val="single" w:color="auto" w:sz="4" w:space="0"/>
              <w:right w:val="single" w:color="auto" w:sz="4" w:space="0"/>
            </w:tcBorders>
            <w:vAlign w:val="center"/>
          </w:tcPr>
          <w:p w14:paraId="561D18F7">
            <w:pPr>
              <w:widowControl w:val="0"/>
              <w:ind w:right="-57"/>
              <w:jc w:val="center"/>
              <w:rPr>
                <w:b/>
                <w:color w:val="auto"/>
                <w:kern w:val="2"/>
                <w:highlight w:val="none"/>
              </w:rPr>
            </w:pPr>
            <w:r>
              <w:rPr>
                <w:rFonts w:hint="eastAsia"/>
                <w:color w:val="auto"/>
                <w:highlight w:val="none"/>
              </w:rPr>
              <w:t>项目</w:t>
            </w:r>
          </w:p>
        </w:tc>
        <w:tc>
          <w:tcPr>
            <w:tcW w:w="3826" w:type="dxa"/>
            <w:tcBorders>
              <w:top w:val="single" w:color="auto" w:sz="4" w:space="0"/>
              <w:left w:val="single" w:color="auto" w:sz="4" w:space="0"/>
              <w:bottom w:val="single" w:color="auto" w:sz="4" w:space="0"/>
              <w:right w:val="single" w:color="auto" w:sz="4" w:space="0"/>
            </w:tcBorders>
            <w:vAlign w:val="center"/>
          </w:tcPr>
          <w:p w14:paraId="355391E6">
            <w:pPr>
              <w:widowControl w:val="0"/>
              <w:ind w:right="-57"/>
              <w:jc w:val="center"/>
              <w:rPr>
                <w:b/>
                <w:bCs/>
                <w:color w:val="auto"/>
                <w:kern w:val="2"/>
                <w:highlight w:val="none"/>
              </w:rPr>
            </w:pPr>
            <w:r>
              <w:rPr>
                <w:rFonts w:hint="eastAsia"/>
                <w:color w:val="auto"/>
                <w:highlight w:val="none"/>
              </w:rPr>
              <w:t>评审基准价</w:t>
            </w:r>
          </w:p>
        </w:tc>
        <w:tc>
          <w:tcPr>
            <w:tcW w:w="3283" w:type="dxa"/>
            <w:tcBorders>
              <w:top w:val="single" w:color="auto" w:sz="4" w:space="0"/>
              <w:left w:val="single" w:color="auto" w:sz="4" w:space="0"/>
              <w:bottom w:val="single" w:color="auto" w:sz="4" w:space="0"/>
              <w:right w:val="single" w:color="auto" w:sz="4" w:space="0"/>
            </w:tcBorders>
            <w:vAlign w:val="center"/>
          </w:tcPr>
          <w:p w14:paraId="6210FA0C">
            <w:pPr>
              <w:widowControl w:val="0"/>
              <w:ind w:left="751" w:leftChars="20" w:right="113"/>
              <w:jc w:val="center"/>
              <w:rPr>
                <w:b/>
                <w:bCs/>
                <w:color w:val="auto"/>
                <w:kern w:val="2"/>
                <w:highlight w:val="none"/>
              </w:rPr>
            </w:pPr>
            <w:r>
              <w:rPr>
                <w:rFonts w:hint="eastAsia"/>
                <w:color w:val="auto"/>
                <w:highlight w:val="none"/>
              </w:rPr>
              <w:t>评分标准</w:t>
            </w:r>
          </w:p>
        </w:tc>
        <w:tc>
          <w:tcPr>
            <w:tcW w:w="882" w:type="dxa"/>
            <w:tcBorders>
              <w:top w:val="single" w:color="auto" w:sz="4" w:space="0"/>
              <w:left w:val="single" w:color="auto" w:sz="4" w:space="0"/>
              <w:bottom w:val="single" w:color="auto" w:sz="4" w:space="0"/>
              <w:right w:val="single" w:color="auto" w:sz="4" w:space="0"/>
            </w:tcBorders>
            <w:vAlign w:val="center"/>
          </w:tcPr>
          <w:p w14:paraId="405581DD">
            <w:pPr>
              <w:widowControl w:val="0"/>
              <w:ind w:left="751" w:leftChars="20" w:right="113"/>
              <w:jc w:val="center"/>
              <w:rPr>
                <w:b/>
                <w:bCs/>
                <w:color w:val="auto"/>
                <w:highlight w:val="none"/>
              </w:rPr>
            </w:pPr>
            <w:r>
              <w:rPr>
                <w:rFonts w:hint="eastAsia"/>
                <w:color w:val="auto"/>
                <w:highlight w:val="none"/>
              </w:rPr>
              <w:t>分值</w:t>
            </w:r>
          </w:p>
        </w:tc>
        <w:tc>
          <w:tcPr>
            <w:tcW w:w="895" w:type="dxa"/>
            <w:tcBorders>
              <w:top w:val="single" w:color="auto" w:sz="4" w:space="0"/>
              <w:left w:val="single" w:color="auto" w:sz="4" w:space="0"/>
              <w:bottom w:val="single" w:color="auto" w:sz="4" w:space="0"/>
              <w:right w:val="single" w:color="auto" w:sz="4" w:space="0"/>
            </w:tcBorders>
            <w:vAlign w:val="center"/>
          </w:tcPr>
          <w:p w14:paraId="2B63DD85">
            <w:pPr>
              <w:widowControl w:val="0"/>
              <w:ind w:left="751" w:leftChars="20" w:right="113"/>
              <w:jc w:val="center"/>
              <w:rPr>
                <w:color w:val="auto"/>
                <w:highlight w:val="none"/>
              </w:rPr>
            </w:pPr>
            <w:r>
              <w:rPr>
                <w:rFonts w:hint="eastAsia"/>
                <w:color w:val="auto"/>
                <w:highlight w:val="none"/>
              </w:rPr>
              <w:t>得分</w:t>
            </w:r>
          </w:p>
        </w:tc>
      </w:tr>
      <w:tr w14:paraId="6482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6" w:hRule="atLeast"/>
          <w:tblHeader/>
          <w:jc w:val="center"/>
        </w:trPr>
        <w:tc>
          <w:tcPr>
            <w:tcW w:w="756" w:type="dxa"/>
            <w:tcBorders>
              <w:top w:val="single" w:color="auto" w:sz="4" w:space="0"/>
              <w:left w:val="single" w:color="auto" w:sz="4" w:space="0"/>
              <w:bottom w:val="single" w:color="auto" w:sz="4" w:space="0"/>
              <w:right w:val="single" w:color="auto" w:sz="4" w:space="0"/>
            </w:tcBorders>
            <w:vAlign w:val="center"/>
          </w:tcPr>
          <w:p w14:paraId="7D3DD6C0">
            <w:pPr>
              <w:widowControl w:val="0"/>
              <w:ind w:right="-57"/>
              <w:jc w:val="center"/>
              <w:rPr>
                <w:b/>
                <w:color w:val="auto"/>
                <w:highlight w:val="none"/>
              </w:rPr>
            </w:pPr>
            <w:r>
              <w:rPr>
                <w:rFonts w:hint="eastAsia"/>
                <w:b/>
                <w:color w:val="auto"/>
                <w:highlight w:val="none"/>
              </w:rPr>
              <w:t>1</w:t>
            </w:r>
          </w:p>
        </w:tc>
        <w:tc>
          <w:tcPr>
            <w:tcW w:w="1274" w:type="dxa"/>
            <w:tcBorders>
              <w:top w:val="single" w:color="auto" w:sz="4" w:space="0"/>
              <w:left w:val="single" w:color="auto" w:sz="4" w:space="0"/>
              <w:bottom w:val="single" w:color="auto" w:sz="4" w:space="0"/>
              <w:right w:val="single" w:color="auto" w:sz="4" w:space="0"/>
            </w:tcBorders>
            <w:vAlign w:val="center"/>
          </w:tcPr>
          <w:p w14:paraId="48647BEF">
            <w:pPr>
              <w:widowControl w:val="0"/>
              <w:ind w:right="-57"/>
              <w:jc w:val="center"/>
              <w:rPr>
                <w:b/>
                <w:color w:val="auto"/>
                <w:highlight w:val="none"/>
              </w:rPr>
            </w:pPr>
            <w:r>
              <w:rPr>
                <w:rFonts w:hint="eastAsia" w:ascii="宋体" w:hAnsi="宋体"/>
                <w:color w:val="auto"/>
                <w:kern w:val="2"/>
                <w:highlight w:val="none"/>
              </w:rPr>
              <w:t>比选报价</w:t>
            </w:r>
          </w:p>
        </w:tc>
        <w:tc>
          <w:tcPr>
            <w:tcW w:w="3826" w:type="dxa"/>
            <w:tcBorders>
              <w:top w:val="single" w:color="auto" w:sz="4" w:space="0"/>
              <w:left w:val="single" w:color="auto" w:sz="4" w:space="0"/>
              <w:bottom w:val="single" w:color="auto" w:sz="4" w:space="0"/>
              <w:right w:val="single" w:color="auto" w:sz="4" w:space="0"/>
            </w:tcBorders>
            <w:vAlign w:val="center"/>
          </w:tcPr>
          <w:p w14:paraId="51F36726">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bidi="ar"/>
              </w:rPr>
            </w:pPr>
            <w:r>
              <w:rPr>
                <w:rFonts w:hint="eastAsia" w:ascii="宋体" w:hAnsi="宋体" w:cs="宋体"/>
                <w:color w:val="auto"/>
                <w:highlight w:val="none"/>
                <w:lang w:bidi="ar"/>
              </w:rPr>
              <w:t>（1</w:t>
            </w:r>
            <w:r>
              <w:rPr>
                <w:rFonts w:hint="eastAsia" w:ascii="宋体" w:hAnsi="宋体" w:cs="宋体"/>
                <w:color w:val="auto"/>
                <w:kern w:val="2"/>
                <w:highlight w:val="none"/>
                <w:lang w:bidi="ar"/>
              </w:rPr>
              <w:t>）比选申请人总报价大于上控价时比选申请文件作无效处理。</w:t>
            </w:r>
          </w:p>
          <w:p w14:paraId="01C90928">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bidi="ar"/>
              </w:rPr>
            </w:pPr>
            <w:r>
              <w:rPr>
                <w:rFonts w:hint="eastAsia" w:ascii="宋体" w:hAnsi="宋体" w:cs="宋体"/>
                <w:color w:val="auto"/>
                <w:kern w:val="2"/>
                <w:highlight w:val="none"/>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1870E9AC">
            <w:pPr>
              <w:widowControl w:val="0"/>
              <w:spacing w:before="0" w:after="0" w:afterAutospacing="0" w:line="240" w:lineRule="auto"/>
              <w:ind w:left="0" w:right="0" w:firstLine="0"/>
              <w:jc w:val="center"/>
              <w:textAlignment w:val="center"/>
              <w:rPr>
                <w:b/>
                <w:bCs/>
                <w:color w:val="auto"/>
                <w:highlight w:val="none"/>
              </w:rPr>
            </w:pPr>
            <w:r>
              <w:rPr>
                <w:rFonts w:hint="eastAsia" w:ascii="宋体" w:hAnsi="宋体" w:cs="宋体"/>
                <w:color w:val="auto"/>
                <w:kern w:val="2"/>
                <w:highlight w:val="none"/>
                <w:lang w:bidi="ar"/>
              </w:rPr>
              <w:t>（3）如所有比选申请人的报价相同，则该报价为评审基准价。</w:t>
            </w:r>
          </w:p>
        </w:tc>
        <w:tc>
          <w:tcPr>
            <w:tcW w:w="3283" w:type="dxa"/>
            <w:tcBorders>
              <w:top w:val="single" w:color="auto" w:sz="4" w:space="0"/>
              <w:left w:val="single" w:color="auto" w:sz="4" w:space="0"/>
              <w:bottom w:val="single" w:color="auto" w:sz="4" w:space="0"/>
              <w:right w:val="single" w:color="auto" w:sz="4" w:space="0"/>
            </w:tcBorders>
            <w:vAlign w:val="center"/>
          </w:tcPr>
          <w:p w14:paraId="3EC1306C">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评审时以经评审的基准价为最高分，采用内插法计算，比选申请人报价每高于基准价1％的扣1分，每低于基准价1％的扣0.5分，扣完即止。</w:t>
            </w:r>
          </w:p>
          <w:p w14:paraId="146B6DE9">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1）当评审价等于基准价时，比选申请人的价格得分为40分；</w:t>
            </w:r>
          </w:p>
          <w:p w14:paraId="786452D7">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2）当评审价高于基准价时，每高于基准价的1%，比选申请人的价格得分扣1分，中间数按内插法计算，即：某比选申请人价格分=40-（评审价-基准价）/基准价×100×1；</w:t>
            </w:r>
          </w:p>
          <w:p w14:paraId="3BCB0215">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3）当评审价低于基准价时，每低于基准价的1%，比选申请人的价格得分扣0.5分，中间数按内插法计算，即:某比选申请人价格分=40-（基准价-评审价）/基准价×100×0.5；</w:t>
            </w:r>
          </w:p>
          <w:p w14:paraId="761BC2C2">
            <w:pPr>
              <w:widowControl w:val="0"/>
              <w:spacing w:before="0" w:after="0" w:afterAutospacing="0" w:line="240" w:lineRule="auto"/>
              <w:ind w:left="0" w:right="0" w:firstLine="0"/>
              <w:jc w:val="center"/>
              <w:textAlignment w:val="center"/>
              <w:rPr>
                <w:color w:val="auto"/>
                <w:highlight w:val="none"/>
              </w:rPr>
            </w:pPr>
            <w:r>
              <w:rPr>
                <w:rFonts w:hint="eastAsia" w:ascii="宋体" w:hAnsi="宋体" w:cs="宋体"/>
                <w:color w:val="auto"/>
                <w:highlight w:val="none"/>
                <w:lang w:bidi="ar"/>
              </w:rPr>
              <w:t>本项最低为0分。</w:t>
            </w:r>
          </w:p>
        </w:tc>
        <w:tc>
          <w:tcPr>
            <w:tcW w:w="882" w:type="dxa"/>
            <w:tcBorders>
              <w:top w:val="single" w:color="auto" w:sz="4" w:space="0"/>
              <w:left w:val="single" w:color="auto" w:sz="4" w:space="0"/>
              <w:bottom w:val="single" w:color="auto" w:sz="4" w:space="0"/>
              <w:right w:val="single" w:color="auto" w:sz="4" w:space="0"/>
            </w:tcBorders>
            <w:vAlign w:val="center"/>
          </w:tcPr>
          <w:p w14:paraId="220B723B">
            <w:pPr>
              <w:widowControl w:val="0"/>
              <w:spacing w:before="0" w:after="0" w:afterAutospacing="0"/>
              <w:ind w:left="0" w:right="0" w:firstLine="0"/>
              <w:rPr>
                <w:rFonts w:hint="eastAsia" w:ascii="宋体" w:hAnsi="宋体"/>
                <w:color w:val="auto"/>
                <w:kern w:val="2"/>
                <w:highlight w:val="none"/>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≤40</w:t>
            </w:r>
          </w:p>
        </w:tc>
        <w:tc>
          <w:tcPr>
            <w:tcW w:w="895" w:type="dxa"/>
            <w:tcBorders>
              <w:top w:val="single" w:color="auto" w:sz="4" w:space="0"/>
              <w:left w:val="single" w:color="auto" w:sz="4" w:space="0"/>
              <w:bottom w:val="single" w:color="auto" w:sz="4" w:space="0"/>
              <w:right w:val="single" w:color="auto" w:sz="4" w:space="0"/>
            </w:tcBorders>
            <w:vAlign w:val="center"/>
          </w:tcPr>
          <w:p w14:paraId="2C2A0EB0">
            <w:pPr>
              <w:widowControl w:val="0"/>
              <w:spacing w:before="0" w:after="0" w:afterAutospacing="0"/>
              <w:ind w:left="0" w:right="0" w:firstLine="0"/>
              <w:rPr>
                <w:rFonts w:hint="eastAsia" w:ascii="宋体" w:hAnsi="宋体"/>
                <w:color w:val="auto"/>
                <w:kern w:val="2"/>
                <w:highlight w:val="none"/>
              </w:rPr>
            </w:pPr>
          </w:p>
        </w:tc>
      </w:tr>
      <w:tr w14:paraId="0E85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2030" w:type="dxa"/>
            <w:gridSpan w:val="2"/>
            <w:tcBorders>
              <w:top w:val="single" w:color="auto" w:sz="4" w:space="0"/>
              <w:left w:val="single" w:color="auto" w:sz="4" w:space="0"/>
              <w:bottom w:val="single" w:color="auto" w:sz="4" w:space="0"/>
              <w:right w:val="single" w:color="auto" w:sz="4" w:space="0"/>
            </w:tcBorders>
            <w:vAlign w:val="center"/>
          </w:tcPr>
          <w:p w14:paraId="720B2733">
            <w:pPr>
              <w:widowControl w:val="0"/>
              <w:ind w:right="-57"/>
              <w:jc w:val="center"/>
              <w:rPr>
                <w:color w:val="auto"/>
                <w:highlight w:val="none"/>
              </w:rPr>
            </w:pPr>
            <w:r>
              <w:rPr>
                <w:rFonts w:hint="eastAsia"/>
                <w:color w:val="auto"/>
                <w:highlight w:val="none"/>
              </w:rPr>
              <w:t>价格文件得分</w:t>
            </w:r>
          </w:p>
        </w:tc>
        <w:tc>
          <w:tcPr>
            <w:tcW w:w="3826" w:type="dxa"/>
            <w:tcBorders>
              <w:top w:val="single" w:color="auto" w:sz="4" w:space="0"/>
              <w:left w:val="single" w:color="auto" w:sz="4" w:space="0"/>
              <w:bottom w:val="single" w:color="auto" w:sz="4" w:space="0"/>
              <w:right w:val="single" w:color="auto" w:sz="4" w:space="0"/>
            </w:tcBorders>
            <w:vAlign w:val="center"/>
          </w:tcPr>
          <w:p w14:paraId="30EBD1E7">
            <w:pPr>
              <w:widowControl w:val="0"/>
              <w:ind w:right="-57"/>
              <w:jc w:val="center"/>
              <w:rPr>
                <w:b/>
                <w:bCs/>
                <w:color w:val="auto"/>
                <w:highlight w:val="none"/>
              </w:rPr>
            </w:pPr>
          </w:p>
        </w:tc>
        <w:tc>
          <w:tcPr>
            <w:tcW w:w="3283" w:type="dxa"/>
            <w:tcBorders>
              <w:top w:val="single" w:color="auto" w:sz="4" w:space="0"/>
              <w:left w:val="single" w:color="auto" w:sz="4" w:space="0"/>
              <w:bottom w:val="single" w:color="auto" w:sz="4" w:space="0"/>
              <w:right w:val="single" w:color="auto" w:sz="4" w:space="0"/>
            </w:tcBorders>
            <w:vAlign w:val="center"/>
          </w:tcPr>
          <w:p w14:paraId="61E066DA">
            <w:pPr>
              <w:widowControl w:val="0"/>
              <w:ind w:left="751" w:leftChars="20" w:right="113"/>
              <w:jc w:val="center"/>
              <w:rPr>
                <w:b/>
                <w:bCs/>
                <w:color w:val="auto"/>
                <w:highlight w:val="none"/>
              </w:rPr>
            </w:pPr>
            <w:r>
              <w:rPr>
                <w:rFonts w:hint="eastAsia"/>
                <w:b/>
                <w:bCs/>
                <w:color w:val="auto"/>
                <w:highlight w:val="none"/>
              </w:rPr>
              <w:t>40</w:t>
            </w:r>
          </w:p>
        </w:tc>
        <w:tc>
          <w:tcPr>
            <w:tcW w:w="882" w:type="dxa"/>
            <w:tcBorders>
              <w:top w:val="single" w:color="auto" w:sz="4" w:space="0"/>
              <w:left w:val="single" w:color="auto" w:sz="4" w:space="0"/>
              <w:bottom w:val="single" w:color="auto" w:sz="4" w:space="0"/>
              <w:right w:val="single" w:color="auto" w:sz="4" w:space="0"/>
            </w:tcBorders>
          </w:tcPr>
          <w:p w14:paraId="78D6B486">
            <w:pPr>
              <w:widowControl w:val="0"/>
              <w:ind w:left="751" w:leftChars="20" w:right="113"/>
              <w:jc w:val="center"/>
              <w:rPr>
                <w:b/>
                <w:bCs/>
                <w:color w:val="auto"/>
                <w:highlight w:val="none"/>
              </w:rPr>
            </w:pPr>
          </w:p>
        </w:tc>
        <w:tc>
          <w:tcPr>
            <w:tcW w:w="895" w:type="dxa"/>
            <w:tcBorders>
              <w:top w:val="single" w:color="auto" w:sz="4" w:space="0"/>
              <w:left w:val="single" w:color="auto" w:sz="4" w:space="0"/>
              <w:bottom w:val="single" w:color="auto" w:sz="4" w:space="0"/>
              <w:right w:val="single" w:color="auto" w:sz="4" w:space="0"/>
            </w:tcBorders>
          </w:tcPr>
          <w:p w14:paraId="5FD87822">
            <w:pPr>
              <w:widowControl w:val="0"/>
              <w:ind w:left="751" w:leftChars="20" w:right="113"/>
              <w:jc w:val="center"/>
              <w:rPr>
                <w:b/>
                <w:bCs/>
                <w:color w:val="auto"/>
                <w:highlight w:val="none"/>
              </w:rPr>
            </w:pPr>
          </w:p>
        </w:tc>
      </w:tr>
    </w:tbl>
    <w:p w14:paraId="33EB0D49">
      <w:pPr>
        <w:pStyle w:val="17"/>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5B696FE0">
      <w:pPr>
        <w:pStyle w:val="17"/>
        <w:rPr>
          <w:b/>
          <w:bCs/>
          <w:color w:val="auto"/>
          <w:highlight w:val="none"/>
        </w:rPr>
      </w:pPr>
    </w:p>
    <w:p w14:paraId="76F5D3B7">
      <w:pPr>
        <w:pStyle w:val="17"/>
        <w:rPr>
          <w:b/>
          <w:bCs/>
          <w:color w:val="auto"/>
          <w:highlight w:val="none"/>
        </w:rPr>
      </w:pPr>
    </w:p>
    <w:p w14:paraId="4FC81089">
      <w:pPr>
        <w:pStyle w:val="17"/>
        <w:rPr>
          <w:b/>
          <w:bCs/>
          <w:color w:val="auto"/>
          <w:highlight w:val="none"/>
        </w:rPr>
      </w:pPr>
    </w:p>
    <w:p w14:paraId="492F37C1">
      <w:pPr>
        <w:spacing w:before="0" w:after="0"/>
        <w:ind w:left="0" w:right="0" w:firstLine="0"/>
        <w:jc w:val="left"/>
        <w:rPr>
          <w:rFonts w:hint="eastAsia" w:ascii="宋体" w:hAnsi="宋体"/>
          <w:color w:val="auto"/>
          <w:highlight w:val="none"/>
        </w:rPr>
      </w:pPr>
    </w:p>
    <w:p w14:paraId="337AB4BD">
      <w:pPr>
        <w:spacing w:before="0" w:after="0"/>
        <w:ind w:left="0" w:right="0" w:firstLine="0"/>
        <w:jc w:val="left"/>
        <w:rPr>
          <w:b/>
          <w:bCs/>
          <w:color w:val="auto"/>
          <w:highlight w:val="none"/>
        </w:rPr>
      </w:pPr>
    </w:p>
    <w:p w14:paraId="05749765">
      <w:pPr>
        <w:spacing w:before="0" w:after="0"/>
        <w:ind w:left="0" w:right="0" w:firstLine="0"/>
        <w:jc w:val="left"/>
        <w:rPr>
          <w:b/>
          <w:bCs/>
          <w:color w:val="auto"/>
          <w:highlight w:val="none"/>
        </w:rPr>
      </w:pPr>
      <w:r>
        <w:rPr>
          <w:rFonts w:hint="eastAsia"/>
          <w:b/>
          <w:bCs/>
          <w:color w:val="auto"/>
          <w:highlight w:val="none"/>
        </w:rPr>
        <w:t>附表五  综合评审得分表</w:t>
      </w:r>
    </w:p>
    <w:p w14:paraId="64E0C446">
      <w:pPr>
        <w:pStyle w:val="17"/>
        <w:jc w:val="center"/>
        <w:rPr>
          <w:rFonts w:hint="eastAsia"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7"/>
        <w:tblW w:w="10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819"/>
        <w:gridCol w:w="2753"/>
        <w:gridCol w:w="2941"/>
      </w:tblGrid>
      <w:tr w14:paraId="3792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925" w:type="dxa"/>
            <w:vAlign w:val="center"/>
          </w:tcPr>
          <w:p w14:paraId="1DD68F51">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819" w:type="dxa"/>
            <w:vAlign w:val="center"/>
          </w:tcPr>
          <w:p w14:paraId="4B44E0C1">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项目</w:t>
            </w:r>
          </w:p>
        </w:tc>
        <w:tc>
          <w:tcPr>
            <w:tcW w:w="2753" w:type="dxa"/>
            <w:vAlign w:val="center"/>
          </w:tcPr>
          <w:p w14:paraId="2C6F2D26">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满分</w:t>
            </w:r>
          </w:p>
        </w:tc>
        <w:tc>
          <w:tcPr>
            <w:tcW w:w="2941" w:type="dxa"/>
            <w:vAlign w:val="center"/>
          </w:tcPr>
          <w:p w14:paraId="4023C6E6">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得分</w:t>
            </w:r>
          </w:p>
        </w:tc>
      </w:tr>
      <w:tr w14:paraId="6DEB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1925" w:type="dxa"/>
            <w:vAlign w:val="center"/>
          </w:tcPr>
          <w:p w14:paraId="7EB9ACD4">
            <w:pPr>
              <w:pStyle w:val="17"/>
              <w:jc w:val="center"/>
              <w:rPr>
                <w:rFonts w:hint="eastAsia" w:hAnsi="宋体"/>
                <w:color w:val="auto"/>
                <w:highlight w:val="none"/>
              </w:rPr>
            </w:pPr>
            <w:r>
              <w:rPr>
                <w:rFonts w:hint="eastAsia" w:hAnsi="宋体"/>
                <w:color w:val="auto"/>
                <w:highlight w:val="none"/>
              </w:rPr>
              <w:t>1</w:t>
            </w:r>
          </w:p>
        </w:tc>
        <w:tc>
          <w:tcPr>
            <w:tcW w:w="2819" w:type="dxa"/>
            <w:vAlign w:val="center"/>
          </w:tcPr>
          <w:p w14:paraId="34283A53">
            <w:pPr>
              <w:pStyle w:val="17"/>
              <w:jc w:val="center"/>
              <w:rPr>
                <w:rFonts w:hint="eastAsia" w:hAnsi="宋体"/>
                <w:color w:val="auto"/>
                <w:highlight w:val="none"/>
              </w:rPr>
            </w:pPr>
            <w:r>
              <w:rPr>
                <w:rFonts w:hint="eastAsia" w:hAnsi="宋体"/>
                <w:color w:val="auto"/>
                <w:highlight w:val="none"/>
              </w:rPr>
              <w:t>技术文件得分</w:t>
            </w:r>
          </w:p>
        </w:tc>
        <w:tc>
          <w:tcPr>
            <w:tcW w:w="2753" w:type="dxa"/>
            <w:vAlign w:val="center"/>
          </w:tcPr>
          <w:p w14:paraId="06525EFE">
            <w:pPr>
              <w:pStyle w:val="17"/>
              <w:jc w:val="center"/>
              <w:rPr>
                <w:rFonts w:hint="eastAsia" w:hAnsi="宋体"/>
                <w:color w:val="auto"/>
                <w:highlight w:val="none"/>
              </w:rPr>
            </w:pPr>
            <w:r>
              <w:rPr>
                <w:rFonts w:hint="eastAsia" w:hAnsi="宋体"/>
                <w:color w:val="auto"/>
                <w:highlight w:val="none"/>
              </w:rPr>
              <w:t>60</w:t>
            </w:r>
          </w:p>
        </w:tc>
        <w:tc>
          <w:tcPr>
            <w:tcW w:w="2941" w:type="dxa"/>
            <w:vAlign w:val="center"/>
          </w:tcPr>
          <w:p w14:paraId="2112EBC6">
            <w:pPr>
              <w:pStyle w:val="17"/>
              <w:jc w:val="center"/>
              <w:rPr>
                <w:rFonts w:hint="eastAsia" w:hAnsi="宋体"/>
                <w:color w:val="auto"/>
                <w:highlight w:val="none"/>
              </w:rPr>
            </w:pPr>
          </w:p>
        </w:tc>
      </w:tr>
      <w:tr w14:paraId="3088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925" w:type="dxa"/>
            <w:vAlign w:val="center"/>
          </w:tcPr>
          <w:p w14:paraId="0BEDFFAD">
            <w:pPr>
              <w:pStyle w:val="17"/>
              <w:jc w:val="center"/>
              <w:rPr>
                <w:rFonts w:hint="eastAsia" w:hAnsi="宋体"/>
                <w:color w:val="auto"/>
                <w:highlight w:val="none"/>
              </w:rPr>
            </w:pPr>
            <w:r>
              <w:rPr>
                <w:rFonts w:hint="eastAsia" w:hAnsi="宋体"/>
                <w:color w:val="auto"/>
                <w:highlight w:val="none"/>
              </w:rPr>
              <w:t>2</w:t>
            </w:r>
          </w:p>
        </w:tc>
        <w:tc>
          <w:tcPr>
            <w:tcW w:w="2819" w:type="dxa"/>
            <w:vAlign w:val="center"/>
          </w:tcPr>
          <w:p w14:paraId="447641D3">
            <w:pPr>
              <w:pStyle w:val="17"/>
              <w:jc w:val="center"/>
              <w:rPr>
                <w:rFonts w:hint="eastAsia" w:hAnsi="宋体"/>
                <w:color w:val="auto"/>
                <w:highlight w:val="none"/>
              </w:rPr>
            </w:pPr>
            <w:r>
              <w:rPr>
                <w:rFonts w:hint="eastAsia" w:hAnsi="宋体"/>
                <w:color w:val="auto"/>
                <w:highlight w:val="none"/>
              </w:rPr>
              <w:t>价格文件得分</w:t>
            </w:r>
          </w:p>
        </w:tc>
        <w:tc>
          <w:tcPr>
            <w:tcW w:w="2753" w:type="dxa"/>
            <w:vAlign w:val="center"/>
          </w:tcPr>
          <w:p w14:paraId="07C81B6A">
            <w:pPr>
              <w:pStyle w:val="17"/>
              <w:jc w:val="center"/>
              <w:rPr>
                <w:rFonts w:hint="eastAsia" w:hAnsi="宋体"/>
                <w:color w:val="auto"/>
                <w:highlight w:val="none"/>
              </w:rPr>
            </w:pPr>
            <w:r>
              <w:rPr>
                <w:rFonts w:hint="eastAsia" w:hAnsi="宋体"/>
                <w:color w:val="auto"/>
                <w:highlight w:val="none"/>
              </w:rPr>
              <w:t>40</w:t>
            </w:r>
          </w:p>
        </w:tc>
        <w:tc>
          <w:tcPr>
            <w:tcW w:w="2941" w:type="dxa"/>
            <w:vAlign w:val="center"/>
          </w:tcPr>
          <w:p w14:paraId="22D06A3B">
            <w:pPr>
              <w:pStyle w:val="17"/>
              <w:ind w:left="0" w:firstLine="0"/>
              <w:jc w:val="center"/>
              <w:rPr>
                <w:rFonts w:hint="eastAsia" w:hAnsi="宋体"/>
                <w:color w:val="auto"/>
                <w:highlight w:val="none"/>
              </w:rPr>
            </w:pPr>
          </w:p>
        </w:tc>
      </w:tr>
      <w:tr w14:paraId="7293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7497" w:type="dxa"/>
            <w:gridSpan w:val="3"/>
            <w:vAlign w:val="center"/>
          </w:tcPr>
          <w:p w14:paraId="7146D714">
            <w:pPr>
              <w:pStyle w:val="17"/>
              <w:jc w:val="center"/>
              <w:rPr>
                <w:rFonts w:hint="eastAsia" w:hAnsi="宋体"/>
                <w:color w:val="auto"/>
                <w:highlight w:val="none"/>
              </w:rPr>
            </w:pPr>
            <w:r>
              <w:rPr>
                <w:rFonts w:hint="eastAsia" w:hAnsi="宋体"/>
                <w:color w:val="auto"/>
                <w:highlight w:val="none"/>
              </w:rPr>
              <w:t>最终得分（合计）</w:t>
            </w:r>
          </w:p>
        </w:tc>
        <w:tc>
          <w:tcPr>
            <w:tcW w:w="2941" w:type="dxa"/>
            <w:vAlign w:val="center"/>
          </w:tcPr>
          <w:p w14:paraId="45B602B7">
            <w:pPr>
              <w:pStyle w:val="17"/>
              <w:jc w:val="center"/>
              <w:rPr>
                <w:rFonts w:hint="eastAsia" w:hAnsi="宋体"/>
                <w:color w:val="auto"/>
                <w:highlight w:val="none"/>
              </w:rPr>
            </w:pPr>
          </w:p>
        </w:tc>
      </w:tr>
    </w:tbl>
    <w:p w14:paraId="0DB68D7F">
      <w:pPr>
        <w:pStyle w:val="17"/>
        <w:rPr>
          <w:rFonts w:hint="eastAsia" w:hAnsi="宋体"/>
          <w:color w:val="auto"/>
          <w:highlight w:val="none"/>
        </w:rPr>
      </w:pPr>
    </w:p>
    <w:p w14:paraId="2F5F0399">
      <w:pPr>
        <w:pStyle w:val="17"/>
        <w:rPr>
          <w:rFonts w:hint="eastAsia" w:hAnsi="宋体"/>
          <w:color w:val="auto"/>
          <w:highlight w:val="none"/>
        </w:rPr>
      </w:pPr>
    </w:p>
    <w:p w14:paraId="6B19E2D7">
      <w:pPr>
        <w:spacing w:before="159"/>
        <w:ind w:right="-57" w:firstLine="0"/>
        <w:jc w:val="center"/>
        <w:rPr>
          <w:rFonts w:hint="eastAsia" w:ascii="宋体" w:hAnsi="宋体"/>
          <w:b/>
          <w:color w:val="auto"/>
          <w:sz w:val="28"/>
          <w:szCs w:val="28"/>
          <w:highlight w:val="none"/>
        </w:rPr>
      </w:pPr>
    </w:p>
    <w:p w14:paraId="5B203F46">
      <w:pPr>
        <w:spacing w:before="159"/>
        <w:ind w:right="-57" w:firstLine="0"/>
        <w:jc w:val="center"/>
        <w:rPr>
          <w:rFonts w:hint="eastAsia" w:ascii="宋体" w:hAnsi="宋体"/>
          <w:b/>
          <w:color w:val="auto"/>
          <w:sz w:val="28"/>
          <w:szCs w:val="28"/>
          <w:highlight w:val="none"/>
        </w:rPr>
      </w:pPr>
    </w:p>
    <w:p w14:paraId="7F28534B">
      <w:pPr>
        <w:spacing w:before="159"/>
        <w:ind w:right="-57" w:firstLine="0"/>
        <w:jc w:val="center"/>
        <w:rPr>
          <w:rFonts w:hint="eastAsia" w:ascii="宋体" w:hAnsi="宋体"/>
          <w:b/>
          <w:color w:val="auto"/>
          <w:sz w:val="28"/>
          <w:szCs w:val="28"/>
          <w:highlight w:val="none"/>
        </w:rPr>
      </w:pPr>
    </w:p>
    <w:p w14:paraId="49104F8B">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11C86589">
      <w:pPr>
        <w:spacing w:before="159"/>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附表：比选申请报价修正表</w:t>
      </w:r>
    </w:p>
    <w:tbl>
      <w:tblPr>
        <w:tblStyle w:val="36"/>
        <w:tblW w:w="9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4"/>
        <w:gridCol w:w="2293"/>
        <w:gridCol w:w="2555"/>
        <w:gridCol w:w="2896"/>
      </w:tblGrid>
      <w:tr w14:paraId="502BD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bottom w:val="single" w:color="auto" w:sz="4" w:space="0"/>
              <w:right w:val="single" w:color="auto" w:sz="4" w:space="0"/>
            </w:tcBorders>
            <w:vAlign w:val="center"/>
          </w:tcPr>
          <w:p w14:paraId="4FEBEAAC">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编号</w:t>
            </w:r>
          </w:p>
        </w:tc>
        <w:tc>
          <w:tcPr>
            <w:tcW w:w="2293" w:type="dxa"/>
            <w:tcBorders>
              <w:left w:val="single" w:color="auto" w:sz="4" w:space="0"/>
              <w:bottom w:val="single" w:color="auto" w:sz="4" w:space="0"/>
              <w:right w:val="single" w:color="auto" w:sz="4" w:space="0"/>
            </w:tcBorders>
            <w:vAlign w:val="center"/>
          </w:tcPr>
          <w:p w14:paraId="2896A147">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修正项目</w:t>
            </w:r>
          </w:p>
        </w:tc>
        <w:tc>
          <w:tcPr>
            <w:tcW w:w="2555" w:type="dxa"/>
            <w:tcBorders>
              <w:left w:val="single" w:color="auto" w:sz="4" w:space="0"/>
              <w:bottom w:val="single" w:color="auto" w:sz="4" w:space="0"/>
              <w:right w:val="single" w:color="auto" w:sz="4" w:space="0"/>
            </w:tcBorders>
            <w:vAlign w:val="center"/>
          </w:tcPr>
          <w:p w14:paraId="35B5DDA3">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修正前比选申请报价</w:t>
            </w:r>
          </w:p>
        </w:tc>
        <w:tc>
          <w:tcPr>
            <w:tcW w:w="2896" w:type="dxa"/>
            <w:tcBorders>
              <w:top w:val="single" w:color="auto" w:sz="4" w:space="0"/>
              <w:left w:val="single" w:color="auto" w:sz="4" w:space="0"/>
              <w:bottom w:val="single" w:color="auto" w:sz="4" w:space="0"/>
              <w:right w:val="single" w:color="auto" w:sz="4" w:space="0"/>
            </w:tcBorders>
            <w:vAlign w:val="center"/>
          </w:tcPr>
          <w:p w14:paraId="1D047C93">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修正后比选申请报价</w:t>
            </w:r>
          </w:p>
        </w:tc>
      </w:tr>
      <w:tr w14:paraId="34836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DB2724B">
            <w:pPr>
              <w:spacing w:before="0" w:line="240" w:lineRule="auto"/>
              <w:ind w:right="0" w:firstLine="0"/>
              <w:jc w:val="center"/>
              <w:rPr>
                <w:rFonts w:hint="eastAsia" w:ascii="宋体" w:hAnsi="宋体"/>
                <w:color w:val="auto"/>
                <w:highlight w:val="none"/>
              </w:rPr>
            </w:pPr>
          </w:p>
        </w:tc>
        <w:tc>
          <w:tcPr>
            <w:tcW w:w="2293" w:type="dxa"/>
            <w:tcBorders>
              <w:left w:val="single" w:color="auto" w:sz="4" w:space="0"/>
              <w:right w:val="single" w:color="auto" w:sz="4" w:space="0"/>
            </w:tcBorders>
            <w:vAlign w:val="center"/>
          </w:tcPr>
          <w:p w14:paraId="01D78729">
            <w:pPr>
              <w:spacing w:before="0" w:line="240" w:lineRule="auto"/>
              <w:ind w:right="0" w:firstLine="0"/>
              <w:jc w:val="left"/>
              <w:rPr>
                <w:rFonts w:hint="eastAsia" w:ascii="宋体" w:hAnsi="宋体" w:cs="宋体"/>
                <w:color w:val="auto"/>
                <w:highlight w:val="none"/>
              </w:rPr>
            </w:pPr>
          </w:p>
        </w:tc>
        <w:tc>
          <w:tcPr>
            <w:tcW w:w="2555" w:type="dxa"/>
            <w:tcBorders>
              <w:left w:val="single" w:color="auto" w:sz="4" w:space="0"/>
              <w:right w:val="single" w:color="auto" w:sz="4" w:space="0"/>
            </w:tcBorders>
            <w:vAlign w:val="center"/>
          </w:tcPr>
          <w:p w14:paraId="4468D030">
            <w:pPr>
              <w:spacing w:before="0" w:line="240" w:lineRule="auto"/>
              <w:ind w:right="0" w:firstLine="0"/>
              <w:jc w:val="center"/>
              <w:rPr>
                <w:rFonts w:hint="eastAsia" w:ascii="宋体" w:hAnsi="宋体" w:cs="宋体"/>
                <w:color w:val="auto"/>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0407A64C">
            <w:pPr>
              <w:spacing w:before="0" w:line="240" w:lineRule="auto"/>
              <w:ind w:right="0" w:firstLine="0"/>
              <w:rPr>
                <w:rFonts w:hint="eastAsia" w:ascii="宋体" w:hAnsi="宋体"/>
                <w:color w:val="auto"/>
                <w:highlight w:val="none"/>
              </w:rPr>
            </w:pPr>
          </w:p>
        </w:tc>
      </w:tr>
      <w:tr w14:paraId="7E2A7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04B28D8">
            <w:pPr>
              <w:spacing w:before="0" w:line="240" w:lineRule="auto"/>
              <w:ind w:right="0" w:firstLine="0"/>
              <w:jc w:val="center"/>
              <w:rPr>
                <w:rFonts w:hint="eastAsia" w:ascii="宋体" w:hAnsi="宋体"/>
                <w:color w:val="auto"/>
                <w:highlight w:val="none"/>
              </w:rPr>
            </w:pPr>
          </w:p>
        </w:tc>
        <w:tc>
          <w:tcPr>
            <w:tcW w:w="2293" w:type="dxa"/>
            <w:tcBorders>
              <w:left w:val="single" w:color="auto" w:sz="4" w:space="0"/>
              <w:right w:val="single" w:color="auto" w:sz="4" w:space="0"/>
            </w:tcBorders>
            <w:vAlign w:val="center"/>
          </w:tcPr>
          <w:p w14:paraId="4E6AC63A">
            <w:pPr>
              <w:spacing w:before="0" w:line="240" w:lineRule="auto"/>
              <w:ind w:right="0" w:firstLine="0"/>
              <w:jc w:val="center"/>
              <w:rPr>
                <w:rFonts w:hint="eastAsia" w:ascii="宋体" w:hAnsi="宋体"/>
                <w:color w:val="auto"/>
                <w:highlight w:val="none"/>
              </w:rPr>
            </w:pPr>
          </w:p>
        </w:tc>
        <w:tc>
          <w:tcPr>
            <w:tcW w:w="2555" w:type="dxa"/>
            <w:tcBorders>
              <w:left w:val="single" w:color="auto" w:sz="4" w:space="0"/>
              <w:right w:val="single" w:color="auto" w:sz="4" w:space="0"/>
            </w:tcBorders>
            <w:vAlign w:val="center"/>
          </w:tcPr>
          <w:p w14:paraId="71437E27">
            <w:pPr>
              <w:spacing w:before="0" w:line="240" w:lineRule="auto"/>
              <w:ind w:right="0" w:firstLine="0"/>
              <w:jc w:val="left"/>
              <w:rPr>
                <w:rFonts w:hint="eastAsia" w:ascii="宋体" w:hAnsi="宋体"/>
                <w:b/>
                <w:color w:val="auto"/>
                <w:sz w:val="24"/>
                <w:szCs w:val="24"/>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454B8B43">
            <w:pPr>
              <w:spacing w:before="0" w:line="240" w:lineRule="auto"/>
              <w:ind w:right="0" w:firstLine="0"/>
              <w:jc w:val="left"/>
              <w:rPr>
                <w:rFonts w:hint="eastAsia" w:ascii="宋体" w:hAnsi="宋体" w:cs="宋体"/>
                <w:b/>
                <w:color w:val="auto"/>
                <w:sz w:val="24"/>
                <w:szCs w:val="24"/>
                <w:highlight w:val="none"/>
              </w:rPr>
            </w:pPr>
          </w:p>
        </w:tc>
      </w:tr>
      <w:tr w14:paraId="68F80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3DDD8E58">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修正前比选申请报价总价：</w:t>
            </w:r>
          </w:p>
        </w:tc>
        <w:tc>
          <w:tcPr>
            <w:tcW w:w="7744" w:type="dxa"/>
            <w:gridSpan w:val="3"/>
            <w:tcBorders>
              <w:left w:val="single" w:color="auto" w:sz="4" w:space="0"/>
              <w:right w:val="single" w:color="auto" w:sz="4" w:space="0"/>
            </w:tcBorders>
            <w:vAlign w:val="center"/>
          </w:tcPr>
          <w:p w14:paraId="77AAA7E6">
            <w:pPr>
              <w:spacing w:before="0" w:line="240" w:lineRule="auto"/>
              <w:ind w:right="0" w:firstLine="0"/>
              <w:rPr>
                <w:rFonts w:hint="eastAsia" w:ascii="宋体" w:hAnsi="宋体" w:cs="宋体"/>
                <w:b/>
                <w:color w:val="auto"/>
                <w:sz w:val="24"/>
                <w:szCs w:val="24"/>
                <w:highlight w:val="none"/>
              </w:rPr>
            </w:pPr>
          </w:p>
        </w:tc>
      </w:tr>
      <w:tr w14:paraId="6AB4B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0EED85BF">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修正后比选申请报价总价：</w:t>
            </w:r>
          </w:p>
        </w:tc>
        <w:tc>
          <w:tcPr>
            <w:tcW w:w="7744" w:type="dxa"/>
            <w:gridSpan w:val="3"/>
            <w:tcBorders>
              <w:left w:val="single" w:color="auto" w:sz="4" w:space="0"/>
              <w:right w:val="single" w:color="auto" w:sz="4" w:space="0"/>
            </w:tcBorders>
            <w:vAlign w:val="center"/>
          </w:tcPr>
          <w:p w14:paraId="4930A848">
            <w:pPr>
              <w:spacing w:before="0" w:line="240" w:lineRule="auto"/>
              <w:ind w:right="0" w:firstLine="0"/>
              <w:rPr>
                <w:rFonts w:hint="eastAsia" w:ascii="宋体" w:hAnsi="宋体" w:cs="宋体"/>
                <w:b/>
                <w:color w:val="auto"/>
                <w:sz w:val="24"/>
                <w:szCs w:val="24"/>
                <w:highlight w:val="none"/>
              </w:rPr>
            </w:pPr>
          </w:p>
        </w:tc>
      </w:tr>
      <w:tr w14:paraId="1C29A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31CC5F2">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比选申请人名称</w:t>
            </w:r>
          </w:p>
        </w:tc>
        <w:tc>
          <w:tcPr>
            <w:tcW w:w="7744" w:type="dxa"/>
            <w:gridSpan w:val="3"/>
            <w:tcBorders>
              <w:left w:val="single" w:color="auto" w:sz="4" w:space="0"/>
              <w:right w:val="single" w:color="auto" w:sz="4" w:space="0"/>
            </w:tcBorders>
            <w:vAlign w:val="center"/>
          </w:tcPr>
          <w:p w14:paraId="71E292E1">
            <w:pPr>
              <w:spacing w:before="0" w:line="240" w:lineRule="auto"/>
              <w:ind w:right="0" w:firstLine="0"/>
              <w:rPr>
                <w:rFonts w:hint="eastAsia" w:ascii="宋体" w:hAnsi="宋体" w:cs="宋体"/>
                <w:b/>
                <w:color w:val="auto"/>
                <w:sz w:val="24"/>
                <w:szCs w:val="24"/>
                <w:highlight w:val="none"/>
              </w:rPr>
            </w:pPr>
          </w:p>
        </w:tc>
      </w:tr>
      <w:tr w14:paraId="5A287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4" w:hRule="atLeast"/>
          <w:jc w:val="center"/>
        </w:trPr>
        <w:tc>
          <w:tcPr>
            <w:tcW w:w="1414" w:type="dxa"/>
            <w:tcBorders>
              <w:left w:val="single" w:color="auto" w:sz="4" w:space="0"/>
              <w:right w:val="single" w:color="auto" w:sz="4" w:space="0"/>
            </w:tcBorders>
            <w:vAlign w:val="center"/>
          </w:tcPr>
          <w:p w14:paraId="0481603C">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比选申请人声明</w:t>
            </w:r>
          </w:p>
        </w:tc>
        <w:tc>
          <w:tcPr>
            <w:tcW w:w="7744" w:type="dxa"/>
            <w:gridSpan w:val="3"/>
            <w:tcBorders>
              <w:left w:val="single" w:color="auto" w:sz="4" w:space="0"/>
              <w:right w:val="single" w:color="auto" w:sz="4" w:space="0"/>
            </w:tcBorders>
            <w:vAlign w:val="center"/>
          </w:tcPr>
          <w:p w14:paraId="7255A1AE">
            <w:pPr>
              <w:spacing w:before="0" w:line="240" w:lineRule="auto"/>
              <w:ind w:right="0" w:firstLine="0"/>
              <w:rPr>
                <w:rFonts w:hint="eastAsia" w:ascii="宋体" w:hAnsi="宋体"/>
                <w:b/>
                <w:color w:val="auto"/>
                <w:sz w:val="24"/>
                <w:szCs w:val="24"/>
                <w:highlight w:val="none"/>
              </w:rPr>
            </w:pPr>
            <w:r>
              <w:rPr>
                <w:rFonts w:hint="eastAsia" w:ascii="宋体" w:hAnsi="宋体" w:cs="宋体"/>
                <w:b/>
                <w:color w:val="auto"/>
                <w:sz w:val="24"/>
                <w:szCs w:val="24"/>
                <w:highlight w:val="none"/>
              </w:rPr>
              <w:t>我单位（</w:t>
            </w:r>
            <w:r>
              <w:rPr>
                <w:rFonts w:ascii="宋体" w:hAnsi="宋体"/>
                <w:b/>
                <w:color w:val="auto"/>
                <w:sz w:val="44"/>
                <w:szCs w:val="44"/>
                <w:highlight w:val="none"/>
              </w:rPr>
              <w:t>□</w:t>
            </w:r>
            <w:r>
              <w:rPr>
                <w:rFonts w:hint="eastAsia" w:ascii="宋体" w:hAnsi="宋体" w:cs="宋体"/>
                <w:b/>
                <w:color w:val="auto"/>
                <w:sz w:val="24"/>
                <w:szCs w:val="24"/>
                <w:highlight w:val="none"/>
              </w:rPr>
              <w:t>接受</w:t>
            </w:r>
            <w:r>
              <w:rPr>
                <w:rFonts w:ascii="宋体" w:hAnsi="宋体"/>
                <w:b/>
                <w:color w:val="auto"/>
                <w:sz w:val="44"/>
                <w:szCs w:val="44"/>
                <w:highlight w:val="none"/>
              </w:rPr>
              <w:t>□</w:t>
            </w:r>
            <w:r>
              <w:rPr>
                <w:rFonts w:ascii="宋体" w:hAnsi="宋体"/>
                <w:b/>
                <w:color w:val="auto"/>
                <w:sz w:val="24"/>
                <w:szCs w:val="24"/>
                <w:highlight w:val="none"/>
              </w:rPr>
              <w:t>不接受</w:t>
            </w:r>
            <w:r>
              <w:rPr>
                <w:rFonts w:hint="eastAsia" w:ascii="宋体" w:hAnsi="宋体"/>
                <w:b/>
                <w:color w:val="auto"/>
                <w:sz w:val="24"/>
                <w:szCs w:val="24"/>
                <w:highlight w:val="none"/>
              </w:rPr>
              <w:t>）本评审办法第3.3款价格评审确定的评审总价和中选价。</w:t>
            </w:r>
          </w:p>
        </w:tc>
      </w:tr>
      <w:tr w14:paraId="039E6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jc w:val="center"/>
        </w:trPr>
        <w:tc>
          <w:tcPr>
            <w:tcW w:w="1414" w:type="dxa"/>
            <w:tcBorders>
              <w:left w:val="single" w:color="auto" w:sz="4" w:space="0"/>
              <w:right w:val="single" w:color="auto" w:sz="4" w:space="0"/>
            </w:tcBorders>
            <w:vAlign w:val="center"/>
          </w:tcPr>
          <w:p w14:paraId="5EBAE0F7">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比选申请人代表签字</w:t>
            </w:r>
          </w:p>
        </w:tc>
        <w:tc>
          <w:tcPr>
            <w:tcW w:w="7744" w:type="dxa"/>
            <w:gridSpan w:val="3"/>
            <w:tcBorders>
              <w:left w:val="single" w:color="auto" w:sz="4" w:space="0"/>
              <w:right w:val="single" w:color="auto" w:sz="4" w:space="0"/>
            </w:tcBorders>
            <w:vAlign w:val="center"/>
          </w:tcPr>
          <w:p w14:paraId="42553E3E">
            <w:pPr>
              <w:spacing w:before="0" w:line="240" w:lineRule="auto"/>
              <w:ind w:right="0" w:firstLine="0"/>
              <w:rPr>
                <w:rFonts w:hint="eastAsia" w:ascii="宋体" w:hAnsi="宋体" w:cs="宋体"/>
                <w:b/>
                <w:color w:val="auto"/>
                <w:sz w:val="24"/>
                <w:szCs w:val="24"/>
                <w:highlight w:val="none"/>
              </w:rPr>
            </w:pPr>
          </w:p>
          <w:p w14:paraId="5B41BA8C">
            <w:pPr>
              <w:spacing w:before="0" w:line="240" w:lineRule="auto"/>
              <w:ind w:right="0" w:firstLine="0"/>
              <w:rPr>
                <w:rFonts w:hint="eastAsia" w:ascii="宋体" w:hAnsi="宋体" w:cs="宋体"/>
                <w:b/>
                <w:color w:val="auto"/>
                <w:sz w:val="24"/>
                <w:szCs w:val="24"/>
                <w:highlight w:val="none"/>
              </w:rPr>
            </w:pPr>
            <w:r>
              <w:rPr>
                <w:rFonts w:hint="eastAsia" w:ascii="宋体" w:hAnsi="宋体" w:cs="宋体"/>
                <w:b/>
                <w:color w:val="auto"/>
                <w:sz w:val="24"/>
                <w:szCs w:val="24"/>
                <w:highlight w:val="none"/>
              </w:rPr>
              <w:t xml:space="preserve">                                                                     日期：    年  月   日</w:t>
            </w:r>
          </w:p>
        </w:tc>
      </w:tr>
    </w:tbl>
    <w:p w14:paraId="6EF65146">
      <w:pPr>
        <w:spacing w:before="0" w:after="0"/>
        <w:ind w:left="420" w:right="0" w:firstLine="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7A98E336">
      <w:pPr>
        <w:pStyle w:val="2"/>
        <w:ind w:left="0" w:leftChars="0" w:firstLine="0" w:firstLineChars="0"/>
        <w:rPr>
          <w:color w:val="auto"/>
          <w:highlight w:val="none"/>
        </w:rPr>
      </w:pPr>
    </w:p>
    <w:p w14:paraId="56518753">
      <w:pPr>
        <w:spacing w:before="0" w:after="0"/>
        <w:ind w:left="0" w:right="0" w:firstLine="0"/>
        <w:jc w:val="left"/>
        <w:rPr>
          <w:rFonts w:hint="eastAsia" w:ascii="宋体" w:hAnsi="宋体"/>
          <w:color w:val="auto"/>
          <w:highlight w:val="none"/>
        </w:rPr>
      </w:pPr>
    </w:p>
    <w:sectPr>
      <w:headerReference r:id="rId15"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altName w:val="微软雅黑"/>
    <w:panose1 w:val="00000000000000000000"/>
    <w:charset w:val="00"/>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inheri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CBBAA">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5B510">
    <w:pPr>
      <w:pStyle w:val="21"/>
      <w:jc w:val="center"/>
    </w:pPr>
    <w:r>
      <w:fldChar w:fldCharType="begin"/>
    </w:r>
    <w:r>
      <w:instrText xml:space="preserve">PAGE   \* MERGEFORMAT</w:instrText>
    </w:r>
    <w:r>
      <w:fldChar w:fldCharType="separate"/>
    </w:r>
    <w:r>
      <w:rPr>
        <w:lang w:val="zh-CN"/>
      </w:rPr>
      <w:t>2</w:t>
    </w:r>
    <w:r>
      <w:rPr>
        <w:lang w:val="zh-CN"/>
      </w:rPr>
      <w:fldChar w:fldCharType="end"/>
    </w:r>
  </w:p>
  <w:p w14:paraId="19AFDD83">
    <w:pPr>
      <w:pStyle w:val="23"/>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EB5E">
    <w:pPr>
      <w:pStyle w:val="21"/>
      <w:jc w:val="right"/>
      <w:rPr>
        <w:rFonts w:hint="default" w:eastAsia="宋体"/>
        <w:lang w:val="en-US" w:eastAsia="zh-CN"/>
      </w:rPr>
    </w:pPr>
  </w:p>
  <w:p w14:paraId="2624D535">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967D">
    <w:pPr>
      <w:pStyle w:val="21"/>
      <w:jc w:val="right"/>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p w14:paraId="3E3EF32B">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19C46">
    <w:pPr>
      <w:spacing w:line="220" w:lineRule="exact"/>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2A195C47">
        <w:pPr>
          <w:pStyle w:val="21"/>
          <w:jc w:val="center"/>
        </w:pPr>
        <w:r>
          <w:fldChar w:fldCharType="begin"/>
        </w:r>
        <w:r>
          <w:instrText xml:space="preserve">PAGE   \* MERGEFORMAT</w:instrText>
        </w:r>
        <w:r>
          <w:fldChar w:fldCharType="separate"/>
        </w:r>
        <w:r>
          <w:rPr>
            <w:lang w:val="zh-CN"/>
          </w:rPr>
          <w:t>101</w:t>
        </w:r>
        <w:r>
          <w:rPr>
            <w:lang w:val="zh-CN"/>
          </w:rPr>
          <w:fldChar w:fldCharType="end"/>
        </w:r>
      </w:p>
    </w:sdtContent>
  </w:sdt>
  <w:p w14:paraId="29F5C7C4">
    <w:pPr>
      <w:pStyle w:val="23"/>
      <w:pBdr>
        <w:bottom w:val="none" w:color="auto" w:sz="0" w:space="0"/>
      </w:pBdr>
      <w:tabs>
        <w:tab w:val="right" w:pos="8728"/>
        <w:tab w:val="clear" w:pos="4153"/>
        <w:tab w:val="clear" w:pos="8306"/>
      </w:tabs>
      <w:ind w:left="0" w:right="343" w:firstLine="0"/>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3340">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7FFFCC0C">
                          <w:r>
                            <w:fldChar w:fldCharType="begin"/>
                          </w:r>
                          <w:r>
                            <w:instrText xml:space="preserve">PAGE  \* MERGEFORMAT</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7FFFCC0C">
                    <w:r>
                      <w:fldChar w:fldCharType="begin"/>
                    </w:r>
                    <w:r>
                      <w:instrText xml:space="preserve">PAGE  \* MERGEFORMAT</w:instrText>
                    </w:r>
                    <w:r>
                      <w:fldChar w:fldCharType="separate"/>
                    </w:r>
                    <w:r>
                      <w:t>109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53CD4">
    <w:pPr>
      <w:pStyle w:val="23"/>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A07E">
    <w:pPr>
      <w:pStyle w:val="23"/>
      <w:pBdr>
        <w:bottom w:val="none" w:color="auto" w:sz="0" w:space="0"/>
      </w:pBdr>
      <w:spacing w:before="0"/>
      <w:ind w:right="-57" w:firstLine="0"/>
      <w:jc w:val="both"/>
      <w:rPr>
        <w:rFonts w:hint="eastAsia"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F72B">
    <w:pPr>
      <w:pStyle w:val="23"/>
      <w:spacing w:before="0"/>
      <w:ind w:right="-57" w:firstLine="0"/>
      <w:jc w:val="both"/>
      <w:rPr>
        <w:rFonts w:hint="eastAsia"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FA6B1">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10203"/>
    <w:multiLevelType w:val="singleLevel"/>
    <w:tmpl w:val="FDD10203"/>
    <w:lvl w:ilvl="0" w:tentative="0">
      <w:start w:val="1"/>
      <w:numFmt w:val="chineseCounting"/>
      <w:suff w:val="nothing"/>
      <w:lvlText w:val="%1、"/>
      <w:lvlJc w:val="left"/>
      <w:rPr>
        <w:rFonts w:hint="eastAsia"/>
      </w:rPr>
    </w:lvl>
  </w:abstractNum>
  <w:abstractNum w:abstractNumId="1">
    <w:nsid w:val="15C07F22"/>
    <w:multiLevelType w:val="singleLevel"/>
    <w:tmpl w:val="15C07F22"/>
    <w:lvl w:ilvl="0" w:tentative="0">
      <w:start w:val="1"/>
      <w:numFmt w:val="decimal"/>
      <w:suff w:val="nothing"/>
      <w:lvlText w:val="（%1）"/>
      <w:lvlJc w:val="left"/>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8">
    <w:nsid w:val="628F477D"/>
    <w:multiLevelType w:val="multilevel"/>
    <w:tmpl w:val="628F477D"/>
    <w:lvl w:ilvl="0" w:tentative="0">
      <w:start w:val="1"/>
      <w:numFmt w:val="decimal"/>
      <w:lvlText w:val="%1、"/>
      <w:lvlJc w:val="left"/>
      <w:pPr>
        <w:ind w:left="1129" w:hanging="705"/>
      </w:pPr>
      <w:rPr>
        <w:rFonts w:hint="default"/>
        <w:color w:val="auto"/>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9">
    <w:nsid w:val="75AA8A88"/>
    <w:multiLevelType w:val="singleLevel"/>
    <w:tmpl w:val="75AA8A88"/>
    <w:lvl w:ilvl="0" w:tentative="0">
      <w:start w:val="1"/>
      <w:numFmt w:val="decimal"/>
      <w:suff w:val="nothing"/>
      <w:lvlText w:val="（%1）"/>
      <w:lvlJc w:val="left"/>
    </w:lvl>
  </w:abstractNum>
  <w:abstractNum w:abstractNumId="10">
    <w:nsid w:val="7BCF8904"/>
    <w:multiLevelType w:val="multilevel"/>
    <w:tmpl w:val="7BCF890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9"/>
  </w:num>
  <w:num w:numId="2">
    <w:abstractNumId w:val="1"/>
  </w:num>
  <w:num w:numId="3">
    <w:abstractNumId w:val="4"/>
  </w:num>
  <w:num w:numId="4">
    <w:abstractNumId w:val="7"/>
  </w:num>
  <w:num w:numId="5">
    <w:abstractNumId w:val="3"/>
  </w:num>
  <w:num w:numId="6">
    <w:abstractNumId w:val="2"/>
  </w:num>
  <w:num w:numId="7">
    <w:abstractNumId w:val="6"/>
  </w:num>
  <w:num w:numId="8">
    <w:abstractNumId w:val="5"/>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BA3124"/>
    <w:rsid w:val="000000F2"/>
    <w:rsid w:val="00000139"/>
    <w:rsid w:val="000045EA"/>
    <w:rsid w:val="00007C3F"/>
    <w:rsid w:val="000117FC"/>
    <w:rsid w:val="00012496"/>
    <w:rsid w:val="000143B4"/>
    <w:rsid w:val="00015B06"/>
    <w:rsid w:val="00020684"/>
    <w:rsid w:val="00022F88"/>
    <w:rsid w:val="000257D8"/>
    <w:rsid w:val="00030F30"/>
    <w:rsid w:val="000437E6"/>
    <w:rsid w:val="00043E88"/>
    <w:rsid w:val="0004419E"/>
    <w:rsid w:val="0005200D"/>
    <w:rsid w:val="00063EDC"/>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32A2"/>
    <w:rsid w:val="000C401F"/>
    <w:rsid w:val="000C48AC"/>
    <w:rsid w:val="000C53FF"/>
    <w:rsid w:val="000C56A1"/>
    <w:rsid w:val="000C68D6"/>
    <w:rsid w:val="000D2B9F"/>
    <w:rsid w:val="000D3045"/>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741B"/>
    <w:rsid w:val="00261C93"/>
    <w:rsid w:val="00262D37"/>
    <w:rsid w:val="00265564"/>
    <w:rsid w:val="00272F80"/>
    <w:rsid w:val="00273D37"/>
    <w:rsid w:val="0027764C"/>
    <w:rsid w:val="0028366D"/>
    <w:rsid w:val="002A20A0"/>
    <w:rsid w:val="002A455F"/>
    <w:rsid w:val="002A5261"/>
    <w:rsid w:val="002B1199"/>
    <w:rsid w:val="002B1394"/>
    <w:rsid w:val="002B33D2"/>
    <w:rsid w:val="002C4CDE"/>
    <w:rsid w:val="002C556E"/>
    <w:rsid w:val="002C5B0F"/>
    <w:rsid w:val="002D23D9"/>
    <w:rsid w:val="002D2931"/>
    <w:rsid w:val="002D4681"/>
    <w:rsid w:val="002D6D0E"/>
    <w:rsid w:val="002E190D"/>
    <w:rsid w:val="002E6BE3"/>
    <w:rsid w:val="002F6933"/>
    <w:rsid w:val="00301F81"/>
    <w:rsid w:val="003021FF"/>
    <w:rsid w:val="00302C2E"/>
    <w:rsid w:val="0030463E"/>
    <w:rsid w:val="00307ACC"/>
    <w:rsid w:val="003151F7"/>
    <w:rsid w:val="00315C23"/>
    <w:rsid w:val="003166B6"/>
    <w:rsid w:val="00316E03"/>
    <w:rsid w:val="003207F4"/>
    <w:rsid w:val="00320BB7"/>
    <w:rsid w:val="00322E79"/>
    <w:rsid w:val="00326B1C"/>
    <w:rsid w:val="00330D78"/>
    <w:rsid w:val="00331CB9"/>
    <w:rsid w:val="003354EE"/>
    <w:rsid w:val="0033783D"/>
    <w:rsid w:val="00337C6A"/>
    <w:rsid w:val="003464E7"/>
    <w:rsid w:val="003500BC"/>
    <w:rsid w:val="00353318"/>
    <w:rsid w:val="00354E36"/>
    <w:rsid w:val="00355D2E"/>
    <w:rsid w:val="003568E4"/>
    <w:rsid w:val="00357135"/>
    <w:rsid w:val="00361313"/>
    <w:rsid w:val="0036732D"/>
    <w:rsid w:val="003706A5"/>
    <w:rsid w:val="003712A4"/>
    <w:rsid w:val="00383435"/>
    <w:rsid w:val="00383573"/>
    <w:rsid w:val="00385422"/>
    <w:rsid w:val="00391673"/>
    <w:rsid w:val="00393EBC"/>
    <w:rsid w:val="00395A23"/>
    <w:rsid w:val="003976F0"/>
    <w:rsid w:val="003A0C71"/>
    <w:rsid w:val="003A170B"/>
    <w:rsid w:val="003A1E4C"/>
    <w:rsid w:val="003A1E63"/>
    <w:rsid w:val="003A286A"/>
    <w:rsid w:val="003A4618"/>
    <w:rsid w:val="003A5048"/>
    <w:rsid w:val="003A7A05"/>
    <w:rsid w:val="003A7F1A"/>
    <w:rsid w:val="003B097F"/>
    <w:rsid w:val="003B2656"/>
    <w:rsid w:val="003B3099"/>
    <w:rsid w:val="003B43D3"/>
    <w:rsid w:val="003B6129"/>
    <w:rsid w:val="003B6BE9"/>
    <w:rsid w:val="003C312A"/>
    <w:rsid w:val="003C4653"/>
    <w:rsid w:val="003D0506"/>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24C46"/>
    <w:rsid w:val="0043285C"/>
    <w:rsid w:val="00433287"/>
    <w:rsid w:val="00436E82"/>
    <w:rsid w:val="00440F9A"/>
    <w:rsid w:val="00442209"/>
    <w:rsid w:val="00443ADE"/>
    <w:rsid w:val="0044418D"/>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B7F5D"/>
    <w:rsid w:val="004C0462"/>
    <w:rsid w:val="004C09AF"/>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500C4A"/>
    <w:rsid w:val="00505261"/>
    <w:rsid w:val="00510E4D"/>
    <w:rsid w:val="00512A45"/>
    <w:rsid w:val="00516CC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2E43"/>
    <w:rsid w:val="005B439E"/>
    <w:rsid w:val="005B54A3"/>
    <w:rsid w:val="005C3208"/>
    <w:rsid w:val="005C5B0E"/>
    <w:rsid w:val="005C6087"/>
    <w:rsid w:val="005D0BB2"/>
    <w:rsid w:val="005D10F7"/>
    <w:rsid w:val="005D30DE"/>
    <w:rsid w:val="005D5725"/>
    <w:rsid w:val="005D7FBA"/>
    <w:rsid w:val="005E5912"/>
    <w:rsid w:val="005F2A05"/>
    <w:rsid w:val="005F2C46"/>
    <w:rsid w:val="005F5B89"/>
    <w:rsid w:val="00602F5C"/>
    <w:rsid w:val="00606397"/>
    <w:rsid w:val="006141A3"/>
    <w:rsid w:val="00615A0F"/>
    <w:rsid w:val="006173A4"/>
    <w:rsid w:val="00620F1A"/>
    <w:rsid w:val="00622520"/>
    <w:rsid w:val="006279E7"/>
    <w:rsid w:val="00634596"/>
    <w:rsid w:val="0063629A"/>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239D"/>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A04DC"/>
    <w:rsid w:val="007A287A"/>
    <w:rsid w:val="007A2EB0"/>
    <w:rsid w:val="007A3CC2"/>
    <w:rsid w:val="007B04FF"/>
    <w:rsid w:val="007B6DA0"/>
    <w:rsid w:val="007C15ED"/>
    <w:rsid w:val="007C19AE"/>
    <w:rsid w:val="007C2CCC"/>
    <w:rsid w:val="007C337F"/>
    <w:rsid w:val="007C7542"/>
    <w:rsid w:val="007D04F4"/>
    <w:rsid w:val="007D0888"/>
    <w:rsid w:val="007D2179"/>
    <w:rsid w:val="007D2FAE"/>
    <w:rsid w:val="007D399D"/>
    <w:rsid w:val="007D59AF"/>
    <w:rsid w:val="007D7DEB"/>
    <w:rsid w:val="007E1DE6"/>
    <w:rsid w:val="007E201C"/>
    <w:rsid w:val="007F0619"/>
    <w:rsid w:val="007F28DB"/>
    <w:rsid w:val="007F4345"/>
    <w:rsid w:val="007F7B34"/>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2E7D"/>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B0302"/>
    <w:rsid w:val="008B09E8"/>
    <w:rsid w:val="008B224C"/>
    <w:rsid w:val="008C05CF"/>
    <w:rsid w:val="008C1461"/>
    <w:rsid w:val="008C2226"/>
    <w:rsid w:val="008C4276"/>
    <w:rsid w:val="008C4887"/>
    <w:rsid w:val="008C77F8"/>
    <w:rsid w:val="008D2976"/>
    <w:rsid w:val="008D55B2"/>
    <w:rsid w:val="008D6D95"/>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0542"/>
    <w:rsid w:val="009A1C5B"/>
    <w:rsid w:val="009A5D9E"/>
    <w:rsid w:val="009A7B76"/>
    <w:rsid w:val="009B0988"/>
    <w:rsid w:val="009B2373"/>
    <w:rsid w:val="009B2B4B"/>
    <w:rsid w:val="009C5DF4"/>
    <w:rsid w:val="009C6C4E"/>
    <w:rsid w:val="009D003A"/>
    <w:rsid w:val="009D3453"/>
    <w:rsid w:val="009D431A"/>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6FA"/>
    <w:rsid w:val="00AA4795"/>
    <w:rsid w:val="00AA63BA"/>
    <w:rsid w:val="00AB19DA"/>
    <w:rsid w:val="00AB6B27"/>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4811"/>
    <w:rsid w:val="00B25923"/>
    <w:rsid w:val="00B26432"/>
    <w:rsid w:val="00B266B6"/>
    <w:rsid w:val="00B3570D"/>
    <w:rsid w:val="00B369E1"/>
    <w:rsid w:val="00B36CB6"/>
    <w:rsid w:val="00B457D5"/>
    <w:rsid w:val="00B47764"/>
    <w:rsid w:val="00B4784E"/>
    <w:rsid w:val="00B52D63"/>
    <w:rsid w:val="00B565D4"/>
    <w:rsid w:val="00B62476"/>
    <w:rsid w:val="00B626BB"/>
    <w:rsid w:val="00B724FE"/>
    <w:rsid w:val="00B73951"/>
    <w:rsid w:val="00B73E18"/>
    <w:rsid w:val="00B7420E"/>
    <w:rsid w:val="00B80A01"/>
    <w:rsid w:val="00B80D2F"/>
    <w:rsid w:val="00B82E58"/>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FB6"/>
    <w:rsid w:val="00C06587"/>
    <w:rsid w:val="00C07A4F"/>
    <w:rsid w:val="00C13489"/>
    <w:rsid w:val="00C13FAF"/>
    <w:rsid w:val="00C244BA"/>
    <w:rsid w:val="00C2519C"/>
    <w:rsid w:val="00C25425"/>
    <w:rsid w:val="00C254EC"/>
    <w:rsid w:val="00C25AD7"/>
    <w:rsid w:val="00C31620"/>
    <w:rsid w:val="00C3532B"/>
    <w:rsid w:val="00C35FFB"/>
    <w:rsid w:val="00C3605A"/>
    <w:rsid w:val="00C4070E"/>
    <w:rsid w:val="00C46538"/>
    <w:rsid w:val="00C46568"/>
    <w:rsid w:val="00C475B3"/>
    <w:rsid w:val="00C519A3"/>
    <w:rsid w:val="00C51A84"/>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A115B"/>
    <w:rsid w:val="00CA167E"/>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0567"/>
    <w:rsid w:val="00CF355D"/>
    <w:rsid w:val="00CF62AC"/>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477D"/>
    <w:rsid w:val="00DF5814"/>
    <w:rsid w:val="00DF7BB9"/>
    <w:rsid w:val="00E02431"/>
    <w:rsid w:val="00E03C51"/>
    <w:rsid w:val="00E11081"/>
    <w:rsid w:val="00E14AB1"/>
    <w:rsid w:val="00E16247"/>
    <w:rsid w:val="00E2004A"/>
    <w:rsid w:val="00E22781"/>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29"/>
    <w:rsid w:val="00F627C1"/>
    <w:rsid w:val="00F62842"/>
    <w:rsid w:val="00F64A9E"/>
    <w:rsid w:val="00F72CA1"/>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D1370"/>
    <w:rsid w:val="00FD5F55"/>
    <w:rsid w:val="00FD6415"/>
    <w:rsid w:val="00FE0D6B"/>
    <w:rsid w:val="00FE2042"/>
    <w:rsid w:val="00FE3364"/>
    <w:rsid w:val="00FE6711"/>
    <w:rsid w:val="00FF2B8E"/>
    <w:rsid w:val="00FF2D5E"/>
    <w:rsid w:val="00FF3FB5"/>
    <w:rsid w:val="00FF5A2F"/>
    <w:rsid w:val="018A2DD6"/>
    <w:rsid w:val="01F560E5"/>
    <w:rsid w:val="021B48C8"/>
    <w:rsid w:val="022F6BC7"/>
    <w:rsid w:val="02765062"/>
    <w:rsid w:val="02AB5D74"/>
    <w:rsid w:val="037E7B55"/>
    <w:rsid w:val="03C310A5"/>
    <w:rsid w:val="04480FA2"/>
    <w:rsid w:val="045B5E73"/>
    <w:rsid w:val="04A65CC3"/>
    <w:rsid w:val="051127D8"/>
    <w:rsid w:val="058A5177"/>
    <w:rsid w:val="060958D0"/>
    <w:rsid w:val="06B46DF4"/>
    <w:rsid w:val="06C80109"/>
    <w:rsid w:val="06EE1FCE"/>
    <w:rsid w:val="06FC5696"/>
    <w:rsid w:val="07166D85"/>
    <w:rsid w:val="07211C30"/>
    <w:rsid w:val="07C30DC0"/>
    <w:rsid w:val="08051A37"/>
    <w:rsid w:val="08E92ED7"/>
    <w:rsid w:val="0A7A508D"/>
    <w:rsid w:val="0AB623B0"/>
    <w:rsid w:val="0ABC2E87"/>
    <w:rsid w:val="0B6357F2"/>
    <w:rsid w:val="0C3279E8"/>
    <w:rsid w:val="0C4E6A0A"/>
    <w:rsid w:val="0C6D2071"/>
    <w:rsid w:val="0C7656E5"/>
    <w:rsid w:val="0D460BF6"/>
    <w:rsid w:val="0DF742E8"/>
    <w:rsid w:val="0E0A55DA"/>
    <w:rsid w:val="0E9A16A0"/>
    <w:rsid w:val="0EA83860"/>
    <w:rsid w:val="0F334EAC"/>
    <w:rsid w:val="0F482EAC"/>
    <w:rsid w:val="0FA75E50"/>
    <w:rsid w:val="0FAE47D0"/>
    <w:rsid w:val="0FD77389"/>
    <w:rsid w:val="10394744"/>
    <w:rsid w:val="10FB2274"/>
    <w:rsid w:val="110A57D8"/>
    <w:rsid w:val="11440C02"/>
    <w:rsid w:val="11790C53"/>
    <w:rsid w:val="118814D2"/>
    <w:rsid w:val="11D87F8D"/>
    <w:rsid w:val="12560390"/>
    <w:rsid w:val="12E33EC6"/>
    <w:rsid w:val="133176F4"/>
    <w:rsid w:val="13BB5F0A"/>
    <w:rsid w:val="142F2909"/>
    <w:rsid w:val="142F43C4"/>
    <w:rsid w:val="147C3DF2"/>
    <w:rsid w:val="14A47EEC"/>
    <w:rsid w:val="14B26E95"/>
    <w:rsid w:val="16244BA5"/>
    <w:rsid w:val="16D35ADF"/>
    <w:rsid w:val="17451FF2"/>
    <w:rsid w:val="17713AAE"/>
    <w:rsid w:val="180F4F9D"/>
    <w:rsid w:val="190A4A49"/>
    <w:rsid w:val="1A4A65D3"/>
    <w:rsid w:val="1A82366D"/>
    <w:rsid w:val="1A9A3C5A"/>
    <w:rsid w:val="1AE82C29"/>
    <w:rsid w:val="1AE84762"/>
    <w:rsid w:val="1AFF3A5E"/>
    <w:rsid w:val="1B657BB6"/>
    <w:rsid w:val="1B8207EA"/>
    <w:rsid w:val="1BB07FEB"/>
    <w:rsid w:val="1D463C3C"/>
    <w:rsid w:val="1E5A0411"/>
    <w:rsid w:val="1EB22950"/>
    <w:rsid w:val="1FA731C8"/>
    <w:rsid w:val="1FF05C03"/>
    <w:rsid w:val="1FF753DA"/>
    <w:rsid w:val="20B377D9"/>
    <w:rsid w:val="20C70A2A"/>
    <w:rsid w:val="21496007"/>
    <w:rsid w:val="219F60C0"/>
    <w:rsid w:val="22D217CD"/>
    <w:rsid w:val="22EE6ECD"/>
    <w:rsid w:val="23865A00"/>
    <w:rsid w:val="243D59F8"/>
    <w:rsid w:val="243E1570"/>
    <w:rsid w:val="245E5EF5"/>
    <w:rsid w:val="24A4004D"/>
    <w:rsid w:val="24DD2636"/>
    <w:rsid w:val="24ED56A6"/>
    <w:rsid w:val="25397845"/>
    <w:rsid w:val="25C744D7"/>
    <w:rsid w:val="26522EA8"/>
    <w:rsid w:val="268233AE"/>
    <w:rsid w:val="26CC0950"/>
    <w:rsid w:val="27AF06F3"/>
    <w:rsid w:val="27D8263D"/>
    <w:rsid w:val="27D85BC0"/>
    <w:rsid w:val="27E05ED7"/>
    <w:rsid w:val="28590432"/>
    <w:rsid w:val="285E6179"/>
    <w:rsid w:val="29235B3A"/>
    <w:rsid w:val="29DA2F38"/>
    <w:rsid w:val="2A16531B"/>
    <w:rsid w:val="2AE364C8"/>
    <w:rsid w:val="2C831246"/>
    <w:rsid w:val="2D511C5B"/>
    <w:rsid w:val="2D8630BF"/>
    <w:rsid w:val="2DA72A14"/>
    <w:rsid w:val="2DDF2633"/>
    <w:rsid w:val="2E11065B"/>
    <w:rsid w:val="2E361093"/>
    <w:rsid w:val="2E9A1435"/>
    <w:rsid w:val="2F6011C4"/>
    <w:rsid w:val="2FB05DB2"/>
    <w:rsid w:val="2FBE480E"/>
    <w:rsid w:val="30486A45"/>
    <w:rsid w:val="310314D0"/>
    <w:rsid w:val="31253DE5"/>
    <w:rsid w:val="313E7737"/>
    <w:rsid w:val="323D23EA"/>
    <w:rsid w:val="32D55BA8"/>
    <w:rsid w:val="333D592E"/>
    <w:rsid w:val="3363332D"/>
    <w:rsid w:val="338A111E"/>
    <w:rsid w:val="33B24780"/>
    <w:rsid w:val="34A22009"/>
    <w:rsid w:val="351A46E3"/>
    <w:rsid w:val="35BF02F0"/>
    <w:rsid w:val="35D44AB1"/>
    <w:rsid w:val="369860BB"/>
    <w:rsid w:val="37803D4D"/>
    <w:rsid w:val="38095EDD"/>
    <w:rsid w:val="38946BC7"/>
    <w:rsid w:val="39376BFA"/>
    <w:rsid w:val="39A66FFB"/>
    <w:rsid w:val="39B90520"/>
    <w:rsid w:val="39C51C11"/>
    <w:rsid w:val="3A46626E"/>
    <w:rsid w:val="3A6C4287"/>
    <w:rsid w:val="3A6F280E"/>
    <w:rsid w:val="3AA7642C"/>
    <w:rsid w:val="3AEC50AC"/>
    <w:rsid w:val="3B963CA8"/>
    <w:rsid w:val="3BA67324"/>
    <w:rsid w:val="3C14299D"/>
    <w:rsid w:val="3CCB5D28"/>
    <w:rsid w:val="3CF50587"/>
    <w:rsid w:val="3D121CF5"/>
    <w:rsid w:val="3D546BAD"/>
    <w:rsid w:val="3D7610D8"/>
    <w:rsid w:val="3D833811"/>
    <w:rsid w:val="3E2F3C47"/>
    <w:rsid w:val="3E4E45BF"/>
    <w:rsid w:val="3E781559"/>
    <w:rsid w:val="3FA25898"/>
    <w:rsid w:val="3FAC2A29"/>
    <w:rsid w:val="400D5119"/>
    <w:rsid w:val="409753E2"/>
    <w:rsid w:val="40D57DED"/>
    <w:rsid w:val="41642F23"/>
    <w:rsid w:val="41810E86"/>
    <w:rsid w:val="419B4CF5"/>
    <w:rsid w:val="422A4D4B"/>
    <w:rsid w:val="42B23987"/>
    <w:rsid w:val="43621CD6"/>
    <w:rsid w:val="43B12268"/>
    <w:rsid w:val="44A93E77"/>
    <w:rsid w:val="46762F99"/>
    <w:rsid w:val="47107740"/>
    <w:rsid w:val="479C1380"/>
    <w:rsid w:val="480F3C80"/>
    <w:rsid w:val="486149D1"/>
    <w:rsid w:val="487E214D"/>
    <w:rsid w:val="4989523E"/>
    <w:rsid w:val="49CD639A"/>
    <w:rsid w:val="4B211E31"/>
    <w:rsid w:val="4B4834B2"/>
    <w:rsid w:val="4B6D1740"/>
    <w:rsid w:val="4B900063"/>
    <w:rsid w:val="4BDE48C7"/>
    <w:rsid w:val="4C2C7A01"/>
    <w:rsid w:val="4CEC10F7"/>
    <w:rsid w:val="4DCA28A4"/>
    <w:rsid w:val="4E6F63A8"/>
    <w:rsid w:val="4F0D59E1"/>
    <w:rsid w:val="4F3C509E"/>
    <w:rsid w:val="4F810626"/>
    <w:rsid w:val="51212A72"/>
    <w:rsid w:val="51230178"/>
    <w:rsid w:val="513C1084"/>
    <w:rsid w:val="51C54122"/>
    <w:rsid w:val="51D72610"/>
    <w:rsid w:val="524404D2"/>
    <w:rsid w:val="52A3338D"/>
    <w:rsid w:val="53256473"/>
    <w:rsid w:val="5392322A"/>
    <w:rsid w:val="54595F7A"/>
    <w:rsid w:val="54AF11DD"/>
    <w:rsid w:val="550A5C7C"/>
    <w:rsid w:val="551F0CDB"/>
    <w:rsid w:val="555078FE"/>
    <w:rsid w:val="5553766F"/>
    <w:rsid w:val="56B011F9"/>
    <w:rsid w:val="573619C6"/>
    <w:rsid w:val="593928F1"/>
    <w:rsid w:val="59A345C6"/>
    <w:rsid w:val="59AA39E7"/>
    <w:rsid w:val="59B12835"/>
    <w:rsid w:val="59B9352D"/>
    <w:rsid w:val="59D95E9C"/>
    <w:rsid w:val="5A893988"/>
    <w:rsid w:val="5B096777"/>
    <w:rsid w:val="5C675762"/>
    <w:rsid w:val="5D120A4A"/>
    <w:rsid w:val="5D2502E7"/>
    <w:rsid w:val="5DBC03E8"/>
    <w:rsid w:val="5E004D5C"/>
    <w:rsid w:val="5F306EE0"/>
    <w:rsid w:val="5FE054D2"/>
    <w:rsid w:val="604D26C1"/>
    <w:rsid w:val="606C66E6"/>
    <w:rsid w:val="60965D54"/>
    <w:rsid w:val="6161547F"/>
    <w:rsid w:val="61640AD8"/>
    <w:rsid w:val="61B31E2C"/>
    <w:rsid w:val="62200077"/>
    <w:rsid w:val="63053144"/>
    <w:rsid w:val="6306100F"/>
    <w:rsid w:val="635A680F"/>
    <w:rsid w:val="635E32A1"/>
    <w:rsid w:val="63E036EB"/>
    <w:rsid w:val="64180699"/>
    <w:rsid w:val="64827BC4"/>
    <w:rsid w:val="64DA3F5C"/>
    <w:rsid w:val="64FC598A"/>
    <w:rsid w:val="6587291F"/>
    <w:rsid w:val="65AD731C"/>
    <w:rsid w:val="65E511F4"/>
    <w:rsid w:val="65E83187"/>
    <w:rsid w:val="662C2DFD"/>
    <w:rsid w:val="66A94529"/>
    <w:rsid w:val="66F940CB"/>
    <w:rsid w:val="670A1B7E"/>
    <w:rsid w:val="67DF4C81"/>
    <w:rsid w:val="68222BB4"/>
    <w:rsid w:val="686B200F"/>
    <w:rsid w:val="68D9030E"/>
    <w:rsid w:val="68F70777"/>
    <w:rsid w:val="697002F0"/>
    <w:rsid w:val="6A063964"/>
    <w:rsid w:val="6AB50D72"/>
    <w:rsid w:val="6C2E1DA3"/>
    <w:rsid w:val="6CF21078"/>
    <w:rsid w:val="6D6B2492"/>
    <w:rsid w:val="6D806011"/>
    <w:rsid w:val="6FD96572"/>
    <w:rsid w:val="70642C7D"/>
    <w:rsid w:val="707E74D3"/>
    <w:rsid w:val="713559ED"/>
    <w:rsid w:val="717A29A8"/>
    <w:rsid w:val="72237CF2"/>
    <w:rsid w:val="72941D3D"/>
    <w:rsid w:val="72A8177B"/>
    <w:rsid w:val="73B8683E"/>
    <w:rsid w:val="74366907"/>
    <w:rsid w:val="74D77E17"/>
    <w:rsid w:val="74FE4C1D"/>
    <w:rsid w:val="7504306F"/>
    <w:rsid w:val="75120E16"/>
    <w:rsid w:val="756F34FD"/>
    <w:rsid w:val="75B9739F"/>
    <w:rsid w:val="76D84087"/>
    <w:rsid w:val="77275DC2"/>
    <w:rsid w:val="77513D79"/>
    <w:rsid w:val="77C432CB"/>
    <w:rsid w:val="77D45F4A"/>
    <w:rsid w:val="7829241F"/>
    <w:rsid w:val="785C257D"/>
    <w:rsid w:val="79BC6718"/>
    <w:rsid w:val="79E7321D"/>
    <w:rsid w:val="7A6F61AA"/>
    <w:rsid w:val="7AEF6BF7"/>
    <w:rsid w:val="7B00726C"/>
    <w:rsid w:val="7C341A17"/>
    <w:rsid w:val="7C3D2715"/>
    <w:rsid w:val="7CC3596E"/>
    <w:rsid w:val="7D861BE3"/>
    <w:rsid w:val="7DBA0889"/>
    <w:rsid w:val="7DD52CF4"/>
    <w:rsid w:val="7EE03426"/>
    <w:rsid w:val="7EE37EAA"/>
    <w:rsid w:val="7F2F3AFE"/>
    <w:rsid w:val="7FC5392C"/>
    <w:rsid w:val="7FD268C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1"/>
    <w:qFormat/>
    <w:uiPriority w:val="8"/>
    <w:pPr>
      <w:spacing w:before="0" w:after="260" w:line="415" w:lineRule="auto"/>
      <w:outlineLvl w:val="1"/>
    </w:pPr>
    <w:rPr>
      <w:rFonts w:ascii="Arial" w:hAnsi="Arial" w:eastAsia="黑体"/>
      <w:b/>
      <w:sz w:val="32"/>
      <w:szCs w:val="32"/>
    </w:rPr>
  </w:style>
  <w:style w:type="paragraph" w:styleId="8">
    <w:name w:val="heading 3"/>
    <w:basedOn w:val="1"/>
    <w:next w:val="1"/>
    <w:qFormat/>
    <w:uiPriority w:val="9"/>
    <w:pPr>
      <w:outlineLvl w:val="2"/>
    </w:pPr>
    <w:rPr>
      <w:b/>
      <w:sz w:val="24"/>
      <w:szCs w:val="24"/>
    </w:rPr>
  </w:style>
  <w:style w:type="paragraph" w:styleId="9">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72"/>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link w:val="71"/>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10">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1">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2">
    <w:name w:val="Document Map"/>
    <w:basedOn w:val="1"/>
    <w:semiHidden/>
    <w:unhideWhenUsed/>
    <w:qFormat/>
    <w:uiPriority w:val="0"/>
    <w:rPr>
      <w:rFonts w:ascii="宋体"/>
      <w:sz w:val="18"/>
      <w:szCs w:val="18"/>
    </w:rPr>
  </w:style>
  <w:style w:type="paragraph" w:styleId="13">
    <w:name w:val="annotation text"/>
    <w:basedOn w:val="1"/>
    <w:semiHidden/>
    <w:unhideWhenUsed/>
    <w:qFormat/>
    <w:uiPriority w:val="0"/>
    <w:pPr>
      <w:jc w:val="left"/>
    </w:pPr>
  </w:style>
  <w:style w:type="paragraph" w:styleId="14">
    <w:name w:val="Body Text"/>
    <w:basedOn w:val="1"/>
    <w:next w:val="2"/>
    <w:link w:val="64"/>
    <w:unhideWhenUsed/>
    <w:qFormat/>
    <w:uiPriority w:val="99"/>
    <w:pPr>
      <w:spacing w:after="120"/>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2"/>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6"/>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envelope return"/>
    <w:basedOn w:val="1"/>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3">
    <w:name w:val="header"/>
    <w:basedOn w:val="1"/>
    <w:link w:val="73"/>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33">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4">
    <w:name w:val="annotation subject"/>
    <w:basedOn w:val="13"/>
    <w:next w:val="13"/>
    <w:semiHidden/>
    <w:unhideWhenUsed/>
    <w:qFormat/>
    <w:uiPriority w:val="0"/>
    <w:rPr>
      <w:b/>
    </w:rPr>
  </w:style>
  <w:style w:type="paragraph" w:styleId="35">
    <w:name w:val="Body Text First Indent"/>
    <w:basedOn w:val="14"/>
    <w:qFormat/>
    <w:uiPriority w:val="0"/>
    <w:pPr>
      <w:snapToGrid w:val="0"/>
      <w:spacing w:after="120" w:line="360" w:lineRule="auto"/>
      <w:ind w:right="240" w:firstLine="420" w:firstLineChars="100"/>
      <w:jc w:val="left"/>
    </w:pPr>
    <w:rPr>
      <w:rFonts w:ascii="宋体" w:hAnsi="宋体" w:eastAsia="方正仿宋_GBK"/>
      <w:szCs w:val="28"/>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0"/>
    <w:rPr>
      <w:rFonts w:cs="Times New Roman"/>
      <w:b/>
    </w:rPr>
  </w:style>
  <w:style w:type="character" w:styleId="40">
    <w:name w:val="page number"/>
    <w:basedOn w:val="38"/>
    <w:qFormat/>
    <w:uiPriority w:val="0"/>
  </w:style>
  <w:style w:type="character" w:styleId="41">
    <w:name w:val="FollowedHyperlink"/>
    <w:basedOn w:val="38"/>
    <w:semiHidden/>
    <w:unhideWhenUsed/>
    <w:qFormat/>
    <w:uiPriority w:val="99"/>
    <w:rPr>
      <w:color w:val="666666"/>
      <w:u w:val="none"/>
    </w:rPr>
  </w:style>
  <w:style w:type="character" w:styleId="42">
    <w:name w:val="HTML Definition"/>
    <w:basedOn w:val="38"/>
    <w:semiHidden/>
    <w:unhideWhenUsed/>
    <w:qFormat/>
    <w:uiPriority w:val="99"/>
    <w:rPr>
      <w:i/>
      <w:iCs/>
    </w:rPr>
  </w:style>
  <w:style w:type="character" w:styleId="43">
    <w:name w:val="Hyperlink"/>
    <w:basedOn w:val="38"/>
    <w:unhideWhenUsed/>
    <w:qFormat/>
    <w:uiPriority w:val="99"/>
    <w:rPr>
      <w:color w:val="0000FF"/>
      <w:u w:val="single"/>
    </w:rPr>
  </w:style>
  <w:style w:type="character" w:styleId="44">
    <w:name w:val="HTML Code"/>
    <w:basedOn w:val="38"/>
    <w:semiHidden/>
    <w:unhideWhenUsed/>
    <w:qFormat/>
    <w:uiPriority w:val="99"/>
    <w:rPr>
      <w:rFonts w:ascii="Consolas" w:hAnsi="Consolas" w:eastAsia="Consolas" w:cs="Consolas"/>
      <w:color w:val="C7254E"/>
      <w:sz w:val="21"/>
      <w:szCs w:val="21"/>
      <w:shd w:val="clear" w:color="auto" w:fill="F9F2F4"/>
    </w:rPr>
  </w:style>
  <w:style w:type="character" w:styleId="45">
    <w:name w:val="annotation reference"/>
    <w:basedOn w:val="38"/>
    <w:semiHidden/>
    <w:unhideWhenUsed/>
    <w:qFormat/>
    <w:uiPriority w:val="0"/>
    <w:rPr>
      <w:sz w:val="21"/>
      <w:szCs w:val="21"/>
    </w:rPr>
  </w:style>
  <w:style w:type="character" w:styleId="46">
    <w:name w:val="footnote reference"/>
    <w:basedOn w:val="38"/>
    <w:semiHidden/>
    <w:unhideWhenUsed/>
    <w:qFormat/>
    <w:uiPriority w:val="0"/>
    <w:rPr>
      <w:vertAlign w:val="superscript"/>
    </w:rPr>
  </w:style>
  <w:style w:type="character" w:styleId="47">
    <w:name w:val="HTML Keyboard"/>
    <w:basedOn w:val="38"/>
    <w:semiHidden/>
    <w:unhideWhenUsed/>
    <w:qFormat/>
    <w:uiPriority w:val="99"/>
    <w:rPr>
      <w:rFonts w:hint="default" w:ascii="Consolas" w:hAnsi="Consolas" w:eastAsia="Consolas" w:cs="Consolas"/>
      <w:color w:val="FFFFFF"/>
      <w:sz w:val="21"/>
      <w:szCs w:val="21"/>
      <w:shd w:val="clear" w:color="auto" w:fill="333333"/>
    </w:rPr>
  </w:style>
  <w:style w:type="character" w:styleId="48">
    <w:name w:val="HTML Sample"/>
    <w:basedOn w:val="38"/>
    <w:semiHidden/>
    <w:unhideWhenUsed/>
    <w:qFormat/>
    <w:uiPriority w:val="99"/>
    <w:rPr>
      <w:rFonts w:hint="default" w:ascii="Consolas" w:hAnsi="Consolas" w:eastAsia="Consolas" w:cs="Consolas"/>
      <w:sz w:val="21"/>
      <w:szCs w:val="21"/>
    </w:rPr>
  </w:style>
  <w:style w:type="paragraph" w:styleId="49">
    <w:name w:val="List Paragraph"/>
    <w:basedOn w:val="1"/>
    <w:qFormat/>
    <w:uiPriority w:val="34"/>
    <w:pPr>
      <w:ind w:firstLine="200"/>
    </w:pPr>
    <w:rPr>
      <w:rFonts w:ascii="Calibri" w:hAnsi="Calibri"/>
    </w:rPr>
  </w:style>
  <w:style w:type="character" w:customStyle="1" w:styleId="50">
    <w:name w:val="正文文本 2 Char"/>
    <w:basedOn w:val="38"/>
    <w:qFormat/>
    <w:uiPriority w:val="0"/>
    <w:rPr>
      <w:rFonts w:ascii="Times New Roman" w:hAnsi="Times New Roman" w:eastAsia="宋体" w:cs="Times New Roman"/>
    </w:rPr>
  </w:style>
  <w:style w:type="character" w:customStyle="1" w:styleId="51">
    <w:name w:val="16"/>
    <w:basedOn w:val="38"/>
    <w:qFormat/>
    <w:uiPriority w:val="0"/>
    <w:rPr>
      <w:rFonts w:hint="default" w:ascii="Times New Roman" w:hAnsi="Times New Roman" w:cs="Times New Roman"/>
      <w:color w:val="0000FF"/>
      <w:u w:val="single"/>
    </w:rPr>
  </w:style>
  <w:style w:type="character" w:customStyle="1" w:styleId="52">
    <w:name w:val="15"/>
    <w:basedOn w:val="38"/>
    <w:qFormat/>
    <w:uiPriority w:val="0"/>
    <w:rPr>
      <w:rFonts w:hint="default" w:ascii="Times New Roman" w:hAnsi="Times New Roman" w:cs="Times New Roman"/>
      <w:color w:val="0000FF"/>
      <w:u w:val="single"/>
    </w:rPr>
  </w:style>
  <w:style w:type="character" w:customStyle="1" w:styleId="53">
    <w:name w:val="标题 3 Char"/>
    <w:qFormat/>
    <w:uiPriority w:val="0"/>
    <w:rPr>
      <w:b/>
      <w:sz w:val="24"/>
      <w:szCs w:val="24"/>
    </w:rPr>
  </w:style>
  <w:style w:type="character" w:customStyle="1" w:styleId="54">
    <w:name w:val="标题 2 Char"/>
    <w:qFormat/>
    <w:uiPriority w:val="0"/>
    <w:rPr>
      <w:rFonts w:ascii="Arial" w:hAnsi="Arial" w:eastAsia="黑体"/>
      <w:b/>
      <w:sz w:val="32"/>
      <w:szCs w:val="32"/>
    </w:rPr>
  </w:style>
  <w:style w:type="character" w:customStyle="1" w:styleId="55">
    <w:name w:val="批注框文本 Char"/>
    <w:basedOn w:val="38"/>
    <w:semiHidden/>
    <w:qFormat/>
    <w:uiPriority w:val="0"/>
    <w:rPr>
      <w:sz w:val="18"/>
      <w:szCs w:val="18"/>
    </w:rPr>
  </w:style>
  <w:style w:type="character" w:customStyle="1" w:styleId="56">
    <w:name w:val="批注文字 Char"/>
    <w:basedOn w:val="38"/>
    <w:semiHidden/>
    <w:qFormat/>
    <w:uiPriority w:val="0"/>
    <w:rPr>
      <w:sz w:val="21"/>
      <w:szCs w:val="21"/>
    </w:rPr>
  </w:style>
  <w:style w:type="character" w:customStyle="1" w:styleId="57">
    <w:name w:val="批注主题 Char"/>
    <w:basedOn w:val="56"/>
    <w:semiHidden/>
    <w:qFormat/>
    <w:uiPriority w:val="0"/>
    <w:rPr>
      <w:b/>
      <w:sz w:val="21"/>
      <w:szCs w:val="21"/>
    </w:rPr>
  </w:style>
  <w:style w:type="character" w:customStyle="1" w:styleId="58">
    <w:name w:val="文档结构图 Char"/>
    <w:basedOn w:val="38"/>
    <w:semiHidden/>
    <w:qFormat/>
    <w:uiPriority w:val="0"/>
    <w:rPr>
      <w:rFonts w:ascii="宋体"/>
      <w:sz w:val="18"/>
      <w:szCs w:val="18"/>
    </w:rPr>
  </w:style>
  <w:style w:type="character" w:customStyle="1" w:styleId="59">
    <w:name w:val="页脚 Char"/>
    <w:qFormat/>
    <w:uiPriority w:val="99"/>
    <w:rPr>
      <w:sz w:val="18"/>
      <w:szCs w:val="18"/>
    </w:rPr>
  </w:style>
  <w:style w:type="character" w:customStyle="1" w:styleId="60">
    <w:name w:val="脚注文本 Char"/>
    <w:basedOn w:val="38"/>
    <w:semiHidden/>
    <w:qFormat/>
    <w:uiPriority w:val="0"/>
    <w:rPr>
      <w:sz w:val="18"/>
      <w:szCs w:val="18"/>
    </w:rPr>
  </w:style>
  <w:style w:type="paragraph" w:customStyle="1" w:styleId="61">
    <w:name w:val="TOC 标题1"/>
    <w:basedOn w:val="6"/>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2">
    <w:name w:val="纯文本 字符"/>
    <w:link w:val="17"/>
    <w:qFormat/>
    <w:locked/>
    <w:uiPriority w:val="99"/>
    <w:rPr>
      <w:rFonts w:ascii="宋体" w:hAnsi="Courier New" w:cs="宋体"/>
    </w:rPr>
  </w:style>
  <w:style w:type="paragraph" w:customStyle="1" w:styleId="63">
    <w:name w:val="修订1"/>
    <w:hidden/>
    <w:semiHidden/>
    <w:qFormat/>
    <w:uiPriority w:val="99"/>
    <w:rPr>
      <w:rFonts w:ascii="Times New Roman" w:hAnsi="Times New Roman" w:eastAsia="宋体" w:cs="Times New Roman"/>
      <w:sz w:val="21"/>
      <w:szCs w:val="21"/>
      <w:lang w:val="en-US" w:eastAsia="zh-CN" w:bidi="ar-SA"/>
    </w:rPr>
  </w:style>
  <w:style w:type="character" w:customStyle="1" w:styleId="64">
    <w:name w:val="正文文本 字符"/>
    <w:basedOn w:val="38"/>
    <w:link w:val="14"/>
    <w:qFormat/>
    <w:uiPriority w:val="99"/>
    <w:rPr>
      <w:sz w:val="21"/>
      <w:szCs w:val="21"/>
    </w:rPr>
  </w:style>
  <w:style w:type="paragraph" w:customStyle="1" w:styleId="65">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6">
    <w:name w:val="日期 字符"/>
    <w:basedOn w:val="38"/>
    <w:link w:val="19"/>
    <w:semiHidden/>
    <w:qFormat/>
    <w:uiPriority w:val="99"/>
    <w:rPr>
      <w:sz w:val="21"/>
      <w:szCs w:val="21"/>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disabled1"/>
    <w:basedOn w:val="38"/>
    <w:qFormat/>
    <w:uiPriority w:val="0"/>
  </w:style>
  <w:style w:type="character" w:customStyle="1" w:styleId="69">
    <w:name w:val="layui-layer-tabnow"/>
    <w:basedOn w:val="38"/>
    <w:qFormat/>
    <w:uiPriority w:val="0"/>
    <w:rPr>
      <w:bdr w:val="single" w:color="CCCCCC" w:sz="4" w:space="0"/>
      <w:shd w:val="clear" w:color="auto" w:fill="FFFFFF"/>
    </w:rPr>
  </w:style>
  <w:style w:type="character" w:customStyle="1" w:styleId="70">
    <w:name w:val="first-child"/>
    <w:basedOn w:val="38"/>
    <w:qFormat/>
    <w:uiPriority w:val="0"/>
  </w:style>
  <w:style w:type="character" w:customStyle="1" w:styleId="71">
    <w:name w:val="正文文本缩进 字符"/>
    <w:basedOn w:val="38"/>
    <w:link w:val="3"/>
    <w:qFormat/>
    <w:uiPriority w:val="99"/>
    <w:rPr>
      <w:sz w:val="24"/>
      <w:szCs w:val="21"/>
    </w:rPr>
  </w:style>
  <w:style w:type="character" w:customStyle="1" w:styleId="72">
    <w:name w:val="正文文本首行缩进 2 字符"/>
    <w:basedOn w:val="71"/>
    <w:link w:val="2"/>
    <w:qFormat/>
    <w:uiPriority w:val="0"/>
    <w:rPr>
      <w:rFonts w:ascii="Calibri" w:hAnsi="Calibri" w:eastAsia="Times New Roman"/>
      <w:sz w:val="24"/>
      <w:szCs w:val="21"/>
    </w:rPr>
  </w:style>
  <w:style w:type="character" w:customStyle="1" w:styleId="73">
    <w:name w:val="页眉 字符"/>
    <w:basedOn w:val="38"/>
    <w:link w:val="23"/>
    <w:qFormat/>
    <w:uiPriority w:val="99"/>
    <w:rPr>
      <w:sz w:val="18"/>
      <w:szCs w:val="18"/>
    </w:rPr>
  </w:style>
  <w:style w:type="paragraph" w:customStyle="1" w:styleId="74">
    <w:name w:val="小标"/>
    <w:basedOn w:val="1"/>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75">
    <w:name w:val="大分"/>
    <w:basedOn w:val="1"/>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76">
    <w:name w:val="小分点"/>
    <w:basedOn w:val="67"/>
    <w:qFormat/>
    <w:uiPriority w:val="0"/>
    <w:pPr>
      <w:ind w:left="1680" w:hanging="603"/>
    </w:pPr>
  </w:style>
  <w:style w:type="paragraph" w:customStyle="1" w:styleId="77">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
    <w:name w:val="正文文本_0"/>
    <w:basedOn w:val="78"/>
    <w:qFormat/>
    <w:uiPriority w:val="0"/>
    <w:pPr>
      <w:spacing w:after="120"/>
    </w:pPr>
    <w:rPr>
      <w:rFonts w:ascii="Times New Roman" w:hAnsi="Times New Roman"/>
      <w:szCs w:val="24"/>
    </w:rPr>
  </w:style>
  <w:style w:type="paragraph" w:customStyle="1" w:styleId="8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Normal_0_0"/>
    <w:qFormat/>
    <w:uiPriority w:val="0"/>
    <w:pPr>
      <w:widowControl w:val="0"/>
      <w:jc w:val="both"/>
    </w:pPr>
    <w:rPr>
      <w:rFonts w:ascii="Calibri" w:hAnsi="Calibri" w:eastAsia="宋体" w:cs="Times New Roman"/>
      <w:lang w:val="en-US" w:eastAsia="zh-CN" w:bidi="ar-SA"/>
    </w:rPr>
  </w:style>
  <w:style w:type="paragraph" w:customStyle="1" w:styleId="83">
    <w:name w:val="正文_5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正文_5_0_1"/>
    <w:next w:val="8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正文首行缩进 2_1_0"/>
    <w:basedOn w:val="84"/>
    <w:next w:val="86"/>
    <w:unhideWhenUsed/>
    <w:qFormat/>
    <w:uiPriority w:val="0"/>
    <w:pPr>
      <w:spacing w:after="120"/>
      <w:ind w:left="420" w:leftChars="200" w:firstLine="420"/>
    </w:pPr>
    <w:rPr>
      <w:rFonts w:ascii="Calibri" w:hAnsi="Calibri" w:eastAsia="Times New Roman"/>
      <w:kern w:val="0"/>
    </w:rPr>
  </w:style>
  <w:style w:type="paragraph" w:customStyle="1" w:styleId="86">
    <w:name w:val="明显引用1_1_0"/>
    <w:basedOn w:val="87"/>
    <w:next w:val="87"/>
    <w:qFormat/>
    <w:uiPriority w:val="0"/>
    <w:pPr>
      <w:pBdr>
        <w:bottom w:val="single" w:color="4F81BD" w:sz="4" w:space="4"/>
      </w:pBdr>
      <w:spacing w:before="200" w:after="280"/>
      <w:ind w:left="936" w:right="936"/>
    </w:pPr>
    <w:rPr>
      <w:b/>
      <w:bCs/>
      <w:i/>
      <w:iCs/>
      <w:color w:val="4F81BD"/>
      <w:sz w:val="20"/>
      <w:szCs w:val="20"/>
    </w:rPr>
  </w:style>
  <w:style w:type="paragraph" w:customStyle="1" w:styleId="87">
    <w:name w:val="Normal_1_0_0_0"/>
    <w:next w:val="85"/>
    <w:qFormat/>
    <w:uiPriority w:val="0"/>
    <w:rPr>
      <w:rFonts w:ascii="Times New Roman" w:hAnsi="Times New Roman" w:eastAsia="Times New Roman" w:cs="Times New Roman"/>
      <w:sz w:val="24"/>
      <w:szCs w:val="24"/>
      <w:lang w:val="en-US" w:eastAsia="zh-CN" w:bidi="ar-SA"/>
    </w:rPr>
  </w:style>
  <w:style w:type="paragraph" w:customStyle="1" w:styleId="88">
    <w:name w:val="正文_5_0_2"/>
    <w:next w:val="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纯文本_2_0"/>
    <w:basedOn w:val="88"/>
    <w:qFormat/>
    <w:uiPriority w:val="0"/>
    <w:rPr>
      <w:rFonts w:ascii="宋体" w:hAnsi="Courier New"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header" Target="header2.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322a1c6-90ac-45f1-a232-f9c999521b0a}"/>
        <w:style w:val=""/>
        <w:category>
          <w:name w:val="常规"/>
          <w:gallery w:val="placeholder"/>
        </w:category>
        <w:types>
          <w:type w:val="bbPlcHdr"/>
        </w:types>
        <w:behaviors>
          <w:behavior w:val="content"/>
        </w:behaviors>
        <w:description w:val=""/>
        <w:guid w:val="{a322a1c6-90ac-45f1-a232-f9c999521b0a}"/>
      </w:docPartPr>
      <w:docPartBody>
        <w:p w14:paraId="33CC46DC">
          <w:r>
            <w:rPr>
              <w:color w:val="808080"/>
            </w:rPr>
            <w:t>单击此处输入文字。</w:t>
          </w:r>
        </w:p>
      </w:docPartBody>
    </w:docPart>
    <w:docPart>
      <w:docPartPr>
        <w:name w:val="{b849f7be-2f11-4dc7-827f-613b06421f73}"/>
        <w:style w:val=""/>
        <w:category>
          <w:name w:val="常规"/>
          <w:gallery w:val="placeholder"/>
        </w:category>
        <w:types>
          <w:type w:val="bbPlcHdr"/>
        </w:types>
        <w:behaviors>
          <w:behavior w:val="content"/>
        </w:behaviors>
        <w:description w:val=""/>
        <w:guid w:val="{b849f7be-2f11-4dc7-827f-613b06421f73}"/>
      </w:docPartPr>
      <w:docPartBody>
        <w:p w14:paraId="018197CE">
          <w:r>
            <w:rPr>
              <w:color w:val="808080"/>
            </w:rPr>
            <w:t>单击此处输入文字。</w:t>
          </w:r>
        </w:p>
      </w:docPartBody>
    </w:docPart>
    <w:docPart>
      <w:docPartPr>
        <w:name w:val="{ba86e39d-8fd0-4b85-bd49-8db818db39b0}"/>
        <w:style w:val=""/>
        <w:category>
          <w:name w:val="常规"/>
          <w:gallery w:val="placeholder"/>
        </w:category>
        <w:types>
          <w:type w:val="bbPlcHdr"/>
        </w:types>
        <w:behaviors>
          <w:behavior w:val="content"/>
        </w:behaviors>
        <w:description w:val=""/>
        <w:guid w:val="{ba86e39d-8fd0-4b85-bd49-8db818db39b0}"/>
      </w:docPartPr>
      <w:docPartBody>
        <w:p w14:paraId="3A4D72A6">
          <w:r>
            <w:rPr>
              <w:color w:val="808080"/>
            </w:rPr>
            <w:t>单击此处输入文字。</w:t>
          </w:r>
        </w:p>
      </w:docPartBody>
    </w:docPart>
    <w:docPart>
      <w:docPartPr>
        <w:name w:val="{ce9dea7c-af24-4a55-befd-e61a62035811}"/>
        <w:style w:val=""/>
        <w:category>
          <w:name w:val="常规"/>
          <w:gallery w:val="placeholder"/>
        </w:category>
        <w:types>
          <w:type w:val="bbPlcHdr"/>
        </w:types>
        <w:behaviors>
          <w:behavior w:val="content"/>
        </w:behaviors>
        <w:description w:val=""/>
        <w:guid w:val="{ce9dea7c-af24-4a55-befd-e61a62035811}"/>
      </w:docPartPr>
      <w:docPartBody>
        <w:p w14:paraId="3F9D7C66">
          <w:r>
            <w:rPr>
              <w:color w:val="808080"/>
            </w:rPr>
            <w:t>单击此处输入文字。</w:t>
          </w:r>
        </w:p>
      </w:docPartBody>
    </w:docPart>
    <w:docPart>
      <w:docPartPr>
        <w:name w:val="{f9998697-c505-4e15-9e18-4d2b8b9621cb}"/>
        <w:style w:val=""/>
        <w:category>
          <w:name w:val="常规"/>
          <w:gallery w:val="placeholder"/>
        </w:category>
        <w:types>
          <w:type w:val="bbPlcHdr"/>
        </w:types>
        <w:behaviors>
          <w:behavior w:val="content"/>
        </w:behaviors>
        <w:description w:val=""/>
        <w:guid w:val="{f9998697-c505-4e15-9e18-4d2b8b9621cb}"/>
      </w:docPartPr>
      <w:docPartBody>
        <w:p w14:paraId="474A5FA1">
          <w:r>
            <w:rPr>
              <w:color w:val="808080"/>
            </w:rPr>
            <w:t>单击此处输入文字。</w:t>
          </w:r>
        </w:p>
      </w:docPartBody>
    </w:docPart>
    <w:docPart>
      <w:docPartPr>
        <w:name w:val="{8cbe76b5-e259-4d30-828b-6c12f8d7fd11}"/>
        <w:style w:val=""/>
        <w:category>
          <w:name w:val="常规"/>
          <w:gallery w:val="placeholder"/>
        </w:category>
        <w:types>
          <w:type w:val="bbPlcHdr"/>
        </w:types>
        <w:behaviors>
          <w:behavior w:val="content"/>
        </w:behaviors>
        <w:description w:val=""/>
        <w:guid w:val="{8cbe76b5-e259-4d30-828b-6c12f8d7fd11}"/>
      </w:docPartPr>
      <w:docPartBody>
        <w:p w14:paraId="7DFA040D">
          <w:r>
            <w:rPr>
              <w:color w:val="808080"/>
            </w:rPr>
            <w:t>单击此处输入文字。</w:t>
          </w:r>
        </w:p>
      </w:docPartBody>
    </w:docPart>
    <w:docPart>
      <w:docPartPr>
        <w:name w:val="{28942cd8-fe1d-4c45-a32c-2c16946602fe}"/>
        <w:style w:val=""/>
        <w:category>
          <w:name w:val="常规"/>
          <w:gallery w:val="placeholder"/>
        </w:category>
        <w:types>
          <w:type w:val="bbPlcHdr"/>
        </w:types>
        <w:behaviors>
          <w:behavior w:val="content"/>
        </w:behaviors>
        <w:description w:val=""/>
        <w:guid w:val="{28942cd8-fe1d-4c45-a32c-2c16946602fe}"/>
      </w:docPartPr>
      <w:docPartBody>
        <w:p w14:paraId="61EE9D21">
          <w:r>
            <w:rPr>
              <w:color w:val="808080"/>
            </w:rPr>
            <w:t>单击此处输入文字。</w:t>
          </w:r>
        </w:p>
      </w:docPartBody>
    </w:docPart>
    <w:docPart>
      <w:docPartPr>
        <w:name w:val="{4949d0f0-8428-4514-8667-a5089f021c46}"/>
        <w:style w:val=""/>
        <w:category>
          <w:name w:val="常规"/>
          <w:gallery w:val="placeholder"/>
        </w:category>
        <w:types>
          <w:type w:val="bbPlcHdr"/>
        </w:types>
        <w:behaviors>
          <w:behavior w:val="content"/>
        </w:behaviors>
        <w:description w:val=""/>
        <w:guid w:val="{4949d0f0-8428-4514-8667-a5089f021c46}"/>
      </w:docPartPr>
      <w:docPartBody>
        <w:p w14:paraId="137AEDD3">
          <w:r>
            <w:rPr>
              <w:color w:val="808080"/>
            </w:rPr>
            <w:t>单击此处输入文字。</w:t>
          </w:r>
        </w:p>
      </w:docPartBody>
    </w:docPart>
    <w:docPart>
      <w:docPartPr>
        <w:name w:val="{59c10b36-02b4-477b-a848-928da3317036}"/>
        <w:style w:val=""/>
        <w:category>
          <w:name w:val="常规"/>
          <w:gallery w:val="placeholder"/>
        </w:category>
        <w:types>
          <w:type w:val="bbPlcHdr"/>
        </w:types>
        <w:behaviors>
          <w:behavior w:val="content"/>
        </w:behaviors>
        <w:description w:val=""/>
        <w:guid w:val="{59c10b36-02b4-477b-a848-928da3317036}"/>
      </w:docPartPr>
      <w:docPartBody>
        <w:p w14:paraId="22D2730B">
          <w:r>
            <w:rPr>
              <w:color w:val="808080"/>
            </w:rPr>
            <w:t>单击此处输入文字。</w:t>
          </w:r>
        </w:p>
      </w:docPartBody>
    </w:docPart>
    <w:docPart>
      <w:docPartPr>
        <w:name w:val="{94a0b201-c6e3-44da-a3c8-ec5b4607249d}"/>
        <w:style w:val=""/>
        <w:category>
          <w:name w:val="常规"/>
          <w:gallery w:val="placeholder"/>
        </w:category>
        <w:types>
          <w:type w:val="bbPlcHdr"/>
        </w:types>
        <w:behaviors>
          <w:behavior w:val="content"/>
        </w:behaviors>
        <w:description w:val=""/>
        <w:guid w:val="{94a0b201-c6e3-44da-a3c8-ec5b4607249d}"/>
      </w:docPartPr>
      <w:docPartBody>
        <w:p w14:paraId="2F3E6400">
          <w:r>
            <w:rPr>
              <w:color w:val="808080"/>
            </w:rPr>
            <w:t>单击此处输入文字。</w:t>
          </w:r>
        </w:p>
      </w:docPartBody>
    </w:docPart>
    <w:docPart>
      <w:docPartPr>
        <w:name w:val="{e8b671ff-6cfc-47d9-aba8-22b23b99f8ed}"/>
        <w:style w:val=""/>
        <w:category>
          <w:name w:val="常规"/>
          <w:gallery w:val="placeholder"/>
        </w:category>
        <w:types>
          <w:type w:val="bbPlcHdr"/>
        </w:types>
        <w:behaviors>
          <w:behavior w:val="content"/>
        </w:behaviors>
        <w:description w:val=""/>
        <w:guid w:val="{e8b671ff-6cfc-47d9-aba8-22b23b99f8ed}"/>
      </w:docPartPr>
      <w:docPartBody>
        <w:p w14:paraId="071A0140">
          <w:r>
            <w:rPr>
              <w:color w:val="808080"/>
            </w:rPr>
            <w:t>单击此处输入文字。</w:t>
          </w:r>
        </w:p>
      </w:docPartBody>
    </w:docPart>
    <w:docPart>
      <w:docPartPr>
        <w:name w:val="{1f279055-4a89-4296-8ca9-55900f7be066}"/>
        <w:style w:val=""/>
        <w:category>
          <w:name w:val="常规"/>
          <w:gallery w:val="placeholder"/>
        </w:category>
        <w:types>
          <w:type w:val="bbPlcHdr"/>
        </w:types>
        <w:behaviors>
          <w:behavior w:val="content"/>
        </w:behaviors>
        <w:description w:val=""/>
        <w:guid w:val="{1f279055-4a89-4296-8ca9-55900f7be066}"/>
      </w:docPartPr>
      <w:docPartBody>
        <w:p w14:paraId="539AEAF9">
          <w:r>
            <w:rPr>
              <w:color w:val="808080"/>
            </w:rPr>
            <w:t>单击此处输入文字。</w:t>
          </w:r>
        </w:p>
      </w:docPartBody>
    </w:docPart>
    <w:docPart>
      <w:docPartPr>
        <w:name w:val="{77e0c4b0-b703-47d3-9892-cf0087ccf5e8}"/>
        <w:style w:val=""/>
        <w:category>
          <w:name w:val="常规"/>
          <w:gallery w:val="placeholder"/>
        </w:category>
        <w:types>
          <w:type w:val="bbPlcHdr"/>
        </w:types>
        <w:behaviors>
          <w:behavior w:val="content"/>
        </w:behaviors>
        <w:description w:val=""/>
        <w:guid w:val="{77e0c4b0-b703-47d3-9892-cf0087ccf5e8}"/>
      </w:docPartPr>
      <w:docPartBody>
        <w:p w14:paraId="001AE29D">
          <w:r>
            <w:rPr>
              <w:color w:val="808080"/>
            </w:rPr>
            <w:t>单击此处输入文字。</w:t>
          </w:r>
        </w:p>
      </w:docPartBody>
    </w:docPart>
    <w:docPart>
      <w:docPartPr>
        <w:name w:val="{f676e692-f796-4a8e-b7d0-c12a56202204}"/>
        <w:style w:val=""/>
        <w:category>
          <w:name w:val="常规"/>
          <w:gallery w:val="placeholder"/>
        </w:category>
        <w:types>
          <w:type w:val="bbPlcHdr"/>
        </w:types>
        <w:behaviors>
          <w:behavior w:val="content"/>
        </w:behaviors>
        <w:description w:val=""/>
        <w:guid w:val="{f676e692-f796-4a8e-b7d0-c12a56202204}"/>
      </w:docPartPr>
      <w:docPartBody>
        <w:p w14:paraId="112EBAAC">
          <w:r>
            <w:rPr>
              <w:color w:val="808080"/>
            </w:rPr>
            <w:t>单击此处输入文字。</w:t>
          </w:r>
        </w:p>
      </w:docPartBody>
    </w:docPart>
    <w:docPart>
      <w:docPartPr>
        <w:name w:val="{f32d5091-9754-437b-9ca9-324b4ed76b42}"/>
        <w:style w:val=""/>
        <w:category>
          <w:name w:val="常规"/>
          <w:gallery w:val="placeholder"/>
        </w:category>
        <w:types>
          <w:type w:val="bbPlcHdr"/>
        </w:types>
        <w:behaviors>
          <w:behavior w:val="content"/>
        </w:behaviors>
        <w:description w:val=""/>
        <w:guid w:val="{f32d5091-9754-437b-9ca9-324b4ed76b42}"/>
      </w:docPartPr>
      <w:docPartBody>
        <w:p w14:paraId="42AB9F71">
          <w:r>
            <w:rPr>
              <w:color w:val="808080"/>
            </w:rPr>
            <w:t>单击此处输入文字。</w:t>
          </w:r>
        </w:p>
      </w:docPartBody>
    </w:docPart>
    <w:docPart>
      <w:docPartPr>
        <w:name w:val="{c199aeb2-68c5-4b0a-9adc-ece344f6c93c}"/>
        <w:style w:val=""/>
        <w:category>
          <w:name w:val="常规"/>
          <w:gallery w:val="placeholder"/>
        </w:category>
        <w:types>
          <w:type w:val="bbPlcHdr"/>
        </w:types>
        <w:behaviors>
          <w:behavior w:val="content"/>
        </w:behaviors>
        <w:description w:val=""/>
        <w:guid w:val="{c199aeb2-68c5-4b0a-9adc-ece344f6c93c}"/>
      </w:docPartPr>
      <w:docPartBody>
        <w:p w14:paraId="3CF4C0C5">
          <w:r>
            <w:rPr>
              <w:color w:val="808080"/>
            </w:rPr>
            <w:t>单击此处输入文字。</w:t>
          </w:r>
        </w:p>
      </w:docPartBody>
    </w:docPart>
    <w:docPart>
      <w:docPartPr>
        <w:name w:val="{a526151e-b316-4a67-bba8-95fe152349be}"/>
        <w:style w:val=""/>
        <w:category>
          <w:name w:val="常规"/>
          <w:gallery w:val="placeholder"/>
        </w:category>
        <w:types>
          <w:type w:val="bbPlcHdr"/>
        </w:types>
        <w:behaviors>
          <w:behavior w:val="content"/>
        </w:behaviors>
        <w:description w:val=""/>
        <w:guid w:val="{a526151e-b316-4a67-bba8-95fe152349be}"/>
      </w:docPartPr>
      <w:docPartBody>
        <w:p w14:paraId="7EA687BE">
          <w:r>
            <w:rPr>
              <w:color w:val="808080"/>
            </w:rPr>
            <w:t>单击此处输入文字。</w:t>
          </w:r>
        </w:p>
      </w:docPartBody>
    </w:docPart>
    <w:docPart>
      <w:docPartPr>
        <w:name w:val="{4dd71aa2-64f0-4d40-94d6-553614effde7}"/>
        <w:style w:val=""/>
        <w:category>
          <w:name w:val="常规"/>
          <w:gallery w:val="placeholder"/>
        </w:category>
        <w:types>
          <w:type w:val="bbPlcHdr"/>
        </w:types>
        <w:behaviors>
          <w:behavior w:val="content"/>
        </w:behaviors>
        <w:description w:val=""/>
        <w:guid w:val="{4dd71aa2-64f0-4d40-94d6-553614effde7}"/>
      </w:docPartPr>
      <w:docPartBody>
        <w:p w14:paraId="46676432">
          <w:r>
            <w:rPr>
              <w:color w:val="808080"/>
            </w:rPr>
            <w:t>单击此处输入文字。</w:t>
          </w:r>
        </w:p>
      </w:docPartBody>
    </w:docPart>
    <w:docPart>
      <w:docPartPr>
        <w:name w:val="{ae165b7b-14f2-4918-a39e-41a1650c3385}"/>
        <w:style w:val=""/>
        <w:category>
          <w:name w:val="常规"/>
          <w:gallery w:val="placeholder"/>
        </w:category>
        <w:types>
          <w:type w:val="bbPlcHdr"/>
        </w:types>
        <w:behaviors>
          <w:behavior w:val="content"/>
        </w:behaviors>
        <w:description w:val=""/>
        <w:guid w:val="{ae165b7b-14f2-4918-a39e-41a1650c3385}"/>
      </w:docPartPr>
      <w:docPartBody>
        <w:p w14:paraId="27257194">
          <w:r>
            <w:rPr>
              <w:color w:val="808080"/>
            </w:rPr>
            <w:t>单击此处输入文字。</w:t>
          </w:r>
        </w:p>
      </w:docPartBody>
    </w:docPart>
    <w:docPart>
      <w:docPartPr>
        <w:name w:val="{ebfc19a4-467c-4099-a9e4-42907c9569f3}"/>
        <w:style w:val=""/>
        <w:category>
          <w:name w:val="常规"/>
          <w:gallery w:val="placeholder"/>
        </w:category>
        <w:types>
          <w:type w:val="bbPlcHdr"/>
        </w:types>
        <w:behaviors>
          <w:behavior w:val="content"/>
        </w:behaviors>
        <w:description w:val=""/>
        <w:guid w:val="{ebfc19a4-467c-4099-a9e4-42907c9569f3}"/>
      </w:docPartPr>
      <w:docPartBody>
        <w:p w14:paraId="3CD507BE">
          <w:r>
            <w:rPr>
              <w:color w:val="808080"/>
            </w:rPr>
            <w:t>单击此处输入文字。</w:t>
          </w:r>
        </w:p>
      </w:docPartBody>
    </w:docPart>
    <w:docPart>
      <w:docPartPr>
        <w:name w:val="{38c9ab00-7e8f-4d64-82b5-105c7ec04961}"/>
        <w:style w:val=""/>
        <w:category>
          <w:name w:val="常规"/>
          <w:gallery w:val="placeholder"/>
        </w:category>
        <w:types>
          <w:type w:val="bbPlcHdr"/>
        </w:types>
        <w:behaviors>
          <w:behavior w:val="content"/>
        </w:behaviors>
        <w:description w:val=""/>
        <w:guid w:val="{38c9ab00-7e8f-4d64-82b5-105c7ec04961}"/>
      </w:docPartPr>
      <w:docPartBody>
        <w:p w14:paraId="5220DD87">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164</Pages>
  <Words>25088</Words>
  <Characters>26478</Characters>
  <Lines>292</Lines>
  <Paragraphs>82</Paragraphs>
  <TotalTime>15</TotalTime>
  <ScaleCrop>false</ScaleCrop>
  <LinksUpToDate>false</LinksUpToDate>
  <CharactersWithSpaces>27165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2026-06-30T14:01:00Z</dcterms:created>
  <dc:creator>NTKO</dc:creator>
  <cp:lastModifiedBy>李政淇</cp:lastModifiedBy>
  <cp:lastPrinted>2022-10-21T03:00:00Z</cp:lastPrinted>
  <dcterms:modified xsi:type="dcterms:W3CDTF">2026-08-05T00:41:40Z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363A4504448949CCB0CB5F148A3ACB00_13</vt:lpwstr>
  </property>
  <property fmtid="{D5CDD505-2E9C-101B-9397-08002B2CF9AE}" pid="4" name="KSOTemplateDocerSaveRecord">
    <vt:lpwstr>eyJoZGlkIjoiNDFjODlmNDA2ZmE1YmJjNzg4YTRkY2E2Mjk1ZDRiM2MiLCJ1c2VySWQiOiIxNzU2ODQzNjkzIn0=</vt:lpwstr>
  </property>
</Properties>
</file>