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090B84">
      <w:pPr>
        <w:ind w:right="-57" w:firstLine="0"/>
        <w:rPr>
          <w:rFonts w:hint="eastAsia" w:ascii="宋体" w:hAnsi="宋体"/>
          <w:color w:val="auto"/>
          <w:highlight w:val="none"/>
        </w:rPr>
      </w:pPr>
    </w:p>
    <w:p w14:paraId="450B746F">
      <w:pPr>
        <w:pStyle w:val="31"/>
        <w:spacing w:before="0"/>
        <w:ind w:right="-57" w:firstLine="0"/>
        <w:jc w:val="center"/>
        <w:rPr>
          <w:rFonts w:hint="eastAsia" w:ascii="宋体" w:hAnsi="宋体"/>
          <w:b/>
          <w:color w:val="auto"/>
          <w:spacing w:val="-4"/>
          <w:sz w:val="44"/>
          <w:szCs w:val="44"/>
          <w:highlight w:val="none"/>
        </w:rPr>
      </w:pPr>
      <w:r>
        <w:rPr>
          <w:rFonts w:hint="eastAsia" w:ascii="宋体" w:hAnsi="宋体"/>
          <w:b/>
          <w:color w:val="auto"/>
          <w:spacing w:val="-4"/>
          <w:sz w:val="44"/>
          <w:szCs w:val="44"/>
          <w:highlight w:val="none"/>
          <w:lang w:val="zh-CN"/>
        </w:rPr>
        <w:t>轨道云著（北区）项目样板房（125及102户型）精装修设计</w:t>
      </w:r>
    </w:p>
    <w:p w14:paraId="637EA9FA">
      <w:pPr>
        <w:spacing w:before="0"/>
        <w:ind w:right="-57" w:firstLine="0"/>
        <w:jc w:val="center"/>
        <w:rPr>
          <w:rFonts w:hint="eastAsia" w:ascii="宋体" w:hAnsi="宋体"/>
          <w:color w:val="auto"/>
          <w:sz w:val="72"/>
          <w:szCs w:val="72"/>
          <w:highlight w:val="none"/>
        </w:rPr>
      </w:pPr>
      <w:r>
        <w:rPr>
          <w:rFonts w:hint="eastAsia" w:ascii="宋体" w:hAnsi="宋体"/>
          <w:color w:val="auto"/>
          <w:sz w:val="72"/>
          <w:szCs w:val="72"/>
          <w:highlight w:val="none"/>
        </w:rPr>
        <w:t>比选</w:t>
      </w:r>
      <w:r>
        <w:rPr>
          <w:rFonts w:ascii="宋体" w:hAnsi="宋体"/>
          <w:color w:val="auto"/>
          <w:sz w:val="72"/>
          <w:szCs w:val="72"/>
          <w:highlight w:val="none"/>
        </w:rPr>
        <w:t>文件</w:t>
      </w:r>
    </w:p>
    <w:p w14:paraId="0D4BCBFE">
      <w:pPr>
        <w:spacing w:before="720"/>
        <w:ind w:left="1801" w:right="-57" w:hanging="180"/>
        <w:rPr>
          <w:rFonts w:hint="eastAsia" w:ascii="宋体" w:hAnsi="宋体"/>
          <w:b/>
          <w:color w:val="auto"/>
          <w:sz w:val="32"/>
          <w:szCs w:val="32"/>
          <w:highlight w:val="none"/>
        </w:rPr>
      </w:pPr>
    </w:p>
    <w:p w14:paraId="2FDD7F87">
      <w:pPr>
        <w:spacing w:before="0"/>
        <w:ind w:left="0" w:right="-57" w:firstLine="0"/>
        <w:rPr>
          <w:rFonts w:hint="eastAsia" w:ascii="宋体" w:hAnsi="宋体"/>
          <w:color w:val="auto"/>
          <w:highlight w:val="none"/>
        </w:rPr>
      </w:pPr>
    </w:p>
    <w:p w14:paraId="5F7236FB">
      <w:pPr>
        <w:spacing w:before="0"/>
        <w:ind w:left="1801" w:right="-57" w:hanging="180"/>
        <w:rPr>
          <w:rFonts w:hint="eastAsia" w:ascii="宋体" w:hAnsi="宋体"/>
          <w:b/>
          <w:color w:val="auto"/>
          <w:sz w:val="32"/>
          <w:szCs w:val="32"/>
          <w:highlight w:val="none"/>
          <w:u w:val="single"/>
        </w:rPr>
      </w:pPr>
      <w:r>
        <w:rPr>
          <w:rFonts w:ascii="宋体" w:hAnsi="宋体"/>
          <w:b/>
          <w:color w:val="auto"/>
          <w:sz w:val="32"/>
          <w:szCs w:val="32"/>
          <w:highlight w:val="none"/>
        </w:rPr>
        <w:t>比选人：</w:t>
      </w:r>
      <w:r>
        <w:rPr>
          <w:rFonts w:hint="eastAsia" w:ascii="宋体" w:hAnsi="宋体"/>
          <w:b/>
          <w:color w:val="auto"/>
          <w:sz w:val="32"/>
          <w:szCs w:val="32"/>
          <w:highlight w:val="none"/>
          <w:u w:val="single"/>
        </w:rPr>
        <w:t>南宁轨道盛拓天和房地产有限公司</w:t>
      </w:r>
    </w:p>
    <w:p w14:paraId="3BB42C53">
      <w:pPr>
        <w:spacing w:before="0"/>
        <w:ind w:right="-57" w:firstLine="435"/>
        <w:jc w:val="center"/>
        <w:rPr>
          <w:rFonts w:hint="eastAsia" w:ascii="宋体" w:hAnsi="宋体"/>
          <w:color w:val="auto"/>
          <w:sz w:val="30"/>
          <w:szCs w:val="30"/>
          <w:highlight w:val="none"/>
        </w:rPr>
      </w:pPr>
    </w:p>
    <w:p w14:paraId="0A1550A3">
      <w:pPr>
        <w:spacing w:before="0"/>
        <w:ind w:right="-57" w:firstLine="0"/>
        <w:jc w:val="center"/>
        <w:rPr>
          <w:rFonts w:hint="eastAsia" w:ascii="宋体" w:hAnsi="宋体"/>
          <w:color w:val="auto"/>
          <w:highlight w:val="none"/>
        </w:rPr>
      </w:pPr>
      <w:r>
        <w:rPr>
          <w:rFonts w:hint="eastAsia" w:ascii="宋体" w:hAnsi="宋体"/>
          <w:b/>
          <w:color w:val="auto"/>
          <w:sz w:val="36"/>
          <w:szCs w:val="36"/>
          <w:highlight w:val="none"/>
        </w:rPr>
        <w:t>2026</w:t>
      </w:r>
      <w:r>
        <w:rPr>
          <w:rFonts w:ascii="宋体" w:hAnsi="宋体"/>
          <w:b/>
          <w:color w:val="auto"/>
          <w:sz w:val="36"/>
          <w:szCs w:val="36"/>
          <w:highlight w:val="none"/>
        </w:rPr>
        <w:t>年</w:t>
      </w:r>
      <w:r>
        <w:rPr>
          <w:rFonts w:hint="eastAsia" w:ascii="宋体" w:hAnsi="宋体"/>
          <w:b/>
          <w:color w:val="auto"/>
          <w:sz w:val="36"/>
          <w:szCs w:val="36"/>
          <w:highlight w:val="none"/>
          <w:lang w:val="en-US" w:eastAsia="zh-CN"/>
        </w:rPr>
        <w:t>8</w:t>
      </w:r>
      <w:r>
        <w:rPr>
          <w:rFonts w:ascii="宋体" w:hAnsi="宋体"/>
          <w:b/>
          <w:color w:val="auto"/>
          <w:sz w:val="36"/>
          <w:szCs w:val="36"/>
          <w:highlight w:val="none"/>
        </w:rPr>
        <w:t>月</w:t>
      </w:r>
    </w:p>
    <w:p w14:paraId="6EC32094">
      <w:pPr>
        <w:spacing w:before="0"/>
        <w:ind w:right="-57" w:firstLine="0"/>
        <w:jc w:val="center"/>
        <w:rPr>
          <w:rFonts w:hint="eastAsia" w:ascii="宋体" w:hAnsi="宋体" w:cs="宋体"/>
          <w:b/>
          <w:color w:val="auto"/>
          <w:sz w:val="36"/>
          <w:szCs w:val="36"/>
          <w:highlight w:val="none"/>
        </w:rPr>
        <w:sectPr>
          <w:headerReference r:id="rId5" w:type="default"/>
          <w:footerReference r:id="rId6" w:type="default"/>
          <w:pgSz w:w="11905" w:h="16838"/>
          <w:pgMar w:top="1417" w:right="1417" w:bottom="1417" w:left="1417" w:header="454" w:footer="567" w:gutter="0"/>
          <w:pgBorders>
            <w:top w:val="none" w:sz="0" w:space="0"/>
            <w:left w:val="none" w:sz="0" w:space="0"/>
            <w:bottom w:val="none" w:sz="0" w:space="0"/>
            <w:right w:val="none" w:sz="0" w:space="0"/>
          </w:pgBorders>
          <w:pgNumType w:start="1" w:chapStyle="1"/>
          <w:cols w:space="720" w:num="1"/>
          <w:docGrid w:linePitch="312" w:charSpace="0"/>
        </w:sectPr>
      </w:pPr>
    </w:p>
    <w:p w14:paraId="4EC5C3C7">
      <w:pPr>
        <w:spacing w:before="0" w:after="0" w:afterAutospacing="0"/>
        <w:ind w:left="0" w:right="0" w:firstLine="0"/>
        <w:rPr>
          <w:rFonts w:hint="eastAsia" w:ascii="宋体" w:hAnsi="宋体"/>
          <w:color w:val="auto"/>
          <w:highlight w:val="none"/>
        </w:rPr>
      </w:pPr>
    </w:p>
    <w:sdt>
      <w:sdtPr>
        <w:rPr>
          <w:rFonts w:hint="eastAsia" w:ascii="宋体" w:hAnsi="宋体" w:eastAsia="宋体" w:cs="宋体"/>
          <w:b w:val="0"/>
          <w:bCs w:val="0"/>
          <w:color w:val="auto"/>
          <w:sz w:val="21"/>
          <w:szCs w:val="21"/>
          <w:highlight w:val="none"/>
          <w:lang w:val="zh-CN"/>
        </w:rPr>
        <w:id w:val="1243295833"/>
        <w:docPartObj>
          <w:docPartGallery w:val="Table of Contents"/>
          <w:docPartUnique/>
        </w:docPartObj>
      </w:sdtPr>
      <w:sdtEndPr>
        <w:rPr>
          <w:rFonts w:hint="default" w:ascii="宋体" w:hAnsi="宋体" w:eastAsia="宋体" w:cs="Times New Roman"/>
          <w:b w:val="0"/>
          <w:bCs w:val="0"/>
          <w:color w:val="auto"/>
          <w:sz w:val="21"/>
          <w:szCs w:val="21"/>
          <w:highlight w:val="none"/>
          <w:lang w:val="zh-CN"/>
        </w:rPr>
      </w:sdtEndPr>
      <w:sdtContent>
        <w:p w14:paraId="13F4866F">
          <w:pPr>
            <w:pStyle w:val="61"/>
            <w:spacing w:before="0" w:line="240" w:lineRule="auto"/>
            <w:jc w:val="center"/>
            <w:rPr>
              <w:rFonts w:hint="eastAsia" w:ascii="宋体" w:hAnsi="宋体" w:eastAsia="宋体"/>
              <w:color w:val="auto"/>
              <w:highlight w:val="none"/>
            </w:rPr>
          </w:pPr>
          <w:r>
            <w:rPr>
              <w:rFonts w:hint="eastAsia" w:ascii="宋体" w:hAnsi="宋体" w:eastAsia="宋体" w:cs="宋体"/>
              <w:color w:val="auto"/>
              <w:highlight w:val="none"/>
              <w:lang w:val="zh-CN"/>
            </w:rPr>
            <w:t>目录</w:t>
          </w:r>
        </w:p>
        <w:p w14:paraId="26D5FB56">
          <w:pPr>
            <w:pStyle w:val="24"/>
            <w:tabs>
              <w:tab w:val="right" w:leader="dot" w:pos="9071"/>
            </w:tabs>
            <w:rPr>
              <w:color w:val="auto"/>
              <w:highlight w:val="none"/>
            </w:rPr>
          </w:pPr>
          <w:r>
            <w:rPr>
              <w:rFonts w:ascii="宋体" w:hAnsi="宋体"/>
              <w:color w:val="auto"/>
              <w:highlight w:val="none"/>
            </w:rPr>
            <w:fldChar w:fldCharType="begin"/>
          </w:r>
          <w:r>
            <w:rPr>
              <w:rFonts w:ascii="宋体" w:hAnsi="宋体"/>
              <w:color w:val="auto"/>
              <w:highlight w:val="none"/>
            </w:rPr>
            <w:instrText xml:space="preserve"> TOC \o "1-3" \h \z \u </w:instrText>
          </w:r>
          <w:r>
            <w:rPr>
              <w:rFonts w:ascii="宋体" w:hAnsi="宋体"/>
              <w:color w:val="auto"/>
              <w:highlight w:val="none"/>
            </w:rPr>
            <w:fldChar w:fldCharType="separate"/>
          </w:r>
          <w:r>
            <w:rPr>
              <w:color w:val="auto"/>
              <w:highlight w:val="none"/>
            </w:rPr>
            <w:fldChar w:fldCharType="begin"/>
          </w:r>
          <w:r>
            <w:rPr>
              <w:color w:val="auto"/>
              <w:highlight w:val="none"/>
            </w:rPr>
            <w:instrText xml:space="preserve"> HYPERLINK \l "_Toc21345" </w:instrText>
          </w:r>
          <w:r>
            <w:rPr>
              <w:color w:val="auto"/>
              <w:highlight w:val="none"/>
            </w:rPr>
            <w:fldChar w:fldCharType="separate"/>
          </w:r>
          <w:r>
            <w:rPr>
              <w:rFonts w:hint="eastAsia" w:ascii="宋体" w:hAnsi="宋体"/>
              <w:color w:val="auto"/>
              <w:highlight w:val="none"/>
            </w:rPr>
            <w:t>第一章比选公告</w:t>
          </w:r>
          <w:r>
            <w:rPr>
              <w:color w:val="auto"/>
              <w:highlight w:val="none"/>
            </w:rPr>
            <w:tab/>
          </w:r>
          <w:r>
            <w:rPr>
              <w:color w:val="auto"/>
              <w:highlight w:val="none"/>
            </w:rPr>
            <w:fldChar w:fldCharType="begin"/>
          </w:r>
          <w:r>
            <w:rPr>
              <w:color w:val="auto"/>
              <w:highlight w:val="none"/>
            </w:rPr>
            <w:instrText xml:space="preserve"> PAGEREF _Toc21345 \h </w:instrText>
          </w:r>
          <w:r>
            <w:rPr>
              <w:color w:val="auto"/>
              <w:highlight w:val="none"/>
            </w:rPr>
            <w:fldChar w:fldCharType="separate"/>
          </w:r>
          <w:r>
            <w:rPr>
              <w:color w:val="auto"/>
              <w:highlight w:val="none"/>
            </w:rPr>
            <w:t>3</w:t>
          </w:r>
          <w:r>
            <w:rPr>
              <w:color w:val="auto"/>
              <w:highlight w:val="none"/>
            </w:rPr>
            <w:fldChar w:fldCharType="end"/>
          </w:r>
          <w:r>
            <w:rPr>
              <w:color w:val="auto"/>
              <w:highlight w:val="none"/>
            </w:rPr>
            <w:fldChar w:fldCharType="end"/>
          </w:r>
        </w:p>
        <w:p w14:paraId="7A17CFC1">
          <w:pPr>
            <w:pStyle w:val="24"/>
            <w:tabs>
              <w:tab w:val="right" w:leader="dot" w:pos="9071"/>
            </w:tabs>
            <w:rPr>
              <w:color w:val="auto"/>
              <w:highlight w:val="none"/>
            </w:rPr>
          </w:pPr>
          <w:r>
            <w:rPr>
              <w:color w:val="auto"/>
              <w:highlight w:val="none"/>
            </w:rPr>
            <w:fldChar w:fldCharType="begin"/>
          </w:r>
          <w:r>
            <w:rPr>
              <w:color w:val="auto"/>
              <w:highlight w:val="none"/>
            </w:rPr>
            <w:instrText xml:space="preserve"> HYPERLINK \l "_Toc27010" </w:instrText>
          </w:r>
          <w:r>
            <w:rPr>
              <w:color w:val="auto"/>
              <w:highlight w:val="none"/>
            </w:rPr>
            <w:fldChar w:fldCharType="separate"/>
          </w:r>
          <w:r>
            <w:rPr>
              <w:rFonts w:hint="eastAsia" w:ascii="宋体" w:hAnsi="宋体"/>
              <w:color w:val="auto"/>
              <w:highlight w:val="none"/>
            </w:rPr>
            <w:t>第二章比选申请须知</w:t>
          </w:r>
          <w:r>
            <w:rPr>
              <w:color w:val="auto"/>
              <w:highlight w:val="none"/>
            </w:rPr>
            <w:tab/>
          </w:r>
          <w:r>
            <w:rPr>
              <w:color w:val="auto"/>
              <w:highlight w:val="none"/>
            </w:rPr>
            <w:fldChar w:fldCharType="begin"/>
          </w:r>
          <w:r>
            <w:rPr>
              <w:color w:val="auto"/>
              <w:highlight w:val="none"/>
            </w:rPr>
            <w:instrText xml:space="preserve"> PAGEREF _Toc27010 \h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14:paraId="7E8A242F">
          <w:pPr>
            <w:pStyle w:val="24"/>
            <w:tabs>
              <w:tab w:val="right" w:leader="dot" w:pos="9071"/>
            </w:tabs>
            <w:rPr>
              <w:color w:val="auto"/>
              <w:highlight w:val="none"/>
            </w:rPr>
          </w:pPr>
          <w:r>
            <w:rPr>
              <w:color w:val="auto"/>
              <w:highlight w:val="none"/>
            </w:rPr>
            <w:fldChar w:fldCharType="begin"/>
          </w:r>
          <w:r>
            <w:rPr>
              <w:color w:val="auto"/>
              <w:highlight w:val="none"/>
            </w:rPr>
            <w:instrText xml:space="preserve"> HYPERLINK \l "_Toc27971" </w:instrText>
          </w:r>
          <w:r>
            <w:rPr>
              <w:color w:val="auto"/>
              <w:highlight w:val="none"/>
            </w:rPr>
            <w:fldChar w:fldCharType="separate"/>
          </w:r>
          <w:r>
            <w:rPr>
              <w:rFonts w:hint="eastAsia" w:ascii="宋体" w:hAnsi="宋体"/>
              <w:color w:val="auto"/>
              <w:highlight w:val="none"/>
            </w:rPr>
            <w:t>第三章合同条款及格式</w:t>
          </w:r>
          <w:r>
            <w:rPr>
              <w:color w:val="auto"/>
              <w:highlight w:val="none"/>
            </w:rPr>
            <w:tab/>
          </w:r>
          <w:r>
            <w:rPr>
              <w:color w:val="auto"/>
              <w:highlight w:val="none"/>
            </w:rPr>
            <w:fldChar w:fldCharType="begin"/>
          </w:r>
          <w:r>
            <w:rPr>
              <w:color w:val="auto"/>
              <w:highlight w:val="none"/>
            </w:rPr>
            <w:instrText xml:space="preserve"> PAGEREF _Toc27971 \h </w:instrText>
          </w:r>
          <w:r>
            <w:rPr>
              <w:color w:val="auto"/>
              <w:highlight w:val="none"/>
            </w:rPr>
            <w:fldChar w:fldCharType="separate"/>
          </w:r>
          <w:r>
            <w:rPr>
              <w:color w:val="auto"/>
              <w:highlight w:val="none"/>
            </w:rPr>
            <w:t>20</w:t>
          </w:r>
          <w:r>
            <w:rPr>
              <w:color w:val="auto"/>
              <w:highlight w:val="none"/>
            </w:rPr>
            <w:fldChar w:fldCharType="end"/>
          </w:r>
          <w:r>
            <w:rPr>
              <w:color w:val="auto"/>
              <w:highlight w:val="none"/>
            </w:rPr>
            <w:fldChar w:fldCharType="end"/>
          </w:r>
        </w:p>
        <w:p w14:paraId="149B0FB2">
          <w:pPr>
            <w:pStyle w:val="24"/>
            <w:tabs>
              <w:tab w:val="right" w:leader="dot" w:pos="9071"/>
            </w:tabs>
            <w:rPr>
              <w:color w:val="auto"/>
              <w:highlight w:val="none"/>
            </w:rPr>
          </w:pPr>
          <w:r>
            <w:rPr>
              <w:color w:val="auto"/>
              <w:highlight w:val="none"/>
            </w:rPr>
            <w:fldChar w:fldCharType="begin"/>
          </w:r>
          <w:r>
            <w:rPr>
              <w:color w:val="auto"/>
              <w:highlight w:val="none"/>
            </w:rPr>
            <w:instrText xml:space="preserve"> HYPERLINK \l "_Toc4807" </w:instrText>
          </w:r>
          <w:r>
            <w:rPr>
              <w:color w:val="auto"/>
              <w:highlight w:val="none"/>
            </w:rPr>
            <w:fldChar w:fldCharType="separate"/>
          </w:r>
          <w:r>
            <w:rPr>
              <w:rFonts w:hint="eastAsia" w:ascii="宋体" w:hAnsi="宋体"/>
              <w:color w:val="auto"/>
              <w:highlight w:val="none"/>
            </w:rPr>
            <w:t>第四章比选申请文件格式</w:t>
          </w:r>
          <w:r>
            <w:rPr>
              <w:color w:val="auto"/>
              <w:highlight w:val="none"/>
            </w:rPr>
            <w:tab/>
          </w:r>
          <w:r>
            <w:rPr>
              <w:color w:val="auto"/>
              <w:highlight w:val="none"/>
            </w:rPr>
            <w:fldChar w:fldCharType="begin"/>
          </w:r>
          <w:r>
            <w:rPr>
              <w:color w:val="auto"/>
              <w:highlight w:val="none"/>
            </w:rPr>
            <w:instrText xml:space="preserve"> PAGEREF _Toc4807 \h </w:instrText>
          </w:r>
          <w:r>
            <w:rPr>
              <w:color w:val="auto"/>
              <w:highlight w:val="none"/>
            </w:rPr>
            <w:fldChar w:fldCharType="separate"/>
          </w:r>
          <w:r>
            <w:rPr>
              <w:color w:val="auto"/>
              <w:highlight w:val="none"/>
            </w:rPr>
            <w:t>50</w:t>
          </w:r>
          <w:r>
            <w:rPr>
              <w:color w:val="auto"/>
              <w:highlight w:val="none"/>
            </w:rPr>
            <w:fldChar w:fldCharType="end"/>
          </w:r>
          <w:r>
            <w:rPr>
              <w:color w:val="auto"/>
              <w:highlight w:val="none"/>
            </w:rPr>
            <w:fldChar w:fldCharType="end"/>
          </w:r>
        </w:p>
        <w:p w14:paraId="1BB5D371">
          <w:pPr>
            <w:pStyle w:val="24"/>
            <w:tabs>
              <w:tab w:val="right" w:leader="dot" w:pos="9071"/>
            </w:tabs>
            <w:rPr>
              <w:color w:val="auto"/>
              <w:highlight w:val="none"/>
            </w:rPr>
          </w:pPr>
          <w:r>
            <w:rPr>
              <w:color w:val="auto"/>
              <w:highlight w:val="none"/>
            </w:rPr>
            <w:fldChar w:fldCharType="begin"/>
          </w:r>
          <w:r>
            <w:rPr>
              <w:color w:val="auto"/>
              <w:highlight w:val="none"/>
            </w:rPr>
            <w:instrText xml:space="preserve"> HYPERLINK \l "_Toc19887" </w:instrText>
          </w:r>
          <w:r>
            <w:rPr>
              <w:color w:val="auto"/>
              <w:highlight w:val="none"/>
            </w:rPr>
            <w:fldChar w:fldCharType="separate"/>
          </w:r>
          <w:r>
            <w:rPr>
              <w:rFonts w:hint="eastAsia" w:ascii="宋体" w:hAnsi="宋体"/>
              <w:color w:val="auto"/>
              <w:highlight w:val="none"/>
            </w:rPr>
            <w:t>第五章比选人需求</w:t>
          </w:r>
          <w:r>
            <w:rPr>
              <w:color w:val="auto"/>
              <w:highlight w:val="none"/>
            </w:rPr>
            <w:tab/>
          </w:r>
          <w:r>
            <w:rPr>
              <w:color w:val="auto"/>
              <w:highlight w:val="none"/>
            </w:rPr>
            <w:fldChar w:fldCharType="begin"/>
          </w:r>
          <w:r>
            <w:rPr>
              <w:color w:val="auto"/>
              <w:highlight w:val="none"/>
            </w:rPr>
            <w:instrText xml:space="preserve"> PAGEREF _Toc19887 \h </w:instrText>
          </w:r>
          <w:r>
            <w:rPr>
              <w:color w:val="auto"/>
              <w:highlight w:val="none"/>
            </w:rPr>
            <w:fldChar w:fldCharType="separate"/>
          </w:r>
          <w:r>
            <w:rPr>
              <w:color w:val="auto"/>
              <w:highlight w:val="none"/>
            </w:rPr>
            <w:t>65</w:t>
          </w:r>
          <w:r>
            <w:rPr>
              <w:color w:val="auto"/>
              <w:highlight w:val="none"/>
            </w:rPr>
            <w:fldChar w:fldCharType="end"/>
          </w:r>
          <w:r>
            <w:rPr>
              <w:color w:val="auto"/>
              <w:highlight w:val="none"/>
            </w:rPr>
            <w:fldChar w:fldCharType="end"/>
          </w:r>
        </w:p>
        <w:p w14:paraId="297D5D3C">
          <w:pPr>
            <w:pStyle w:val="24"/>
            <w:tabs>
              <w:tab w:val="right" w:leader="dot" w:pos="9071"/>
            </w:tabs>
            <w:rPr>
              <w:color w:val="auto"/>
              <w:highlight w:val="none"/>
            </w:rPr>
          </w:pPr>
          <w:r>
            <w:rPr>
              <w:color w:val="auto"/>
              <w:highlight w:val="none"/>
            </w:rPr>
            <w:fldChar w:fldCharType="begin"/>
          </w:r>
          <w:r>
            <w:rPr>
              <w:color w:val="auto"/>
              <w:highlight w:val="none"/>
            </w:rPr>
            <w:instrText xml:space="preserve"> HYPERLINK \l "_Toc10897" </w:instrText>
          </w:r>
          <w:r>
            <w:rPr>
              <w:color w:val="auto"/>
              <w:highlight w:val="none"/>
            </w:rPr>
            <w:fldChar w:fldCharType="separate"/>
          </w:r>
          <w:r>
            <w:rPr>
              <w:rFonts w:hint="eastAsia" w:ascii="宋体" w:hAnsi="宋体"/>
              <w:color w:val="auto"/>
              <w:highlight w:val="none"/>
            </w:rPr>
            <w:t>第六章评分办法</w:t>
          </w:r>
          <w:r>
            <w:rPr>
              <w:color w:val="auto"/>
              <w:highlight w:val="none"/>
            </w:rPr>
            <w:tab/>
          </w:r>
          <w:r>
            <w:rPr>
              <w:color w:val="auto"/>
              <w:highlight w:val="none"/>
            </w:rPr>
            <w:fldChar w:fldCharType="begin"/>
          </w:r>
          <w:r>
            <w:rPr>
              <w:color w:val="auto"/>
              <w:highlight w:val="none"/>
            </w:rPr>
            <w:instrText xml:space="preserve"> PAGEREF _Toc10897 \h </w:instrText>
          </w:r>
          <w:r>
            <w:rPr>
              <w:color w:val="auto"/>
              <w:highlight w:val="none"/>
            </w:rPr>
            <w:fldChar w:fldCharType="separate"/>
          </w:r>
          <w:r>
            <w:rPr>
              <w:color w:val="auto"/>
              <w:highlight w:val="none"/>
            </w:rPr>
            <w:t>71</w:t>
          </w:r>
          <w:r>
            <w:rPr>
              <w:color w:val="auto"/>
              <w:highlight w:val="none"/>
            </w:rPr>
            <w:fldChar w:fldCharType="end"/>
          </w:r>
          <w:r>
            <w:rPr>
              <w:color w:val="auto"/>
              <w:highlight w:val="none"/>
            </w:rPr>
            <w:fldChar w:fldCharType="end"/>
          </w:r>
        </w:p>
        <w:p w14:paraId="496E8FB4">
          <w:pPr>
            <w:pStyle w:val="29"/>
            <w:tabs>
              <w:tab w:val="right" w:leader="dot" w:pos="9061"/>
            </w:tabs>
            <w:spacing w:line="240" w:lineRule="auto"/>
            <w:ind w:left="0"/>
            <w:rPr>
              <w:rFonts w:hint="eastAsia" w:ascii="宋体" w:hAnsi="宋体"/>
              <w:color w:val="auto"/>
              <w:highlight w:val="none"/>
            </w:rPr>
          </w:pPr>
          <w:r>
            <w:rPr>
              <w:rFonts w:ascii="宋体" w:hAnsi="宋体"/>
              <w:bCs/>
              <w:color w:val="auto"/>
              <w:highlight w:val="none"/>
              <w:lang w:val="zh-CN"/>
            </w:rPr>
            <w:fldChar w:fldCharType="end"/>
          </w:r>
        </w:p>
      </w:sdtContent>
    </w:sdt>
    <w:p w14:paraId="318BBC1E">
      <w:pPr>
        <w:rPr>
          <w:rStyle w:val="54"/>
          <w:rFonts w:hint="eastAsia" w:ascii="宋体" w:hAnsi="宋体" w:eastAsia="宋体"/>
          <w:color w:val="auto"/>
          <w:highlight w:val="none"/>
        </w:rPr>
      </w:pPr>
      <w:bookmarkStart w:id="0" w:name="_Toc3658"/>
      <w:bookmarkStart w:id="1" w:name="_Toc23476"/>
      <w:bookmarkStart w:id="2" w:name="_Toc1227"/>
      <w:bookmarkStart w:id="3" w:name="_Toc26620"/>
      <w:bookmarkStart w:id="4" w:name="_Toc23367"/>
      <w:bookmarkStart w:id="5" w:name="_Toc25355"/>
      <w:bookmarkStart w:id="6" w:name="_Toc17906"/>
      <w:bookmarkStart w:id="7" w:name="_Toc3400"/>
      <w:bookmarkStart w:id="8" w:name="_Toc492478714"/>
      <w:bookmarkStart w:id="9" w:name="_Toc1363"/>
      <w:bookmarkStart w:id="10" w:name="_Toc237"/>
      <w:bookmarkStart w:id="11" w:name="_Toc375039061"/>
      <w:bookmarkStart w:id="12" w:name="_Toc481"/>
      <w:bookmarkStart w:id="13" w:name="_Toc15211"/>
      <w:bookmarkStart w:id="14" w:name="_Toc5910"/>
      <w:bookmarkStart w:id="15" w:name="_Toc26192"/>
      <w:bookmarkStart w:id="16" w:name="_Toc30647"/>
      <w:bookmarkStart w:id="17" w:name="_Toc26939"/>
      <w:bookmarkStart w:id="18" w:name="_Toc14762"/>
      <w:r>
        <w:rPr>
          <w:rStyle w:val="54"/>
          <w:rFonts w:hint="eastAsia" w:ascii="宋体" w:hAnsi="宋体" w:eastAsia="宋体"/>
          <w:color w:val="auto"/>
          <w:highlight w:val="none"/>
        </w:rPr>
        <w:br w:type="page"/>
      </w:r>
    </w:p>
    <w:p w14:paraId="58BC8890">
      <w:pPr>
        <w:pStyle w:val="17"/>
        <w:pageBreakBefore/>
        <w:ind w:right="-57"/>
        <w:outlineLvl w:val="0"/>
        <w:rPr>
          <w:rStyle w:val="54"/>
          <w:rFonts w:hint="eastAsia" w:ascii="宋体" w:hAnsi="宋体" w:eastAsia="宋体"/>
          <w:color w:val="auto"/>
          <w:highlight w:val="none"/>
        </w:rPr>
        <w:sectPr>
          <w:footerReference r:id="rId7" w:type="default"/>
          <w:pgSz w:w="11905" w:h="16838"/>
          <w:pgMar w:top="1417" w:right="1417" w:bottom="1417" w:left="1417" w:header="454" w:footer="567" w:gutter="0"/>
          <w:pgBorders>
            <w:top w:val="none" w:sz="0" w:space="0"/>
            <w:left w:val="none" w:sz="0" w:space="0"/>
            <w:bottom w:val="none" w:sz="0" w:space="0"/>
            <w:right w:val="none" w:sz="0" w:space="0"/>
          </w:pgBorders>
          <w:cols w:space="720" w:num="1"/>
          <w:docGrid w:linePitch="312" w:charSpace="0"/>
        </w:sectPr>
      </w:pPr>
    </w:p>
    <w:p w14:paraId="53CFE8F5">
      <w:pPr>
        <w:pStyle w:val="17"/>
        <w:pageBreakBefore/>
        <w:ind w:right="-57"/>
        <w:jc w:val="center"/>
        <w:outlineLvl w:val="0"/>
        <w:rPr>
          <w:rStyle w:val="54"/>
          <w:rFonts w:hint="eastAsia" w:ascii="宋体" w:hAnsi="宋体" w:eastAsia="宋体"/>
          <w:color w:val="auto"/>
          <w:highlight w:val="none"/>
        </w:rPr>
      </w:pPr>
      <w:bookmarkStart w:id="19" w:name="_Toc21345"/>
      <w:r>
        <w:rPr>
          <w:rStyle w:val="54"/>
          <w:rFonts w:hint="eastAsia" w:ascii="宋体" w:hAnsi="宋体" w:eastAsia="宋体"/>
          <w:color w:val="auto"/>
          <w:highlight w:val="none"/>
        </w:rPr>
        <w:t>第一章</w:t>
      </w:r>
      <w:r>
        <w:rPr>
          <w:rStyle w:val="54"/>
          <w:rFonts w:hint="eastAsia" w:hAnsi="宋体"/>
          <w:color w:val="auto"/>
          <w:highlight w:val="none"/>
        </w:rPr>
        <w:t xml:space="preserve">  </w:t>
      </w:r>
      <w:r>
        <w:rPr>
          <w:rStyle w:val="54"/>
          <w:rFonts w:hint="eastAsia" w:ascii="宋体" w:hAnsi="宋体" w:eastAsia="宋体"/>
          <w:color w:val="auto"/>
          <w:highlight w:val="none"/>
        </w:rPr>
        <w:t>比选公告</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A28E760">
      <w:pPr>
        <w:spacing w:before="0" w:after="0" w:afterAutospacing="0"/>
        <w:ind w:right="-57" w:firstLine="0"/>
        <w:jc w:val="center"/>
        <w:rPr>
          <w:rFonts w:hint="eastAsia" w:ascii="宋体" w:hAnsi="宋体"/>
          <w:b/>
          <w:color w:val="auto"/>
          <w:sz w:val="28"/>
          <w:szCs w:val="28"/>
          <w:highlight w:val="none"/>
          <w:lang w:val="zh-CN"/>
        </w:rPr>
      </w:pPr>
      <w:r>
        <w:rPr>
          <w:rFonts w:hint="eastAsia" w:ascii="宋体" w:hAnsi="宋体"/>
          <w:b/>
          <w:color w:val="auto"/>
          <w:sz w:val="28"/>
          <w:szCs w:val="28"/>
          <w:highlight w:val="none"/>
          <w:lang w:val="zh-CN"/>
        </w:rPr>
        <w:t>轨道云著（北区）项目样板房（125及102户型）精装修设计</w:t>
      </w:r>
    </w:p>
    <w:p w14:paraId="3E414F0D">
      <w:pPr>
        <w:spacing w:before="0" w:after="0" w:afterAutospacing="0"/>
        <w:ind w:right="-57" w:firstLine="0"/>
        <w:jc w:val="center"/>
        <w:rPr>
          <w:rFonts w:hint="eastAsia" w:ascii="宋体" w:hAnsi="宋体"/>
          <w:b/>
          <w:color w:val="auto"/>
          <w:sz w:val="28"/>
          <w:szCs w:val="28"/>
          <w:highlight w:val="none"/>
        </w:rPr>
      </w:pPr>
      <w:r>
        <w:rPr>
          <w:rFonts w:hint="eastAsia" w:ascii="宋体" w:hAnsi="宋体"/>
          <w:b/>
          <w:color w:val="auto"/>
          <w:sz w:val="28"/>
          <w:szCs w:val="28"/>
          <w:highlight w:val="none"/>
        </w:rPr>
        <w:t>比选公告</w:t>
      </w:r>
    </w:p>
    <w:p w14:paraId="6A828541">
      <w:pPr>
        <w:spacing w:before="0" w:after="0" w:afterAutospacing="0"/>
        <w:ind w:left="0" w:right="0" w:firstLine="422" w:firstLineChars="200"/>
        <w:rPr>
          <w:rFonts w:hint="eastAsia" w:ascii="宋体" w:hAnsi="宋体"/>
          <w:b/>
          <w:color w:val="auto"/>
          <w:highlight w:val="none"/>
        </w:rPr>
      </w:pPr>
      <w:bookmarkStart w:id="20" w:name="OLE_LINK4"/>
      <w:bookmarkEnd w:id="20"/>
      <w:r>
        <w:rPr>
          <w:rFonts w:hint="eastAsia" w:ascii="宋体" w:hAnsi="宋体"/>
          <w:b/>
          <w:color w:val="auto"/>
          <w:highlight w:val="none"/>
        </w:rPr>
        <w:t>1.比选条件</w:t>
      </w:r>
    </w:p>
    <w:p w14:paraId="2C3EFF28">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本比选项目</w:t>
      </w:r>
      <w:r>
        <w:rPr>
          <w:rFonts w:hint="eastAsia" w:ascii="宋体" w:hAnsi="宋体"/>
          <w:color w:val="auto"/>
          <w:highlight w:val="none"/>
          <w:u w:val="single"/>
          <w:lang w:val="zh-CN"/>
        </w:rPr>
        <w:t>轨道云著（北区）项目样板房（125及102户型）精装修设计</w:t>
      </w:r>
      <w:r>
        <w:rPr>
          <w:rFonts w:hint="eastAsia" w:ascii="宋体" w:hAnsi="宋体"/>
          <w:color w:val="auto"/>
          <w:highlight w:val="none"/>
        </w:rPr>
        <w:t>比选人为</w:t>
      </w:r>
      <w:r>
        <w:rPr>
          <w:rFonts w:hint="eastAsia" w:ascii="宋体" w:hAnsi="宋体"/>
          <w:color w:val="auto"/>
          <w:highlight w:val="none"/>
          <w:u w:val="single"/>
        </w:rPr>
        <w:t>南宁轨道盛拓天和房地产有限公司</w:t>
      </w:r>
      <w:r>
        <w:rPr>
          <w:rFonts w:hint="eastAsia" w:ascii="宋体" w:hAnsi="宋体"/>
          <w:color w:val="auto"/>
          <w:highlight w:val="none"/>
        </w:rPr>
        <w:t>，比选项目资金来源为企业自有资金。</w:t>
      </w:r>
    </w:p>
    <w:p w14:paraId="07CF74A1">
      <w:pPr>
        <w:spacing w:before="0" w:after="0" w:afterAutospacing="0"/>
        <w:ind w:left="0" w:right="0" w:firstLine="422" w:firstLineChars="200"/>
        <w:rPr>
          <w:rFonts w:hint="eastAsia" w:ascii="宋体" w:hAnsi="宋体"/>
          <w:b/>
          <w:color w:val="auto"/>
          <w:highlight w:val="none"/>
        </w:rPr>
      </w:pPr>
      <w:r>
        <w:rPr>
          <w:rFonts w:hint="eastAsia" w:ascii="宋体" w:hAnsi="宋体"/>
          <w:b/>
          <w:color w:val="auto"/>
          <w:highlight w:val="none"/>
        </w:rPr>
        <w:t>2.项目概况与比选范围</w:t>
      </w:r>
    </w:p>
    <w:p w14:paraId="3CBA08D3">
      <w:pPr>
        <w:spacing w:afterAutospacing="0"/>
        <w:ind w:left="0" w:right="0" w:firstLine="420" w:firstLineChars="200"/>
        <w:textAlignment w:val="baseline"/>
        <w:rPr>
          <w:rFonts w:hint="eastAsia" w:ascii="宋体" w:hAnsi="宋体"/>
          <w:color w:val="auto"/>
          <w:highlight w:val="none"/>
        </w:rPr>
      </w:pPr>
      <w:r>
        <w:rPr>
          <w:rFonts w:hint="eastAsia" w:ascii="宋体" w:hAnsi="宋体"/>
          <w:color w:val="auto"/>
          <w:highlight w:val="none"/>
        </w:rPr>
        <w:t>2.1项目概况：样板房装修设计面积暂定为</w:t>
      </w:r>
      <w:r>
        <w:rPr>
          <w:rFonts w:hint="eastAsia" w:ascii="宋体" w:hAnsi="宋体"/>
          <w:b/>
          <w:bCs/>
          <w:color w:val="auto"/>
          <w:highlight w:val="none"/>
          <w:u w:val="single"/>
          <w:lang w:val="en-US" w:eastAsia="zh-CN"/>
        </w:rPr>
        <w:t>352</w:t>
      </w:r>
      <w:r>
        <w:rPr>
          <w:rFonts w:hint="eastAsia" w:ascii="宋体" w:hAnsi="宋体"/>
          <w:color w:val="auto"/>
          <w:highlight w:val="none"/>
        </w:rPr>
        <w:t>平方米，最终以双方确认的实际精装设计面积为准。</w:t>
      </w:r>
    </w:p>
    <w:p w14:paraId="47F1534E">
      <w:pPr>
        <w:spacing w:before="0" w:after="0" w:afterAutospacing="0"/>
        <w:ind w:left="707" w:leftChars="200" w:right="0" w:hanging="287" w:hangingChars="137"/>
        <w:rPr>
          <w:rFonts w:hint="eastAsia" w:ascii="宋体" w:hAnsi="宋体"/>
          <w:color w:val="auto"/>
          <w:highlight w:val="none"/>
          <w:u w:val="single"/>
        </w:rPr>
      </w:pPr>
      <w:r>
        <w:rPr>
          <w:rFonts w:hint="eastAsia" w:ascii="宋体" w:hAnsi="宋体"/>
          <w:color w:val="auto"/>
          <w:highlight w:val="none"/>
        </w:rPr>
        <w:t>2.2项目名称：</w:t>
      </w:r>
      <w:r>
        <w:rPr>
          <w:rFonts w:hint="eastAsia" w:ascii="宋体" w:hAnsi="宋体"/>
          <w:color w:val="auto"/>
          <w:highlight w:val="none"/>
          <w:u w:val="single"/>
          <w:lang w:val="zh-CN"/>
        </w:rPr>
        <w:t>轨道云著（北区）项目样板房（125及102户型）精装修设计</w:t>
      </w:r>
    </w:p>
    <w:p w14:paraId="1015AA36">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2.3含税上限控制价：</w:t>
      </w:r>
      <w:r>
        <w:rPr>
          <w:rFonts w:hint="eastAsia" w:ascii="宋体" w:hAnsi="宋体"/>
          <w:color w:val="auto"/>
          <w:highlight w:val="none"/>
          <w:lang w:val="en-US" w:eastAsia="zh-CN"/>
        </w:rPr>
        <w:t>单价</w:t>
      </w:r>
      <w:r>
        <w:rPr>
          <w:rFonts w:hint="eastAsia" w:ascii="宋体" w:hAnsi="宋体"/>
          <w:b/>
          <w:bCs/>
          <w:color w:val="auto"/>
          <w:highlight w:val="none"/>
          <w:u w:val="single"/>
          <w:lang w:val="en-US" w:eastAsia="zh-CN"/>
        </w:rPr>
        <w:t>1300元</w:t>
      </w:r>
      <w:r>
        <w:rPr>
          <w:rFonts w:hint="eastAsia" w:ascii="宋体" w:hAnsi="宋体"/>
          <w:b/>
          <w:bCs/>
          <w:color w:val="auto"/>
          <w:highlight w:val="none"/>
          <w:lang w:val="en-US" w:eastAsia="zh-CN"/>
        </w:rPr>
        <w:t>/㎡</w:t>
      </w:r>
      <w:r>
        <w:rPr>
          <w:rFonts w:hint="eastAsia" w:ascii="宋体" w:hAnsi="宋体"/>
          <w:color w:val="auto"/>
          <w:highlight w:val="none"/>
          <w:lang w:val="en-US" w:eastAsia="zh-CN"/>
        </w:rPr>
        <w:t>，</w:t>
      </w:r>
      <w:r>
        <w:rPr>
          <w:rFonts w:hint="eastAsia" w:ascii="宋体" w:hAnsi="宋体"/>
          <w:color w:val="auto"/>
          <w:highlight w:val="none"/>
        </w:rPr>
        <w:t>人民币</w:t>
      </w:r>
      <w:r>
        <w:rPr>
          <w:rFonts w:hint="eastAsia" w:ascii="宋体" w:hAnsi="宋体"/>
          <w:b/>
          <w:bCs/>
          <w:color w:val="auto"/>
          <w:highlight w:val="none"/>
          <w:u w:val="single"/>
          <w:lang w:val="en-US" w:eastAsia="zh-CN"/>
        </w:rPr>
        <w:t>457,600‬.00</w:t>
      </w:r>
      <w:r>
        <w:rPr>
          <w:rFonts w:hint="eastAsia" w:ascii="宋体" w:hAnsi="宋体"/>
          <w:b/>
          <w:bCs/>
          <w:color w:val="auto"/>
          <w:highlight w:val="none"/>
          <w:u w:val="single"/>
        </w:rPr>
        <w:t>元</w:t>
      </w:r>
      <w:r>
        <w:rPr>
          <w:rFonts w:hint="eastAsia" w:ascii="宋体" w:hAnsi="宋体"/>
          <w:color w:val="auto"/>
          <w:highlight w:val="none"/>
        </w:rPr>
        <w:t>。比选申请报价高于上限控制价（或分项上限控制价）的比选申请文件将按否决比选申请处理。</w:t>
      </w:r>
    </w:p>
    <w:p w14:paraId="2A2F890C">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2.4比选范围：样板房方案设计及施工图设计，设计服务包含方案设计及工程估算、效果图、施工图设计及工程概算等设计成果、施工阶段配合等。</w:t>
      </w:r>
    </w:p>
    <w:p w14:paraId="7CA96A5F">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2.5合同服务期：自比选人与中选人签订的合同生效之日起至项目竣工验收。</w:t>
      </w:r>
    </w:p>
    <w:p w14:paraId="0A62B6A0">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2.6设计周期：</w:t>
      </w:r>
      <w:r>
        <w:rPr>
          <w:rFonts w:ascii="宋体" w:hAnsi="宋体"/>
          <w:color w:val="auto"/>
          <w:highlight w:val="none"/>
        </w:rPr>
        <w:t>自招标人发出通知开始之日起至工程完成竣工验收之日止。</w:t>
      </w:r>
      <w:r>
        <w:rPr>
          <w:rFonts w:hint="eastAsia" w:ascii="宋体" w:hAnsi="宋体"/>
          <w:color w:val="auto"/>
          <w:highlight w:val="none"/>
        </w:rPr>
        <w:t>概念方案设计阶段合同签订且乙方收到甲方设计任务书后5日内提交成果；正式方案及效果图设计阶段（含深化方案设计和扩初方案设计）概念方案经甲方书</w:t>
      </w:r>
      <w:r>
        <w:rPr>
          <w:rFonts w:ascii="宋体" w:hAnsi="宋体"/>
          <w:color w:val="auto"/>
          <w:highlight w:val="none"/>
        </w:rPr>
        <w:t>面</w:t>
      </w:r>
      <w:r>
        <w:rPr>
          <w:rFonts w:hint="eastAsia" w:ascii="宋体" w:hAnsi="宋体"/>
          <w:color w:val="auto"/>
          <w:highlight w:val="none"/>
        </w:rPr>
        <w:t>确认后10日内提交成果；施工图设计阶段正式方案经甲方书</w:t>
      </w:r>
      <w:r>
        <w:rPr>
          <w:rFonts w:ascii="宋体" w:hAnsi="宋体"/>
          <w:color w:val="auto"/>
          <w:highlight w:val="none"/>
        </w:rPr>
        <w:t>面</w:t>
      </w:r>
      <w:r>
        <w:rPr>
          <w:rFonts w:hint="eastAsia" w:ascii="宋体" w:hAnsi="宋体"/>
          <w:color w:val="auto"/>
          <w:highlight w:val="none"/>
        </w:rPr>
        <w:t>确认后20日内提交成果</w:t>
      </w:r>
      <w:r>
        <w:rPr>
          <w:rFonts w:hint="eastAsia"/>
          <w:color w:val="auto"/>
          <w:highlight w:val="none"/>
        </w:rPr>
        <w:t>。</w:t>
      </w:r>
    </w:p>
    <w:p w14:paraId="0804D233">
      <w:pPr>
        <w:spacing w:before="0" w:after="0" w:afterAutospacing="0"/>
        <w:ind w:left="0" w:right="0" w:firstLine="420" w:firstLineChars="200"/>
        <w:rPr>
          <w:rFonts w:hint="eastAsia" w:ascii="宋体" w:hAnsi="宋体"/>
          <w:color w:val="auto"/>
          <w:highlight w:val="none"/>
          <w:u w:val="single"/>
        </w:rPr>
      </w:pPr>
      <w:r>
        <w:rPr>
          <w:rFonts w:hint="eastAsia" w:ascii="宋体" w:hAnsi="宋体"/>
          <w:color w:val="auto"/>
          <w:highlight w:val="none"/>
        </w:rPr>
        <w:t>2.7项目地点：南宁市良庆区那黄大道122号。</w:t>
      </w:r>
    </w:p>
    <w:p w14:paraId="3C00993D">
      <w:pPr>
        <w:spacing w:before="0" w:after="0" w:afterAutospacing="0"/>
        <w:ind w:left="0" w:right="0" w:firstLine="422" w:firstLineChars="200"/>
        <w:rPr>
          <w:rFonts w:hint="eastAsia" w:ascii="宋体" w:hAnsi="宋体"/>
          <w:color w:val="auto"/>
          <w:highlight w:val="none"/>
        </w:rPr>
      </w:pPr>
      <w:r>
        <w:rPr>
          <w:rFonts w:hint="eastAsia" w:ascii="宋体" w:hAnsi="宋体"/>
          <w:b/>
          <w:color w:val="auto"/>
          <w:highlight w:val="none"/>
        </w:rPr>
        <w:t>3.比选申请人资格要求</w:t>
      </w:r>
    </w:p>
    <w:p w14:paraId="7E03812A">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3.1比选申请人为中华人民共和国境内依法设立的法人或其他组织。</w:t>
      </w:r>
    </w:p>
    <w:p w14:paraId="677F1773">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3.2资质要求：具有</w:t>
      </w:r>
      <w:r>
        <w:rPr>
          <w:rFonts w:hint="eastAsia" w:ascii="宋体" w:hAnsi="宋体"/>
          <w:color w:val="auto"/>
          <w:highlight w:val="none"/>
          <w:lang w:val="en-US" w:eastAsia="zh-CN"/>
        </w:rPr>
        <w:t>建筑装饰工程设计专项</w:t>
      </w:r>
      <w:r>
        <w:rPr>
          <w:rFonts w:hint="eastAsia" w:ascii="宋体" w:hAnsi="宋体"/>
          <w:color w:val="auto"/>
          <w:highlight w:val="none"/>
        </w:rPr>
        <w:t>乙级资质</w:t>
      </w:r>
      <w:r>
        <w:rPr>
          <w:rFonts w:hint="eastAsia" w:ascii="宋体" w:hAnsi="宋体"/>
          <w:color w:val="auto"/>
          <w:highlight w:val="none"/>
          <w:lang w:val="en-US" w:eastAsia="zh-CN"/>
        </w:rPr>
        <w:t>及以上</w:t>
      </w:r>
      <w:r>
        <w:rPr>
          <w:rFonts w:hint="eastAsia" w:ascii="宋体" w:hAnsi="宋体"/>
          <w:color w:val="auto"/>
          <w:highlight w:val="none"/>
        </w:rPr>
        <w:t>。</w:t>
      </w:r>
    </w:p>
    <w:p w14:paraId="2DD20959">
      <w:pPr>
        <w:spacing w:before="0" w:after="0" w:afterAutospacing="0"/>
        <w:ind w:left="0" w:right="0" w:firstLine="420" w:firstLineChars="200"/>
        <w:rPr>
          <w:rFonts w:hint="eastAsia" w:ascii="宋体" w:hAnsi="宋体"/>
          <w:strike/>
          <w:dstrike w:val="0"/>
          <w:color w:val="auto"/>
          <w:highlight w:val="none"/>
          <w:lang w:val="en-US" w:eastAsia="zh-CN"/>
        </w:rPr>
      </w:pPr>
      <w:r>
        <w:rPr>
          <w:rFonts w:hint="eastAsia" w:ascii="宋体" w:hAnsi="宋体"/>
          <w:color w:val="auto"/>
          <w:highlight w:val="none"/>
        </w:rPr>
        <w:t>3.3业绩条件：</w:t>
      </w:r>
      <w:r>
        <w:rPr>
          <w:rFonts w:hint="eastAsia" w:ascii="宋体" w:hAnsi="宋体"/>
          <w:color w:val="auto"/>
          <w:highlight w:val="none"/>
          <w:lang w:eastAsia="zh-CN"/>
        </w:rPr>
        <w:t>比选申请人自2023年1月1日至比选申请截止时间前，承接过（完工/在建项目）1个以上样板房装修设计项目，单个业绩合同金额设计单价达1300元/㎡及以上的设计业绩</w:t>
      </w:r>
      <w:r>
        <w:rPr>
          <w:rFonts w:hint="eastAsia" w:ascii="宋体" w:hAnsi="宋体"/>
          <w:strike w:val="0"/>
          <w:dstrike w:val="0"/>
          <w:color w:val="auto"/>
          <w:highlight w:val="none"/>
          <w:lang w:val="en-US" w:eastAsia="zh-CN"/>
        </w:rPr>
        <w:t>。</w:t>
      </w:r>
    </w:p>
    <w:p w14:paraId="2F248A58">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3.4人员要求：</w:t>
      </w:r>
      <w:r>
        <w:rPr>
          <w:rFonts w:hint="eastAsia"/>
          <w:color w:val="auto"/>
          <w:highlight w:val="none"/>
          <w:lang w:val="en-US" w:eastAsia="zh-CN"/>
        </w:rPr>
        <w:t>项目设计负责人要求负责过1个及以上的房地产项目样板间或展示区设计项目业绩，提供所负责项目单项业绩设计单价为达1300元/㎡及以上的设计业绩，提供合同或者方案文本案例（含项目名称和效果图即可无需全套文本）作为项目负责人的证明材料，提供业绩列表加盖公司公章作为证明</w:t>
      </w:r>
      <w:r>
        <w:rPr>
          <w:rFonts w:hint="eastAsia" w:ascii="宋体" w:hAnsi="宋体"/>
          <w:color w:val="auto"/>
          <w:highlight w:val="none"/>
        </w:rPr>
        <w:t>。</w:t>
      </w:r>
    </w:p>
    <w:p w14:paraId="27DC17E1">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3.5比选申请人没有处于被行政主管部门或业主取消比选申请资格的处罚期内，且没有处于被责令停业，财产被接管、冻结、破产状态；比选申请截止时间前3年内没有骗取中选、严重违约或重大质量安全责任事故的情况；</w:t>
      </w:r>
    </w:p>
    <w:p w14:paraId="418CD846">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3.6单位负责人为同一人或者存在控股、管理关系的不同单位，不得参加同一标段比选申请或者未划分标段的同一比选项目比选申请。</w:t>
      </w:r>
    </w:p>
    <w:p w14:paraId="5351BE7C">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3.7本项目不接受联合体比选申请。</w:t>
      </w:r>
    </w:p>
    <w:p w14:paraId="020578B6">
      <w:pPr>
        <w:spacing w:before="0" w:after="0" w:afterAutospacing="0"/>
        <w:ind w:left="0" w:right="0" w:firstLine="422" w:firstLineChars="200"/>
        <w:rPr>
          <w:rFonts w:hint="eastAsia" w:ascii="宋体" w:hAnsi="宋体"/>
          <w:b/>
          <w:color w:val="auto"/>
          <w:highlight w:val="none"/>
        </w:rPr>
      </w:pPr>
      <w:r>
        <w:rPr>
          <w:rFonts w:hint="eastAsia" w:ascii="宋体" w:hAnsi="宋体"/>
          <w:b/>
          <w:color w:val="auto"/>
          <w:highlight w:val="none"/>
        </w:rPr>
        <w:t>4.资格审查方式</w:t>
      </w:r>
    </w:p>
    <w:p w14:paraId="26F4938B">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本项目对比选申请人的资格审查采用资格后审方式，只有资格审查合格的比选申请人才有可能被授予合同。</w:t>
      </w:r>
    </w:p>
    <w:p w14:paraId="0FCD0289">
      <w:pPr>
        <w:spacing w:before="0" w:after="0" w:afterAutospacing="0"/>
        <w:ind w:left="0" w:right="0" w:firstLine="422" w:firstLineChars="200"/>
        <w:rPr>
          <w:rFonts w:hint="eastAsia" w:ascii="宋体" w:hAnsi="宋体"/>
          <w:b/>
          <w:color w:val="auto"/>
          <w:highlight w:val="none"/>
        </w:rPr>
      </w:pPr>
      <w:r>
        <w:rPr>
          <w:rFonts w:hint="eastAsia" w:ascii="宋体" w:hAnsi="宋体"/>
          <w:b/>
          <w:color w:val="auto"/>
          <w:highlight w:val="none"/>
        </w:rPr>
        <w:t>5.比选文件的获取</w:t>
      </w:r>
    </w:p>
    <w:p w14:paraId="46E6ED61">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5.1比选文件获取：</w:t>
      </w:r>
    </w:p>
    <w:p w14:paraId="242D7124">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本项目不发放纸质文件，请各比选申请人自行网上下载。下载网址：南宁轨道地产集团有限责任公司官网(</w:t>
      </w:r>
      <w:r>
        <w:rPr>
          <w:color w:val="auto"/>
          <w:highlight w:val="none"/>
        </w:rPr>
        <w:fldChar w:fldCharType="begin"/>
      </w:r>
      <w:r>
        <w:rPr>
          <w:color w:val="auto"/>
          <w:highlight w:val="none"/>
        </w:rPr>
        <w:instrText xml:space="preserve"> HYPERLINK "http://www.nngddc.com" </w:instrText>
      </w:r>
      <w:r>
        <w:rPr>
          <w:color w:val="auto"/>
          <w:highlight w:val="none"/>
        </w:rPr>
        <w:fldChar w:fldCharType="separate"/>
      </w:r>
      <w:r>
        <w:rPr>
          <w:rStyle w:val="43"/>
          <w:rFonts w:hint="eastAsia" w:ascii="宋体" w:hAnsi="宋体"/>
          <w:color w:val="auto"/>
          <w:highlight w:val="none"/>
        </w:rPr>
        <w:t>http://www.nngddc.com</w:t>
      </w:r>
      <w:r>
        <w:rPr>
          <w:rStyle w:val="43"/>
          <w:rFonts w:hint="eastAsia" w:ascii="宋体" w:hAnsi="宋体"/>
          <w:color w:val="auto"/>
          <w:highlight w:val="none"/>
        </w:rPr>
        <w:fldChar w:fldCharType="end"/>
      </w:r>
      <w:r>
        <w:rPr>
          <w:rFonts w:hint="eastAsia" w:ascii="宋体" w:hAnsi="宋体"/>
          <w:color w:val="auto"/>
          <w:highlight w:val="none"/>
        </w:rPr>
        <w:t>)，中国采购与招标网（</w:t>
      </w:r>
      <w:r>
        <w:rPr>
          <w:color w:val="auto"/>
          <w:highlight w:val="none"/>
        </w:rPr>
        <w:fldChar w:fldCharType="begin"/>
      </w:r>
      <w:r>
        <w:rPr>
          <w:color w:val="auto"/>
          <w:highlight w:val="none"/>
        </w:rPr>
        <w:instrText xml:space="preserve"> HYPERLINK "http://www.chinabidding.com.cn" </w:instrText>
      </w:r>
      <w:r>
        <w:rPr>
          <w:color w:val="auto"/>
          <w:highlight w:val="none"/>
        </w:rPr>
        <w:fldChar w:fldCharType="separate"/>
      </w:r>
      <w:r>
        <w:rPr>
          <w:rStyle w:val="43"/>
          <w:rFonts w:hint="eastAsia" w:ascii="宋体" w:hAnsi="宋体"/>
          <w:color w:val="auto"/>
          <w:highlight w:val="none"/>
        </w:rPr>
        <w:t>www.chinabidding.com.cn</w:t>
      </w:r>
      <w:r>
        <w:rPr>
          <w:rStyle w:val="43"/>
          <w:rFonts w:hint="eastAsia" w:ascii="宋体" w:hAnsi="宋体"/>
          <w:color w:val="auto"/>
          <w:highlight w:val="none"/>
        </w:rPr>
        <w:fldChar w:fldCharType="end"/>
      </w:r>
      <w:r>
        <w:rPr>
          <w:rFonts w:hint="eastAsia" w:ascii="宋体" w:hAnsi="宋体"/>
          <w:color w:val="auto"/>
          <w:highlight w:val="none"/>
        </w:rPr>
        <w:t>）。</w:t>
      </w:r>
    </w:p>
    <w:p w14:paraId="7E5A2FD1">
      <w:pPr>
        <w:spacing w:before="0" w:after="0" w:afterAutospacing="0"/>
        <w:ind w:left="0" w:right="0" w:firstLine="422" w:firstLineChars="200"/>
        <w:rPr>
          <w:rFonts w:hint="eastAsia" w:ascii="宋体" w:hAnsi="宋体"/>
          <w:b/>
          <w:color w:val="auto"/>
          <w:highlight w:val="none"/>
        </w:rPr>
      </w:pPr>
      <w:r>
        <w:rPr>
          <w:rFonts w:hint="eastAsia" w:ascii="宋体" w:hAnsi="宋体"/>
          <w:b/>
          <w:color w:val="auto"/>
          <w:highlight w:val="none"/>
        </w:rPr>
        <w:t xml:space="preserve">注：比选申请人如未完整下载相关文件，或由于未及时关注比选文件补充通知（补遗）、答疑等相关项目信息而影响比选申请的，其责任由比选申请人自行承担。 </w:t>
      </w:r>
    </w:p>
    <w:p w14:paraId="64E9588A">
      <w:pPr>
        <w:spacing w:before="0" w:after="0" w:afterAutospacing="0"/>
        <w:ind w:left="0" w:right="0" w:firstLine="422" w:firstLineChars="200"/>
        <w:rPr>
          <w:rFonts w:hint="eastAsia" w:ascii="宋体" w:hAnsi="宋体"/>
          <w:b/>
          <w:color w:val="auto"/>
          <w:highlight w:val="none"/>
        </w:rPr>
      </w:pPr>
      <w:r>
        <w:rPr>
          <w:rFonts w:hint="eastAsia" w:ascii="宋体" w:hAnsi="宋体"/>
          <w:b/>
          <w:color w:val="auto"/>
          <w:highlight w:val="none"/>
        </w:rPr>
        <w:t>6.</w:t>
      </w:r>
      <w:r>
        <w:rPr>
          <w:rFonts w:ascii="宋体" w:hAnsi="宋体"/>
          <w:b/>
          <w:color w:val="auto"/>
          <w:highlight w:val="none"/>
        </w:rPr>
        <w:t>比选申请截止时间</w:t>
      </w:r>
      <w:r>
        <w:rPr>
          <w:rFonts w:hint="eastAsia" w:ascii="宋体" w:hAnsi="宋体"/>
          <w:b/>
          <w:color w:val="auto"/>
          <w:highlight w:val="none"/>
        </w:rPr>
        <w:t>和</w:t>
      </w:r>
      <w:r>
        <w:rPr>
          <w:rFonts w:ascii="宋体" w:hAnsi="宋体"/>
          <w:b/>
          <w:color w:val="auto"/>
          <w:highlight w:val="none"/>
        </w:rPr>
        <w:t>地点</w:t>
      </w:r>
    </w:p>
    <w:p w14:paraId="66F68A76">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6.1比选申请文件须密封后于</w:t>
      </w:r>
      <w:r>
        <w:rPr>
          <w:rFonts w:hint="eastAsia" w:ascii="宋体" w:hAnsi="宋体"/>
          <w:b/>
          <w:color w:val="auto"/>
          <w:highlight w:val="none"/>
        </w:rPr>
        <w:t xml:space="preserve">2026年 </w:t>
      </w:r>
      <w:r>
        <w:rPr>
          <w:rFonts w:hint="eastAsia" w:ascii="宋体" w:hAnsi="宋体"/>
          <w:b/>
          <w:color w:val="auto"/>
          <w:highlight w:val="none"/>
          <w:lang w:val="en-US" w:eastAsia="zh-CN"/>
        </w:rPr>
        <w:t>8</w:t>
      </w:r>
      <w:r>
        <w:rPr>
          <w:rFonts w:hint="eastAsia" w:ascii="宋体" w:hAnsi="宋体"/>
          <w:b/>
          <w:color w:val="auto"/>
          <w:highlight w:val="none"/>
        </w:rPr>
        <w:t xml:space="preserve"> 月 </w:t>
      </w:r>
      <w:r>
        <w:rPr>
          <w:rFonts w:hint="eastAsia" w:ascii="宋体" w:hAnsi="宋体"/>
          <w:b/>
          <w:color w:val="auto"/>
          <w:highlight w:val="none"/>
          <w:lang w:val="en-US" w:eastAsia="zh-CN"/>
        </w:rPr>
        <w:t>10</w:t>
      </w:r>
      <w:r>
        <w:rPr>
          <w:rFonts w:hint="eastAsia" w:ascii="宋体" w:hAnsi="宋体"/>
          <w:b/>
          <w:color w:val="auto"/>
          <w:highlight w:val="none"/>
        </w:rPr>
        <w:t xml:space="preserve"> 日 当日9 时</w:t>
      </w:r>
      <w:r>
        <w:rPr>
          <w:rFonts w:ascii="宋体" w:hAnsi="宋体"/>
          <w:b/>
          <w:color w:val="auto"/>
          <w:highlight w:val="none"/>
        </w:rPr>
        <w:t>3</w:t>
      </w:r>
      <w:r>
        <w:rPr>
          <w:rFonts w:hint="eastAsia" w:ascii="宋体" w:hAnsi="宋体"/>
          <w:b/>
          <w:color w:val="auto"/>
          <w:highlight w:val="none"/>
        </w:rPr>
        <w:t>0 分</w:t>
      </w:r>
      <w:r>
        <w:rPr>
          <w:rFonts w:hint="eastAsia" w:ascii="宋体" w:hAnsi="宋体"/>
          <w:color w:val="auto"/>
          <w:highlight w:val="none"/>
        </w:rPr>
        <w:t>（北京时间）前递交，递交地点在广西南宁市青秀区凤岭北路111号南宁国际旅游中心A座907</w:t>
      </w:r>
      <w:r>
        <w:rPr>
          <w:rFonts w:hint="eastAsia" w:ascii="宋体" w:hAnsi="宋体"/>
          <w:color w:val="auto"/>
          <w:highlight w:val="none"/>
          <w:lang w:val="en-US" w:eastAsia="zh-CN"/>
        </w:rPr>
        <w:t>合约招采部</w:t>
      </w:r>
      <w:r>
        <w:rPr>
          <w:rFonts w:hint="eastAsia" w:ascii="宋体" w:hAnsi="宋体"/>
          <w:color w:val="auto"/>
          <w:highlight w:val="none"/>
        </w:rPr>
        <w:t>；</w:t>
      </w:r>
    </w:p>
    <w:p w14:paraId="1B2AB307">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6.2</w:t>
      </w:r>
      <w:r>
        <w:rPr>
          <w:rFonts w:ascii="宋体" w:hAnsi="宋体"/>
          <w:color w:val="auto"/>
          <w:highlight w:val="none"/>
        </w:rPr>
        <w:t>逾期送达的或者未送达指定地点</w:t>
      </w:r>
      <w:r>
        <w:rPr>
          <w:rFonts w:hint="eastAsia" w:ascii="宋体" w:hAnsi="宋体"/>
          <w:color w:val="auto"/>
          <w:highlight w:val="none"/>
        </w:rPr>
        <w:t>或者</w:t>
      </w:r>
      <w:r>
        <w:rPr>
          <w:rFonts w:ascii="宋体" w:hAnsi="宋体"/>
          <w:color w:val="auto"/>
          <w:highlight w:val="none"/>
        </w:rPr>
        <w:t>未按</w:t>
      </w:r>
      <w:r>
        <w:rPr>
          <w:rFonts w:hint="eastAsia" w:ascii="宋体" w:hAnsi="宋体"/>
          <w:color w:val="auto"/>
          <w:highlight w:val="none"/>
        </w:rPr>
        <w:t>比选</w:t>
      </w:r>
      <w:r>
        <w:rPr>
          <w:rFonts w:ascii="宋体" w:hAnsi="宋体"/>
          <w:color w:val="auto"/>
          <w:highlight w:val="none"/>
        </w:rPr>
        <w:t>文件要求密封的</w:t>
      </w:r>
      <w:r>
        <w:rPr>
          <w:rFonts w:hint="eastAsia" w:ascii="宋体" w:hAnsi="宋体"/>
          <w:color w:val="auto"/>
          <w:highlight w:val="none"/>
        </w:rPr>
        <w:t>比选申请</w:t>
      </w:r>
      <w:r>
        <w:rPr>
          <w:rFonts w:ascii="宋体" w:hAnsi="宋体"/>
          <w:color w:val="auto"/>
          <w:highlight w:val="none"/>
        </w:rPr>
        <w:t>文件将被拒绝</w:t>
      </w:r>
      <w:r>
        <w:rPr>
          <w:rFonts w:hint="eastAsia" w:ascii="宋体" w:hAnsi="宋体"/>
          <w:color w:val="auto"/>
          <w:highlight w:val="none"/>
        </w:rPr>
        <w:t>。</w:t>
      </w:r>
    </w:p>
    <w:p w14:paraId="5022C512">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6.3请比选申请人法定代表人或其授权代表携法人委托书原件准时参加。</w:t>
      </w:r>
      <w:r>
        <w:rPr>
          <w:rFonts w:ascii="宋体" w:hAnsi="宋体"/>
          <w:color w:val="auto"/>
          <w:highlight w:val="none"/>
        </w:rPr>
        <w:t>比选申请文件必须由</w:t>
      </w:r>
      <w:r>
        <w:rPr>
          <w:rFonts w:hint="eastAsia" w:ascii="宋体" w:hAnsi="宋体"/>
          <w:color w:val="auto"/>
          <w:highlight w:val="none"/>
        </w:rPr>
        <w:t>比选申请人</w:t>
      </w:r>
      <w:r>
        <w:rPr>
          <w:rFonts w:ascii="宋体" w:hAnsi="宋体"/>
          <w:color w:val="auto"/>
          <w:highlight w:val="none"/>
        </w:rPr>
        <w:t>法定代表人或其授权代表递交，否则比选人不予受理。</w:t>
      </w:r>
    </w:p>
    <w:p w14:paraId="60EF1FD9">
      <w:pPr>
        <w:spacing w:before="0" w:after="0" w:afterAutospacing="0"/>
        <w:ind w:left="0" w:right="0" w:firstLine="422" w:firstLineChars="200"/>
        <w:rPr>
          <w:rFonts w:hint="eastAsia" w:ascii="宋体" w:hAnsi="宋体"/>
          <w:b/>
          <w:color w:val="auto"/>
          <w:highlight w:val="none"/>
        </w:rPr>
      </w:pPr>
      <w:r>
        <w:rPr>
          <w:rFonts w:hint="eastAsia" w:ascii="宋体" w:hAnsi="宋体"/>
          <w:b/>
          <w:color w:val="auto"/>
          <w:highlight w:val="none"/>
        </w:rPr>
        <w:t>7.发布公告的媒介</w:t>
      </w:r>
    </w:p>
    <w:p w14:paraId="50A5BFA4">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本次比选公告在南宁轨道地产集团有限责任公司官网(</w:t>
      </w:r>
      <w:r>
        <w:rPr>
          <w:color w:val="auto"/>
          <w:highlight w:val="none"/>
        </w:rPr>
        <w:fldChar w:fldCharType="begin"/>
      </w:r>
      <w:r>
        <w:rPr>
          <w:color w:val="auto"/>
          <w:highlight w:val="none"/>
        </w:rPr>
        <w:instrText xml:space="preserve"> HYPERLINK "http://www.nngddc.com" </w:instrText>
      </w:r>
      <w:r>
        <w:rPr>
          <w:color w:val="auto"/>
          <w:highlight w:val="none"/>
        </w:rPr>
        <w:fldChar w:fldCharType="separate"/>
      </w:r>
      <w:r>
        <w:rPr>
          <w:rStyle w:val="43"/>
          <w:rFonts w:hint="eastAsia" w:ascii="宋体" w:hAnsi="宋体"/>
          <w:color w:val="auto"/>
          <w:highlight w:val="none"/>
        </w:rPr>
        <w:t>http://www.nngddc.com</w:t>
      </w:r>
      <w:r>
        <w:rPr>
          <w:rStyle w:val="43"/>
          <w:rFonts w:hint="eastAsia" w:ascii="宋体" w:hAnsi="宋体"/>
          <w:color w:val="auto"/>
          <w:highlight w:val="none"/>
        </w:rPr>
        <w:fldChar w:fldCharType="end"/>
      </w:r>
      <w:r>
        <w:rPr>
          <w:rFonts w:hint="eastAsia" w:ascii="宋体" w:hAnsi="宋体"/>
          <w:color w:val="auto"/>
          <w:highlight w:val="none"/>
        </w:rPr>
        <w:t>)，中国采购与招标网（</w:t>
      </w:r>
      <w:r>
        <w:rPr>
          <w:color w:val="auto"/>
          <w:highlight w:val="none"/>
        </w:rPr>
        <w:fldChar w:fldCharType="begin"/>
      </w:r>
      <w:r>
        <w:rPr>
          <w:color w:val="auto"/>
          <w:highlight w:val="none"/>
        </w:rPr>
        <w:instrText xml:space="preserve"> HYPERLINK "http://www.chinabidding.com.cn" </w:instrText>
      </w:r>
      <w:r>
        <w:rPr>
          <w:color w:val="auto"/>
          <w:highlight w:val="none"/>
        </w:rPr>
        <w:fldChar w:fldCharType="separate"/>
      </w:r>
      <w:r>
        <w:rPr>
          <w:rStyle w:val="43"/>
          <w:rFonts w:hint="eastAsia" w:ascii="宋体" w:hAnsi="宋体"/>
          <w:color w:val="auto"/>
          <w:highlight w:val="none"/>
        </w:rPr>
        <w:t>www.chinabidding.com.cn</w:t>
      </w:r>
      <w:r>
        <w:rPr>
          <w:rStyle w:val="43"/>
          <w:rFonts w:hint="eastAsia" w:ascii="宋体" w:hAnsi="宋体"/>
          <w:color w:val="auto"/>
          <w:highlight w:val="none"/>
        </w:rPr>
        <w:fldChar w:fldCharType="end"/>
      </w:r>
      <w:r>
        <w:rPr>
          <w:rFonts w:hint="eastAsia" w:ascii="宋体" w:hAnsi="宋体"/>
          <w:color w:val="auto"/>
          <w:highlight w:val="none"/>
        </w:rPr>
        <w:t>）发布。</w:t>
      </w:r>
    </w:p>
    <w:p w14:paraId="01B5E16E">
      <w:pPr>
        <w:spacing w:before="0" w:after="0" w:afterAutospacing="0"/>
        <w:ind w:left="0" w:right="0" w:firstLine="422" w:firstLineChars="200"/>
        <w:rPr>
          <w:rFonts w:hint="eastAsia" w:ascii="宋体" w:hAnsi="宋体"/>
          <w:b/>
          <w:color w:val="auto"/>
          <w:highlight w:val="none"/>
        </w:rPr>
      </w:pPr>
      <w:r>
        <w:rPr>
          <w:rFonts w:hint="eastAsia" w:ascii="宋体" w:hAnsi="宋体"/>
          <w:b/>
          <w:color w:val="auto"/>
          <w:highlight w:val="none"/>
        </w:rPr>
        <w:t>8.联系方式</w:t>
      </w:r>
    </w:p>
    <w:p w14:paraId="3995ED30">
      <w:pPr>
        <w:spacing w:before="0" w:after="0" w:afterAutospacing="0"/>
        <w:ind w:left="0" w:right="0" w:firstLine="420" w:firstLineChars="200"/>
        <w:rPr>
          <w:rFonts w:hint="eastAsia" w:ascii="宋体" w:hAnsi="宋体"/>
          <w:color w:val="auto"/>
          <w:highlight w:val="none"/>
          <w:u w:val="single"/>
        </w:rPr>
      </w:pPr>
      <w:r>
        <w:rPr>
          <w:rFonts w:hint="eastAsia" w:ascii="宋体" w:hAnsi="宋体"/>
          <w:color w:val="auto"/>
          <w:highlight w:val="none"/>
        </w:rPr>
        <w:t>比选 人：南宁轨道盛拓天和房地产有限公司</w:t>
      </w:r>
    </w:p>
    <w:p w14:paraId="47B91511">
      <w:pPr>
        <w:spacing w:before="0" w:after="0" w:afterAutospacing="0"/>
        <w:ind w:left="0" w:right="0" w:firstLine="420" w:firstLineChars="200"/>
        <w:rPr>
          <w:rFonts w:hint="eastAsia" w:ascii="宋体" w:hAnsi="宋体"/>
          <w:color w:val="auto"/>
          <w:highlight w:val="none"/>
          <w:u w:val="single"/>
        </w:rPr>
      </w:pPr>
      <w:r>
        <w:rPr>
          <w:rFonts w:hint="eastAsia" w:ascii="宋体" w:hAnsi="宋体"/>
          <w:color w:val="auto"/>
          <w:highlight w:val="none"/>
        </w:rPr>
        <w:t>地    址：南宁市青秀区凤岭北路111号</w:t>
      </w:r>
    </w:p>
    <w:p w14:paraId="226A1AB9">
      <w:pPr>
        <w:spacing w:before="0" w:after="0" w:afterAutospacing="0"/>
        <w:ind w:left="0" w:right="0" w:firstLine="420" w:firstLineChars="200"/>
        <w:rPr>
          <w:rFonts w:hint="eastAsia" w:ascii="宋体" w:hAnsi="宋体"/>
          <w:color w:val="auto"/>
          <w:highlight w:val="none"/>
          <w:u w:val="single"/>
        </w:rPr>
      </w:pPr>
      <w:r>
        <w:rPr>
          <w:rFonts w:hint="eastAsia" w:ascii="宋体" w:hAnsi="宋体"/>
          <w:color w:val="auto"/>
          <w:highlight w:val="none"/>
        </w:rPr>
        <w:t xml:space="preserve">邮    编：530022                         </w:t>
      </w:r>
    </w:p>
    <w:p w14:paraId="5B8FF41C">
      <w:pPr>
        <w:spacing w:before="0" w:after="0" w:afterAutospacing="0"/>
        <w:ind w:left="0" w:right="0" w:firstLine="420" w:firstLineChars="200"/>
        <w:rPr>
          <w:rFonts w:hint="eastAsia" w:ascii="宋体" w:hAnsi="宋体"/>
          <w:color w:val="auto"/>
          <w:highlight w:val="none"/>
          <w:u w:val="single"/>
        </w:rPr>
      </w:pPr>
      <w:r>
        <w:rPr>
          <w:rFonts w:hint="eastAsia" w:ascii="宋体" w:hAnsi="宋体"/>
          <w:color w:val="auto"/>
          <w:highlight w:val="none"/>
        </w:rPr>
        <w:t>联 系 人：</w:t>
      </w:r>
      <w:r>
        <w:rPr>
          <w:rFonts w:hint="eastAsia" w:ascii="宋体" w:hAnsi="宋体"/>
          <w:color w:val="auto"/>
          <w:highlight w:val="none"/>
          <w:u w:val="single"/>
        </w:rPr>
        <w:t xml:space="preserve">李先生          </w:t>
      </w:r>
    </w:p>
    <w:p w14:paraId="3C94CC42">
      <w:pPr>
        <w:spacing w:before="0" w:after="0" w:afterAutospacing="0"/>
        <w:ind w:left="0" w:right="0" w:firstLine="420" w:firstLineChars="200"/>
        <w:rPr>
          <w:rFonts w:hint="eastAsia" w:ascii="宋体" w:hAnsi="宋体"/>
          <w:color w:val="auto"/>
          <w:highlight w:val="none"/>
          <w:u w:val="single"/>
        </w:rPr>
      </w:pPr>
      <w:r>
        <w:rPr>
          <w:rFonts w:hint="eastAsia" w:ascii="宋体" w:hAnsi="宋体"/>
          <w:color w:val="auto"/>
          <w:highlight w:val="none"/>
        </w:rPr>
        <w:t>电    话：：</w:t>
      </w:r>
      <w:r>
        <w:rPr>
          <w:rFonts w:hint="eastAsia" w:ascii="宋体" w:hAnsi="宋体"/>
          <w:color w:val="auto"/>
          <w:highlight w:val="none"/>
          <w:u w:val="single"/>
        </w:rPr>
        <w:t>0771-5522035</w:t>
      </w:r>
    </w:p>
    <w:p w14:paraId="336CE402">
      <w:pPr>
        <w:spacing w:before="0" w:after="0" w:afterAutospacing="0"/>
        <w:ind w:left="0" w:right="0" w:firstLine="420" w:firstLineChars="200"/>
        <w:rPr>
          <w:rFonts w:hint="eastAsia" w:ascii="宋体" w:hAnsi="宋体"/>
          <w:color w:val="auto"/>
          <w:highlight w:val="none"/>
          <w:u w:val="single"/>
        </w:rPr>
      </w:pPr>
      <w:r>
        <w:rPr>
          <w:rFonts w:hint="eastAsia" w:ascii="宋体" w:hAnsi="宋体"/>
          <w:color w:val="auto"/>
          <w:highlight w:val="none"/>
        </w:rPr>
        <w:t>传真：</w:t>
      </w:r>
    </w:p>
    <w:p w14:paraId="7373E702">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电子邮件：</w:t>
      </w:r>
    </w:p>
    <w:p w14:paraId="4072201A">
      <w:pPr>
        <w:pStyle w:val="2"/>
        <w:ind w:firstLine="480"/>
        <w:rPr>
          <w:color w:val="auto"/>
          <w:highlight w:val="none"/>
        </w:rPr>
      </w:pPr>
    </w:p>
    <w:p w14:paraId="75466055">
      <w:pPr>
        <w:pStyle w:val="17"/>
        <w:pageBreakBefore/>
        <w:ind w:right="-57" w:firstLine="0"/>
        <w:jc w:val="center"/>
        <w:outlineLvl w:val="0"/>
        <w:rPr>
          <w:rStyle w:val="54"/>
          <w:rFonts w:hint="eastAsia" w:ascii="宋体" w:hAnsi="宋体" w:eastAsia="宋体"/>
          <w:color w:val="auto"/>
          <w:highlight w:val="none"/>
        </w:rPr>
      </w:pPr>
      <w:bookmarkStart w:id="21" w:name="_Toc322528192"/>
      <w:bookmarkEnd w:id="21"/>
      <w:bookmarkStart w:id="22" w:name="_Toc512357502"/>
      <w:bookmarkStart w:id="23" w:name="_Toc15976"/>
      <w:bookmarkStart w:id="24" w:name="_Toc21830"/>
      <w:bookmarkStart w:id="25" w:name="_Toc17735"/>
      <w:bookmarkStart w:id="26" w:name="_Toc18454"/>
      <w:bookmarkStart w:id="27" w:name="_Toc1230"/>
      <w:bookmarkStart w:id="28" w:name="_Toc12635"/>
      <w:bookmarkStart w:id="29" w:name="_Toc29836"/>
      <w:bookmarkStart w:id="30" w:name="_Toc17240"/>
      <w:bookmarkStart w:id="31" w:name="_Toc17594"/>
      <w:bookmarkStart w:id="32" w:name="_Toc20201"/>
      <w:bookmarkStart w:id="33" w:name="_Toc3495"/>
      <w:bookmarkStart w:id="34" w:name="_Toc24390"/>
      <w:bookmarkStart w:id="35" w:name="_Toc30883"/>
      <w:bookmarkStart w:id="36" w:name="_Toc27010"/>
      <w:bookmarkStart w:id="37" w:name="_Toc30725"/>
      <w:bookmarkStart w:id="38" w:name="_Toc24972"/>
      <w:bookmarkStart w:id="39" w:name="_Toc30950"/>
      <w:bookmarkStart w:id="40" w:name="_Toc22273"/>
      <w:r>
        <w:rPr>
          <w:rStyle w:val="54"/>
          <w:rFonts w:hint="eastAsia" w:ascii="宋体" w:hAnsi="宋体" w:eastAsia="宋体"/>
          <w:color w:val="auto"/>
          <w:highlight w:val="none"/>
        </w:rPr>
        <w:t>第二章</w:t>
      </w:r>
      <w:bookmarkEnd w:id="22"/>
      <w:r>
        <w:rPr>
          <w:rStyle w:val="54"/>
          <w:rFonts w:hint="eastAsia" w:hAnsi="宋体"/>
          <w:color w:val="auto"/>
          <w:highlight w:val="none"/>
        </w:rPr>
        <w:t xml:space="preserve">  </w:t>
      </w:r>
      <w:r>
        <w:rPr>
          <w:rStyle w:val="54"/>
          <w:rFonts w:hint="eastAsia" w:ascii="宋体" w:hAnsi="宋体" w:eastAsia="宋体"/>
          <w:color w:val="auto"/>
          <w:highlight w:val="none"/>
        </w:rPr>
        <w:t>比选申请须知</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27EA8362">
      <w:pPr>
        <w:pStyle w:val="17"/>
        <w:spacing w:before="0" w:after="0"/>
        <w:ind w:right="0" w:firstLine="0"/>
        <w:jc w:val="center"/>
        <w:rPr>
          <w:rFonts w:hint="eastAsia" w:hAnsi="宋体"/>
          <w:b/>
          <w:color w:val="auto"/>
          <w:sz w:val="30"/>
          <w:szCs w:val="30"/>
          <w:highlight w:val="none"/>
        </w:rPr>
      </w:pPr>
      <w:r>
        <w:rPr>
          <w:rFonts w:hint="eastAsia" w:hAnsi="宋体"/>
          <w:b/>
          <w:color w:val="auto"/>
          <w:sz w:val="30"/>
          <w:szCs w:val="30"/>
          <w:highlight w:val="none"/>
        </w:rPr>
        <w:t>比选申请须知前附表</w:t>
      </w:r>
    </w:p>
    <w:tbl>
      <w:tblPr>
        <w:tblStyle w:val="36"/>
        <w:tblW w:w="9117" w:type="dxa"/>
        <w:tblInd w:w="112" w:type="dxa"/>
        <w:tblLayout w:type="fixed"/>
        <w:tblCellMar>
          <w:top w:w="0" w:type="dxa"/>
          <w:left w:w="108" w:type="dxa"/>
          <w:bottom w:w="0" w:type="dxa"/>
          <w:right w:w="108" w:type="dxa"/>
        </w:tblCellMar>
      </w:tblPr>
      <w:tblGrid>
        <w:gridCol w:w="847"/>
        <w:gridCol w:w="1559"/>
        <w:gridCol w:w="6711"/>
      </w:tblGrid>
      <w:tr w14:paraId="5FB17046">
        <w:tblPrEx>
          <w:tblCellMar>
            <w:top w:w="0" w:type="dxa"/>
            <w:left w:w="108" w:type="dxa"/>
            <w:bottom w:w="0" w:type="dxa"/>
            <w:right w:w="108" w:type="dxa"/>
          </w:tblCellMar>
        </w:tblPrEx>
        <w:trPr>
          <w:trHeight w:val="273" w:hRule="atLeast"/>
        </w:trPr>
        <w:tc>
          <w:tcPr>
            <w:tcW w:w="847" w:type="dxa"/>
            <w:tcBorders>
              <w:top w:val="single" w:color="auto" w:sz="4" w:space="0"/>
              <w:left w:val="single" w:color="auto" w:sz="4" w:space="0"/>
              <w:bottom w:val="single" w:color="auto" w:sz="4" w:space="0"/>
              <w:right w:val="single" w:color="auto" w:sz="4" w:space="0"/>
            </w:tcBorders>
            <w:vAlign w:val="center"/>
          </w:tcPr>
          <w:p w14:paraId="6ABF0CA8">
            <w:pPr>
              <w:spacing w:before="0" w:after="0" w:afterAutospacing="0"/>
              <w:ind w:left="0" w:right="0" w:firstLine="0"/>
              <w:jc w:val="center"/>
              <w:rPr>
                <w:rFonts w:hint="eastAsia" w:ascii="宋体" w:hAnsi="宋体"/>
                <w:color w:val="auto"/>
                <w:highlight w:val="none"/>
              </w:rPr>
            </w:pPr>
            <w:r>
              <w:rPr>
                <w:rFonts w:hint="eastAsia" w:ascii="宋体" w:hAnsi="宋体"/>
                <w:color w:val="auto"/>
                <w:highlight w:val="none"/>
              </w:rPr>
              <w:t>条款号</w:t>
            </w:r>
          </w:p>
        </w:tc>
        <w:tc>
          <w:tcPr>
            <w:tcW w:w="1559" w:type="dxa"/>
            <w:tcBorders>
              <w:top w:val="single" w:color="auto" w:sz="4" w:space="0"/>
              <w:left w:val="nil"/>
              <w:bottom w:val="single" w:color="auto" w:sz="4" w:space="0"/>
              <w:right w:val="single" w:color="auto" w:sz="4" w:space="0"/>
            </w:tcBorders>
            <w:vAlign w:val="center"/>
          </w:tcPr>
          <w:p w14:paraId="3E5582DD">
            <w:pPr>
              <w:spacing w:before="0" w:after="0" w:afterAutospacing="0"/>
              <w:ind w:left="0" w:right="0" w:firstLine="0"/>
              <w:jc w:val="center"/>
              <w:rPr>
                <w:rFonts w:hint="eastAsia" w:ascii="宋体" w:hAnsi="宋体"/>
                <w:color w:val="auto"/>
                <w:highlight w:val="none"/>
              </w:rPr>
            </w:pPr>
            <w:r>
              <w:rPr>
                <w:rFonts w:hint="eastAsia" w:ascii="宋体" w:hAnsi="宋体"/>
                <w:color w:val="auto"/>
                <w:highlight w:val="none"/>
              </w:rPr>
              <w:t>条款名称</w:t>
            </w:r>
          </w:p>
        </w:tc>
        <w:tc>
          <w:tcPr>
            <w:tcW w:w="6711" w:type="dxa"/>
            <w:tcBorders>
              <w:top w:val="single" w:color="auto" w:sz="4" w:space="0"/>
              <w:left w:val="nil"/>
              <w:bottom w:val="single" w:color="auto" w:sz="4" w:space="0"/>
              <w:right w:val="single" w:color="auto" w:sz="4" w:space="0"/>
            </w:tcBorders>
            <w:vAlign w:val="center"/>
          </w:tcPr>
          <w:p w14:paraId="718A3F75">
            <w:pPr>
              <w:spacing w:before="0" w:after="0" w:afterAutospacing="0"/>
              <w:ind w:left="0" w:right="0" w:firstLine="0"/>
              <w:jc w:val="center"/>
              <w:rPr>
                <w:rFonts w:hint="eastAsia" w:ascii="宋体" w:hAnsi="宋体"/>
                <w:color w:val="auto"/>
                <w:highlight w:val="none"/>
              </w:rPr>
            </w:pPr>
            <w:r>
              <w:rPr>
                <w:rFonts w:hint="eastAsia" w:ascii="宋体" w:hAnsi="宋体"/>
                <w:color w:val="auto"/>
                <w:highlight w:val="none"/>
              </w:rPr>
              <w:t>详细内容</w:t>
            </w:r>
          </w:p>
        </w:tc>
      </w:tr>
      <w:tr w14:paraId="2DF9F26F">
        <w:tblPrEx>
          <w:tblCellMar>
            <w:top w:w="0" w:type="dxa"/>
            <w:left w:w="108" w:type="dxa"/>
            <w:bottom w:w="0" w:type="dxa"/>
            <w:right w:w="108" w:type="dxa"/>
          </w:tblCellMar>
        </w:tblPrEx>
        <w:trPr>
          <w:trHeight w:val="1197" w:hRule="atLeast"/>
        </w:trPr>
        <w:tc>
          <w:tcPr>
            <w:tcW w:w="847" w:type="dxa"/>
            <w:tcBorders>
              <w:top w:val="single" w:color="auto" w:sz="4" w:space="0"/>
              <w:left w:val="single" w:color="auto" w:sz="4" w:space="0"/>
              <w:bottom w:val="single" w:color="auto" w:sz="4" w:space="0"/>
              <w:right w:val="single" w:color="auto" w:sz="4" w:space="0"/>
            </w:tcBorders>
            <w:vAlign w:val="center"/>
          </w:tcPr>
          <w:p w14:paraId="352D288A">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1.1</w:t>
            </w:r>
          </w:p>
        </w:tc>
        <w:tc>
          <w:tcPr>
            <w:tcW w:w="1559" w:type="dxa"/>
            <w:tcBorders>
              <w:top w:val="single" w:color="auto" w:sz="4" w:space="0"/>
              <w:left w:val="nil"/>
              <w:bottom w:val="single" w:color="auto" w:sz="4" w:space="0"/>
              <w:right w:val="single" w:color="auto" w:sz="4" w:space="0"/>
            </w:tcBorders>
            <w:vAlign w:val="center"/>
          </w:tcPr>
          <w:p w14:paraId="2078FA52">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比选人</w:t>
            </w:r>
          </w:p>
        </w:tc>
        <w:tc>
          <w:tcPr>
            <w:tcW w:w="6711" w:type="dxa"/>
            <w:tcBorders>
              <w:top w:val="single" w:color="auto" w:sz="4" w:space="0"/>
              <w:left w:val="nil"/>
              <w:bottom w:val="single" w:color="auto" w:sz="4" w:space="0"/>
              <w:right w:val="single" w:color="auto" w:sz="4" w:space="0"/>
            </w:tcBorders>
            <w:vAlign w:val="center"/>
          </w:tcPr>
          <w:p w14:paraId="5C27DA81">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名称：南宁轨道盛拓天和房地产有限公司</w:t>
            </w:r>
          </w:p>
          <w:p w14:paraId="7FF661F9">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地址：南宁市青秀区凤岭北路111号</w:t>
            </w:r>
          </w:p>
          <w:p w14:paraId="2A1988DE">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联系人：李先生</w:t>
            </w:r>
          </w:p>
          <w:p w14:paraId="30A4666B">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联系电话：0771-5522035</w:t>
            </w:r>
          </w:p>
        </w:tc>
      </w:tr>
      <w:tr w14:paraId="536E66C5">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14:paraId="68D664D0">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1.2</w:t>
            </w:r>
          </w:p>
        </w:tc>
        <w:tc>
          <w:tcPr>
            <w:tcW w:w="1559" w:type="dxa"/>
            <w:tcBorders>
              <w:top w:val="single" w:color="auto" w:sz="4" w:space="0"/>
              <w:left w:val="nil"/>
              <w:bottom w:val="single" w:color="auto" w:sz="4" w:space="0"/>
              <w:right w:val="single" w:color="auto" w:sz="4" w:space="0"/>
            </w:tcBorders>
            <w:vAlign w:val="center"/>
          </w:tcPr>
          <w:p w14:paraId="03E66D43">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项目名称</w:t>
            </w:r>
          </w:p>
        </w:tc>
        <w:tc>
          <w:tcPr>
            <w:tcW w:w="6711" w:type="dxa"/>
            <w:tcBorders>
              <w:top w:val="single" w:color="auto" w:sz="4" w:space="0"/>
              <w:left w:val="nil"/>
              <w:bottom w:val="single" w:color="auto" w:sz="4" w:space="0"/>
              <w:right w:val="single" w:color="auto" w:sz="4" w:space="0"/>
            </w:tcBorders>
            <w:vAlign w:val="center"/>
          </w:tcPr>
          <w:p w14:paraId="39FA53D2">
            <w:pPr>
              <w:spacing w:before="0" w:after="0" w:afterAutospacing="0"/>
              <w:ind w:left="0" w:right="0" w:firstLine="0"/>
              <w:rPr>
                <w:rFonts w:hint="eastAsia" w:ascii="宋体" w:hAnsi="宋体"/>
                <w:color w:val="auto"/>
                <w:highlight w:val="none"/>
              </w:rPr>
            </w:pPr>
            <w:r>
              <w:rPr>
                <w:rFonts w:hint="eastAsia" w:ascii="宋体" w:hAnsi="宋体"/>
                <w:color w:val="auto"/>
                <w:highlight w:val="none"/>
                <w:lang w:val="zh-CN"/>
              </w:rPr>
              <w:t>轨道云著（北区）项目样板房（125及102户型）精装修设计</w:t>
            </w:r>
          </w:p>
        </w:tc>
      </w:tr>
      <w:tr w14:paraId="24F35C3D">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14:paraId="4D697858">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1.3</w:t>
            </w:r>
          </w:p>
        </w:tc>
        <w:tc>
          <w:tcPr>
            <w:tcW w:w="1559" w:type="dxa"/>
            <w:tcBorders>
              <w:top w:val="single" w:color="auto" w:sz="4" w:space="0"/>
              <w:left w:val="nil"/>
              <w:bottom w:val="single" w:color="auto" w:sz="4" w:space="0"/>
              <w:right w:val="single" w:color="auto" w:sz="4" w:space="0"/>
            </w:tcBorders>
            <w:vAlign w:val="center"/>
          </w:tcPr>
          <w:p w14:paraId="623AAD92">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项目编号</w:t>
            </w:r>
          </w:p>
        </w:tc>
        <w:tc>
          <w:tcPr>
            <w:tcW w:w="6711" w:type="dxa"/>
            <w:tcBorders>
              <w:top w:val="single" w:color="auto" w:sz="4" w:space="0"/>
              <w:left w:val="nil"/>
              <w:bottom w:val="single" w:color="auto" w:sz="4" w:space="0"/>
              <w:right w:val="single" w:color="auto" w:sz="4" w:space="0"/>
            </w:tcBorders>
            <w:vAlign w:val="center"/>
          </w:tcPr>
          <w:p w14:paraId="00219F92">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无</w:t>
            </w:r>
          </w:p>
        </w:tc>
      </w:tr>
      <w:tr w14:paraId="1C1948B9">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14:paraId="27264C7B">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1.4</w:t>
            </w:r>
          </w:p>
        </w:tc>
        <w:tc>
          <w:tcPr>
            <w:tcW w:w="1559" w:type="dxa"/>
            <w:tcBorders>
              <w:top w:val="single" w:color="auto" w:sz="4" w:space="0"/>
              <w:left w:val="nil"/>
              <w:bottom w:val="single" w:color="auto" w:sz="4" w:space="0"/>
              <w:right w:val="single" w:color="auto" w:sz="4" w:space="0"/>
            </w:tcBorders>
            <w:vAlign w:val="center"/>
          </w:tcPr>
          <w:p w14:paraId="0350D504">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w:t>
            </w:r>
            <w:r>
              <w:rPr>
                <w:rFonts w:ascii="宋体" w:hAnsi="宋体"/>
                <w:color w:val="auto"/>
                <w:highlight w:val="none"/>
              </w:rPr>
              <w:t>范围</w:t>
            </w:r>
          </w:p>
        </w:tc>
        <w:tc>
          <w:tcPr>
            <w:tcW w:w="6711" w:type="dxa"/>
            <w:tcBorders>
              <w:top w:val="single" w:color="auto" w:sz="4" w:space="0"/>
              <w:left w:val="nil"/>
              <w:bottom w:val="single" w:color="auto" w:sz="4" w:space="0"/>
              <w:right w:val="single" w:color="auto" w:sz="4" w:space="0"/>
            </w:tcBorders>
            <w:vAlign w:val="center"/>
          </w:tcPr>
          <w:p w14:paraId="4F08B51F">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样板房方案设计及施工图设计，设计服务包含方案设计及工程估算、效果图、施工图设计及工程概算等设计成果、施工阶段配合等</w:t>
            </w:r>
            <w:r>
              <w:rPr>
                <w:rFonts w:hint="eastAsia" w:ascii="宋体" w:hAnsi="宋体"/>
                <w:color w:val="auto"/>
                <w:highlight w:val="none"/>
                <w:lang w:val="zh-CN"/>
              </w:rPr>
              <w:t>。</w:t>
            </w:r>
          </w:p>
        </w:tc>
      </w:tr>
      <w:tr w14:paraId="28C107C3">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14:paraId="11079F40">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1.5</w:t>
            </w:r>
          </w:p>
        </w:tc>
        <w:tc>
          <w:tcPr>
            <w:tcW w:w="1559" w:type="dxa"/>
            <w:tcBorders>
              <w:top w:val="single" w:color="auto" w:sz="4" w:space="0"/>
              <w:left w:val="nil"/>
              <w:bottom w:val="single" w:color="auto" w:sz="4" w:space="0"/>
              <w:right w:val="single" w:color="auto" w:sz="4" w:space="0"/>
            </w:tcBorders>
            <w:vAlign w:val="center"/>
          </w:tcPr>
          <w:p w14:paraId="6C751D02">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服务期</w:t>
            </w:r>
          </w:p>
        </w:tc>
        <w:tc>
          <w:tcPr>
            <w:tcW w:w="6711" w:type="dxa"/>
            <w:tcBorders>
              <w:top w:val="single" w:color="auto" w:sz="4" w:space="0"/>
              <w:left w:val="nil"/>
              <w:bottom w:val="single" w:color="auto" w:sz="4" w:space="0"/>
              <w:right w:val="single" w:color="auto" w:sz="4" w:space="0"/>
            </w:tcBorders>
            <w:vAlign w:val="center"/>
          </w:tcPr>
          <w:p w14:paraId="63E6CFDC">
            <w:pPr>
              <w:spacing w:before="0" w:after="0" w:afterAutospacing="0"/>
              <w:ind w:right="0"/>
              <w:rPr>
                <w:rFonts w:hint="eastAsia" w:ascii="宋体" w:hAnsi="宋体"/>
                <w:color w:val="auto"/>
                <w:highlight w:val="none"/>
              </w:rPr>
            </w:pPr>
            <w:r>
              <w:rPr>
                <w:rFonts w:hint="eastAsia" w:ascii="宋体" w:hAnsi="宋体"/>
                <w:color w:val="auto"/>
                <w:highlight w:val="none"/>
              </w:rPr>
              <w:t>自比选人与中选人签订的合同生效之日起至项目竣工验收。</w:t>
            </w:r>
          </w:p>
        </w:tc>
      </w:tr>
      <w:tr w14:paraId="59D54DA8">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14:paraId="10537958">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1.6</w:t>
            </w:r>
          </w:p>
        </w:tc>
        <w:tc>
          <w:tcPr>
            <w:tcW w:w="1559" w:type="dxa"/>
            <w:tcBorders>
              <w:top w:val="single" w:color="auto" w:sz="4" w:space="0"/>
              <w:left w:val="nil"/>
              <w:bottom w:val="single" w:color="auto" w:sz="4" w:space="0"/>
              <w:right w:val="single" w:color="auto" w:sz="4" w:space="0"/>
            </w:tcBorders>
            <w:vAlign w:val="center"/>
          </w:tcPr>
          <w:p w14:paraId="6D62CC9A">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资金来源</w:t>
            </w:r>
          </w:p>
        </w:tc>
        <w:tc>
          <w:tcPr>
            <w:tcW w:w="6711" w:type="dxa"/>
            <w:tcBorders>
              <w:top w:val="single" w:color="auto" w:sz="4" w:space="0"/>
              <w:left w:val="nil"/>
              <w:bottom w:val="single" w:color="auto" w:sz="4" w:space="0"/>
              <w:right w:val="single" w:color="auto" w:sz="4" w:space="0"/>
            </w:tcBorders>
            <w:vAlign w:val="center"/>
          </w:tcPr>
          <w:p w14:paraId="02503386">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企业自有资金</w:t>
            </w:r>
          </w:p>
        </w:tc>
      </w:tr>
      <w:tr w14:paraId="6FAE9127">
        <w:tblPrEx>
          <w:tblCellMar>
            <w:top w:w="0" w:type="dxa"/>
            <w:left w:w="108" w:type="dxa"/>
            <w:bottom w:w="0" w:type="dxa"/>
            <w:right w:w="108" w:type="dxa"/>
          </w:tblCellMar>
        </w:tblPrEx>
        <w:trPr>
          <w:trHeight w:val="1727" w:hRule="atLeast"/>
        </w:trPr>
        <w:tc>
          <w:tcPr>
            <w:tcW w:w="847" w:type="dxa"/>
            <w:tcBorders>
              <w:top w:val="single" w:color="auto" w:sz="4" w:space="0"/>
              <w:left w:val="single" w:color="auto" w:sz="4" w:space="0"/>
              <w:bottom w:val="single" w:color="auto" w:sz="4" w:space="0"/>
              <w:right w:val="single" w:color="auto" w:sz="4" w:space="0"/>
            </w:tcBorders>
            <w:vAlign w:val="center"/>
          </w:tcPr>
          <w:p w14:paraId="671105CA">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1.7</w:t>
            </w:r>
          </w:p>
        </w:tc>
        <w:tc>
          <w:tcPr>
            <w:tcW w:w="1559" w:type="dxa"/>
            <w:tcBorders>
              <w:top w:val="single" w:color="auto" w:sz="4" w:space="0"/>
              <w:left w:val="nil"/>
              <w:bottom w:val="single" w:color="auto" w:sz="4" w:space="0"/>
              <w:right w:val="single" w:color="auto" w:sz="4" w:space="0"/>
            </w:tcBorders>
            <w:vAlign w:val="center"/>
          </w:tcPr>
          <w:p w14:paraId="13180C79">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上限控制价</w:t>
            </w:r>
          </w:p>
        </w:tc>
        <w:tc>
          <w:tcPr>
            <w:tcW w:w="6711" w:type="dxa"/>
            <w:tcBorders>
              <w:top w:val="single" w:color="auto" w:sz="4" w:space="0"/>
              <w:left w:val="nil"/>
              <w:bottom w:val="single" w:color="auto" w:sz="4" w:space="0"/>
              <w:right w:val="single" w:color="auto" w:sz="4" w:space="0"/>
            </w:tcBorders>
            <w:vAlign w:val="center"/>
          </w:tcPr>
          <w:p w14:paraId="1CA33BA0">
            <w:pPr>
              <w:spacing w:before="0" w:after="0" w:afterAutospacing="0"/>
              <w:ind w:left="0" w:right="0" w:firstLine="0"/>
              <w:rPr>
                <w:rFonts w:hint="eastAsia" w:ascii="宋体" w:hAnsi="宋体"/>
                <w:color w:val="auto"/>
                <w:sz w:val="20"/>
                <w:szCs w:val="20"/>
                <w:highlight w:val="none"/>
              </w:rPr>
            </w:pPr>
            <w:r>
              <w:rPr>
                <w:rFonts w:hint="eastAsia" w:ascii="宋体" w:hAnsi="宋体"/>
                <w:color w:val="auto"/>
                <w:sz w:val="20"/>
                <w:szCs w:val="20"/>
                <w:highlight w:val="none"/>
              </w:rPr>
              <w:t>含税上限控制价：</w:t>
            </w:r>
            <w:r>
              <w:rPr>
                <w:rFonts w:hint="eastAsia" w:ascii="宋体" w:hAnsi="宋体"/>
                <w:color w:val="auto"/>
                <w:highlight w:val="none"/>
                <w:lang w:val="en-US" w:eastAsia="zh-CN"/>
              </w:rPr>
              <w:t>单价</w:t>
            </w:r>
            <w:r>
              <w:rPr>
                <w:rFonts w:hint="eastAsia" w:ascii="宋体" w:hAnsi="宋体"/>
                <w:b/>
                <w:bCs/>
                <w:color w:val="auto"/>
                <w:highlight w:val="none"/>
                <w:u w:val="single"/>
                <w:lang w:val="en-US" w:eastAsia="zh-CN"/>
              </w:rPr>
              <w:t>1300元</w:t>
            </w:r>
            <w:r>
              <w:rPr>
                <w:rFonts w:hint="eastAsia" w:ascii="宋体" w:hAnsi="宋体"/>
                <w:b/>
                <w:bCs/>
                <w:color w:val="auto"/>
                <w:highlight w:val="none"/>
                <w:lang w:val="en-US" w:eastAsia="zh-CN"/>
              </w:rPr>
              <w:t>/㎡</w:t>
            </w:r>
            <w:r>
              <w:rPr>
                <w:rFonts w:hint="eastAsia" w:ascii="宋体" w:hAnsi="宋体"/>
                <w:color w:val="auto"/>
                <w:highlight w:val="none"/>
                <w:lang w:val="en-US" w:eastAsia="zh-CN"/>
              </w:rPr>
              <w:t>，</w:t>
            </w:r>
            <w:r>
              <w:rPr>
                <w:rFonts w:hint="eastAsia" w:ascii="宋体" w:hAnsi="宋体"/>
                <w:color w:val="auto"/>
                <w:highlight w:val="none"/>
              </w:rPr>
              <w:t>人民币</w:t>
            </w:r>
            <w:r>
              <w:rPr>
                <w:rFonts w:hint="eastAsia" w:ascii="宋体" w:hAnsi="宋体"/>
                <w:b/>
                <w:bCs/>
                <w:color w:val="auto"/>
                <w:highlight w:val="none"/>
                <w:u w:val="single"/>
                <w:lang w:val="en-US" w:eastAsia="zh-CN"/>
              </w:rPr>
              <w:t>457,600‬.00</w:t>
            </w:r>
            <w:r>
              <w:rPr>
                <w:rFonts w:hint="eastAsia" w:ascii="宋体" w:hAnsi="宋体"/>
                <w:b/>
                <w:bCs/>
                <w:color w:val="auto"/>
                <w:highlight w:val="none"/>
                <w:u w:val="single"/>
              </w:rPr>
              <w:t>元</w:t>
            </w:r>
            <w:r>
              <w:rPr>
                <w:rFonts w:hint="eastAsia" w:ascii="宋体" w:hAnsi="宋体"/>
                <w:color w:val="auto"/>
                <w:sz w:val="20"/>
                <w:szCs w:val="20"/>
                <w:highlight w:val="none"/>
              </w:rPr>
              <w:t>。</w:t>
            </w:r>
          </w:p>
          <w:p w14:paraId="3D332F69">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比选申请报价高于上限控制价（或分项上限控制价）的比选申请文件将按否决比选申请处理。</w:t>
            </w:r>
          </w:p>
        </w:tc>
      </w:tr>
      <w:tr w14:paraId="6F82A9A7">
        <w:tblPrEx>
          <w:tblCellMar>
            <w:top w:w="0" w:type="dxa"/>
            <w:left w:w="108" w:type="dxa"/>
            <w:bottom w:w="0" w:type="dxa"/>
            <w:right w:w="108" w:type="dxa"/>
          </w:tblCellMar>
        </w:tblPrEx>
        <w:trPr>
          <w:trHeight w:val="279" w:hRule="atLeast"/>
        </w:trPr>
        <w:tc>
          <w:tcPr>
            <w:tcW w:w="847" w:type="dxa"/>
            <w:tcBorders>
              <w:top w:val="single" w:color="auto" w:sz="4" w:space="0"/>
              <w:left w:val="single" w:color="auto" w:sz="4" w:space="0"/>
              <w:bottom w:val="single" w:color="auto" w:sz="4" w:space="0"/>
              <w:right w:val="single" w:color="auto" w:sz="4" w:space="0"/>
            </w:tcBorders>
            <w:vAlign w:val="center"/>
          </w:tcPr>
          <w:p w14:paraId="17038659">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3</w:t>
            </w:r>
          </w:p>
        </w:tc>
        <w:tc>
          <w:tcPr>
            <w:tcW w:w="1559" w:type="dxa"/>
            <w:tcBorders>
              <w:top w:val="single" w:color="auto" w:sz="4" w:space="0"/>
              <w:left w:val="nil"/>
              <w:bottom w:val="single" w:color="auto" w:sz="4" w:space="0"/>
              <w:right w:val="single" w:color="auto" w:sz="4" w:space="0"/>
            </w:tcBorders>
            <w:vAlign w:val="center"/>
          </w:tcPr>
          <w:p w14:paraId="7D45BD80">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比选申请人应具备的资格条件</w:t>
            </w:r>
          </w:p>
        </w:tc>
        <w:tc>
          <w:tcPr>
            <w:tcW w:w="6711" w:type="dxa"/>
            <w:tcBorders>
              <w:top w:val="single" w:color="auto" w:sz="4" w:space="0"/>
              <w:left w:val="nil"/>
              <w:bottom w:val="single" w:color="auto" w:sz="4" w:space="0"/>
              <w:right w:val="single" w:color="auto" w:sz="4" w:space="0"/>
            </w:tcBorders>
            <w:vAlign w:val="center"/>
          </w:tcPr>
          <w:p w14:paraId="7783C80A">
            <w:pPr>
              <w:numPr>
                <w:ilvl w:val="0"/>
                <w:numId w:val="1"/>
              </w:num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比选申请人为中华人民共和国境内</w:t>
            </w:r>
            <w:r>
              <w:rPr>
                <w:rFonts w:ascii="inherit" w:hAnsi="inherit"/>
                <w:color w:val="auto"/>
                <w:highlight w:val="none"/>
              </w:rPr>
              <w:t>依法设立独立合格法人</w:t>
            </w:r>
            <w:r>
              <w:rPr>
                <w:rFonts w:hint="eastAsia" w:ascii="宋体" w:hAnsi="宋体"/>
                <w:color w:val="auto"/>
                <w:highlight w:val="none"/>
              </w:rPr>
              <w:t>或其他组织。</w:t>
            </w:r>
          </w:p>
          <w:p w14:paraId="159E213F">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（2）资质条件：具有</w:t>
            </w:r>
            <w:r>
              <w:rPr>
                <w:rFonts w:hint="eastAsia" w:ascii="宋体" w:hAnsi="宋体"/>
                <w:color w:val="auto"/>
                <w:highlight w:val="none"/>
                <w:lang w:val="en-US" w:eastAsia="zh-CN"/>
              </w:rPr>
              <w:t>建筑装饰工程设计专项</w:t>
            </w:r>
            <w:r>
              <w:rPr>
                <w:rFonts w:hint="eastAsia" w:ascii="宋体" w:hAnsi="宋体"/>
                <w:color w:val="auto"/>
                <w:highlight w:val="none"/>
              </w:rPr>
              <w:t>乙级资质</w:t>
            </w:r>
            <w:r>
              <w:rPr>
                <w:rFonts w:hint="eastAsia" w:ascii="宋体" w:hAnsi="宋体"/>
                <w:color w:val="auto"/>
                <w:highlight w:val="none"/>
                <w:lang w:val="en-US" w:eastAsia="zh-CN"/>
              </w:rPr>
              <w:t>及以上</w:t>
            </w:r>
            <w:r>
              <w:rPr>
                <w:rFonts w:hint="eastAsia" w:ascii="宋体" w:hAnsi="宋体"/>
                <w:color w:val="auto"/>
                <w:highlight w:val="none"/>
              </w:rPr>
              <w:t>。</w:t>
            </w:r>
          </w:p>
          <w:p w14:paraId="15AF38AC">
            <w:pPr>
              <w:spacing w:before="0" w:after="0" w:afterAutospacing="0"/>
              <w:ind w:left="0" w:right="0" w:firstLine="0"/>
              <w:rPr>
                <w:rFonts w:hint="eastAsia" w:ascii="宋体" w:hAnsi="宋体"/>
                <w:color w:val="auto"/>
                <w:highlight w:val="none"/>
                <w:lang w:val="en-US" w:eastAsia="zh-CN"/>
              </w:rPr>
            </w:pPr>
            <w:r>
              <w:rPr>
                <w:rFonts w:hint="eastAsia" w:ascii="宋体" w:hAnsi="宋体"/>
                <w:color w:val="auto"/>
                <w:highlight w:val="none"/>
              </w:rPr>
              <w:t>（3）业绩条件：</w:t>
            </w:r>
            <w:r>
              <w:rPr>
                <w:rFonts w:hint="eastAsia" w:ascii="宋体" w:hAnsi="宋体"/>
                <w:color w:val="auto"/>
                <w:highlight w:val="none"/>
                <w:lang w:eastAsia="zh-CN"/>
              </w:rPr>
              <w:t>比选申请人自2023年1月1日至比选申请截止时间前，承接过（完工/在建项目）1个以上样板房装修设计项目，单个业绩合同金额设计单价达1300元/㎡及以上的设计业绩</w:t>
            </w:r>
            <w:r>
              <w:rPr>
                <w:rFonts w:hint="eastAsia" w:ascii="宋体" w:hAnsi="宋体"/>
                <w:color w:val="auto"/>
                <w:highlight w:val="none"/>
                <w:lang w:val="en-US" w:eastAsia="zh-CN"/>
              </w:rPr>
              <w:t>。</w:t>
            </w:r>
          </w:p>
          <w:p w14:paraId="4D172313">
            <w:pPr>
              <w:spacing w:before="0" w:after="0" w:afterAutospacing="0"/>
              <w:ind w:left="0" w:right="0" w:firstLine="0"/>
              <w:rPr>
                <w:rFonts w:hint="default" w:ascii="宋体" w:hAnsi="宋体"/>
                <w:color w:val="auto"/>
                <w:highlight w:val="none"/>
                <w:lang w:val="en-US" w:eastAsia="zh-CN"/>
              </w:rPr>
            </w:pPr>
            <w:r>
              <w:rPr>
                <w:rFonts w:hint="eastAsia"/>
                <w:color w:val="auto"/>
                <w:highlight w:val="none"/>
                <w:lang w:eastAsia="zh-CN"/>
              </w:rPr>
              <w:t>（</w:t>
            </w:r>
            <w:r>
              <w:rPr>
                <w:rFonts w:hint="eastAsia"/>
                <w:color w:val="auto"/>
                <w:highlight w:val="none"/>
                <w:lang w:val="en-US" w:eastAsia="zh-CN"/>
              </w:rPr>
              <w:t>4</w:t>
            </w:r>
            <w:r>
              <w:rPr>
                <w:rFonts w:hint="eastAsia"/>
                <w:color w:val="auto"/>
                <w:highlight w:val="none"/>
                <w:lang w:eastAsia="zh-CN"/>
              </w:rPr>
              <w:t>）</w:t>
            </w:r>
            <w:r>
              <w:rPr>
                <w:rFonts w:hint="eastAsia"/>
                <w:color w:val="auto"/>
                <w:highlight w:val="none"/>
              </w:rPr>
              <w:t>人员要求：</w:t>
            </w:r>
            <w:r>
              <w:rPr>
                <w:rFonts w:hint="eastAsia"/>
                <w:color w:val="auto"/>
                <w:highlight w:val="none"/>
                <w:lang w:val="en-US" w:eastAsia="zh-CN"/>
              </w:rPr>
              <w:t>项目设计负责人要求负责过1个及以上的房地产项目样板间或展示区设计项目业绩，提供所负责项目单项业绩设计单价为达1300元/㎡及以上的设计业绩，提供合同或者方案文本案例（含项目名称和效果图即可无需全套文本）作为项目负责人的证明材料，提供业绩列表加盖公司公章作为证明。</w:t>
            </w:r>
          </w:p>
          <w:p w14:paraId="10E34B65">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5</w:t>
            </w:r>
            <w:r>
              <w:rPr>
                <w:rFonts w:hint="eastAsia" w:ascii="宋体" w:hAnsi="宋体"/>
                <w:color w:val="auto"/>
                <w:highlight w:val="none"/>
              </w:rPr>
              <w:t>）比选申请人没有处于被行政主管部门或业主取消比选申请资格的处罚期内，且没有处于被责令停业，财产被接管、冻结、破产状态；比选申请截止时间前</w:t>
            </w:r>
            <w:r>
              <w:rPr>
                <w:rFonts w:ascii="宋体" w:hAnsi="宋体"/>
                <w:color w:val="auto"/>
                <w:highlight w:val="none"/>
              </w:rPr>
              <w:t>3</w:t>
            </w:r>
            <w:r>
              <w:rPr>
                <w:rFonts w:hint="eastAsia" w:ascii="宋体" w:hAnsi="宋体"/>
                <w:color w:val="auto"/>
                <w:highlight w:val="none"/>
              </w:rPr>
              <w:t>年内没有骗取中选、严重违约或重大质量安全责任事故的情况。</w:t>
            </w:r>
          </w:p>
          <w:p w14:paraId="7AD00AF9">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6</w:t>
            </w:r>
            <w:r>
              <w:rPr>
                <w:rFonts w:hint="eastAsia" w:ascii="宋体" w:hAnsi="宋体"/>
                <w:color w:val="auto"/>
                <w:highlight w:val="none"/>
              </w:rPr>
              <w:t>）单位负责人为同一人或者存在控股、管理关系的不同单位，不得参加同一标段比选申请或者未划分标段的同一比选项目比选申请。</w:t>
            </w:r>
          </w:p>
          <w:p w14:paraId="1A41F5E2">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7</w:t>
            </w:r>
            <w:r>
              <w:rPr>
                <w:rFonts w:hint="eastAsia" w:ascii="宋体" w:hAnsi="宋体"/>
                <w:color w:val="auto"/>
                <w:highlight w:val="none"/>
              </w:rPr>
              <w:t>）本项目不接受联合体比选申请。</w:t>
            </w:r>
          </w:p>
        </w:tc>
      </w:tr>
      <w:tr w14:paraId="1E397372">
        <w:tblPrEx>
          <w:tblCellMar>
            <w:top w:w="0" w:type="dxa"/>
            <w:left w:w="108" w:type="dxa"/>
            <w:bottom w:w="0" w:type="dxa"/>
            <w:right w:w="108" w:type="dxa"/>
          </w:tblCellMar>
        </w:tblPrEx>
        <w:trPr>
          <w:trHeight w:val="241" w:hRule="atLeast"/>
        </w:trPr>
        <w:tc>
          <w:tcPr>
            <w:tcW w:w="847" w:type="dxa"/>
            <w:vMerge w:val="restart"/>
            <w:tcBorders>
              <w:top w:val="single" w:color="auto" w:sz="4" w:space="0"/>
              <w:left w:val="single" w:color="auto" w:sz="4" w:space="0"/>
              <w:bottom w:val="single" w:color="auto" w:sz="4" w:space="0"/>
              <w:right w:val="single" w:color="auto" w:sz="4" w:space="0"/>
            </w:tcBorders>
            <w:vAlign w:val="center"/>
          </w:tcPr>
          <w:p w14:paraId="02B3619C">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6.1</w:t>
            </w:r>
          </w:p>
        </w:tc>
        <w:tc>
          <w:tcPr>
            <w:tcW w:w="1559" w:type="dxa"/>
            <w:tcBorders>
              <w:top w:val="single" w:color="auto" w:sz="4" w:space="0"/>
              <w:left w:val="nil"/>
              <w:bottom w:val="single" w:color="auto" w:sz="4" w:space="0"/>
              <w:right w:val="single" w:color="auto" w:sz="4" w:space="0"/>
            </w:tcBorders>
            <w:vAlign w:val="center"/>
          </w:tcPr>
          <w:p w14:paraId="36B44D8D">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比选申请人要求澄清比选文件</w:t>
            </w:r>
          </w:p>
          <w:p w14:paraId="3E0FF6B0">
            <w:pPr>
              <w:spacing w:before="0" w:after="0" w:afterAutospacing="0"/>
              <w:ind w:left="0" w:right="0" w:firstLine="0"/>
              <w:rPr>
                <w:rFonts w:hint="eastAsia" w:ascii="宋体" w:hAnsi="宋体"/>
                <w:color w:val="auto"/>
                <w:highlight w:val="none"/>
              </w:rPr>
            </w:pPr>
          </w:p>
        </w:tc>
        <w:tc>
          <w:tcPr>
            <w:tcW w:w="6711" w:type="dxa"/>
            <w:tcBorders>
              <w:top w:val="single" w:color="auto" w:sz="4" w:space="0"/>
              <w:left w:val="nil"/>
              <w:bottom w:val="single" w:color="auto" w:sz="4" w:space="0"/>
              <w:right w:val="single" w:color="auto" w:sz="4" w:space="0"/>
            </w:tcBorders>
            <w:vAlign w:val="center"/>
          </w:tcPr>
          <w:p w14:paraId="05778DF7">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对比选文件提出疑问的截止时间：采购公告发布后的前3日</w:t>
            </w:r>
            <w:r>
              <w:rPr>
                <w:rFonts w:hint="eastAsia" w:ascii="宋体" w:hAnsi="宋体"/>
                <w:b/>
                <w:color w:val="auto"/>
                <w:highlight w:val="none"/>
              </w:rPr>
              <w:t>。</w:t>
            </w:r>
            <w:r>
              <w:rPr>
                <w:rFonts w:hint="eastAsia" w:ascii="宋体" w:hAnsi="宋体"/>
                <w:color w:val="auto"/>
                <w:highlight w:val="none"/>
              </w:rPr>
              <w:t>比选申请人不在规定期限内提出，比选人有权不予答复，或答复后比选申请截止时间由比选人确定是否顺延。</w:t>
            </w:r>
          </w:p>
          <w:p w14:paraId="568DEFE8">
            <w:pPr>
              <w:spacing w:before="0" w:after="0" w:afterAutospacing="0"/>
              <w:ind w:left="0" w:right="0" w:firstLine="0"/>
              <w:rPr>
                <w:rFonts w:hint="eastAsia" w:ascii="宋体" w:hAnsi="宋体"/>
                <w:color w:val="auto"/>
                <w:highlight w:val="none"/>
                <w:u w:val="single"/>
              </w:rPr>
            </w:pPr>
            <w:r>
              <w:rPr>
                <w:rFonts w:hint="eastAsia" w:ascii="宋体" w:hAnsi="宋体"/>
                <w:color w:val="auto"/>
                <w:highlight w:val="none"/>
              </w:rPr>
              <w:t>形式：书面为准（加盖比选申请人法人单位公章，电子扫描件有效）</w:t>
            </w:r>
          </w:p>
        </w:tc>
      </w:tr>
      <w:tr w14:paraId="52973672">
        <w:tblPrEx>
          <w:tblCellMar>
            <w:top w:w="0" w:type="dxa"/>
            <w:left w:w="108" w:type="dxa"/>
            <w:bottom w:w="0" w:type="dxa"/>
            <w:right w:w="108" w:type="dxa"/>
          </w:tblCellMar>
        </w:tblPrEx>
        <w:trPr>
          <w:trHeight w:val="241" w:hRule="atLeast"/>
        </w:trPr>
        <w:tc>
          <w:tcPr>
            <w:tcW w:w="847" w:type="dxa"/>
            <w:vMerge w:val="continue"/>
            <w:tcBorders>
              <w:top w:val="single" w:color="auto" w:sz="4" w:space="0"/>
              <w:left w:val="single" w:color="auto" w:sz="4" w:space="0"/>
              <w:bottom w:val="single" w:color="auto" w:sz="4" w:space="0"/>
              <w:right w:val="single" w:color="auto" w:sz="4" w:space="0"/>
            </w:tcBorders>
            <w:vAlign w:val="center"/>
          </w:tcPr>
          <w:p w14:paraId="1D0E9FED">
            <w:pPr>
              <w:spacing w:before="0" w:after="0" w:afterAutospacing="0"/>
              <w:ind w:left="0" w:right="0" w:firstLine="0"/>
              <w:rPr>
                <w:rFonts w:hint="eastAsia" w:ascii="宋体" w:hAnsi="宋体"/>
                <w:color w:val="auto"/>
                <w:highlight w:val="none"/>
              </w:rPr>
            </w:pPr>
          </w:p>
        </w:tc>
        <w:tc>
          <w:tcPr>
            <w:tcW w:w="1559" w:type="dxa"/>
            <w:tcBorders>
              <w:top w:val="single" w:color="auto" w:sz="4" w:space="0"/>
              <w:left w:val="nil"/>
              <w:bottom w:val="single" w:color="auto" w:sz="4" w:space="0"/>
              <w:right w:val="single" w:color="auto" w:sz="4" w:space="0"/>
            </w:tcBorders>
            <w:vAlign w:val="center"/>
          </w:tcPr>
          <w:p w14:paraId="551A13D3">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比选文件澄清发布方式</w:t>
            </w:r>
          </w:p>
        </w:tc>
        <w:tc>
          <w:tcPr>
            <w:tcW w:w="6711" w:type="dxa"/>
            <w:tcBorders>
              <w:top w:val="single" w:color="auto" w:sz="4" w:space="0"/>
              <w:left w:val="nil"/>
              <w:bottom w:val="single" w:color="auto" w:sz="4" w:space="0"/>
              <w:right w:val="single" w:color="auto" w:sz="4" w:space="0"/>
            </w:tcBorders>
            <w:vAlign w:val="center"/>
          </w:tcPr>
          <w:p w14:paraId="64775F7D">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南宁轨道地产集团有限责任公司官网(</w:t>
            </w:r>
            <w:r>
              <w:rPr>
                <w:color w:val="auto"/>
                <w:highlight w:val="none"/>
              </w:rPr>
              <w:fldChar w:fldCharType="begin"/>
            </w:r>
            <w:r>
              <w:rPr>
                <w:color w:val="auto"/>
                <w:highlight w:val="none"/>
              </w:rPr>
              <w:instrText xml:space="preserve"> HYPERLINK "http://www.nngddc.com" </w:instrText>
            </w:r>
            <w:r>
              <w:rPr>
                <w:color w:val="auto"/>
                <w:highlight w:val="none"/>
              </w:rPr>
              <w:fldChar w:fldCharType="separate"/>
            </w:r>
            <w:r>
              <w:rPr>
                <w:rStyle w:val="43"/>
                <w:rFonts w:hint="eastAsia" w:ascii="宋体" w:hAnsi="宋体"/>
                <w:color w:val="auto"/>
                <w:highlight w:val="none"/>
              </w:rPr>
              <w:t>http://www.nngddc.com</w:t>
            </w:r>
            <w:r>
              <w:rPr>
                <w:rStyle w:val="43"/>
                <w:rFonts w:hint="eastAsia" w:ascii="宋体" w:hAnsi="宋体"/>
                <w:color w:val="auto"/>
                <w:highlight w:val="none"/>
              </w:rPr>
              <w:fldChar w:fldCharType="end"/>
            </w:r>
            <w:r>
              <w:rPr>
                <w:rFonts w:hint="eastAsia" w:ascii="宋体" w:hAnsi="宋体"/>
                <w:color w:val="auto"/>
                <w:highlight w:val="none"/>
              </w:rPr>
              <w:t>)，中国采购与招标网（</w:t>
            </w:r>
            <w:r>
              <w:rPr>
                <w:color w:val="auto"/>
                <w:highlight w:val="none"/>
              </w:rPr>
              <w:fldChar w:fldCharType="begin"/>
            </w:r>
            <w:r>
              <w:rPr>
                <w:color w:val="auto"/>
                <w:highlight w:val="none"/>
              </w:rPr>
              <w:instrText xml:space="preserve"> HYPERLINK "http://www.chinabidding.com.cn" </w:instrText>
            </w:r>
            <w:r>
              <w:rPr>
                <w:color w:val="auto"/>
                <w:highlight w:val="none"/>
              </w:rPr>
              <w:fldChar w:fldCharType="separate"/>
            </w:r>
            <w:r>
              <w:rPr>
                <w:rStyle w:val="43"/>
                <w:rFonts w:hint="eastAsia" w:ascii="宋体" w:hAnsi="宋体"/>
                <w:color w:val="auto"/>
                <w:highlight w:val="none"/>
              </w:rPr>
              <w:t>www.chinabidding.com.cn</w:t>
            </w:r>
            <w:r>
              <w:rPr>
                <w:rStyle w:val="43"/>
                <w:rFonts w:hint="eastAsia" w:ascii="宋体" w:hAnsi="宋体"/>
                <w:color w:val="auto"/>
                <w:highlight w:val="none"/>
              </w:rPr>
              <w:fldChar w:fldCharType="end"/>
            </w:r>
            <w:r>
              <w:rPr>
                <w:rFonts w:hint="eastAsia" w:ascii="宋体" w:hAnsi="宋体"/>
                <w:color w:val="auto"/>
                <w:highlight w:val="none"/>
              </w:rPr>
              <w:t>）发布</w:t>
            </w:r>
          </w:p>
        </w:tc>
      </w:tr>
      <w:tr w14:paraId="6FA3E4A7">
        <w:tblPrEx>
          <w:tblCellMar>
            <w:top w:w="0" w:type="dxa"/>
            <w:left w:w="108" w:type="dxa"/>
            <w:bottom w:w="0" w:type="dxa"/>
            <w:right w:w="108" w:type="dxa"/>
          </w:tblCellMar>
        </w:tblPrEx>
        <w:trPr>
          <w:trHeight w:val="241" w:hRule="atLeast"/>
        </w:trPr>
        <w:tc>
          <w:tcPr>
            <w:tcW w:w="847" w:type="dxa"/>
            <w:vMerge w:val="continue"/>
            <w:tcBorders>
              <w:top w:val="single" w:color="auto" w:sz="4" w:space="0"/>
              <w:left w:val="single" w:color="auto" w:sz="4" w:space="0"/>
              <w:bottom w:val="single" w:color="auto" w:sz="4" w:space="0"/>
              <w:right w:val="single" w:color="auto" w:sz="4" w:space="0"/>
            </w:tcBorders>
            <w:vAlign w:val="center"/>
          </w:tcPr>
          <w:p w14:paraId="0E108CCF">
            <w:pPr>
              <w:spacing w:before="0" w:after="0" w:afterAutospacing="0"/>
              <w:ind w:left="0" w:right="0" w:firstLine="0"/>
              <w:rPr>
                <w:rFonts w:hint="eastAsia" w:ascii="宋体" w:hAnsi="宋体"/>
                <w:color w:val="auto"/>
                <w:highlight w:val="none"/>
              </w:rPr>
            </w:pPr>
          </w:p>
        </w:tc>
        <w:tc>
          <w:tcPr>
            <w:tcW w:w="1559" w:type="dxa"/>
            <w:tcBorders>
              <w:top w:val="single" w:color="auto" w:sz="4" w:space="0"/>
              <w:left w:val="nil"/>
              <w:bottom w:val="single" w:color="auto" w:sz="4" w:space="0"/>
              <w:right w:val="single" w:color="auto" w:sz="4" w:space="0"/>
            </w:tcBorders>
            <w:vAlign w:val="center"/>
          </w:tcPr>
          <w:p w14:paraId="2BF68910">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比选申请人确认收到澄清的方式</w:t>
            </w:r>
          </w:p>
        </w:tc>
        <w:tc>
          <w:tcPr>
            <w:tcW w:w="6711" w:type="dxa"/>
            <w:tcBorders>
              <w:top w:val="single" w:color="auto" w:sz="4" w:space="0"/>
              <w:left w:val="nil"/>
              <w:bottom w:val="single" w:color="auto" w:sz="4" w:space="0"/>
              <w:right w:val="single" w:color="auto" w:sz="4" w:space="0"/>
            </w:tcBorders>
            <w:vAlign w:val="center"/>
          </w:tcPr>
          <w:p w14:paraId="2BF4F691">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不需要确认。澄清文件在发布公告的网站上发布之日起，视为比选申请人已收到该澄清。比选申请人未及时关注比选人在网站上发布的澄清文件造成的损失，由比选申请人自行负责。</w:t>
            </w:r>
          </w:p>
        </w:tc>
      </w:tr>
      <w:tr w14:paraId="2DD9EC90">
        <w:tblPrEx>
          <w:tblCellMar>
            <w:top w:w="0" w:type="dxa"/>
            <w:left w:w="108" w:type="dxa"/>
            <w:bottom w:w="0" w:type="dxa"/>
            <w:right w:w="108" w:type="dxa"/>
          </w:tblCellMar>
        </w:tblPrEx>
        <w:trPr>
          <w:trHeight w:val="983" w:hRule="atLeast"/>
        </w:trPr>
        <w:tc>
          <w:tcPr>
            <w:tcW w:w="847" w:type="dxa"/>
            <w:tcBorders>
              <w:top w:val="single" w:color="auto" w:sz="4" w:space="0"/>
              <w:left w:val="single" w:color="auto" w:sz="4" w:space="0"/>
              <w:bottom w:val="single" w:color="auto" w:sz="4" w:space="0"/>
              <w:right w:val="single" w:color="auto" w:sz="4" w:space="0"/>
            </w:tcBorders>
            <w:vAlign w:val="center"/>
          </w:tcPr>
          <w:p w14:paraId="35D4B6CB">
            <w:pPr>
              <w:spacing w:before="0" w:after="0" w:afterAutospacing="0"/>
              <w:ind w:left="0" w:leftChars="0" w:right="0" w:rightChars="0" w:firstLine="0" w:firstLineChars="0"/>
              <w:rPr>
                <w:rFonts w:hint="eastAsia" w:ascii="宋体" w:hAnsi="宋体"/>
                <w:color w:val="auto"/>
                <w:highlight w:val="none"/>
              </w:rPr>
            </w:pPr>
            <w:r>
              <w:rPr>
                <w:rFonts w:hint="eastAsia" w:ascii="宋体" w:hAnsi="宋体"/>
                <w:color w:val="auto"/>
                <w:highlight w:val="none"/>
              </w:rPr>
              <w:t>7.1</w:t>
            </w:r>
          </w:p>
        </w:tc>
        <w:tc>
          <w:tcPr>
            <w:tcW w:w="1559" w:type="dxa"/>
            <w:tcBorders>
              <w:top w:val="single" w:color="auto" w:sz="4" w:space="0"/>
              <w:left w:val="nil"/>
              <w:bottom w:val="single" w:color="auto" w:sz="4" w:space="0"/>
              <w:right w:val="single" w:color="auto" w:sz="4" w:space="0"/>
            </w:tcBorders>
            <w:vAlign w:val="center"/>
          </w:tcPr>
          <w:p w14:paraId="3C7556A0">
            <w:pPr>
              <w:spacing w:before="0" w:after="0" w:afterAutospacing="0"/>
              <w:ind w:left="0" w:leftChars="0" w:right="0" w:rightChars="0" w:firstLine="0" w:firstLineChars="0"/>
              <w:rPr>
                <w:rFonts w:hint="eastAsia" w:ascii="宋体" w:hAnsi="宋体"/>
                <w:color w:val="auto"/>
                <w:highlight w:val="none"/>
              </w:rPr>
            </w:pPr>
            <w:r>
              <w:rPr>
                <w:rFonts w:hint="eastAsia" w:ascii="宋体" w:hAnsi="宋体"/>
                <w:color w:val="auto"/>
                <w:highlight w:val="none"/>
              </w:rPr>
              <w:t>是否授权评选委员会确定中选人</w:t>
            </w:r>
          </w:p>
        </w:tc>
        <w:tc>
          <w:tcPr>
            <w:tcW w:w="6711" w:type="dxa"/>
            <w:tcBorders>
              <w:top w:val="single" w:color="auto" w:sz="4" w:space="0"/>
              <w:left w:val="nil"/>
              <w:bottom w:val="single" w:color="auto" w:sz="4" w:space="0"/>
              <w:right w:val="single" w:color="auto" w:sz="4" w:space="0"/>
            </w:tcBorders>
            <w:vAlign w:val="center"/>
          </w:tcPr>
          <w:p w14:paraId="7C88F989">
            <w:pPr>
              <w:spacing w:before="0" w:after="0" w:afterAutospacing="0"/>
              <w:ind w:left="0" w:leftChars="0" w:right="0" w:rightChars="0" w:firstLine="0" w:firstLineChars="0"/>
              <w:rPr>
                <w:rFonts w:hint="eastAsia"/>
                <w:color w:val="auto"/>
                <w:highlight w:val="none"/>
              </w:rPr>
            </w:pPr>
            <w:r>
              <w:rPr>
                <w:rFonts w:hint="eastAsia" w:ascii="宋体" w:hAnsi="宋体"/>
                <w:b/>
                <w:bCs/>
                <w:color w:val="auto"/>
                <w:highlight w:val="none"/>
              </w:rPr>
              <w:t>评标委员会根据技术总得分大于或等于技术分满分的60%（即36分）的投标人的综合评分排名情况，推荐3名（含3名）中选候选人（当中选候选人不足3名时按实际数量推荐），并标明排序。技术总得分低于技术分满分的60%（即</w:t>
            </w:r>
            <w:r>
              <w:rPr>
                <w:rFonts w:hint="eastAsia" w:ascii="宋体" w:hAnsi="宋体"/>
                <w:b/>
                <w:bCs/>
                <w:color w:val="auto"/>
                <w:highlight w:val="none"/>
                <w:lang w:val="en-US" w:eastAsia="zh-CN"/>
              </w:rPr>
              <w:t>36</w:t>
            </w:r>
            <w:r>
              <w:rPr>
                <w:rFonts w:hint="eastAsia" w:ascii="宋体" w:hAnsi="宋体"/>
                <w:b/>
                <w:bCs/>
                <w:color w:val="auto"/>
                <w:highlight w:val="none"/>
              </w:rPr>
              <w:t>分）的投标人不得推选为中标候选人，且不得进入综合得分评比，仅作为有效投标人。</w:t>
            </w:r>
          </w:p>
        </w:tc>
      </w:tr>
      <w:tr w14:paraId="04C03EDA">
        <w:tblPrEx>
          <w:tblCellMar>
            <w:top w:w="0" w:type="dxa"/>
            <w:left w:w="108" w:type="dxa"/>
            <w:bottom w:w="0" w:type="dxa"/>
            <w:right w:w="108" w:type="dxa"/>
          </w:tblCellMar>
        </w:tblPrEx>
        <w:trPr>
          <w:trHeight w:val="983" w:hRule="atLeast"/>
        </w:trPr>
        <w:tc>
          <w:tcPr>
            <w:tcW w:w="847" w:type="dxa"/>
            <w:tcBorders>
              <w:top w:val="single" w:color="auto" w:sz="4" w:space="0"/>
              <w:left w:val="single" w:color="auto" w:sz="4" w:space="0"/>
              <w:bottom w:val="single" w:color="auto" w:sz="4" w:space="0"/>
              <w:right w:val="single" w:color="auto" w:sz="4" w:space="0"/>
            </w:tcBorders>
            <w:vAlign w:val="center"/>
          </w:tcPr>
          <w:p w14:paraId="7D87BB8C">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10.1</w:t>
            </w:r>
          </w:p>
        </w:tc>
        <w:tc>
          <w:tcPr>
            <w:tcW w:w="1559" w:type="dxa"/>
            <w:tcBorders>
              <w:top w:val="single" w:color="auto" w:sz="4" w:space="0"/>
              <w:left w:val="nil"/>
              <w:bottom w:val="single" w:color="auto" w:sz="4" w:space="0"/>
              <w:right w:val="single" w:color="auto" w:sz="4" w:space="0"/>
            </w:tcBorders>
            <w:vAlign w:val="center"/>
          </w:tcPr>
          <w:p w14:paraId="5B32E4D1">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构成比选申请文件的组成</w:t>
            </w:r>
          </w:p>
        </w:tc>
        <w:tc>
          <w:tcPr>
            <w:tcW w:w="6711" w:type="dxa"/>
            <w:tcBorders>
              <w:top w:val="single" w:color="auto" w:sz="4" w:space="0"/>
              <w:left w:val="nil"/>
              <w:bottom w:val="single" w:color="auto" w:sz="4" w:space="0"/>
              <w:right w:val="single" w:color="auto" w:sz="4" w:space="0"/>
            </w:tcBorders>
            <w:vAlign w:val="center"/>
          </w:tcPr>
          <w:p w14:paraId="4A81029D">
            <w:pPr>
              <w:spacing w:before="0" w:after="0" w:afterAutospacing="0"/>
              <w:ind w:left="0" w:right="0" w:firstLine="0"/>
              <w:rPr>
                <w:color w:val="auto"/>
                <w:highlight w:val="none"/>
              </w:rPr>
            </w:pPr>
            <w:r>
              <w:rPr>
                <w:rFonts w:hint="eastAsia"/>
                <w:color w:val="auto"/>
                <w:highlight w:val="none"/>
              </w:rPr>
              <w:t>比选申请文件组成部分：资格审查文件、价格文件、技术文件</w:t>
            </w:r>
          </w:p>
          <w:p w14:paraId="524E0EF6">
            <w:pPr>
              <w:spacing w:before="0" w:after="0" w:afterAutospacing="0" w:line="276" w:lineRule="auto"/>
              <w:ind w:left="0" w:right="0" w:firstLine="0"/>
              <w:rPr>
                <w:color w:val="auto"/>
                <w:highlight w:val="none"/>
              </w:rPr>
            </w:pPr>
            <w:r>
              <w:rPr>
                <w:rFonts w:hint="eastAsia"/>
                <w:color w:val="auto"/>
                <w:highlight w:val="none"/>
              </w:rPr>
              <w:t>资格审查文件</w:t>
            </w:r>
          </w:p>
          <w:p w14:paraId="652BF853">
            <w:pPr>
              <w:numPr>
                <w:ilvl w:val="0"/>
                <w:numId w:val="2"/>
              </w:numPr>
              <w:spacing w:before="0" w:after="0" w:afterAutospacing="0" w:line="276" w:lineRule="auto"/>
              <w:ind w:left="0" w:right="0" w:firstLine="0"/>
              <w:rPr>
                <w:rFonts w:hint="eastAsia"/>
                <w:color w:val="auto"/>
                <w:highlight w:val="none"/>
              </w:rPr>
            </w:pPr>
            <w:r>
              <w:rPr>
                <w:rFonts w:hint="eastAsia"/>
                <w:color w:val="auto"/>
                <w:highlight w:val="none"/>
              </w:rPr>
              <w:t>法定代表人授权书（格式见A1）及法定代表人资格证明书（如无授权时，只需提供法定代表人资格证明书，格式见A2），法定代表人及被授权人身份证复印件；</w:t>
            </w:r>
          </w:p>
          <w:p w14:paraId="0E634223">
            <w:pPr>
              <w:spacing w:before="0" w:after="0" w:afterAutospacing="0" w:line="276" w:lineRule="auto"/>
              <w:ind w:left="0" w:right="0" w:firstLine="0"/>
              <w:rPr>
                <w:color w:val="auto"/>
                <w:highlight w:val="none"/>
              </w:rPr>
            </w:pPr>
            <w:r>
              <w:rPr>
                <w:rFonts w:hint="eastAsia"/>
                <w:color w:val="auto"/>
                <w:highlight w:val="none"/>
              </w:rPr>
              <w:t>（</w:t>
            </w:r>
            <w:r>
              <w:rPr>
                <w:color w:val="auto"/>
                <w:highlight w:val="none"/>
              </w:rPr>
              <w:t>2</w:t>
            </w:r>
            <w:r>
              <w:rPr>
                <w:rFonts w:hint="eastAsia"/>
                <w:color w:val="auto"/>
                <w:highlight w:val="none"/>
              </w:rPr>
              <w:t>）比选申请人有效的营业执照</w:t>
            </w:r>
            <w:r>
              <w:rPr>
                <w:rFonts w:hint="eastAsia"/>
                <w:color w:val="auto"/>
                <w:highlight w:val="none"/>
                <w:lang w:eastAsia="zh-CN"/>
              </w:rPr>
              <w:t>、资质证书、认定证书等</w:t>
            </w:r>
            <w:r>
              <w:rPr>
                <w:rFonts w:hint="eastAsia"/>
                <w:color w:val="auto"/>
                <w:highlight w:val="none"/>
              </w:rPr>
              <w:t>复印件；</w:t>
            </w:r>
          </w:p>
          <w:p w14:paraId="10ECF1BD">
            <w:pPr>
              <w:spacing w:before="0" w:after="0" w:afterAutospacing="0" w:line="276" w:lineRule="auto"/>
              <w:ind w:left="0" w:right="0" w:firstLine="0"/>
              <w:rPr>
                <w:rFonts w:hint="eastAsia"/>
                <w:color w:val="auto"/>
                <w:highlight w:val="none"/>
              </w:rPr>
            </w:pPr>
            <w:r>
              <w:rPr>
                <w:rFonts w:hint="eastAsia"/>
                <w:color w:val="auto"/>
                <w:highlight w:val="none"/>
              </w:rPr>
              <w:t>（</w:t>
            </w:r>
            <w:r>
              <w:rPr>
                <w:color w:val="auto"/>
                <w:highlight w:val="none"/>
              </w:rPr>
              <w:t>3</w:t>
            </w:r>
            <w:r>
              <w:rPr>
                <w:rFonts w:hint="eastAsia"/>
                <w:color w:val="auto"/>
                <w:highlight w:val="none"/>
              </w:rPr>
              <w:t>）承诺书（格式见A3）；</w:t>
            </w:r>
          </w:p>
          <w:p w14:paraId="2748C824">
            <w:pPr>
              <w:spacing w:before="0" w:after="0" w:afterAutospacing="0" w:line="276" w:lineRule="auto"/>
              <w:ind w:left="0" w:right="0" w:firstLine="0"/>
              <w:rPr>
                <w:rFonts w:hint="eastAsia" w:ascii="Times New Roman" w:hAnsi="Times New Roman" w:eastAsia="宋体" w:cs="Times New Roman"/>
                <w:color w:val="auto"/>
                <w:highlight w:val="none"/>
                <w:lang w:eastAsia="zh-CN"/>
              </w:rPr>
            </w:pPr>
            <w:r>
              <w:rPr>
                <w:rFonts w:hint="eastAsia" w:ascii="Times New Roman" w:hAnsi="Times New Roman" w:cs="Times New Roman"/>
                <w:color w:val="auto"/>
                <w:highlight w:val="none"/>
                <w:lang w:eastAsia="zh-CN"/>
              </w:rPr>
              <w:t>（</w:t>
            </w:r>
            <w:r>
              <w:rPr>
                <w:rFonts w:hint="eastAsia" w:ascii="Times New Roman" w:hAnsi="Times New Roman" w:cs="Times New Roman"/>
                <w:color w:val="auto"/>
                <w:highlight w:val="none"/>
                <w:lang w:val="en-US" w:eastAsia="zh-CN"/>
              </w:rPr>
              <w:t>4</w:t>
            </w:r>
            <w:r>
              <w:rPr>
                <w:rFonts w:hint="eastAsia" w:ascii="Times New Roman" w:hAnsi="Times New Roman" w:cs="Times New Roman"/>
                <w:color w:val="auto"/>
                <w:highlight w:val="none"/>
                <w:lang w:eastAsia="zh-CN"/>
              </w:rPr>
              <w:t>）项目类似业绩表（</w:t>
            </w:r>
            <w:r>
              <w:rPr>
                <w:rFonts w:hint="eastAsia" w:ascii="Times New Roman" w:hAnsi="Times New Roman" w:cs="Times New Roman"/>
                <w:color w:val="auto"/>
                <w:highlight w:val="none"/>
                <w:lang w:val="en-US" w:eastAsia="zh-CN"/>
              </w:rPr>
              <w:t>A4</w:t>
            </w:r>
            <w:r>
              <w:rPr>
                <w:rFonts w:hint="eastAsia" w:ascii="Times New Roman" w:hAnsi="Times New Roman" w:cs="Times New Roman"/>
                <w:color w:val="auto"/>
                <w:highlight w:val="none"/>
                <w:lang w:eastAsia="zh-CN"/>
              </w:rPr>
              <w:t>）</w:t>
            </w:r>
          </w:p>
          <w:p w14:paraId="3E2F37B8">
            <w:pPr>
              <w:spacing w:before="0" w:after="0" w:afterAutospacing="0" w:line="276" w:lineRule="auto"/>
              <w:ind w:left="0" w:right="0" w:firstLine="0"/>
              <w:rPr>
                <w:rFonts w:hint="eastAsia" w:ascii="Times New Roman" w:hAnsi="Times New Roman" w:eastAsia="宋体" w:cs="Times New Roman"/>
                <w:color w:val="auto"/>
                <w:highlight w:val="none"/>
                <w:lang w:val="en-US" w:eastAsia="zh-CN"/>
              </w:rPr>
            </w:pPr>
            <w:r>
              <w:rPr>
                <w:rFonts w:hint="eastAsia"/>
                <w:color w:val="auto"/>
                <w:highlight w:val="none"/>
                <w:lang w:eastAsia="zh-CN"/>
              </w:rPr>
              <w:t>（</w:t>
            </w:r>
            <w:r>
              <w:rPr>
                <w:rFonts w:hint="eastAsia"/>
                <w:color w:val="auto"/>
                <w:highlight w:val="none"/>
                <w:lang w:val="en-US" w:eastAsia="zh-CN"/>
              </w:rPr>
              <w:t>5</w:t>
            </w:r>
            <w:r>
              <w:rPr>
                <w:rFonts w:hint="eastAsia"/>
                <w:color w:val="auto"/>
                <w:highlight w:val="none"/>
                <w:lang w:eastAsia="zh-CN"/>
              </w:rPr>
              <w:t>）</w:t>
            </w:r>
            <w:r>
              <w:rPr>
                <w:rFonts w:hint="eastAsia"/>
                <w:color w:val="auto"/>
                <w:highlight w:val="none"/>
                <w:lang w:val="en-US" w:eastAsia="zh-CN"/>
              </w:rPr>
              <w:t>项目负责人业绩证明材料</w:t>
            </w:r>
            <w:r>
              <w:rPr>
                <w:rFonts w:hint="eastAsia" w:ascii="Times New Roman" w:hAnsi="Times New Roman" w:eastAsia="宋体" w:cs="Times New Roman"/>
                <w:color w:val="auto"/>
                <w:highlight w:val="none"/>
                <w:lang w:val="en-US" w:eastAsia="zh-CN"/>
              </w:rPr>
              <w:t>：提供下述材料之一即可：①合同文件；②方案文本案例。所提供的材料须能明确反映类似项目特征，复印件加盖比选申请人公章。</w:t>
            </w:r>
          </w:p>
          <w:p w14:paraId="1823C842">
            <w:pPr>
              <w:spacing w:before="0" w:after="0" w:afterAutospacing="0"/>
              <w:ind w:left="0" w:right="0" w:firstLine="0"/>
              <w:rPr>
                <w:color w:val="auto"/>
                <w:highlight w:val="none"/>
              </w:rPr>
            </w:pPr>
            <w:r>
              <w:rPr>
                <w:rFonts w:hint="eastAsia"/>
                <w:color w:val="auto"/>
                <w:highlight w:val="none"/>
              </w:rPr>
              <w:t>（</w:t>
            </w:r>
            <w:r>
              <w:rPr>
                <w:rFonts w:hint="eastAsia"/>
                <w:color w:val="auto"/>
                <w:highlight w:val="none"/>
                <w:lang w:val="en-US" w:eastAsia="zh-CN"/>
              </w:rPr>
              <w:t>6</w:t>
            </w:r>
            <w:r>
              <w:rPr>
                <w:rFonts w:hint="eastAsia"/>
                <w:color w:val="auto"/>
                <w:highlight w:val="none"/>
              </w:rPr>
              <w:t>）比选申请人认为应提交的其他比选申请资料（如有）。</w:t>
            </w:r>
          </w:p>
          <w:p w14:paraId="2FC64FA3">
            <w:pPr>
              <w:spacing w:before="0" w:after="0" w:afterAutospacing="0" w:line="276" w:lineRule="auto"/>
              <w:ind w:left="0" w:right="0" w:firstLine="0"/>
              <w:rPr>
                <w:color w:val="auto"/>
                <w:highlight w:val="none"/>
              </w:rPr>
            </w:pPr>
            <w:r>
              <w:rPr>
                <w:rFonts w:hint="eastAsia"/>
                <w:color w:val="auto"/>
                <w:highlight w:val="none"/>
              </w:rPr>
              <w:t>价格文件</w:t>
            </w:r>
          </w:p>
          <w:p w14:paraId="65E9FAE0">
            <w:pPr>
              <w:spacing w:before="0" w:after="0" w:afterAutospacing="0" w:line="276" w:lineRule="auto"/>
              <w:ind w:left="0" w:right="0" w:firstLine="0"/>
              <w:rPr>
                <w:color w:val="auto"/>
                <w:highlight w:val="none"/>
              </w:rPr>
            </w:pPr>
            <w:r>
              <w:rPr>
                <w:rFonts w:hint="eastAsia"/>
                <w:color w:val="auto"/>
                <w:highlight w:val="none"/>
              </w:rPr>
              <w:t>（</w:t>
            </w:r>
            <w:r>
              <w:rPr>
                <w:color w:val="auto"/>
                <w:highlight w:val="none"/>
              </w:rPr>
              <w:t>1</w:t>
            </w:r>
            <w:r>
              <w:rPr>
                <w:rFonts w:hint="eastAsia"/>
                <w:color w:val="auto"/>
                <w:highlight w:val="none"/>
              </w:rPr>
              <w:t>）比选申请报价一览表（格式见B1）；</w:t>
            </w:r>
          </w:p>
          <w:p w14:paraId="5C4A5B55">
            <w:pPr>
              <w:spacing w:before="0" w:after="0" w:afterAutospacing="0" w:line="276" w:lineRule="auto"/>
              <w:ind w:left="0" w:right="0" w:firstLine="0"/>
              <w:rPr>
                <w:color w:val="auto"/>
                <w:highlight w:val="none"/>
              </w:rPr>
            </w:pPr>
            <w:r>
              <w:rPr>
                <w:rFonts w:hint="eastAsia"/>
                <w:color w:val="auto"/>
                <w:highlight w:val="none"/>
              </w:rPr>
              <w:t>（</w:t>
            </w:r>
            <w:r>
              <w:rPr>
                <w:color w:val="auto"/>
                <w:highlight w:val="none"/>
              </w:rPr>
              <w:t>2</w:t>
            </w:r>
            <w:r>
              <w:rPr>
                <w:rFonts w:hint="eastAsia"/>
                <w:color w:val="auto"/>
                <w:highlight w:val="none"/>
              </w:rPr>
              <w:t>）比选申请函（格式见B2）；</w:t>
            </w:r>
          </w:p>
          <w:p w14:paraId="2B9EC4AA">
            <w:pPr>
              <w:spacing w:before="0" w:after="0" w:afterAutospacing="0" w:line="276" w:lineRule="auto"/>
              <w:ind w:left="0" w:right="0" w:firstLine="0"/>
              <w:rPr>
                <w:color w:val="auto"/>
                <w:highlight w:val="none"/>
              </w:rPr>
            </w:pPr>
            <w:r>
              <w:rPr>
                <w:rFonts w:hint="eastAsia"/>
                <w:color w:val="auto"/>
                <w:highlight w:val="none"/>
              </w:rPr>
              <w:t>（3）比选申请人认为应提交的其他比选申请资料（如有）。</w:t>
            </w:r>
          </w:p>
          <w:p w14:paraId="04EB801C">
            <w:pPr>
              <w:spacing w:before="0" w:after="0" w:afterAutospacing="0" w:line="276" w:lineRule="auto"/>
              <w:ind w:left="0" w:right="0" w:firstLine="0"/>
              <w:rPr>
                <w:color w:val="auto"/>
                <w:highlight w:val="none"/>
              </w:rPr>
            </w:pPr>
          </w:p>
          <w:p w14:paraId="2A839BF0">
            <w:pPr>
              <w:spacing w:before="0" w:after="0" w:afterAutospacing="0" w:line="276" w:lineRule="auto"/>
              <w:ind w:left="0" w:right="0" w:firstLine="0"/>
              <w:rPr>
                <w:color w:val="auto"/>
                <w:highlight w:val="none"/>
              </w:rPr>
            </w:pPr>
            <w:r>
              <w:rPr>
                <w:rFonts w:hint="eastAsia"/>
                <w:color w:val="auto"/>
                <w:highlight w:val="none"/>
              </w:rPr>
              <w:t>技术文件</w:t>
            </w:r>
          </w:p>
          <w:p w14:paraId="16021551">
            <w:pPr>
              <w:spacing w:before="0" w:after="0" w:afterAutospacing="0" w:line="276" w:lineRule="auto"/>
              <w:ind w:left="0" w:right="0" w:firstLine="0"/>
              <w:rPr>
                <w:color w:val="auto"/>
                <w:highlight w:val="none"/>
              </w:rPr>
            </w:pPr>
            <w:r>
              <w:rPr>
                <w:rFonts w:hint="eastAsia"/>
                <w:color w:val="auto"/>
                <w:highlight w:val="none"/>
              </w:rPr>
              <w:t>（</w:t>
            </w:r>
            <w:r>
              <w:rPr>
                <w:rFonts w:hint="eastAsia"/>
                <w:color w:val="auto"/>
                <w:highlight w:val="none"/>
                <w:lang w:val="en-US" w:eastAsia="zh-CN"/>
              </w:rPr>
              <w:t>1</w:t>
            </w:r>
            <w:r>
              <w:rPr>
                <w:rFonts w:hint="eastAsia"/>
                <w:color w:val="auto"/>
                <w:highlight w:val="none"/>
              </w:rPr>
              <w:t>）技术文件响应表（格式见C1）；</w:t>
            </w:r>
          </w:p>
          <w:p w14:paraId="68F870B5">
            <w:pPr>
              <w:spacing w:before="0" w:after="0" w:afterAutospacing="0" w:line="276" w:lineRule="auto"/>
              <w:ind w:left="0" w:right="0" w:firstLine="0"/>
              <w:rPr>
                <w:color w:val="auto"/>
                <w:highlight w:val="none"/>
              </w:rPr>
            </w:pPr>
            <w:r>
              <w:rPr>
                <w:rFonts w:hint="eastAsia"/>
                <w:color w:val="auto"/>
                <w:highlight w:val="none"/>
              </w:rPr>
              <w:t>（</w:t>
            </w:r>
            <w:r>
              <w:rPr>
                <w:rFonts w:hint="eastAsia"/>
                <w:color w:val="auto"/>
                <w:highlight w:val="none"/>
                <w:lang w:val="en-US" w:eastAsia="zh-CN"/>
              </w:rPr>
              <w:t>2</w:t>
            </w:r>
            <w:r>
              <w:rPr>
                <w:rFonts w:hint="eastAsia"/>
                <w:color w:val="auto"/>
                <w:highlight w:val="none"/>
              </w:rPr>
              <w:t>）商务响应表（格式见C2）；</w:t>
            </w:r>
          </w:p>
          <w:p w14:paraId="1E08B702">
            <w:pPr>
              <w:spacing w:before="0" w:after="0" w:afterAutospacing="0" w:line="276" w:lineRule="auto"/>
              <w:ind w:left="0" w:right="0" w:firstLine="0"/>
              <w:rPr>
                <w:color w:val="auto"/>
                <w:highlight w:val="none"/>
              </w:rPr>
            </w:pPr>
            <w:r>
              <w:rPr>
                <w:rFonts w:hint="eastAsia"/>
                <w:color w:val="auto"/>
                <w:highlight w:val="none"/>
              </w:rPr>
              <w:t>（</w:t>
            </w:r>
            <w:r>
              <w:rPr>
                <w:rFonts w:hint="eastAsia"/>
                <w:color w:val="auto"/>
                <w:highlight w:val="none"/>
                <w:lang w:val="en-US" w:eastAsia="zh-CN"/>
              </w:rPr>
              <w:t>3</w:t>
            </w:r>
            <w:r>
              <w:rPr>
                <w:rFonts w:hint="eastAsia"/>
                <w:color w:val="auto"/>
                <w:highlight w:val="none"/>
              </w:rPr>
              <w:t>）服务建议书（格式自拟，需包含工期，工期格式见C3）；</w:t>
            </w:r>
          </w:p>
          <w:p w14:paraId="4F6186BE">
            <w:pPr>
              <w:spacing w:before="0" w:after="0" w:afterAutospacing="0" w:line="276" w:lineRule="auto"/>
              <w:ind w:left="0" w:right="0" w:firstLine="0"/>
              <w:rPr>
                <w:color w:val="auto"/>
                <w:highlight w:val="none"/>
              </w:rPr>
            </w:pPr>
            <w:r>
              <w:rPr>
                <w:rFonts w:hint="eastAsia"/>
                <w:color w:val="auto"/>
                <w:highlight w:val="none"/>
              </w:rPr>
              <w:t>（</w:t>
            </w:r>
            <w:r>
              <w:rPr>
                <w:rFonts w:hint="eastAsia"/>
                <w:color w:val="auto"/>
                <w:highlight w:val="none"/>
                <w:lang w:val="en-US" w:eastAsia="zh-CN"/>
              </w:rPr>
              <w:t>4</w:t>
            </w:r>
            <w:r>
              <w:rPr>
                <w:rFonts w:hint="eastAsia"/>
                <w:color w:val="auto"/>
                <w:highlight w:val="none"/>
              </w:rPr>
              <w:t>）项目人员配置（格式见C4）；</w:t>
            </w:r>
          </w:p>
          <w:p w14:paraId="6B7AF7A5">
            <w:pPr>
              <w:spacing w:before="0" w:after="0" w:afterAutospacing="0" w:line="276" w:lineRule="auto"/>
              <w:ind w:left="0" w:right="0" w:firstLine="0"/>
              <w:rPr>
                <w:color w:val="auto"/>
                <w:highlight w:val="none"/>
              </w:rPr>
            </w:pPr>
            <w:r>
              <w:rPr>
                <w:rFonts w:hint="eastAsia"/>
                <w:color w:val="auto"/>
                <w:highlight w:val="none"/>
              </w:rPr>
              <w:t>（</w:t>
            </w:r>
            <w:r>
              <w:rPr>
                <w:rFonts w:hint="eastAsia"/>
                <w:color w:val="auto"/>
                <w:highlight w:val="none"/>
                <w:lang w:val="en-US" w:eastAsia="zh-CN"/>
              </w:rPr>
              <w:t>5</w:t>
            </w:r>
            <w:r>
              <w:rPr>
                <w:rFonts w:hint="eastAsia"/>
                <w:color w:val="auto"/>
                <w:highlight w:val="none"/>
              </w:rPr>
              <w:t>）</w:t>
            </w:r>
            <w:r>
              <w:rPr>
                <w:rFonts w:hint="eastAsia" w:ascii="宋体" w:hAnsi="宋体"/>
                <w:color w:val="auto"/>
                <w:highlight w:val="none"/>
              </w:rPr>
              <w:t>比选申请人自2023年1月1日至比选申请截止时间前，承接过（完工/在建项目）房地产项目样板房装修设计业绩，</w:t>
            </w:r>
            <w:r>
              <w:rPr>
                <w:rFonts w:hint="eastAsia" w:ascii="宋体" w:hAnsi="宋体"/>
                <w:color w:val="auto"/>
                <w:highlight w:val="none"/>
                <w:lang w:val="en-US" w:eastAsia="zh-CN"/>
              </w:rPr>
              <w:t>提供</w:t>
            </w:r>
            <w:r>
              <w:rPr>
                <w:rFonts w:hint="eastAsia" w:ascii="宋体" w:hAnsi="宋体"/>
                <w:color w:val="auto"/>
                <w:highlight w:val="none"/>
              </w:rPr>
              <w:t>单个业绩合同金额</w:t>
            </w:r>
            <w:r>
              <w:rPr>
                <w:rFonts w:hint="eastAsia" w:ascii="宋体" w:hAnsi="宋体"/>
                <w:color w:val="auto"/>
                <w:highlight w:val="none"/>
                <w:lang w:val="en-US" w:eastAsia="zh-CN"/>
              </w:rPr>
              <w:t>设计单价</w:t>
            </w:r>
            <w:r>
              <w:rPr>
                <w:rFonts w:hint="eastAsia" w:ascii="宋体" w:hAnsi="宋体"/>
                <w:color w:val="auto"/>
                <w:highlight w:val="none"/>
              </w:rPr>
              <w:t>达</w:t>
            </w:r>
            <w:r>
              <w:rPr>
                <w:rFonts w:hint="eastAsia" w:ascii="宋体" w:hAnsi="宋体"/>
                <w:b w:val="0"/>
                <w:bCs w:val="0"/>
                <w:color w:val="auto"/>
                <w:highlight w:val="none"/>
                <w:u w:val="none"/>
                <w:lang w:val="en-US" w:eastAsia="zh-CN"/>
              </w:rPr>
              <w:t>1300元</w:t>
            </w:r>
            <w:r>
              <w:rPr>
                <w:rFonts w:hint="eastAsia" w:ascii="宋体" w:hAnsi="宋体"/>
                <w:b w:val="0"/>
                <w:bCs w:val="0"/>
                <w:color w:val="auto"/>
                <w:highlight w:val="none"/>
                <w:lang w:val="en-US" w:eastAsia="zh-CN"/>
              </w:rPr>
              <w:t>/㎡</w:t>
            </w:r>
            <w:r>
              <w:rPr>
                <w:rFonts w:hint="eastAsia" w:ascii="宋体" w:hAnsi="宋体"/>
                <w:color w:val="auto"/>
                <w:highlight w:val="none"/>
              </w:rPr>
              <w:t>及以上</w:t>
            </w:r>
            <w:r>
              <w:rPr>
                <w:rFonts w:hint="eastAsia" w:ascii="宋体" w:hAnsi="宋体" w:cs="宋体"/>
                <w:color w:val="auto"/>
                <w:sz w:val="21"/>
                <w:szCs w:val="21"/>
                <w:highlight w:val="none"/>
                <w:lang w:val="en-US" w:eastAsia="zh-CN"/>
              </w:rPr>
              <w:t>的</w:t>
            </w:r>
            <w:r>
              <w:rPr>
                <w:rFonts w:hint="eastAsia" w:ascii="宋体" w:hAnsi="宋体" w:eastAsia="宋体" w:cs="宋体"/>
                <w:color w:val="auto"/>
                <w:sz w:val="21"/>
                <w:szCs w:val="21"/>
                <w:highlight w:val="none"/>
              </w:rPr>
              <w:t>设计</w:t>
            </w:r>
            <w:r>
              <w:rPr>
                <w:rFonts w:hint="eastAsia" w:ascii="宋体" w:hAnsi="宋体"/>
                <w:color w:val="auto"/>
                <w:highlight w:val="none"/>
              </w:rPr>
              <w:t>业绩</w:t>
            </w:r>
            <w:r>
              <w:rPr>
                <w:rFonts w:hint="eastAsia" w:ascii="宋体" w:hAnsi="宋体"/>
                <w:color w:val="auto"/>
                <w:highlight w:val="none"/>
                <w:lang w:eastAsia="zh-CN"/>
              </w:rPr>
              <w:t>；</w:t>
            </w:r>
            <w:r>
              <w:rPr>
                <w:rFonts w:hint="eastAsia" w:ascii="宋体" w:hAnsi="宋体"/>
                <w:color w:val="auto"/>
                <w:highlight w:val="none"/>
                <w:lang w:val="en-US" w:eastAsia="zh-CN"/>
              </w:rPr>
              <w:t>本</w:t>
            </w:r>
            <w:r>
              <w:rPr>
                <w:rFonts w:hint="eastAsia"/>
                <w:color w:val="auto"/>
                <w:highlight w:val="none"/>
                <w:lang w:val="en-US" w:eastAsia="zh-CN"/>
              </w:rPr>
              <w:t>项目负责人负责过房地产项目样板间或展示区设计业绩，单个业绩项目体量设计费达1300元/㎡及以上的业绩</w:t>
            </w:r>
            <w:r>
              <w:rPr>
                <w:rFonts w:hint="eastAsia" w:ascii="宋体" w:hAnsi="宋体"/>
                <w:color w:val="auto"/>
                <w:highlight w:val="none"/>
              </w:rPr>
              <w:t>。</w:t>
            </w:r>
            <w:r>
              <w:rPr>
                <w:color w:val="auto"/>
                <w:highlight w:val="none"/>
              </w:rPr>
              <w:t>（提供相应的业绩证明材料：提供下述材料之一即可：</w:t>
            </w:r>
            <w:r>
              <w:rPr>
                <w:rFonts w:hint="eastAsia" w:ascii="宋体" w:hAnsi="宋体" w:cs="宋体"/>
                <w:color w:val="auto"/>
                <w:highlight w:val="none"/>
              </w:rPr>
              <w:t>①</w:t>
            </w:r>
            <w:r>
              <w:rPr>
                <w:color w:val="auto"/>
                <w:highlight w:val="none"/>
              </w:rPr>
              <w:t>合同文件；</w:t>
            </w:r>
            <w:r>
              <w:rPr>
                <w:rFonts w:hint="eastAsia" w:ascii="宋体" w:hAnsi="宋体" w:cs="宋体"/>
                <w:color w:val="auto"/>
                <w:highlight w:val="none"/>
                <w:lang w:bidi="ar"/>
              </w:rPr>
              <w:t>②中标通知书；③</w:t>
            </w:r>
            <w:r>
              <w:rPr>
                <w:rFonts w:hint="eastAsia"/>
                <w:color w:val="auto"/>
                <w:highlight w:val="none"/>
                <w:lang w:val="en-US" w:eastAsia="zh-CN"/>
              </w:rPr>
              <w:t>方案文本案例（含项目名称和效果图即可无需全套文本）</w:t>
            </w:r>
            <w:r>
              <w:rPr>
                <w:rFonts w:hint="eastAsia" w:ascii="宋体" w:hAnsi="宋体" w:cs="宋体"/>
                <w:color w:val="auto"/>
                <w:highlight w:val="none"/>
                <w:lang w:val="en-US" w:eastAsia="zh-CN"/>
              </w:rPr>
              <w:t>④</w:t>
            </w:r>
            <w:r>
              <w:rPr>
                <w:color w:val="auto"/>
                <w:highlight w:val="none"/>
              </w:rPr>
              <w:t>业主（采购方）开具的证明材料，但所提供的材料须能明确反映项目特征（</w:t>
            </w:r>
            <w:r>
              <w:rPr>
                <w:rFonts w:hint="eastAsia"/>
                <w:color w:val="auto"/>
                <w:highlight w:val="none"/>
              </w:rPr>
              <w:t>设计面积</w:t>
            </w:r>
            <w:r>
              <w:rPr>
                <w:color w:val="auto"/>
                <w:highlight w:val="none"/>
              </w:rPr>
              <w:t>及单方造价等），复印件加盖比选申请人公章，提供合同文件或甲方证明，提供复印件，原件备查）</w:t>
            </w:r>
            <w:r>
              <w:rPr>
                <w:rFonts w:hint="eastAsia" w:ascii="宋体" w:hAnsi="宋体"/>
                <w:color w:val="auto"/>
                <w:highlight w:val="none"/>
              </w:rPr>
              <w:t>。）</w:t>
            </w:r>
            <w:r>
              <w:rPr>
                <w:rFonts w:hint="eastAsia"/>
                <w:color w:val="auto"/>
                <w:highlight w:val="none"/>
              </w:rPr>
              <w:t>（格式见C5）。</w:t>
            </w:r>
          </w:p>
          <w:p w14:paraId="677B5FDD">
            <w:pPr>
              <w:spacing w:before="0" w:after="0" w:afterAutospacing="0" w:line="276" w:lineRule="auto"/>
              <w:ind w:left="0" w:right="0" w:firstLine="0"/>
              <w:rPr>
                <w:color w:val="auto"/>
                <w:highlight w:val="none"/>
              </w:rPr>
            </w:pPr>
            <w:r>
              <w:rPr>
                <w:rFonts w:hint="eastAsia"/>
                <w:color w:val="auto"/>
                <w:highlight w:val="none"/>
              </w:rPr>
              <w:t>（7）比选申请人认为应提交的其他比选申请资料（如有）。</w:t>
            </w:r>
          </w:p>
          <w:p w14:paraId="031982EC">
            <w:pPr>
              <w:pStyle w:val="2"/>
              <w:ind w:left="0" w:leftChars="0" w:firstLine="0" w:firstLineChars="0"/>
              <w:rPr>
                <w:rFonts w:eastAsia="宋体"/>
                <w:color w:val="auto"/>
                <w:highlight w:val="none"/>
              </w:rPr>
            </w:pPr>
            <w:r>
              <w:rPr>
                <w:rFonts w:hint="eastAsia" w:eastAsia="宋体"/>
                <w:color w:val="auto"/>
                <w:highlight w:val="none"/>
              </w:rPr>
              <w:t>注：以上所有文件如提供复印件的，必须加盖比选申请人公章。</w:t>
            </w:r>
          </w:p>
        </w:tc>
      </w:tr>
      <w:tr w14:paraId="5C50BB25">
        <w:tblPrEx>
          <w:tblCellMar>
            <w:top w:w="0" w:type="dxa"/>
            <w:left w:w="108" w:type="dxa"/>
            <w:bottom w:w="0" w:type="dxa"/>
            <w:right w:w="108" w:type="dxa"/>
          </w:tblCellMar>
        </w:tblPrEx>
        <w:trPr>
          <w:trHeight w:val="1113" w:hRule="atLeast"/>
        </w:trPr>
        <w:tc>
          <w:tcPr>
            <w:tcW w:w="847" w:type="dxa"/>
            <w:tcBorders>
              <w:top w:val="single" w:color="auto" w:sz="4" w:space="0"/>
              <w:left w:val="single" w:color="auto" w:sz="4" w:space="0"/>
              <w:bottom w:val="single" w:color="auto" w:sz="4" w:space="0"/>
              <w:right w:val="single" w:color="auto" w:sz="4" w:space="0"/>
            </w:tcBorders>
            <w:vAlign w:val="center"/>
          </w:tcPr>
          <w:p w14:paraId="5E37DDA1">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12.1</w:t>
            </w:r>
          </w:p>
        </w:tc>
        <w:tc>
          <w:tcPr>
            <w:tcW w:w="1559" w:type="dxa"/>
            <w:tcBorders>
              <w:top w:val="single" w:color="auto" w:sz="4" w:space="0"/>
              <w:left w:val="nil"/>
              <w:bottom w:val="single" w:color="auto" w:sz="4" w:space="0"/>
              <w:right w:val="single" w:color="auto" w:sz="4" w:space="0"/>
            </w:tcBorders>
            <w:vAlign w:val="center"/>
          </w:tcPr>
          <w:p w14:paraId="203E4F4F">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比选申请报价</w:t>
            </w:r>
          </w:p>
        </w:tc>
        <w:tc>
          <w:tcPr>
            <w:tcW w:w="6711" w:type="dxa"/>
            <w:tcBorders>
              <w:top w:val="single" w:color="auto" w:sz="4" w:space="0"/>
              <w:left w:val="nil"/>
              <w:bottom w:val="single" w:color="auto" w:sz="4" w:space="0"/>
              <w:right w:val="single" w:color="auto" w:sz="4" w:space="0"/>
            </w:tcBorders>
            <w:vAlign w:val="center"/>
          </w:tcPr>
          <w:p w14:paraId="11754E7D">
            <w:pPr>
              <w:spacing w:before="0" w:after="0" w:afterAutospacing="0"/>
              <w:ind w:left="0" w:right="0" w:firstLine="0"/>
              <w:rPr>
                <w:rFonts w:hint="eastAsia" w:ascii="宋体" w:hAnsi="宋体"/>
                <w:color w:val="auto"/>
                <w:highlight w:val="none"/>
              </w:rPr>
            </w:pPr>
            <w:r>
              <w:rPr>
                <w:rFonts w:ascii="宋体" w:hAnsi="宋体"/>
                <w:b/>
                <w:color w:val="auto"/>
                <w:highlight w:val="none"/>
              </w:rPr>
              <w:t>本项目采用</w:t>
            </w:r>
            <w:r>
              <w:rPr>
                <w:rFonts w:hint="eastAsia" w:ascii="宋体" w:hAnsi="宋体"/>
                <w:b/>
                <w:color w:val="auto"/>
                <w:highlight w:val="none"/>
              </w:rPr>
              <w:t>不</w:t>
            </w:r>
            <w:r>
              <w:rPr>
                <w:rFonts w:ascii="宋体" w:hAnsi="宋体"/>
                <w:b/>
                <w:color w:val="auto"/>
                <w:highlight w:val="none"/>
              </w:rPr>
              <w:t>含税报价，</w:t>
            </w:r>
            <w:r>
              <w:rPr>
                <w:rFonts w:hint="eastAsia" w:ascii="宋体" w:hAnsi="宋体"/>
                <w:b/>
                <w:color w:val="auto"/>
                <w:highlight w:val="none"/>
              </w:rPr>
              <w:t>含税总报价为合同暂定含税总价款，本合同最终税金在结算阶段，按实际产生的税金进行核算，但合同不含税价格不因国家税率调整而调整。</w:t>
            </w:r>
          </w:p>
        </w:tc>
      </w:tr>
      <w:tr w14:paraId="75AF030D">
        <w:tblPrEx>
          <w:tblCellMar>
            <w:top w:w="0" w:type="dxa"/>
            <w:left w:w="108" w:type="dxa"/>
            <w:bottom w:w="0" w:type="dxa"/>
            <w:right w:w="108" w:type="dxa"/>
          </w:tblCellMar>
        </w:tblPrEx>
        <w:trPr>
          <w:trHeight w:val="702" w:hRule="atLeast"/>
        </w:trPr>
        <w:tc>
          <w:tcPr>
            <w:tcW w:w="847" w:type="dxa"/>
            <w:tcBorders>
              <w:top w:val="single" w:color="auto" w:sz="4" w:space="0"/>
              <w:left w:val="single" w:color="auto" w:sz="4" w:space="0"/>
              <w:bottom w:val="single" w:color="auto" w:sz="4" w:space="0"/>
              <w:right w:val="single" w:color="auto" w:sz="4" w:space="0"/>
            </w:tcBorders>
            <w:vAlign w:val="center"/>
          </w:tcPr>
          <w:p w14:paraId="20285AF4">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14.1</w:t>
            </w:r>
          </w:p>
        </w:tc>
        <w:tc>
          <w:tcPr>
            <w:tcW w:w="1559" w:type="dxa"/>
            <w:tcBorders>
              <w:top w:val="single" w:color="auto" w:sz="4" w:space="0"/>
              <w:left w:val="nil"/>
              <w:bottom w:val="single" w:color="auto" w:sz="4" w:space="0"/>
              <w:right w:val="single" w:color="auto" w:sz="4" w:space="0"/>
            </w:tcBorders>
            <w:vAlign w:val="center"/>
          </w:tcPr>
          <w:p w14:paraId="4735F451">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比选申请保证金</w:t>
            </w:r>
          </w:p>
        </w:tc>
        <w:tc>
          <w:tcPr>
            <w:tcW w:w="6711" w:type="dxa"/>
            <w:tcBorders>
              <w:top w:val="single" w:color="auto" w:sz="4" w:space="0"/>
              <w:left w:val="nil"/>
              <w:bottom w:val="single" w:color="auto" w:sz="4" w:space="0"/>
              <w:right w:val="single" w:color="auto" w:sz="4" w:space="0"/>
            </w:tcBorders>
            <w:vAlign w:val="center"/>
          </w:tcPr>
          <w:p w14:paraId="7BEAB1AC">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不要求递交比选申请保证金</w:t>
            </w:r>
          </w:p>
        </w:tc>
      </w:tr>
      <w:tr w14:paraId="25472790">
        <w:tblPrEx>
          <w:tblCellMar>
            <w:top w:w="0" w:type="dxa"/>
            <w:left w:w="108" w:type="dxa"/>
            <w:bottom w:w="0" w:type="dxa"/>
            <w:right w:w="108" w:type="dxa"/>
          </w:tblCellMar>
        </w:tblPrEx>
        <w:trPr>
          <w:trHeight w:val="551" w:hRule="atLeast"/>
        </w:trPr>
        <w:tc>
          <w:tcPr>
            <w:tcW w:w="847" w:type="dxa"/>
            <w:tcBorders>
              <w:top w:val="single" w:color="auto" w:sz="4" w:space="0"/>
              <w:left w:val="single" w:color="auto" w:sz="4" w:space="0"/>
              <w:right w:val="single" w:color="auto" w:sz="4" w:space="0"/>
            </w:tcBorders>
            <w:vAlign w:val="center"/>
          </w:tcPr>
          <w:p w14:paraId="5614F565">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15.1</w:t>
            </w:r>
          </w:p>
        </w:tc>
        <w:tc>
          <w:tcPr>
            <w:tcW w:w="1559" w:type="dxa"/>
            <w:tcBorders>
              <w:top w:val="single" w:color="auto" w:sz="4" w:space="0"/>
              <w:left w:val="nil"/>
              <w:right w:val="single" w:color="auto" w:sz="4" w:space="0"/>
            </w:tcBorders>
            <w:vAlign w:val="center"/>
          </w:tcPr>
          <w:p w14:paraId="7D16FE47">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比选申请有效期</w:t>
            </w:r>
          </w:p>
        </w:tc>
        <w:tc>
          <w:tcPr>
            <w:tcW w:w="6711" w:type="dxa"/>
            <w:tcBorders>
              <w:top w:val="single" w:color="auto" w:sz="4" w:space="0"/>
              <w:left w:val="nil"/>
              <w:bottom w:val="single" w:color="auto" w:sz="4" w:space="0"/>
              <w:right w:val="single" w:color="auto" w:sz="4" w:space="0"/>
            </w:tcBorders>
            <w:vAlign w:val="center"/>
          </w:tcPr>
          <w:p w14:paraId="7625DAC8">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自比选申请截止时间起90天</w:t>
            </w:r>
          </w:p>
        </w:tc>
      </w:tr>
      <w:tr w14:paraId="7AD41C59">
        <w:tblPrEx>
          <w:tblCellMar>
            <w:top w:w="0" w:type="dxa"/>
            <w:left w:w="108" w:type="dxa"/>
            <w:bottom w:w="0" w:type="dxa"/>
            <w:right w:w="108" w:type="dxa"/>
          </w:tblCellMar>
        </w:tblPrEx>
        <w:trPr>
          <w:trHeight w:val="241" w:hRule="atLeast"/>
        </w:trPr>
        <w:tc>
          <w:tcPr>
            <w:tcW w:w="847" w:type="dxa"/>
            <w:tcBorders>
              <w:top w:val="single" w:color="auto" w:sz="4" w:space="0"/>
              <w:left w:val="single" w:color="auto" w:sz="4" w:space="0"/>
              <w:bottom w:val="single" w:color="auto" w:sz="4" w:space="0"/>
              <w:right w:val="single" w:color="auto" w:sz="4" w:space="0"/>
            </w:tcBorders>
            <w:vAlign w:val="center"/>
          </w:tcPr>
          <w:p w14:paraId="35C5915C">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16.1</w:t>
            </w:r>
          </w:p>
        </w:tc>
        <w:tc>
          <w:tcPr>
            <w:tcW w:w="1559" w:type="dxa"/>
            <w:tcBorders>
              <w:top w:val="single" w:color="auto" w:sz="4" w:space="0"/>
              <w:left w:val="nil"/>
              <w:bottom w:val="single" w:color="auto" w:sz="4" w:space="0"/>
              <w:right w:val="single" w:color="auto" w:sz="4" w:space="0"/>
            </w:tcBorders>
            <w:vAlign w:val="center"/>
          </w:tcPr>
          <w:p w14:paraId="77664C49">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比选申请文件副本份数</w:t>
            </w:r>
          </w:p>
        </w:tc>
        <w:tc>
          <w:tcPr>
            <w:tcW w:w="6711" w:type="dxa"/>
            <w:tcBorders>
              <w:top w:val="single" w:color="auto" w:sz="4" w:space="0"/>
              <w:left w:val="nil"/>
              <w:bottom w:val="single" w:color="auto" w:sz="4" w:space="0"/>
              <w:right w:val="single" w:color="auto" w:sz="4" w:space="0"/>
            </w:tcBorders>
            <w:vAlign w:val="center"/>
          </w:tcPr>
          <w:p w14:paraId="2A8992DE">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纸质版本正本1份，副本4份，并同时递交比选申请文件电子版（电子版要求见本表第3</w:t>
            </w:r>
            <w:r>
              <w:rPr>
                <w:rFonts w:ascii="宋体" w:hAnsi="宋体"/>
                <w:color w:val="auto"/>
                <w:highlight w:val="none"/>
              </w:rPr>
              <w:t>7</w:t>
            </w:r>
            <w:r>
              <w:rPr>
                <w:rFonts w:hint="eastAsia" w:ascii="宋体" w:hAnsi="宋体"/>
                <w:color w:val="auto"/>
                <w:highlight w:val="none"/>
              </w:rPr>
              <w:t>.</w:t>
            </w:r>
            <w:r>
              <w:rPr>
                <w:rFonts w:ascii="宋体" w:hAnsi="宋体"/>
                <w:color w:val="auto"/>
                <w:highlight w:val="none"/>
              </w:rPr>
              <w:t>5</w:t>
            </w:r>
            <w:r>
              <w:rPr>
                <w:rFonts w:hint="eastAsia" w:ascii="宋体" w:hAnsi="宋体"/>
                <w:color w:val="auto"/>
                <w:highlight w:val="none"/>
              </w:rPr>
              <w:t>项）。</w:t>
            </w:r>
          </w:p>
        </w:tc>
      </w:tr>
      <w:tr w14:paraId="182B5DF9">
        <w:tblPrEx>
          <w:tblCellMar>
            <w:top w:w="0" w:type="dxa"/>
            <w:left w:w="108" w:type="dxa"/>
            <w:bottom w:w="0" w:type="dxa"/>
            <w:right w:w="108" w:type="dxa"/>
          </w:tblCellMar>
        </w:tblPrEx>
        <w:trPr>
          <w:trHeight w:val="140" w:hRule="atLeast"/>
        </w:trPr>
        <w:tc>
          <w:tcPr>
            <w:tcW w:w="847" w:type="dxa"/>
            <w:vMerge w:val="restart"/>
            <w:tcBorders>
              <w:top w:val="single" w:color="auto" w:sz="4" w:space="0"/>
              <w:left w:val="single" w:color="auto" w:sz="4" w:space="0"/>
              <w:bottom w:val="single" w:color="auto" w:sz="4" w:space="0"/>
              <w:right w:val="single" w:color="auto" w:sz="4" w:space="0"/>
            </w:tcBorders>
            <w:vAlign w:val="center"/>
          </w:tcPr>
          <w:p w14:paraId="36506A09">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28.1</w:t>
            </w:r>
          </w:p>
        </w:tc>
        <w:tc>
          <w:tcPr>
            <w:tcW w:w="1559" w:type="dxa"/>
            <w:tcBorders>
              <w:top w:val="single" w:color="auto" w:sz="4" w:space="0"/>
              <w:left w:val="nil"/>
              <w:bottom w:val="single" w:color="auto" w:sz="4" w:space="0"/>
              <w:right w:val="single" w:color="auto" w:sz="4" w:space="0"/>
            </w:tcBorders>
            <w:vAlign w:val="center"/>
          </w:tcPr>
          <w:p w14:paraId="46009DBB">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比选申请截止时间</w:t>
            </w:r>
          </w:p>
        </w:tc>
        <w:tc>
          <w:tcPr>
            <w:tcW w:w="6711" w:type="dxa"/>
            <w:tcBorders>
              <w:top w:val="single" w:color="auto" w:sz="4" w:space="0"/>
              <w:left w:val="nil"/>
              <w:bottom w:val="single" w:color="auto" w:sz="4" w:space="0"/>
              <w:right w:val="single" w:color="auto" w:sz="4" w:space="0"/>
            </w:tcBorders>
            <w:vAlign w:val="center"/>
          </w:tcPr>
          <w:p w14:paraId="20AFED32">
            <w:pPr>
              <w:spacing w:before="0" w:after="0" w:afterAutospacing="0"/>
              <w:ind w:left="0" w:right="0" w:firstLine="0"/>
              <w:rPr>
                <w:rFonts w:hint="eastAsia" w:ascii="宋体" w:hAnsi="宋体"/>
                <w:b/>
                <w:color w:val="auto"/>
                <w:highlight w:val="none"/>
              </w:rPr>
            </w:pPr>
            <w:bookmarkStart w:id="41" w:name="CgwjmbEntity：KBSJ3_0"/>
            <w:r>
              <w:rPr>
                <w:rFonts w:hint="eastAsia" w:ascii="宋体" w:hAnsi="宋体"/>
                <w:b/>
                <w:color w:val="auto"/>
                <w:highlight w:val="none"/>
              </w:rPr>
              <w:t>2026年</w:t>
            </w:r>
            <w:bookmarkEnd w:id="41"/>
            <w:r>
              <w:rPr>
                <w:rFonts w:hint="eastAsia" w:ascii="宋体" w:hAnsi="宋体"/>
                <w:b/>
                <w:color w:val="auto"/>
                <w:highlight w:val="none"/>
              </w:rPr>
              <w:t xml:space="preserve"> </w:t>
            </w:r>
            <w:r>
              <w:rPr>
                <w:rFonts w:hint="eastAsia" w:ascii="宋体" w:hAnsi="宋体"/>
                <w:b/>
                <w:color w:val="auto"/>
                <w:highlight w:val="none"/>
                <w:lang w:val="en-US" w:eastAsia="zh-CN"/>
              </w:rPr>
              <w:t>8</w:t>
            </w:r>
            <w:r>
              <w:rPr>
                <w:rFonts w:hint="eastAsia" w:ascii="宋体" w:hAnsi="宋体"/>
                <w:b/>
                <w:color w:val="auto"/>
                <w:highlight w:val="none"/>
              </w:rPr>
              <w:t xml:space="preserve"> 月 </w:t>
            </w:r>
            <w:r>
              <w:rPr>
                <w:rFonts w:hint="eastAsia" w:ascii="宋体" w:hAnsi="宋体"/>
                <w:b/>
                <w:color w:val="auto"/>
                <w:highlight w:val="none"/>
                <w:lang w:val="en-US" w:eastAsia="zh-CN"/>
              </w:rPr>
              <w:t>10</w:t>
            </w:r>
            <w:r>
              <w:rPr>
                <w:rFonts w:hint="eastAsia" w:ascii="宋体" w:hAnsi="宋体"/>
                <w:b/>
                <w:color w:val="auto"/>
                <w:highlight w:val="none"/>
              </w:rPr>
              <w:t xml:space="preserve"> 日当日 9时 </w:t>
            </w:r>
            <w:r>
              <w:rPr>
                <w:rFonts w:ascii="宋体" w:hAnsi="宋体"/>
                <w:b/>
                <w:color w:val="auto"/>
                <w:highlight w:val="none"/>
              </w:rPr>
              <w:t>3</w:t>
            </w:r>
            <w:r>
              <w:rPr>
                <w:rFonts w:hint="eastAsia" w:ascii="宋体" w:hAnsi="宋体"/>
                <w:b/>
                <w:color w:val="auto"/>
                <w:highlight w:val="none"/>
              </w:rPr>
              <w:t>0分</w:t>
            </w:r>
          </w:p>
        </w:tc>
      </w:tr>
      <w:tr w14:paraId="5EC7ECB1">
        <w:tblPrEx>
          <w:tblCellMar>
            <w:top w:w="0" w:type="dxa"/>
            <w:left w:w="108" w:type="dxa"/>
            <w:bottom w:w="0" w:type="dxa"/>
            <w:right w:w="108" w:type="dxa"/>
          </w:tblCellMar>
        </w:tblPrEx>
        <w:trPr>
          <w:trHeight w:val="797" w:hRule="atLeast"/>
        </w:trPr>
        <w:tc>
          <w:tcPr>
            <w:tcW w:w="847" w:type="dxa"/>
            <w:vMerge w:val="continue"/>
            <w:tcBorders>
              <w:top w:val="single" w:color="auto" w:sz="4" w:space="0"/>
              <w:left w:val="single" w:color="auto" w:sz="4" w:space="0"/>
              <w:bottom w:val="single" w:color="auto" w:sz="4" w:space="0"/>
              <w:right w:val="single" w:color="auto" w:sz="4" w:space="0"/>
            </w:tcBorders>
            <w:vAlign w:val="center"/>
          </w:tcPr>
          <w:p w14:paraId="52C0E5E2">
            <w:pPr>
              <w:spacing w:before="0" w:after="0" w:afterAutospacing="0"/>
              <w:ind w:left="0" w:right="0" w:firstLine="0"/>
              <w:rPr>
                <w:rFonts w:hint="eastAsia" w:ascii="宋体" w:hAnsi="宋体"/>
                <w:color w:val="auto"/>
                <w:highlight w:val="none"/>
              </w:rPr>
            </w:pPr>
          </w:p>
        </w:tc>
        <w:tc>
          <w:tcPr>
            <w:tcW w:w="1559" w:type="dxa"/>
            <w:tcBorders>
              <w:top w:val="single" w:color="auto" w:sz="4" w:space="0"/>
              <w:left w:val="nil"/>
              <w:bottom w:val="single" w:color="auto" w:sz="4" w:space="0"/>
              <w:right w:val="single" w:color="auto" w:sz="4" w:space="0"/>
            </w:tcBorders>
            <w:vAlign w:val="center"/>
          </w:tcPr>
          <w:p w14:paraId="4D3FF36E">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递交比选申请文件地点</w:t>
            </w:r>
          </w:p>
        </w:tc>
        <w:tc>
          <w:tcPr>
            <w:tcW w:w="6711" w:type="dxa"/>
            <w:tcBorders>
              <w:top w:val="single" w:color="auto" w:sz="4" w:space="0"/>
              <w:left w:val="nil"/>
              <w:bottom w:val="single" w:color="auto" w:sz="4" w:space="0"/>
              <w:right w:val="single" w:color="auto" w:sz="4" w:space="0"/>
            </w:tcBorders>
            <w:vAlign w:val="center"/>
          </w:tcPr>
          <w:p w14:paraId="296AA51E">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单位：南宁轨道地产集团有限责任公司</w:t>
            </w:r>
          </w:p>
          <w:p w14:paraId="7B4D47C9">
            <w:pPr>
              <w:spacing w:before="0" w:after="0" w:afterAutospacing="0"/>
              <w:ind w:left="0" w:right="0" w:firstLine="0"/>
              <w:rPr>
                <w:b/>
                <w:color w:val="auto"/>
                <w:highlight w:val="none"/>
              </w:rPr>
            </w:pPr>
            <w:r>
              <w:rPr>
                <w:rFonts w:hint="eastAsia" w:ascii="宋体" w:hAnsi="宋体"/>
                <w:color w:val="auto"/>
                <w:highlight w:val="none"/>
              </w:rPr>
              <w:t>地址：</w:t>
            </w:r>
            <w:r>
              <w:rPr>
                <w:rFonts w:ascii="宋体" w:hAnsi="宋体"/>
                <w:color w:val="auto"/>
                <w:highlight w:val="none"/>
              </w:rPr>
              <w:t>南宁市青秀区</w:t>
            </w:r>
            <w:r>
              <w:rPr>
                <w:rFonts w:hint="eastAsia" w:ascii="宋体" w:hAnsi="宋体"/>
                <w:color w:val="auto"/>
                <w:highlight w:val="none"/>
              </w:rPr>
              <w:t>凤岭北路111号南宁国际旅游中心A座907招采管理中心</w:t>
            </w:r>
          </w:p>
        </w:tc>
      </w:tr>
      <w:tr w14:paraId="0723397D">
        <w:tblPrEx>
          <w:tblCellMar>
            <w:top w:w="0" w:type="dxa"/>
            <w:left w:w="108" w:type="dxa"/>
            <w:bottom w:w="0" w:type="dxa"/>
            <w:right w:w="108" w:type="dxa"/>
          </w:tblCellMar>
        </w:tblPrEx>
        <w:trPr>
          <w:trHeight w:val="242" w:hRule="atLeast"/>
        </w:trPr>
        <w:tc>
          <w:tcPr>
            <w:tcW w:w="847" w:type="dxa"/>
            <w:tcBorders>
              <w:top w:val="single" w:color="auto" w:sz="4" w:space="0"/>
              <w:left w:val="single" w:color="auto" w:sz="4" w:space="0"/>
              <w:bottom w:val="single" w:color="auto" w:sz="4" w:space="0"/>
              <w:right w:val="single" w:color="auto" w:sz="4" w:space="0"/>
            </w:tcBorders>
            <w:vAlign w:val="center"/>
          </w:tcPr>
          <w:p w14:paraId="36D03A1D">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22</w:t>
            </w:r>
          </w:p>
        </w:tc>
        <w:tc>
          <w:tcPr>
            <w:tcW w:w="1559" w:type="dxa"/>
            <w:tcBorders>
              <w:top w:val="single" w:color="auto" w:sz="4" w:space="0"/>
              <w:left w:val="nil"/>
              <w:bottom w:val="single" w:color="auto" w:sz="4" w:space="0"/>
              <w:right w:val="single" w:color="auto" w:sz="4" w:space="0"/>
            </w:tcBorders>
            <w:vAlign w:val="center"/>
          </w:tcPr>
          <w:p w14:paraId="6D522F04">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评审方法</w:t>
            </w:r>
          </w:p>
        </w:tc>
        <w:tc>
          <w:tcPr>
            <w:tcW w:w="6711" w:type="dxa"/>
            <w:tcBorders>
              <w:top w:val="single" w:color="auto" w:sz="4" w:space="0"/>
              <w:left w:val="nil"/>
              <w:bottom w:val="single" w:color="auto" w:sz="4" w:space="0"/>
              <w:right w:val="single" w:color="auto" w:sz="4" w:space="0"/>
            </w:tcBorders>
            <w:vAlign w:val="center"/>
          </w:tcPr>
          <w:p w14:paraId="04E2AD69">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综合评分法</w:t>
            </w:r>
            <w:r>
              <w:rPr>
                <w:rFonts w:ascii="宋体" w:hAnsi="宋体"/>
                <w:color w:val="auto"/>
                <w:highlight w:val="none"/>
              </w:rPr>
              <w:t>（评审价以不含税总报价为基准）</w:t>
            </w:r>
          </w:p>
        </w:tc>
      </w:tr>
      <w:tr w14:paraId="36D380D7">
        <w:tblPrEx>
          <w:tblCellMar>
            <w:top w:w="0" w:type="dxa"/>
            <w:left w:w="108" w:type="dxa"/>
            <w:bottom w:w="0" w:type="dxa"/>
            <w:right w:w="108" w:type="dxa"/>
          </w:tblCellMar>
        </w:tblPrEx>
        <w:trPr>
          <w:trHeight w:val="242" w:hRule="atLeast"/>
        </w:trPr>
        <w:tc>
          <w:tcPr>
            <w:tcW w:w="847" w:type="dxa"/>
            <w:tcBorders>
              <w:top w:val="single" w:color="auto" w:sz="4" w:space="0"/>
              <w:left w:val="single" w:color="auto" w:sz="4" w:space="0"/>
              <w:bottom w:val="single" w:color="auto" w:sz="4" w:space="0"/>
              <w:right w:val="single" w:color="auto" w:sz="4" w:space="0"/>
            </w:tcBorders>
            <w:vAlign w:val="center"/>
          </w:tcPr>
          <w:p w14:paraId="6D61278E">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34.4</w:t>
            </w:r>
          </w:p>
        </w:tc>
        <w:tc>
          <w:tcPr>
            <w:tcW w:w="1559" w:type="dxa"/>
            <w:tcBorders>
              <w:top w:val="single" w:color="auto" w:sz="4" w:space="0"/>
              <w:left w:val="nil"/>
              <w:bottom w:val="single" w:color="auto" w:sz="4" w:space="0"/>
              <w:right w:val="single" w:color="auto" w:sz="4" w:space="0"/>
            </w:tcBorders>
            <w:vAlign w:val="center"/>
          </w:tcPr>
          <w:p w14:paraId="433766CD">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放弃中选人资格</w:t>
            </w:r>
          </w:p>
        </w:tc>
        <w:tc>
          <w:tcPr>
            <w:tcW w:w="6711" w:type="dxa"/>
            <w:tcBorders>
              <w:top w:val="single" w:color="auto" w:sz="4" w:space="0"/>
              <w:left w:val="nil"/>
              <w:bottom w:val="single" w:color="auto" w:sz="4" w:space="0"/>
              <w:right w:val="single" w:color="auto" w:sz="4" w:space="0"/>
            </w:tcBorders>
            <w:vAlign w:val="center"/>
          </w:tcPr>
          <w:p w14:paraId="3F6F95D2">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按比选申请须知第40点执行。</w:t>
            </w:r>
          </w:p>
        </w:tc>
      </w:tr>
      <w:tr w14:paraId="4A319A6F">
        <w:tblPrEx>
          <w:tblCellMar>
            <w:top w:w="0" w:type="dxa"/>
            <w:left w:w="108" w:type="dxa"/>
            <w:bottom w:w="0" w:type="dxa"/>
            <w:right w:w="108" w:type="dxa"/>
          </w:tblCellMar>
        </w:tblPrEx>
        <w:trPr>
          <w:trHeight w:val="707" w:hRule="atLeast"/>
        </w:trPr>
        <w:tc>
          <w:tcPr>
            <w:tcW w:w="847" w:type="dxa"/>
            <w:tcBorders>
              <w:top w:val="single" w:color="auto" w:sz="4" w:space="0"/>
              <w:left w:val="single" w:color="auto" w:sz="4" w:space="0"/>
              <w:bottom w:val="single" w:color="auto" w:sz="4" w:space="0"/>
              <w:right w:val="single" w:color="auto" w:sz="4" w:space="0"/>
            </w:tcBorders>
            <w:vAlign w:val="center"/>
          </w:tcPr>
          <w:p w14:paraId="6B0292FE">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36.1</w:t>
            </w:r>
          </w:p>
        </w:tc>
        <w:tc>
          <w:tcPr>
            <w:tcW w:w="1559" w:type="dxa"/>
            <w:tcBorders>
              <w:top w:val="single" w:color="auto" w:sz="4" w:space="0"/>
              <w:left w:val="nil"/>
              <w:bottom w:val="single" w:color="auto" w:sz="4" w:space="0"/>
              <w:right w:val="single" w:color="auto" w:sz="4" w:space="0"/>
            </w:tcBorders>
            <w:vAlign w:val="center"/>
          </w:tcPr>
          <w:p w14:paraId="5CCE00C6">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履约担保</w:t>
            </w:r>
          </w:p>
        </w:tc>
        <w:tc>
          <w:tcPr>
            <w:tcW w:w="6711" w:type="dxa"/>
            <w:tcBorders>
              <w:top w:val="single" w:color="auto" w:sz="4" w:space="0"/>
              <w:left w:val="nil"/>
              <w:bottom w:val="single" w:color="auto" w:sz="4" w:space="0"/>
              <w:right w:val="single" w:color="auto" w:sz="4" w:space="0"/>
            </w:tcBorders>
            <w:vAlign w:val="center"/>
          </w:tcPr>
          <w:p w14:paraId="66009859">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履约担保的金额：</w:t>
            </w:r>
            <w:r>
              <w:rPr>
                <w:rFonts w:hint="eastAsia" w:ascii="宋体" w:hAnsi="宋体" w:cs="Arial"/>
                <w:color w:val="auto"/>
                <w:highlight w:val="none"/>
              </w:rPr>
              <w:t>无</w:t>
            </w:r>
            <w:r>
              <w:rPr>
                <w:rFonts w:hint="eastAsia" w:ascii="宋体" w:hAnsi="宋体"/>
                <w:color w:val="auto"/>
                <w:highlight w:val="none"/>
              </w:rPr>
              <w:t>；</w:t>
            </w:r>
          </w:p>
          <w:p w14:paraId="3FE1882A">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履约担保的形式：无。</w:t>
            </w:r>
          </w:p>
        </w:tc>
      </w:tr>
      <w:tr w14:paraId="33F0A425">
        <w:tblPrEx>
          <w:tblCellMar>
            <w:top w:w="0" w:type="dxa"/>
            <w:left w:w="108" w:type="dxa"/>
            <w:bottom w:w="0" w:type="dxa"/>
            <w:right w:w="108" w:type="dxa"/>
          </w:tblCellMar>
        </w:tblPrEx>
        <w:trPr>
          <w:trHeight w:val="242" w:hRule="atLeast"/>
        </w:trPr>
        <w:tc>
          <w:tcPr>
            <w:tcW w:w="847" w:type="dxa"/>
            <w:vMerge w:val="restart"/>
            <w:tcBorders>
              <w:top w:val="single" w:color="auto" w:sz="4" w:space="0"/>
              <w:left w:val="single" w:color="auto" w:sz="4" w:space="0"/>
              <w:right w:val="single" w:color="auto" w:sz="4" w:space="0"/>
            </w:tcBorders>
            <w:vAlign w:val="center"/>
          </w:tcPr>
          <w:p w14:paraId="6BFE72BB">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37.5</w:t>
            </w:r>
          </w:p>
        </w:tc>
        <w:tc>
          <w:tcPr>
            <w:tcW w:w="1559" w:type="dxa"/>
            <w:vMerge w:val="restart"/>
            <w:tcBorders>
              <w:top w:val="single" w:color="auto" w:sz="4" w:space="0"/>
              <w:left w:val="nil"/>
              <w:right w:val="single" w:color="auto" w:sz="4" w:space="0"/>
            </w:tcBorders>
            <w:vAlign w:val="center"/>
          </w:tcPr>
          <w:p w14:paraId="1B846B0B">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需要补充的其他内容</w:t>
            </w:r>
          </w:p>
        </w:tc>
        <w:tc>
          <w:tcPr>
            <w:tcW w:w="6711" w:type="dxa"/>
            <w:tcBorders>
              <w:top w:val="single" w:color="auto" w:sz="4" w:space="0"/>
              <w:left w:val="nil"/>
              <w:bottom w:val="single" w:color="auto" w:sz="4" w:space="0"/>
              <w:right w:val="single" w:color="auto" w:sz="4" w:space="0"/>
            </w:tcBorders>
            <w:vAlign w:val="center"/>
          </w:tcPr>
          <w:p w14:paraId="420B4942">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1.比选申请人在递交纸质比选申请文件时，同时递交比选申请文件电子版。</w:t>
            </w:r>
          </w:p>
          <w:p w14:paraId="46062EA9">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2.比选申请文件电子版内容：</w:t>
            </w:r>
            <w:r>
              <w:rPr>
                <w:rFonts w:hint="eastAsia" w:ascii="宋体" w:hAnsi="宋体" w:cs="Arial"/>
                <w:color w:val="auto"/>
                <w:highlight w:val="none"/>
              </w:rPr>
              <w:t>资格审查文件、价格文件和技术文件。</w:t>
            </w:r>
          </w:p>
          <w:p w14:paraId="7638E062">
            <w:pPr>
              <w:spacing w:before="0" w:after="0" w:afterAutospacing="0"/>
              <w:ind w:left="0" w:right="0" w:firstLine="0"/>
              <w:rPr>
                <w:rFonts w:hint="eastAsia" w:ascii="宋体" w:hAnsi="宋体"/>
                <w:color w:val="auto"/>
                <w:highlight w:val="none"/>
              </w:rPr>
            </w:pPr>
            <w:r>
              <w:rPr>
                <w:rFonts w:ascii="宋体" w:hAnsi="宋体"/>
                <w:color w:val="auto"/>
                <w:highlight w:val="none"/>
              </w:rPr>
              <w:t>3.</w:t>
            </w:r>
            <w:r>
              <w:rPr>
                <w:rFonts w:hint="eastAsia" w:ascii="宋体" w:hAnsi="宋体"/>
                <w:color w:val="auto"/>
                <w:highlight w:val="none"/>
              </w:rPr>
              <w:t>比选申请文件电子版份数：1份。</w:t>
            </w:r>
          </w:p>
          <w:p w14:paraId="7F050B61">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4.比选申请文件电子版形式：每份包括office版本或WPS版本的全套比选申请文件(资格审查文件、价格文件和技术文件)和盖章后的全套比选申请文件(资格审查文件、价格文件和技术文件)正本的PDF版本扫描件。保存介质：U盘。</w:t>
            </w:r>
          </w:p>
          <w:p w14:paraId="7F928B22">
            <w:pPr>
              <w:spacing w:before="0" w:after="0" w:afterAutospacing="0"/>
              <w:ind w:left="0" w:right="0" w:firstLine="0"/>
              <w:rPr>
                <w:rFonts w:hint="eastAsia" w:ascii="宋体" w:hAnsi="宋体"/>
                <w:color w:val="auto"/>
                <w:highlight w:val="none"/>
              </w:rPr>
            </w:pPr>
            <w:r>
              <w:rPr>
                <w:rFonts w:ascii="宋体" w:hAnsi="宋体"/>
                <w:color w:val="auto"/>
                <w:highlight w:val="none"/>
              </w:rPr>
              <w:t>5</w:t>
            </w:r>
            <w:r>
              <w:rPr>
                <w:rFonts w:hint="eastAsia" w:ascii="宋体" w:hAnsi="宋体"/>
                <w:color w:val="auto"/>
                <w:highlight w:val="none"/>
              </w:rPr>
              <w:t>.</w:t>
            </w:r>
            <w:r>
              <w:rPr>
                <w:rFonts w:ascii="宋体" w:hAnsi="宋体"/>
                <w:color w:val="auto"/>
                <w:highlight w:val="none"/>
              </w:rPr>
              <w:t>比选申请文件电子版密封方式：比选申请文件电子版与纸质版比选申请文件一并装入比选申请文件袋中。</w:t>
            </w:r>
          </w:p>
        </w:tc>
      </w:tr>
      <w:tr w14:paraId="3CA82B10">
        <w:tblPrEx>
          <w:tblCellMar>
            <w:top w:w="0" w:type="dxa"/>
            <w:left w:w="108" w:type="dxa"/>
            <w:bottom w:w="0" w:type="dxa"/>
            <w:right w:w="108" w:type="dxa"/>
          </w:tblCellMar>
        </w:tblPrEx>
        <w:trPr>
          <w:trHeight w:val="242" w:hRule="atLeast"/>
        </w:trPr>
        <w:tc>
          <w:tcPr>
            <w:tcW w:w="847" w:type="dxa"/>
            <w:vMerge w:val="continue"/>
            <w:tcBorders>
              <w:left w:val="single" w:color="auto" w:sz="4" w:space="0"/>
              <w:right w:val="single" w:color="auto" w:sz="4" w:space="0"/>
            </w:tcBorders>
            <w:vAlign w:val="center"/>
          </w:tcPr>
          <w:p w14:paraId="31D5DE9B">
            <w:pPr>
              <w:spacing w:before="0" w:after="0" w:afterAutospacing="0"/>
              <w:ind w:left="0" w:right="0" w:firstLine="0"/>
              <w:rPr>
                <w:rFonts w:hint="eastAsia" w:ascii="宋体" w:hAnsi="宋体"/>
                <w:color w:val="auto"/>
                <w:highlight w:val="none"/>
              </w:rPr>
            </w:pPr>
          </w:p>
        </w:tc>
        <w:tc>
          <w:tcPr>
            <w:tcW w:w="1559" w:type="dxa"/>
            <w:vMerge w:val="continue"/>
            <w:tcBorders>
              <w:left w:val="nil"/>
              <w:right w:val="single" w:color="auto" w:sz="4" w:space="0"/>
            </w:tcBorders>
            <w:vAlign w:val="center"/>
          </w:tcPr>
          <w:p w14:paraId="74C9BEDD">
            <w:pPr>
              <w:spacing w:before="0" w:after="0" w:afterAutospacing="0"/>
              <w:ind w:left="0" w:right="0" w:firstLine="0"/>
              <w:rPr>
                <w:rFonts w:hint="eastAsia" w:ascii="宋体" w:hAnsi="宋体"/>
                <w:color w:val="auto"/>
                <w:highlight w:val="none"/>
              </w:rPr>
            </w:pPr>
          </w:p>
        </w:tc>
        <w:tc>
          <w:tcPr>
            <w:tcW w:w="6711" w:type="dxa"/>
            <w:tcBorders>
              <w:top w:val="single" w:color="auto" w:sz="4" w:space="0"/>
              <w:left w:val="nil"/>
              <w:bottom w:val="single" w:color="auto" w:sz="4" w:space="0"/>
              <w:right w:val="single" w:color="auto" w:sz="4" w:space="0"/>
            </w:tcBorders>
            <w:vAlign w:val="center"/>
          </w:tcPr>
          <w:p w14:paraId="7AAC2D53">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1.本比选文件中描述比选申请人的</w:t>
            </w:r>
            <w:r>
              <w:rPr>
                <w:rFonts w:ascii="宋体" w:hAnsi="宋体"/>
                <w:color w:val="auto"/>
                <w:highlight w:val="none"/>
              </w:rPr>
              <w:t>“</w:t>
            </w:r>
            <w:r>
              <w:rPr>
                <w:rFonts w:hint="eastAsia" w:ascii="宋体" w:hAnsi="宋体"/>
                <w:color w:val="auto"/>
                <w:highlight w:val="none"/>
              </w:rPr>
              <w:t>公章</w:t>
            </w:r>
            <w:r>
              <w:rPr>
                <w:rFonts w:ascii="宋体" w:hAnsi="宋体"/>
                <w:color w:val="auto"/>
                <w:highlight w:val="none"/>
              </w:rPr>
              <w:t>”</w:t>
            </w:r>
            <w:r>
              <w:rPr>
                <w:rFonts w:hint="eastAsia" w:ascii="宋体" w:hAnsi="宋体"/>
                <w:color w:val="auto"/>
                <w:highlight w:val="none"/>
              </w:rPr>
              <w:t>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3A53D1E6">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2.本比选文件中描述比选申请人的</w:t>
            </w:r>
            <w:r>
              <w:rPr>
                <w:rFonts w:ascii="宋体" w:hAnsi="宋体"/>
                <w:color w:val="auto"/>
                <w:highlight w:val="none"/>
              </w:rPr>
              <w:t>“</w:t>
            </w:r>
            <w:r>
              <w:rPr>
                <w:rFonts w:hint="eastAsia" w:ascii="宋体" w:hAnsi="宋体"/>
                <w:color w:val="auto"/>
                <w:highlight w:val="none"/>
              </w:rPr>
              <w:t>签字</w:t>
            </w:r>
            <w:r>
              <w:rPr>
                <w:rFonts w:ascii="宋体" w:hAnsi="宋体"/>
                <w:color w:val="auto"/>
                <w:highlight w:val="none"/>
              </w:rPr>
              <w:t>”</w:t>
            </w:r>
            <w:r>
              <w:rPr>
                <w:rFonts w:hint="eastAsia" w:ascii="宋体" w:hAnsi="宋体"/>
                <w:color w:val="auto"/>
                <w:highlight w:val="none"/>
              </w:rPr>
              <w:t>是指比选申请人的法定代表人或被授权人亲自在比选文件规定签署处亲笔写上个人的名字的行为，私章、签字章、印鉴、影印等其它形式均不能代替亲笔签字。</w:t>
            </w:r>
          </w:p>
        </w:tc>
      </w:tr>
      <w:tr w14:paraId="1FD0D4F5">
        <w:tblPrEx>
          <w:tblCellMar>
            <w:top w:w="0" w:type="dxa"/>
            <w:left w:w="108" w:type="dxa"/>
            <w:bottom w:w="0" w:type="dxa"/>
            <w:right w:w="108" w:type="dxa"/>
          </w:tblCellMar>
        </w:tblPrEx>
        <w:trPr>
          <w:trHeight w:val="242" w:hRule="atLeast"/>
        </w:trPr>
        <w:tc>
          <w:tcPr>
            <w:tcW w:w="847" w:type="dxa"/>
            <w:vMerge w:val="continue"/>
            <w:tcBorders>
              <w:left w:val="single" w:color="auto" w:sz="4" w:space="0"/>
              <w:bottom w:val="single" w:color="auto" w:sz="4" w:space="0"/>
              <w:right w:val="single" w:color="auto" w:sz="4" w:space="0"/>
            </w:tcBorders>
            <w:vAlign w:val="center"/>
          </w:tcPr>
          <w:p w14:paraId="1A88DBBB">
            <w:pPr>
              <w:spacing w:before="0" w:after="0" w:afterAutospacing="0"/>
              <w:ind w:left="0" w:right="0" w:firstLine="0"/>
              <w:rPr>
                <w:rFonts w:hint="eastAsia" w:ascii="宋体" w:hAnsi="宋体"/>
                <w:color w:val="auto"/>
                <w:highlight w:val="none"/>
              </w:rPr>
            </w:pPr>
          </w:p>
        </w:tc>
        <w:tc>
          <w:tcPr>
            <w:tcW w:w="1559" w:type="dxa"/>
            <w:vMerge w:val="continue"/>
            <w:tcBorders>
              <w:left w:val="nil"/>
              <w:bottom w:val="single" w:color="auto" w:sz="4" w:space="0"/>
              <w:right w:val="single" w:color="auto" w:sz="4" w:space="0"/>
            </w:tcBorders>
            <w:vAlign w:val="center"/>
          </w:tcPr>
          <w:p w14:paraId="0F626363">
            <w:pPr>
              <w:spacing w:before="0" w:after="0" w:afterAutospacing="0"/>
              <w:ind w:left="0" w:right="0" w:firstLine="0"/>
              <w:rPr>
                <w:rFonts w:hint="eastAsia" w:ascii="宋体" w:hAnsi="宋体"/>
                <w:color w:val="auto"/>
                <w:highlight w:val="none"/>
              </w:rPr>
            </w:pPr>
          </w:p>
        </w:tc>
        <w:tc>
          <w:tcPr>
            <w:tcW w:w="6711" w:type="dxa"/>
            <w:tcBorders>
              <w:top w:val="single" w:color="auto" w:sz="4" w:space="0"/>
              <w:left w:val="nil"/>
              <w:bottom w:val="single" w:color="auto" w:sz="4" w:space="0"/>
              <w:right w:val="single" w:color="auto" w:sz="4" w:space="0"/>
            </w:tcBorders>
            <w:vAlign w:val="center"/>
          </w:tcPr>
          <w:p w14:paraId="4C8B8742">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1.本项目比选文件的最终解释权归比选人。</w:t>
            </w:r>
          </w:p>
        </w:tc>
      </w:tr>
      <w:tr w14:paraId="66FCA21A">
        <w:tblPrEx>
          <w:tblCellMar>
            <w:top w:w="0" w:type="dxa"/>
            <w:left w:w="108" w:type="dxa"/>
            <w:bottom w:w="0" w:type="dxa"/>
            <w:right w:w="108" w:type="dxa"/>
          </w:tblCellMar>
        </w:tblPrEx>
        <w:trPr>
          <w:trHeight w:val="242" w:hRule="atLeast"/>
        </w:trPr>
        <w:tc>
          <w:tcPr>
            <w:tcW w:w="847" w:type="dxa"/>
            <w:tcBorders>
              <w:top w:val="single" w:color="auto" w:sz="4" w:space="0"/>
              <w:left w:val="single" w:color="auto" w:sz="4" w:space="0"/>
              <w:bottom w:val="single" w:color="auto" w:sz="4" w:space="0"/>
              <w:right w:val="single" w:color="auto" w:sz="4" w:space="0"/>
            </w:tcBorders>
            <w:vAlign w:val="center"/>
          </w:tcPr>
          <w:p w14:paraId="298676A6">
            <w:pPr>
              <w:spacing w:before="0" w:after="0" w:afterAutospacing="0"/>
              <w:ind w:left="0" w:right="0" w:firstLine="0"/>
              <w:rPr>
                <w:rFonts w:hint="eastAsia" w:ascii="宋体" w:hAnsi="宋体"/>
                <w:color w:val="auto"/>
                <w:highlight w:val="none"/>
              </w:rPr>
            </w:pPr>
          </w:p>
        </w:tc>
        <w:tc>
          <w:tcPr>
            <w:tcW w:w="1559" w:type="dxa"/>
            <w:tcBorders>
              <w:top w:val="single" w:color="auto" w:sz="4" w:space="0"/>
              <w:left w:val="nil"/>
              <w:bottom w:val="single" w:color="auto" w:sz="4" w:space="0"/>
              <w:right w:val="single" w:color="auto" w:sz="4" w:space="0"/>
            </w:tcBorders>
            <w:vAlign w:val="center"/>
          </w:tcPr>
          <w:p w14:paraId="26828843">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其他</w:t>
            </w:r>
          </w:p>
        </w:tc>
        <w:tc>
          <w:tcPr>
            <w:tcW w:w="6711" w:type="dxa"/>
            <w:tcBorders>
              <w:top w:val="single" w:color="auto" w:sz="4" w:space="0"/>
              <w:left w:val="nil"/>
              <w:bottom w:val="single" w:color="auto" w:sz="4" w:space="0"/>
              <w:right w:val="single" w:color="auto" w:sz="4" w:space="0"/>
            </w:tcBorders>
            <w:vAlign w:val="center"/>
          </w:tcPr>
          <w:p w14:paraId="78B23087">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在保证设计质量的前提下，本项目中选人需根据比选人提供的设计任务书实行限额设计。</w:t>
            </w:r>
          </w:p>
        </w:tc>
      </w:tr>
    </w:tbl>
    <w:p w14:paraId="04E3B16A">
      <w:pPr>
        <w:pStyle w:val="7"/>
        <w:spacing w:after="0" w:afterAutospacing="0" w:line="360" w:lineRule="auto"/>
        <w:ind w:left="484" w:leftChars="200" w:right="0" w:hanging="64" w:hangingChars="20"/>
        <w:rPr>
          <w:rFonts w:hint="eastAsia" w:ascii="宋体" w:hAnsi="宋体" w:eastAsia="宋体"/>
          <w:color w:val="auto"/>
          <w:sz w:val="24"/>
          <w:szCs w:val="24"/>
          <w:highlight w:val="none"/>
        </w:rPr>
      </w:pPr>
      <w:r>
        <w:rPr>
          <w:rFonts w:ascii="宋体" w:hAnsi="宋体" w:eastAsia="宋体"/>
          <w:color w:val="auto"/>
          <w:highlight w:val="none"/>
        </w:rPr>
        <w:br w:type="page"/>
      </w:r>
      <w:bookmarkStart w:id="42" w:name="_Toc322528193"/>
      <w:bookmarkEnd w:id="42"/>
      <w:bookmarkStart w:id="43" w:name="_Toc853"/>
      <w:bookmarkStart w:id="44" w:name="_Toc3224"/>
      <w:bookmarkStart w:id="45" w:name="_Toc114134607"/>
      <w:r>
        <w:rPr>
          <w:rFonts w:hint="eastAsia" w:ascii="宋体" w:hAnsi="宋体" w:eastAsia="宋体"/>
          <w:color w:val="auto"/>
          <w:sz w:val="24"/>
          <w:szCs w:val="24"/>
          <w:highlight w:val="none"/>
        </w:rPr>
        <w:t>一、</w:t>
      </w:r>
      <w:r>
        <w:rPr>
          <w:rFonts w:ascii="宋体" w:hAnsi="宋体" w:eastAsia="宋体"/>
          <w:color w:val="auto"/>
          <w:sz w:val="24"/>
          <w:szCs w:val="24"/>
          <w:highlight w:val="none"/>
        </w:rPr>
        <w:t>说明</w:t>
      </w:r>
      <w:bookmarkEnd w:id="43"/>
      <w:bookmarkEnd w:id="44"/>
      <w:bookmarkEnd w:id="45"/>
    </w:p>
    <w:p w14:paraId="2E19ED8D">
      <w:pPr>
        <w:pStyle w:val="8"/>
        <w:spacing w:before="0" w:after="0" w:afterAutospacing="0"/>
        <w:ind w:left="0" w:right="0" w:firstLine="422" w:firstLineChars="200"/>
        <w:rPr>
          <w:rFonts w:hint="eastAsia" w:ascii="宋体" w:hAnsi="宋体"/>
          <w:color w:val="auto"/>
          <w:sz w:val="21"/>
          <w:szCs w:val="21"/>
          <w:highlight w:val="none"/>
        </w:rPr>
      </w:pPr>
      <w:bookmarkStart w:id="46" w:name="_Toc31563"/>
      <w:bookmarkStart w:id="47" w:name="_Toc30570"/>
      <w:bookmarkStart w:id="48" w:name="_Toc6861"/>
      <w:bookmarkStart w:id="49" w:name="_Toc385427793"/>
      <w:bookmarkStart w:id="50" w:name="_Toc390098419"/>
      <w:bookmarkStart w:id="51" w:name="_Toc375039064"/>
      <w:bookmarkStart w:id="52" w:name="_Toc492478718"/>
      <w:bookmarkStart w:id="53" w:name="_Toc28326"/>
      <w:bookmarkStart w:id="54" w:name="_Toc14066"/>
      <w:bookmarkStart w:id="55" w:name="_Toc17845"/>
      <w:bookmarkStart w:id="56" w:name="_Toc25750591"/>
      <w:bookmarkStart w:id="57" w:name="_Toc23660"/>
      <w:bookmarkStart w:id="58" w:name="_Toc3364"/>
      <w:bookmarkStart w:id="59" w:name="_Toc5495"/>
      <w:bookmarkStart w:id="60" w:name="_Toc114134608"/>
      <w:bookmarkStart w:id="61" w:name="_Toc12526"/>
      <w:bookmarkStart w:id="62" w:name="_Toc27079"/>
      <w:bookmarkStart w:id="63" w:name="_Toc27076"/>
      <w:bookmarkStart w:id="64" w:name="_Toc12983505"/>
      <w:bookmarkStart w:id="65" w:name="_Toc463"/>
      <w:bookmarkStart w:id="66" w:name="_Toc8166"/>
      <w:bookmarkStart w:id="67" w:name="_Toc7778"/>
      <w:bookmarkStart w:id="68" w:name="_Toc383891168"/>
      <w:bookmarkStart w:id="69" w:name="_Toc21139"/>
      <w:bookmarkStart w:id="70" w:name="_Toc9366"/>
      <w:bookmarkStart w:id="71" w:name="_Toc11224"/>
      <w:bookmarkStart w:id="72" w:name="_Toc3804"/>
      <w:r>
        <w:rPr>
          <w:rFonts w:hint="eastAsia" w:ascii="宋体" w:hAnsi="宋体"/>
          <w:color w:val="auto"/>
          <w:sz w:val="21"/>
          <w:szCs w:val="21"/>
          <w:highlight w:val="none"/>
        </w:rPr>
        <w:t xml:space="preserve">1. </w:t>
      </w:r>
      <w:r>
        <w:rPr>
          <w:rFonts w:ascii="宋体" w:hAnsi="宋体"/>
          <w:color w:val="auto"/>
          <w:sz w:val="21"/>
          <w:szCs w:val="21"/>
          <w:highlight w:val="none"/>
        </w:rPr>
        <w:t>项目说明</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33BAFCFC">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1.1 比选人</w:t>
      </w:r>
      <w:r>
        <w:rPr>
          <w:rFonts w:ascii="宋体" w:hAnsi="宋体"/>
          <w:color w:val="auto"/>
          <w:highlight w:val="none"/>
        </w:rPr>
        <w:t>：详见比选申请须知前附表。</w:t>
      </w:r>
    </w:p>
    <w:p w14:paraId="27882352">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1.2 项目名称</w:t>
      </w:r>
      <w:r>
        <w:rPr>
          <w:rFonts w:ascii="宋体" w:hAnsi="宋体"/>
          <w:color w:val="auto"/>
          <w:highlight w:val="none"/>
        </w:rPr>
        <w:t>：详见比选申请须知前附表。</w:t>
      </w:r>
    </w:p>
    <w:p w14:paraId="2CBFB71D">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1.3 项目编号</w:t>
      </w:r>
      <w:r>
        <w:rPr>
          <w:rFonts w:ascii="宋体" w:hAnsi="宋体"/>
          <w:color w:val="auto"/>
          <w:highlight w:val="none"/>
        </w:rPr>
        <w:t>：详见比选申请须知前附表。</w:t>
      </w:r>
    </w:p>
    <w:p w14:paraId="51E0A176">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1.4比选范围：</w:t>
      </w:r>
      <w:r>
        <w:rPr>
          <w:rFonts w:ascii="宋体" w:hAnsi="宋体"/>
          <w:color w:val="auto"/>
          <w:highlight w:val="none"/>
        </w:rPr>
        <w:t>详见比选申请须知前附表。</w:t>
      </w:r>
    </w:p>
    <w:p w14:paraId="319F021C">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1.5合同期：</w:t>
      </w:r>
      <w:r>
        <w:rPr>
          <w:rFonts w:ascii="宋体" w:hAnsi="宋体"/>
          <w:color w:val="auto"/>
          <w:highlight w:val="none"/>
        </w:rPr>
        <w:t>详见比选申请须知前附表。</w:t>
      </w:r>
    </w:p>
    <w:p w14:paraId="3C20C8A2">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1.6 资金来源情况：</w:t>
      </w:r>
      <w:r>
        <w:rPr>
          <w:rFonts w:ascii="宋体" w:hAnsi="宋体"/>
          <w:color w:val="auto"/>
          <w:highlight w:val="none"/>
        </w:rPr>
        <w:t>详见比选申请须知前附表。</w:t>
      </w:r>
    </w:p>
    <w:p w14:paraId="50BDCE3C">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1.7上限控制价</w:t>
      </w:r>
      <w:r>
        <w:rPr>
          <w:rFonts w:ascii="宋体" w:hAnsi="宋体"/>
          <w:color w:val="auto"/>
          <w:highlight w:val="none"/>
        </w:rPr>
        <w:t>：详见比选申请须知前附表。</w:t>
      </w:r>
    </w:p>
    <w:p w14:paraId="1C9DB668">
      <w:pPr>
        <w:pStyle w:val="8"/>
        <w:spacing w:before="0" w:after="0" w:afterAutospacing="0"/>
        <w:ind w:left="0" w:right="0" w:firstLine="422" w:firstLineChars="200"/>
        <w:rPr>
          <w:rFonts w:hint="eastAsia" w:ascii="宋体" w:hAnsi="宋体"/>
          <w:color w:val="auto"/>
          <w:sz w:val="21"/>
          <w:szCs w:val="21"/>
          <w:highlight w:val="none"/>
        </w:rPr>
      </w:pPr>
      <w:bookmarkStart w:id="73" w:name="_Toc2536"/>
      <w:bookmarkStart w:id="74" w:name="_Toc22987"/>
      <w:bookmarkStart w:id="75" w:name="_Toc27845"/>
      <w:bookmarkStart w:id="76" w:name="_Toc10907"/>
      <w:bookmarkStart w:id="77" w:name="_Toc6985"/>
      <w:bookmarkStart w:id="78" w:name="_Toc27847"/>
      <w:bookmarkStart w:id="79" w:name="_Toc4780"/>
      <w:bookmarkStart w:id="80" w:name="_Toc16860"/>
      <w:bookmarkStart w:id="81" w:name="_Toc8052"/>
      <w:bookmarkStart w:id="82" w:name="_Toc25750592"/>
      <w:bookmarkStart w:id="83" w:name="_Toc31314"/>
      <w:bookmarkStart w:id="84" w:name="_Toc6038"/>
      <w:bookmarkStart w:id="85" w:name="_Toc390098420"/>
      <w:bookmarkStart w:id="86" w:name="_Toc24429"/>
      <w:bookmarkStart w:id="87" w:name="_Toc492478719"/>
      <w:bookmarkStart w:id="88" w:name="_Toc385427794"/>
      <w:bookmarkStart w:id="89" w:name="_Toc383891169"/>
      <w:bookmarkStart w:id="90" w:name="_Toc21874"/>
      <w:bookmarkStart w:id="91" w:name="_Toc375039065"/>
      <w:bookmarkStart w:id="92" w:name="_Toc27621"/>
      <w:bookmarkStart w:id="93" w:name="_Toc114134609"/>
      <w:bookmarkStart w:id="94" w:name="_Toc1552"/>
      <w:bookmarkStart w:id="95" w:name="_Toc12983506"/>
      <w:r>
        <w:rPr>
          <w:rFonts w:hint="eastAsia" w:ascii="宋体" w:hAnsi="宋体"/>
          <w:color w:val="auto"/>
          <w:sz w:val="21"/>
          <w:szCs w:val="21"/>
          <w:highlight w:val="none"/>
        </w:rPr>
        <w:t>2. 定义</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96B68C1">
      <w:pPr>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本比选文件使用的下列词汇具有如下规定的意义。</w:t>
      </w:r>
    </w:p>
    <w:p w14:paraId="589E9E10">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2.1 </w:t>
      </w:r>
      <w:r>
        <w:rPr>
          <w:rFonts w:ascii="宋体" w:hAnsi="宋体"/>
          <w:color w:val="auto"/>
          <w:highlight w:val="none"/>
        </w:rPr>
        <w:t>“比选人”系指提出</w:t>
      </w:r>
      <w:r>
        <w:rPr>
          <w:rFonts w:hint="eastAsia" w:ascii="宋体" w:hAnsi="宋体"/>
          <w:color w:val="auto"/>
          <w:highlight w:val="none"/>
        </w:rPr>
        <w:t>比选</w:t>
      </w:r>
      <w:r>
        <w:rPr>
          <w:rFonts w:ascii="宋体" w:hAnsi="宋体"/>
          <w:color w:val="auto"/>
          <w:highlight w:val="none"/>
        </w:rPr>
        <w:t>采购</w:t>
      </w:r>
      <w:r>
        <w:rPr>
          <w:rFonts w:hint="eastAsia" w:ascii="宋体" w:hAnsi="宋体"/>
          <w:color w:val="auto"/>
          <w:highlight w:val="none"/>
        </w:rPr>
        <w:t>项目</w:t>
      </w:r>
      <w:r>
        <w:rPr>
          <w:rFonts w:ascii="宋体" w:hAnsi="宋体"/>
          <w:color w:val="auto"/>
          <w:highlight w:val="none"/>
        </w:rPr>
        <w:t>的国家机关、企业、事业单位或其它组织。本比选文件中比选人是指</w:t>
      </w:r>
      <w:r>
        <w:rPr>
          <w:rFonts w:hint="eastAsia" w:ascii="宋体" w:hAnsi="宋体"/>
          <w:b/>
          <w:color w:val="auto"/>
          <w:highlight w:val="none"/>
        </w:rPr>
        <w:t>南宁轨道盛拓天和房地产有限公司</w:t>
      </w:r>
      <w:r>
        <w:rPr>
          <w:rFonts w:ascii="宋体" w:hAnsi="宋体"/>
          <w:color w:val="auto"/>
          <w:highlight w:val="none"/>
        </w:rPr>
        <w:t>。如无特别说明本比选文件中的“发包人、业主、甲方和比选人”均指：</w:t>
      </w:r>
      <w:r>
        <w:rPr>
          <w:rFonts w:hint="eastAsia" w:ascii="宋体" w:hAnsi="宋体"/>
          <w:b/>
          <w:color w:val="auto"/>
          <w:highlight w:val="none"/>
        </w:rPr>
        <w:t>南宁轨道盛拓天和房地产有限公司</w:t>
      </w:r>
      <w:r>
        <w:rPr>
          <w:rFonts w:ascii="宋体" w:hAnsi="宋体"/>
          <w:color w:val="auto"/>
          <w:highlight w:val="none"/>
        </w:rPr>
        <w:t>。</w:t>
      </w:r>
    </w:p>
    <w:p w14:paraId="58229F82">
      <w:pPr>
        <w:tabs>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2.</w:t>
      </w:r>
      <w:r>
        <w:rPr>
          <w:rFonts w:hint="eastAsia" w:ascii="宋体" w:hAnsi="宋体"/>
          <w:color w:val="auto"/>
          <w:highlight w:val="none"/>
        </w:rPr>
        <w:t>2</w:t>
      </w:r>
      <w:r>
        <w:rPr>
          <w:rFonts w:ascii="宋体" w:hAnsi="宋体"/>
          <w:color w:val="auto"/>
          <w:highlight w:val="none"/>
        </w:rPr>
        <w:t xml:space="preserve"> “比选申请人”</w:t>
      </w:r>
      <w:r>
        <w:rPr>
          <w:rFonts w:hint="eastAsia" w:ascii="宋体" w:hAnsi="宋体"/>
          <w:color w:val="auto"/>
          <w:highlight w:val="none"/>
        </w:rPr>
        <w:t>系指响应比选、参加比选申请竞争的法人或其他组织</w:t>
      </w:r>
      <w:r>
        <w:rPr>
          <w:rFonts w:ascii="宋体" w:hAnsi="宋体"/>
          <w:color w:val="auto"/>
          <w:highlight w:val="none"/>
        </w:rPr>
        <w:t>。</w:t>
      </w:r>
    </w:p>
    <w:p w14:paraId="434E13F2">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2.3</w:t>
      </w:r>
      <w:r>
        <w:rPr>
          <w:rFonts w:ascii="宋体" w:hAnsi="宋体"/>
          <w:color w:val="auto"/>
          <w:highlight w:val="none"/>
        </w:rPr>
        <w:t>“</w:t>
      </w:r>
      <w:r>
        <w:rPr>
          <w:rFonts w:hint="eastAsia" w:ascii="宋体" w:hAnsi="宋体"/>
          <w:color w:val="auto"/>
          <w:highlight w:val="none"/>
        </w:rPr>
        <w:t>服务</w:t>
      </w:r>
      <w:r>
        <w:rPr>
          <w:rFonts w:ascii="宋体" w:hAnsi="宋体"/>
          <w:color w:val="auto"/>
          <w:highlight w:val="none"/>
        </w:rPr>
        <w:t>”</w:t>
      </w:r>
      <w:r>
        <w:rPr>
          <w:rFonts w:hint="eastAsia" w:ascii="宋体" w:hAnsi="宋体"/>
          <w:color w:val="auto"/>
          <w:highlight w:val="none"/>
        </w:rPr>
        <w:t>系指比选文件规定比选申请人须承担的一切合同标的内容及配套工作。</w:t>
      </w:r>
    </w:p>
    <w:p w14:paraId="255FFCF6">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2.4比选申请文件电子版形式：每份包括office版本或WPS版本的全套比选申请文件(资格审查文件、价格文件和技术文件)和盖章后的全套比选申请文件(资格审查文件、价格文件和技术文件)正本的PDF版本扫描件。保存介质：U盘</w:t>
      </w:r>
      <w:r>
        <w:rPr>
          <w:rFonts w:ascii="宋体" w:hAnsi="宋体"/>
          <w:color w:val="auto"/>
          <w:highlight w:val="none"/>
        </w:rPr>
        <w:t>。</w:t>
      </w:r>
    </w:p>
    <w:p w14:paraId="6E783F3C">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2.5</w:t>
      </w:r>
      <w:r>
        <w:rPr>
          <w:rFonts w:ascii="宋体" w:hAnsi="宋体"/>
          <w:color w:val="auto"/>
          <w:highlight w:val="none"/>
        </w:rPr>
        <w:t>“书面形式”系指打字或印刷的函件，包括传真、电报等。</w:t>
      </w:r>
    </w:p>
    <w:p w14:paraId="161EC0C8">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2.6</w:t>
      </w:r>
      <w:r>
        <w:rPr>
          <w:rFonts w:ascii="宋体" w:hAnsi="宋体"/>
          <w:color w:val="auto"/>
          <w:highlight w:val="none"/>
        </w:rPr>
        <w:t>“日”、“天”系指日历天。</w:t>
      </w:r>
    </w:p>
    <w:p w14:paraId="34D6865C">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2.7“保质期”系指质量三包的期限。</w:t>
      </w:r>
    </w:p>
    <w:p w14:paraId="24ED38C3">
      <w:pPr>
        <w:pStyle w:val="8"/>
        <w:spacing w:before="0" w:after="0" w:afterAutospacing="0"/>
        <w:ind w:left="0" w:right="0" w:firstLine="422" w:firstLineChars="200"/>
        <w:rPr>
          <w:rFonts w:hint="eastAsia" w:ascii="宋体" w:hAnsi="宋体"/>
          <w:color w:val="auto"/>
          <w:sz w:val="21"/>
          <w:szCs w:val="21"/>
          <w:highlight w:val="none"/>
        </w:rPr>
      </w:pPr>
      <w:bookmarkStart w:id="96" w:name="_Toc375039066"/>
      <w:bookmarkStart w:id="97" w:name="_Toc383891170"/>
      <w:bookmarkStart w:id="98" w:name="_Toc492478720"/>
      <w:bookmarkStart w:id="99" w:name="_Toc390098421"/>
      <w:bookmarkStart w:id="100" w:name="_Toc385427795"/>
      <w:bookmarkStart w:id="101" w:name="_Toc30498"/>
      <w:bookmarkStart w:id="102" w:name="_Toc25750593"/>
      <w:bookmarkStart w:id="103" w:name="_Toc29401"/>
      <w:bookmarkStart w:id="104" w:name="_Toc498"/>
      <w:bookmarkStart w:id="105" w:name="_Toc24844"/>
      <w:bookmarkStart w:id="106" w:name="_Toc8288"/>
      <w:bookmarkStart w:id="107" w:name="_Toc17075"/>
      <w:bookmarkStart w:id="108" w:name="_Toc10653"/>
      <w:bookmarkStart w:id="109" w:name="_Toc114134610"/>
      <w:bookmarkStart w:id="110" w:name="_Toc7797"/>
      <w:bookmarkStart w:id="111" w:name="_Toc22845"/>
      <w:bookmarkStart w:id="112" w:name="_Toc29859"/>
      <w:bookmarkStart w:id="113" w:name="_Toc9929"/>
      <w:bookmarkStart w:id="114" w:name="_Toc22115"/>
      <w:bookmarkStart w:id="115" w:name="_Toc17568"/>
      <w:bookmarkStart w:id="116" w:name="_Toc31477"/>
      <w:bookmarkStart w:id="117" w:name="_Toc25786"/>
      <w:bookmarkStart w:id="118" w:name="_Toc20853"/>
      <w:bookmarkStart w:id="119" w:name="_Toc12983507"/>
      <w:bookmarkStart w:id="120" w:name="_Toc307"/>
      <w:bookmarkStart w:id="121" w:name="_Toc12940"/>
      <w:bookmarkStart w:id="122" w:name="_Toc7306"/>
      <w:r>
        <w:rPr>
          <w:rFonts w:ascii="宋体" w:hAnsi="宋体"/>
          <w:color w:val="auto"/>
          <w:sz w:val="21"/>
          <w:szCs w:val="21"/>
          <w:highlight w:val="none"/>
        </w:rPr>
        <w:t>3. 比选申请人</w:t>
      </w:r>
      <w:bookmarkEnd w:id="96"/>
      <w:bookmarkEnd w:id="97"/>
      <w:bookmarkEnd w:id="98"/>
      <w:bookmarkEnd w:id="99"/>
      <w:bookmarkEnd w:id="100"/>
      <w:r>
        <w:rPr>
          <w:rFonts w:hint="eastAsia" w:ascii="宋体" w:hAnsi="宋体"/>
          <w:color w:val="auto"/>
          <w:sz w:val="21"/>
          <w:szCs w:val="21"/>
          <w:highlight w:val="none"/>
        </w:rPr>
        <w:t>应具备的资格条件</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3BA7534D">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3.1 </w:t>
      </w:r>
      <w:r>
        <w:rPr>
          <w:rFonts w:ascii="宋体" w:hAnsi="宋体"/>
          <w:color w:val="auto"/>
          <w:highlight w:val="none"/>
        </w:rPr>
        <w:t>详见比选申请须知前附表。</w:t>
      </w:r>
    </w:p>
    <w:p w14:paraId="1D338F3C">
      <w:pPr>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 xml:space="preserve">3.2 </w:t>
      </w:r>
      <w:r>
        <w:rPr>
          <w:rFonts w:hint="eastAsia" w:ascii="宋体" w:hAnsi="宋体"/>
          <w:color w:val="auto"/>
          <w:highlight w:val="none"/>
        </w:rPr>
        <w:t>比选申请人不得存在以下情况之一，否则其比选申请将被否决：</w:t>
      </w:r>
    </w:p>
    <w:p w14:paraId="5E0AB79A">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w:t>
      </w:r>
      <w:r>
        <w:rPr>
          <w:rFonts w:ascii="宋体" w:hAnsi="宋体"/>
          <w:color w:val="auto"/>
          <w:highlight w:val="none"/>
        </w:rPr>
        <w:t>1</w:t>
      </w:r>
      <w:r>
        <w:rPr>
          <w:rFonts w:hint="eastAsia" w:ascii="宋体" w:hAnsi="宋体"/>
          <w:color w:val="auto"/>
          <w:highlight w:val="none"/>
        </w:rPr>
        <w:t>）为比选人不具有独立法人资格的附属机构（单位）；</w:t>
      </w:r>
    </w:p>
    <w:p w14:paraId="5C3281BC">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（2）处于被责令停业，或比选申请资格被住建部、国家安监总局、广西区或南宁市建设行政主管部门取消，或财产被接管、冻结、破产状态；</w:t>
      </w:r>
    </w:p>
    <w:p w14:paraId="18A7EDA1">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（3）有骗取中选、严重违约或重大质量安全责任事故；</w:t>
      </w:r>
    </w:p>
    <w:p w14:paraId="7D53F547">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（4）单位负责人为同一人或者存在控股、管理关系的不同单位，不得同时参加同一标段比选申请或者未划分标段的同一比选项目比选申请；</w:t>
      </w:r>
    </w:p>
    <w:p w14:paraId="18F5A30D">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（5）比选申请人向比选人或比选评审小组成员以行贿的手段谋取中选的；</w:t>
      </w:r>
    </w:p>
    <w:p w14:paraId="227CDFC0">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（6）串通比选申请或弄虚作假或有其他违法行为的；</w:t>
      </w:r>
    </w:p>
    <w:p w14:paraId="2BA07ACE">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（7）在比选申请文件中提供虚假文件或资料的。</w:t>
      </w:r>
    </w:p>
    <w:p w14:paraId="4693F133">
      <w:pPr>
        <w:pStyle w:val="8"/>
        <w:spacing w:before="0" w:after="0" w:afterAutospacing="0"/>
        <w:ind w:left="0" w:right="0" w:firstLine="422" w:firstLineChars="200"/>
        <w:rPr>
          <w:rFonts w:hint="eastAsia" w:ascii="宋体" w:hAnsi="宋体"/>
          <w:color w:val="auto"/>
          <w:sz w:val="21"/>
          <w:szCs w:val="21"/>
          <w:highlight w:val="none"/>
        </w:rPr>
      </w:pPr>
      <w:bookmarkStart w:id="123" w:name="_Toc7103"/>
      <w:bookmarkStart w:id="124" w:name="_Toc21215"/>
      <w:bookmarkStart w:id="125" w:name="_Toc23146"/>
      <w:bookmarkStart w:id="126" w:name="_Toc114134611"/>
      <w:bookmarkStart w:id="127" w:name="_Toc31789"/>
      <w:bookmarkStart w:id="128" w:name="_Toc19709"/>
      <w:bookmarkStart w:id="129" w:name="_Toc1737"/>
      <w:bookmarkStart w:id="130" w:name="_Toc24103"/>
      <w:bookmarkStart w:id="131" w:name="_Toc30752"/>
      <w:bookmarkStart w:id="132" w:name="_Toc375039067"/>
      <w:bookmarkStart w:id="133" w:name="_Toc29779"/>
      <w:bookmarkStart w:id="134" w:name="_Toc390098422"/>
      <w:bookmarkStart w:id="135" w:name="_Toc1125"/>
      <w:bookmarkStart w:id="136" w:name="_Toc25914"/>
      <w:bookmarkStart w:id="137" w:name="_Toc385427796"/>
      <w:bookmarkStart w:id="138" w:name="_Toc12983508"/>
      <w:bookmarkStart w:id="139" w:name="_Toc18668"/>
      <w:bookmarkStart w:id="140" w:name="_Toc3292"/>
      <w:bookmarkStart w:id="141" w:name="_Toc22030"/>
      <w:bookmarkStart w:id="142" w:name="_Toc19081"/>
      <w:bookmarkStart w:id="143" w:name="_Toc492478721"/>
      <w:bookmarkStart w:id="144" w:name="_Toc7832"/>
      <w:bookmarkStart w:id="145" w:name="_Toc21602"/>
      <w:bookmarkStart w:id="146" w:name="_Toc383891171"/>
      <w:bookmarkStart w:id="147" w:name="_Toc616"/>
      <w:bookmarkStart w:id="148" w:name="_Toc25750594"/>
      <w:bookmarkStart w:id="149" w:name="_Toc4438"/>
      <w:r>
        <w:rPr>
          <w:rFonts w:hint="eastAsia" w:ascii="宋体" w:hAnsi="宋体"/>
          <w:color w:val="auto"/>
          <w:sz w:val="21"/>
          <w:szCs w:val="21"/>
          <w:highlight w:val="none"/>
        </w:rPr>
        <w:t xml:space="preserve">4. </w:t>
      </w:r>
      <w:r>
        <w:rPr>
          <w:rFonts w:ascii="宋体" w:hAnsi="宋体"/>
          <w:color w:val="auto"/>
          <w:sz w:val="21"/>
          <w:szCs w:val="21"/>
          <w:highlight w:val="none"/>
        </w:rPr>
        <w:t>比选申请费用</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34990C7E">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比选申请人准备和参加比选申请活动发生的费用自理</w:t>
      </w:r>
      <w:r>
        <w:rPr>
          <w:rFonts w:ascii="宋体" w:hAnsi="宋体"/>
          <w:color w:val="auto"/>
          <w:highlight w:val="none"/>
        </w:rPr>
        <w:t>。</w:t>
      </w:r>
    </w:p>
    <w:p w14:paraId="6E8104E1">
      <w:pPr>
        <w:pStyle w:val="7"/>
        <w:spacing w:after="0" w:afterAutospacing="0" w:line="360" w:lineRule="auto"/>
        <w:ind w:left="0" w:right="0" w:firstLine="482" w:firstLineChars="200"/>
        <w:rPr>
          <w:rFonts w:hint="eastAsia" w:ascii="宋体" w:hAnsi="宋体" w:eastAsia="宋体"/>
          <w:color w:val="auto"/>
          <w:sz w:val="24"/>
          <w:szCs w:val="24"/>
          <w:highlight w:val="none"/>
        </w:rPr>
      </w:pPr>
      <w:bookmarkStart w:id="150" w:name="_Toc29160"/>
      <w:bookmarkStart w:id="151" w:name="_Toc492478722"/>
      <w:bookmarkStart w:id="152" w:name="_Toc6528"/>
      <w:bookmarkStart w:id="153" w:name="_Toc12983509"/>
      <w:bookmarkStart w:id="154" w:name="_Toc7339"/>
      <w:bookmarkStart w:id="155" w:name="_Toc375039068"/>
      <w:bookmarkStart w:id="156" w:name="_Toc14788"/>
      <w:bookmarkStart w:id="157" w:name="_Toc114134612"/>
      <w:bookmarkStart w:id="158" w:name="_Toc2986"/>
      <w:bookmarkStart w:id="159" w:name="_Toc385427797"/>
      <w:bookmarkStart w:id="160" w:name="_Toc390098423"/>
      <w:bookmarkStart w:id="161" w:name="_Toc2609"/>
      <w:bookmarkStart w:id="162" w:name="_Toc19617"/>
      <w:bookmarkStart w:id="163" w:name="_Toc16530"/>
      <w:bookmarkStart w:id="164" w:name="_Toc16608"/>
      <w:bookmarkStart w:id="165" w:name="_Toc5487"/>
      <w:bookmarkStart w:id="166" w:name="_Toc3854"/>
      <w:bookmarkStart w:id="167" w:name="_Toc383891172"/>
      <w:bookmarkStart w:id="168" w:name="_Toc15763"/>
      <w:bookmarkStart w:id="169" w:name="_Toc9677"/>
      <w:bookmarkStart w:id="170" w:name="_Toc31991"/>
      <w:bookmarkStart w:id="171" w:name="_Toc5160"/>
      <w:bookmarkStart w:id="172" w:name="_Toc8562"/>
      <w:bookmarkStart w:id="173" w:name="_Toc28220"/>
      <w:bookmarkStart w:id="174" w:name="_Toc18528"/>
      <w:bookmarkStart w:id="175" w:name="_Toc16131"/>
      <w:r>
        <w:rPr>
          <w:rFonts w:hint="eastAsia" w:ascii="宋体" w:hAnsi="宋体" w:eastAsia="宋体"/>
          <w:color w:val="auto"/>
          <w:sz w:val="24"/>
          <w:szCs w:val="24"/>
          <w:highlight w:val="none"/>
        </w:rPr>
        <w:t>二、</w:t>
      </w:r>
      <w:r>
        <w:rPr>
          <w:rFonts w:ascii="宋体" w:hAnsi="宋体" w:eastAsia="宋体"/>
          <w:color w:val="auto"/>
          <w:sz w:val="24"/>
          <w:szCs w:val="24"/>
          <w:highlight w:val="none"/>
        </w:rPr>
        <w:t>比选文件</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66A51409">
      <w:pPr>
        <w:pStyle w:val="8"/>
        <w:spacing w:before="0" w:after="0" w:afterAutospacing="0"/>
        <w:ind w:left="0" w:right="0" w:firstLine="422" w:firstLineChars="200"/>
        <w:rPr>
          <w:rFonts w:hint="eastAsia" w:ascii="宋体" w:hAnsi="宋体"/>
          <w:color w:val="auto"/>
          <w:sz w:val="21"/>
          <w:szCs w:val="21"/>
          <w:highlight w:val="none"/>
        </w:rPr>
      </w:pPr>
      <w:bookmarkStart w:id="176" w:name="_Toc27870"/>
      <w:bookmarkStart w:id="177" w:name="_Toc385427798"/>
      <w:bookmarkStart w:id="178" w:name="_Toc6764"/>
      <w:bookmarkStart w:id="179" w:name="_Toc22226"/>
      <w:bookmarkStart w:id="180" w:name="_Toc12983510"/>
      <w:bookmarkStart w:id="181" w:name="_Toc32710"/>
      <w:bookmarkStart w:id="182" w:name="_Toc25378"/>
      <w:bookmarkStart w:id="183" w:name="_Toc9505"/>
      <w:bookmarkStart w:id="184" w:name="_Toc114134613"/>
      <w:bookmarkStart w:id="185" w:name="_Toc13114"/>
      <w:bookmarkStart w:id="186" w:name="_Toc6637"/>
      <w:bookmarkStart w:id="187" w:name="_Toc26333"/>
      <w:bookmarkStart w:id="188" w:name="_Toc21811"/>
      <w:bookmarkStart w:id="189" w:name="_Toc5877"/>
      <w:bookmarkStart w:id="190" w:name="_Toc383891173"/>
      <w:bookmarkStart w:id="191" w:name="_Toc375039069"/>
      <w:bookmarkStart w:id="192" w:name="_Toc839"/>
      <w:bookmarkStart w:id="193" w:name="_Toc30401"/>
      <w:bookmarkStart w:id="194" w:name="_Toc19561"/>
      <w:bookmarkStart w:id="195" w:name="_Toc29472"/>
      <w:bookmarkStart w:id="196" w:name="_Toc9756"/>
      <w:bookmarkStart w:id="197" w:name="_Toc25750596"/>
      <w:bookmarkStart w:id="198" w:name="_Toc29225"/>
      <w:bookmarkStart w:id="199" w:name="_Toc390098424"/>
      <w:bookmarkStart w:id="200" w:name="_Toc4157"/>
      <w:bookmarkStart w:id="201" w:name="_Toc18436"/>
      <w:bookmarkStart w:id="202" w:name="_Toc492478723"/>
      <w:r>
        <w:rPr>
          <w:rFonts w:hint="eastAsia" w:ascii="宋体" w:hAnsi="宋体"/>
          <w:color w:val="auto"/>
          <w:sz w:val="21"/>
          <w:szCs w:val="21"/>
          <w:highlight w:val="none"/>
        </w:rPr>
        <w:t xml:space="preserve">5. </w:t>
      </w:r>
      <w:r>
        <w:rPr>
          <w:rFonts w:ascii="宋体" w:hAnsi="宋体"/>
          <w:color w:val="auto"/>
          <w:sz w:val="21"/>
          <w:szCs w:val="21"/>
          <w:highlight w:val="none"/>
        </w:rPr>
        <w:t>比选文件构成</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65FE977A">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5.1 </w:t>
      </w:r>
      <w:r>
        <w:rPr>
          <w:rFonts w:ascii="宋体" w:hAnsi="宋体"/>
          <w:color w:val="auto"/>
          <w:highlight w:val="none"/>
        </w:rPr>
        <w:t>比选文件包括下列内容：</w:t>
      </w:r>
    </w:p>
    <w:p w14:paraId="730606F9">
      <w:pPr>
        <w:numPr>
          <w:ilvl w:val="0"/>
          <w:numId w:val="3"/>
        </w:numPr>
        <w:spacing w:before="0"/>
        <w:ind w:right="0" w:firstLine="200"/>
        <w:rPr>
          <w:rFonts w:hint="eastAsia" w:ascii="宋体" w:hAnsi="宋体"/>
          <w:color w:val="auto"/>
          <w:highlight w:val="none"/>
        </w:rPr>
      </w:pPr>
      <w:r>
        <w:rPr>
          <w:rFonts w:ascii="宋体" w:hAnsi="宋体"/>
          <w:color w:val="auto"/>
          <w:highlight w:val="none"/>
        </w:rPr>
        <w:t>比选公告</w:t>
      </w:r>
    </w:p>
    <w:p w14:paraId="49466EA0">
      <w:pPr>
        <w:numPr>
          <w:ilvl w:val="0"/>
          <w:numId w:val="3"/>
        </w:numPr>
        <w:spacing w:before="0"/>
        <w:ind w:right="0" w:firstLine="200"/>
        <w:rPr>
          <w:rFonts w:hint="eastAsia" w:ascii="宋体" w:hAnsi="宋体"/>
          <w:color w:val="auto"/>
          <w:highlight w:val="none"/>
        </w:rPr>
      </w:pPr>
      <w:r>
        <w:rPr>
          <w:rFonts w:ascii="宋体" w:hAnsi="宋体"/>
          <w:color w:val="auto"/>
          <w:highlight w:val="none"/>
        </w:rPr>
        <w:t>比选申请人须知</w:t>
      </w:r>
    </w:p>
    <w:p w14:paraId="2E0EC6D2">
      <w:pPr>
        <w:numPr>
          <w:ilvl w:val="0"/>
          <w:numId w:val="3"/>
        </w:numPr>
        <w:spacing w:before="0"/>
        <w:ind w:right="0" w:firstLine="200"/>
        <w:rPr>
          <w:rFonts w:hint="eastAsia" w:ascii="宋体" w:hAnsi="宋体"/>
          <w:color w:val="auto"/>
          <w:highlight w:val="none"/>
        </w:rPr>
      </w:pPr>
      <w:r>
        <w:rPr>
          <w:rFonts w:ascii="宋体" w:hAnsi="宋体"/>
          <w:color w:val="auto"/>
          <w:highlight w:val="none"/>
        </w:rPr>
        <w:t>合同条款</w:t>
      </w:r>
      <w:r>
        <w:rPr>
          <w:rFonts w:hint="eastAsia" w:ascii="宋体" w:hAnsi="宋体"/>
          <w:color w:val="auto"/>
          <w:highlight w:val="none"/>
        </w:rPr>
        <w:t>及格式</w:t>
      </w:r>
    </w:p>
    <w:p w14:paraId="07EE1FD6">
      <w:pPr>
        <w:numPr>
          <w:ilvl w:val="0"/>
          <w:numId w:val="3"/>
        </w:numPr>
        <w:spacing w:before="0"/>
        <w:ind w:right="0" w:firstLine="200"/>
        <w:rPr>
          <w:rFonts w:hint="eastAsia" w:ascii="宋体" w:hAnsi="宋体"/>
          <w:color w:val="auto"/>
          <w:highlight w:val="none"/>
        </w:rPr>
      </w:pPr>
      <w:r>
        <w:rPr>
          <w:rFonts w:ascii="宋体" w:hAnsi="宋体"/>
          <w:color w:val="auto"/>
          <w:highlight w:val="none"/>
        </w:rPr>
        <w:t>比选申请文件格式</w:t>
      </w:r>
    </w:p>
    <w:p w14:paraId="55481B66">
      <w:pPr>
        <w:numPr>
          <w:ilvl w:val="0"/>
          <w:numId w:val="3"/>
        </w:numPr>
        <w:spacing w:before="0"/>
        <w:ind w:right="0" w:firstLine="200"/>
        <w:rPr>
          <w:rFonts w:hint="eastAsia" w:ascii="宋体" w:hAnsi="宋体"/>
          <w:color w:val="auto"/>
          <w:highlight w:val="none"/>
        </w:rPr>
      </w:pPr>
      <w:r>
        <w:rPr>
          <w:rFonts w:hint="eastAsia" w:ascii="宋体" w:hAnsi="宋体"/>
          <w:color w:val="auto"/>
          <w:highlight w:val="none"/>
        </w:rPr>
        <w:t>比选人需求</w:t>
      </w:r>
    </w:p>
    <w:p w14:paraId="4A4FFCE8">
      <w:pPr>
        <w:numPr>
          <w:ilvl w:val="0"/>
          <w:numId w:val="3"/>
        </w:numPr>
        <w:spacing w:before="0" w:after="0" w:afterAutospacing="0"/>
        <w:ind w:right="0" w:firstLine="198"/>
        <w:rPr>
          <w:rFonts w:hint="eastAsia" w:ascii="宋体" w:hAnsi="宋体"/>
          <w:color w:val="auto"/>
          <w:highlight w:val="none"/>
        </w:rPr>
      </w:pPr>
      <w:r>
        <w:rPr>
          <w:rFonts w:ascii="宋体" w:hAnsi="宋体"/>
          <w:color w:val="auto"/>
          <w:highlight w:val="none"/>
        </w:rPr>
        <w:t>评</w:t>
      </w:r>
      <w:r>
        <w:rPr>
          <w:rFonts w:hint="eastAsia" w:ascii="宋体" w:hAnsi="宋体"/>
          <w:color w:val="auto"/>
          <w:highlight w:val="none"/>
        </w:rPr>
        <w:t>分</w:t>
      </w:r>
      <w:r>
        <w:rPr>
          <w:rFonts w:ascii="宋体" w:hAnsi="宋体"/>
          <w:color w:val="auto"/>
          <w:highlight w:val="none"/>
        </w:rPr>
        <w:t>办法</w:t>
      </w:r>
    </w:p>
    <w:p w14:paraId="79A63CD9">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5.2 </w:t>
      </w:r>
      <w:r>
        <w:rPr>
          <w:rFonts w:ascii="宋体" w:hAnsi="宋体"/>
          <w:color w:val="auto"/>
          <w:highlight w:val="none"/>
        </w:rPr>
        <w:t>比选申请人应认真检阅比选文件中所有的章节、条款、格式、图纸、附表和附件等。如果在收到比选文件后发现有缺页、印刷不清楚或对其中内容不理解而未向</w:t>
      </w:r>
      <w:r>
        <w:rPr>
          <w:rFonts w:hint="eastAsia" w:ascii="宋体" w:hAnsi="宋体"/>
          <w:color w:val="auto"/>
          <w:highlight w:val="none"/>
        </w:rPr>
        <w:t>比选人</w:t>
      </w:r>
      <w:r>
        <w:rPr>
          <w:rFonts w:ascii="宋体" w:hAnsi="宋体"/>
          <w:color w:val="auto"/>
          <w:highlight w:val="none"/>
        </w:rPr>
        <w:t>提出，由此导致的比选申请失误，其责任由比选申请人自负。</w:t>
      </w:r>
    </w:p>
    <w:p w14:paraId="79795899">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5.3 </w:t>
      </w:r>
      <w:r>
        <w:rPr>
          <w:rFonts w:ascii="宋体" w:hAnsi="宋体"/>
          <w:color w:val="auto"/>
          <w:highlight w:val="none"/>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3F48EAE1">
      <w:pPr>
        <w:pStyle w:val="8"/>
        <w:spacing w:before="0" w:after="0" w:afterAutospacing="0"/>
        <w:ind w:left="0" w:right="0" w:firstLine="422" w:firstLineChars="200"/>
        <w:rPr>
          <w:rFonts w:hint="eastAsia" w:ascii="宋体" w:hAnsi="宋体"/>
          <w:color w:val="auto"/>
          <w:sz w:val="21"/>
          <w:szCs w:val="21"/>
          <w:highlight w:val="none"/>
        </w:rPr>
      </w:pPr>
      <w:bookmarkStart w:id="203" w:name="_Toc2489"/>
      <w:bookmarkStart w:id="204" w:name="_Toc31848"/>
      <w:bookmarkStart w:id="205" w:name="_Toc2664"/>
      <w:bookmarkStart w:id="206" w:name="_Toc26909"/>
      <w:bookmarkStart w:id="207" w:name="_Toc492478724"/>
      <w:bookmarkStart w:id="208" w:name="_Toc375039070"/>
      <w:bookmarkStart w:id="209" w:name="_Toc15154"/>
      <w:bookmarkStart w:id="210" w:name="_Toc390098425"/>
      <w:bookmarkStart w:id="211" w:name="_Toc12983511"/>
      <w:bookmarkStart w:id="212" w:name="_Toc10162"/>
      <w:bookmarkStart w:id="213" w:name="_Toc383891174"/>
      <w:bookmarkStart w:id="214" w:name="_Toc18631"/>
      <w:bookmarkStart w:id="215" w:name="_Toc29001"/>
      <w:bookmarkStart w:id="216" w:name="_Toc22383"/>
      <w:bookmarkStart w:id="217" w:name="_Toc21365"/>
      <w:bookmarkStart w:id="218" w:name="_Toc14426"/>
      <w:bookmarkStart w:id="219" w:name="_Toc385427799"/>
      <w:bookmarkStart w:id="220" w:name="_Toc28270"/>
      <w:bookmarkStart w:id="221" w:name="_Toc26811"/>
      <w:bookmarkStart w:id="222" w:name="_Toc20903"/>
      <w:bookmarkStart w:id="223" w:name="_Toc25750597"/>
      <w:bookmarkStart w:id="224" w:name="_Toc15278"/>
      <w:bookmarkStart w:id="225" w:name="_Toc31386"/>
      <w:bookmarkStart w:id="226" w:name="_Toc17279"/>
      <w:bookmarkStart w:id="227" w:name="_Toc11896"/>
      <w:bookmarkStart w:id="228" w:name="_Toc2789"/>
      <w:bookmarkStart w:id="229" w:name="_Toc114134614"/>
      <w:r>
        <w:rPr>
          <w:rFonts w:hint="eastAsia" w:ascii="宋体" w:hAnsi="宋体"/>
          <w:color w:val="auto"/>
          <w:sz w:val="21"/>
          <w:szCs w:val="21"/>
          <w:highlight w:val="none"/>
        </w:rPr>
        <w:t>6.</w:t>
      </w:r>
      <w:r>
        <w:rPr>
          <w:rFonts w:ascii="宋体" w:hAnsi="宋体"/>
          <w:color w:val="auto"/>
          <w:sz w:val="21"/>
          <w:szCs w:val="21"/>
          <w:highlight w:val="none"/>
        </w:rPr>
        <w:t>比选文件的澄清</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6B6798F8">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6.1 </w:t>
      </w:r>
      <w:r>
        <w:rPr>
          <w:rFonts w:ascii="宋体" w:hAnsi="宋体"/>
          <w:color w:val="auto"/>
          <w:highlight w:val="none"/>
        </w:rPr>
        <w:t>任何要求对比选文件进行澄清的比选申请人，应在比选申请须知前附表所规定的时间</w:t>
      </w:r>
      <w:r>
        <w:rPr>
          <w:rFonts w:hint="eastAsia" w:ascii="宋体" w:hAnsi="宋体"/>
          <w:color w:val="auto"/>
          <w:highlight w:val="none"/>
        </w:rPr>
        <w:t>及形式向比选人提出。</w:t>
      </w:r>
    </w:p>
    <w:p w14:paraId="00645D21">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6.2 比选人</w:t>
      </w:r>
      <w:r>
        <w:rPr>
          <w:rFonts w:ascii="宋体" w:hAnsi="宋体"/>
          <w:color w:val="auto"/>
          <w:highlight w:val="none"/>
        </w:rPr>
        <w:t>将根据比选申请人的</w:t>
      </w:r>
      <w:r>
        <w:rPr>
          <w:rFonts w:hint="eastAsia" w:ascii="宋体" w:hAnsi="宋体"/>
          <w:color w:val="auto"/>
          <w:highlight w:val="none"/>
        </w:rPr>
        <w:t>书面</w:t>
      </w:r>
      <w:r>
        <w:rPr>
          <w:rFonts w:ascii="宋体" w:hAnsi="宋体"/>
          <w:color w:val="auto"/>
          <w:highlight w:val="none"/>
        </w:rPr>
        <w:t>澄清要求</w:t>
      </w:r>
      <w:r>
        <w:rPr>
          <w:rFonts w:hint="eastAsia" w:ascii="宋体" w:hAnsi="宋体"/>
          <w:color w:val="auto"/>
          <w:highlight w:val="none"/>
        </w:rPr>
        <w:t>进行澄清答复，答复的方式及比选申请人确认的方式详见比选申请须知前附表，比选人</w:t>
      </w:r>
      <w:r>
        <w:rPr>
          <w:rFonts w:ascii="宋体" w:hAnsi="宋体"/>
          <w:color w:val="auto"/>
          <w:highlight w:val="none"/>
        </w:rPr>
        <w:t>只答复与比选文件内容有关的问题，并有权对任何与比选文件无关的问题不作回答。</w:t>
      </w:r>
    </w:p>
    <w:p w14:paraId="2555785B">
      <w:pPr>
        <w:pStyle w:val="8"/>
        <w:spacing w:before="0" w:after="0" w:afterAutospacing="0"/>
        <w:ind w:left="0" w:right="0" w:firstLine="422" w:firstLineChars="200"/>
        <w:rPr>
          <w:rFonts w:hint="eastAsia" w:ascii="宋体" w:hAnsi="宋体"/>
          <w:color w:val="auto"/>
          <w:sz w:val="21"/>
          <w:szCs w:val="21"/>
          <w:highlight w:val="none"/>
        </w:rPr>
      </w:pPr>
      <w:bookmarkStart w:id="230" w:name="_Toc25750598"/>
      <w:bookmarkStart w:id="231" w:name="_Toc24128"/>
      <w:bookmarkStart w:id="232" w:name="_Toc30378"/>
      <w:bookmarkStart w:id="233" w:name="_Toc2976"/>
      <w:bookmarkStart w:id="234" w:name="_Toc7063"/>
      <w:bookmarkStart w:id="235" w:name="_Toc29795"/>
      <w:bookmarkStart w:id="236" w:name="_Toc390098426"/>
      <w:bookmarkStart w:id="237" w:name="_Toc19345"/>
      <w:bookmarkStart w:id="238" w:name="_Toc5364"/>
      <w:bookmarkStart w:id="239" w:name="_Toc15498"/>
      <w:bookmarkStart w:id="240" w:name="_Toc24583"/>
      <w:bookmarkStart w:id="241" w:name="_Toc2831"/>
      <w:bookmarkStart w:id="242" w:name="_Toc383891175"/>
      <w:bookmarkStart w:id="243" w:name="_Toc26952"/>
      <w:bookmarkStart w:id="244" w:name="_Toc385427800"/>
      <w:bookmarkStart w:id="245" w:name="_Toc492478725"/>
      <w:bookmarkStart w:id="246" w:name="_Toc114134615"/>
      <w:bookmarkStart w:id="247" w:name="_Toc14181"/>
      <w:bookmarkStart w:id="248" w:name="_Toc24191"/>
      <w:bookmarkStart w:id="249" w:name="_Toc15674"/>
      <w:bookmarkStart w:id="250" w:name="_Toc12983512"/>
      <w:bookmarkStart w:id="251" w:name="_Toc15137"/>
      <w:bookmarkStart w:id="252" w:name="_Toc32060"/>
      <w:bookmarkStart w:id="253" w:name="_Toc2072"/>
      <w:bookmarkStart w:id="254" w:name="_Toc375039071"/>
      <w:bookmarkStart w:id="255" w:name="_Toc27124"/>
      <w:bookmarkStart w:id="256" w:name="_Toc22529"/>
      <w:r>
        <w:rPr>
          <w:rFonts w:hint="eastAsia" w:ascii="宋体" w:hAnsi="宋体"/>
          <w:color w:val="auto"/>
          <w:sz w:val="21"/>
          <w:szCs w:val="21"/>
          <w:highlight w:val="none"/>
        </w:rPr>
        <w:t xml:space="preserve">7. </w:t>
      </w:r>
      <w:r>
        <w:rPr>
          <w:rFonts w:ascii="宋体" w:hAnsi="宋体"/>
          <w:color w:val="auto"/>
          <w:sz w:val="21"/>
          <w:szCs w:val="21"/>
          <w:highlight w:val="none"/>
        </w:rPr>
        <w:t>比选文件的补遗或修改</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5AF70BD5">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7.1 </w:t>
      </w:r>
      <w:r>
        <w:rPr>
          <w:rFonts w:ascii="宋体" w:hAnsi="宋体"/>
          <w:color w:val="auto"/>
          <w:highlight w:val="none"/>
        </w:rPr>
        <w:t>在比选申请截止期前，无论出于何种原因，</w:t>
      </w:r>
      <w:r>
        <w:rPr>
          <w:rFonts w:hint="eastAsia" w:ascii="宋体" w:hAnsi="宋体"/>
          <w:color w:val="auto"/>
          <w:highlight w:val="none"/>
        </w:rPr>
        <w:t>比选人</w:t>
      </w:r>
      <w:r>
        <w:rPr>
          <w:rFonts w:ascii="宋体" w:hAnsi="宋体"/>
          <w:color w:val="auto"/>
          <w:highlight w:val="none"/>
        </w:rPr>
        <w:t>可以主动或应比选申请人澄清要求对比选文件进行必要的补遗或修改。</w:t>
      </w:r>
    </w:p>
    <w:p w14:paraId="528DCB43">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7.2 </w:t>
      </w:r>
      <w:r>
        <w:rPr>
          <w:rFonts w:ascii="宋体" w:hAnsi="宋体"/>
          <w:color w:val="auto"/>
          <w:highlight w:val="none"/>
        </w:rPr>
        <w:t>比选文件的补遗或修改通知是比选文件的组成部分，补充比选文件在</w:t>
      </w:r>
      <w:r>
        <w:rPr>
          <w:rFonts w:hint="eastAsia" w:ascii="宋体" w:hAnsi="宋体"/>
          <w:color w:val="auto"/>
          <w:highlight w:val="none"/>
        </w:rPr>
        <w:t>南宁轨道地产集团有限责任公司官网</w:t>
      </w:r>
      <w:r>
        <w:rPr>
          <w:rFonts w:ascii="宋体" w:hAnsi="宋体"/>
          <w:color w:val="auto"/>
          <w:highlight w:val="none"/>
        </w:rPr>
        <w:t>上发布之日起，视为比选申请人已收到该补充比选文件。比选申请人未及时关注</w:t>
      </w:r>
      <w:r>
        <w:rPr>
          <w:rFonts w:hint="eastAsia" w:ascii="宋体" w:hAnsi="宋体"/>
          <w:color w:val="auto"/>
          <w:highlight w:val="none"/>
        </w:rPr>
        <w:t>南宁轨道地产集团有限责任公司官网</w:t>
      </w:r>
      <w:r>
        <w:rPr>
          <w:rFonts w:ascii="宋体" w:hAnsi="宋体"/>
          <w:color w:val="auto"/>
          <w:highlight w:val="none"/>
        </w:rPr>
        <w:t>上发布的补充比选文件造成的损失，由比选申请人自行负责。</w:t>
      </w:r>
    </w:p>
    <w:p w14:paraId="24BB9DDC">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7.3 </w:t>
      </w:r>
      <w:r>
        <w:rPr>
          <w:rFonts w:ascii="宋体" w:hAnsi="宋体"/>
          <w:color w:val="auto"/>
          <w:highlight w:val="none"/>
        </w:rPr>
        <w:t>当后发的补遗或修改通知与原比选文件或此前发出的补遗或修改通知之间存有不一致时，应以后发的补遗或修改通知为准。</w:t>
      </w:r>
    </w:p>
    <w:p w14:paraId="4CA3D691">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7.4 </w:t>
      </w:r>
      <w:r>
        <w:rPr>
          <w:rFonts w:ascii="宋体" w:hAnsi="宋体"/>
          <w:color w:val="auto"/>
          <w:highlight w:val="none"/>
        </w:rPr>
        <w:t>为使比选申请人准备比选申请时有充分时间对比选文件的补遗或修改部分进行研究，</w:t>
      </w:r>
      <w:r>
        <w:rPr>
          <w:rFonts w:hint="eastAsia" w:ascii="宋体" w:hAnsi="宋体"/>
          <w:color w:val="auto"/>
          <w:highlight w:val="none"/>
        </w:rPr>
        <w:t>比选人</w:t>
      </w:r>
      <w:r>
        <w:rPr>
          <w:rFonts w:ascii="宋体" w:hAnsi="宋体"/>
          <w:color w:val="auto"/>
          <w:highlight w:val="none"/>
        </w:rPr>
        <w:t>可适当推迟比选申请截止</w:t>
      </w:r>
      <w:r>
        <w:rPr>
          <w:rFonts w:hint="eastAsia" w:ascii="宋体" w:hAnsi="宋体"/>
          <w:color w:val="auto"/>
          <w:highlight w:val="none"/>
        </w:rPr>
        <w:t>时间</w:t>
      </w:r>
      <w:r>
        <w:rPr>
          <w:rFonts w:ascii="宋体" w:hAnsi="宋体"/>
          <w:color w:val="auto"/>
          <w:highlight w:val="none"/>
        </w:rPr>
        <w:t>。</w:t>
      </w:r>
    </w:p>
    <w:p w14:paraId="446B43C1">
      <w:pPr>
        <w:pStyle w:val="7"/>
        <w:spacing w:after="0" w:afterAutospacing="0" w:line="360" w:lineRule="auto"/>
        <w:ind w:left="0" w:right="0" w:firstLine="482" w:firstLineChars="200"/>
        <w:rPr>
          <w:rFonts w:hint="eastAsia" w:ascii="宋体" w:hAnsi="宋体" w:eastAsia="宋体"/>
          <w:color w:val="auto"/>
          <w:sz w:val="24"/>
          <w:szCs w:val="24"/>
          <w:highlight w:val="none"/>
        </w:rPr>
      </w:pPr>
      <w:bookmarkStart w:id="257" w:name="_Toc25361"/>
      <w:bookmarkStart w:id="258" w:name="_Toc18679"/>
      <w:bookmarkStart w:id="259" w:name="_Toc17335"/>
      <w:bookmarkStart w:id="260" w:name="_Toc4718"/>
      <w:bookmarkStart w:id="261" w:name="_Toc492478726"/>
      <w:bookmarkStart w:id="262" w:name="_Toc114134616"/>
      <w:bookmarkStart w:id="263" w:name="_Toc14185"/>
      <w:bookmarkStart w:id="264" w:name="_Toc16406"/>
      <w:bookmarkStart w:id="265" w:name="_Toc375039072"/>
      <w:bookmarkStart w:id="266" w:name="_Toc27913"/>
      <w:bookmarkStart w:id="267" w:name="_Toc383891176"/>
      <w:bookmarkStart w:id="268" w:name="_Toc28044"/>
      <w:bookmarkStart w:id="269" w:name="_Toc30363"/>
      <w:bookmarkStart w:id="270" w:name="_Toc31573"/>
      <w:bookmarkStart w:id="271" w:name="_Toc95"/>
      <w:bookmarkStart w:id="272" w:name="_Toc24155"/>
      <w:bookmarkStart w:id="273" w:name="_Toc10869"/>
      <w:bookmarkStart w:id="274" w:name="_Toc390098427"/>
      <w:bookmarkStart w:id="275" w:name="_Toc12983513"/>
      <w:bookmarkStart w:id="276" w:name="_Toc17692"/>
      <w:bookmarkStart w:id="277" w:name="_Toc24557"/>
      <w:bookmarkStart w:id="278" w:name="_Toc385427801"/>
      <w:bookmarkStart w:id="279" w:name="_Toc24759"/>
      <w:bookmarkStart w:id="280" w:name="_Toc5805"/>
      <w:bookmarkStart w:id="281" w:name="_Toc2902"/>
      <w:bookmarkStart w:id="282" w:name="_Toc7604"/>
      <w:r>
        <w:rPr>
          <w:rFonts w:hint="eastAsia" w:ascii="宋体" w:hAnsi="宋体" w:eastAsia="宋体"/>
          <w:color w:val="auto"/>
          <w:sz w:val="24"/>
          <w:szCs w:val="24"/>
          <w:highlight w:val="none"/>
        </w:rPr>
        <w:t>三、</w:t>
      </w:r>
      <w:r>
        <w:rPr>
          <w:rFonts w:ascii="宋体" w:hAnsi="宋体" w:eastAsia="宋体"/>
          <w:color w:val="auto"/>
          <w:sz w:val="24"/>
          <w:szCs w:val="24"/>
          <w:highlight w:val="none"/>
        </w:rPr>
        <w:t>比选申请文件的编制</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62131D1A">
      <w:pPr>
        <w:pStyle w:val="8"/>
        <w:spacing w:before="0" w:after="0" w:afterAutospacing="0"/>
        <w:ind w:left="0" w:right="0" w:firstLine="422" w:firstLineChars="200"/>
        <w:rPr>
          <w:rFonts w:hint="eastAsia" w:ascii="宋体" w:hAnsi="宋体"/>
          <w:color w:val="auto"/>
          <w:sz w:val="21"/>
          <w:szCs w:val="21"/>
          <w:highlight w:val="none"/>
        </w:rPr>
      </w:pPr>
      <w:bookmarkStart w:id="283" w:name="_Toc383891177"/>
      <w:bookmarkStart w:id="284" w:name="_Toc23794"/>
      <w:bookmarkStart w:id="285" w:name="_Toc25750600"/>
      <w:bookmarkStart w:id="286" w:name="_Toc114134617"/>
      <w:bookmarkStart w:id="287" w:name="_Toc26150"/>
      <w:bookmarkStart w:id="288" w:name="_Toc375039073"/>
      <w:bookmarkStart w:id="289" w:name="_Toc4384"/>
      <w:bookmarkStart w:id="290" w:name="_Toc16186"/>
      <w:bookmarkStart w:id="291" w:name="_Toc20025"/>
      <w:bookmarkStart w:id="292" w:name="_Toc16435"/>
      <w:bookmarkStart w:id="293" w:name="_Toc12074"/>
      <w:bookmarkStart w:id="294" w:name="_Toc492478727"/>
      <w:bookmarkStart w:id="295" w:name="_Toc18350"/>
      <w:bookmarkStart w:id="296" w:name="_Toc29862"/>
      <w:bookmarkStart w:id="297" w:name="_Toc10014"/>
      <w:bookmarkStart w:id="298" w:name="_Toc21673"/>
      <w:bookmarkStart w:id="299" w:name="_Toc385427802"/>
      <w:bookmarkStart w:id="300" w:name="_Toc9592"/>
      <w:bookmarkStart w:id="301" w:name="_Toc18054"/>
      <w:bookmarkStart w:id="302" w:name="_Toc12983514"/>
      <w:bookmarkStart w:id="303" w:name="_Toc11259"/>
      <w:bookmarkStart w:id="304" w:name="_Toc2819"/>
      <w:bookmarkStart w:id="305" w:name="_Toc13418"/>
      <w:bookmarkStart w:id="306" w:name="_Toc1733"/>
      <w:bookmarkStart w:id="307" w:name="_Toc12456"/>
      <w:bookmarkStart w:id="308" w:name="_Toc26680"/>
      <w:bookmarkStart w:id="309" w:name="_Toc390098428"/>
      <w:r>
        <w:rPr>
          <w:rFonts w:hint="eastAsia" w:ascii="宋体" w:hAnsi="宋体"/>
          <w:color w:val="auto"/>
          <w:sz w:val="21"/>
          <w:szCs w:val="21"/>
          <w:highlight w:val="none"/>
        </w:rPr>
        <w:t xml:space="preserve">8. </w:t>
      </w:r>
      <w:r>
        <w:rPr>
          <w:rFonts w:ascii="宋体" w:hAnsi="宋体"/>
          <w:color w:val="auto"/>
          <w:sz w:val="21"/>
          <w:szCs w:val="21"/>
          <w:highlight w:val="none"/>
        </w:rPr>
        <w:t>编制要求</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12504E0F">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比选申请人应认真阅读比选文件的所有内容，按比选文件的要求提供比选申请文件，并保证提供的全部资料的真实性，以使其比选申请对比选文件作出实质性响应，否则，其比选申请将被否决。</w:t>
      </w:r>
    </w:p>
    <w:p w14:paraId="2DCF403C">
      <w:pPr>
        <w:pStyle w:val="8"/>
        <w:numPr>
          <w:ilvl w:val="0"/>
          <w:numId w:val="4"/>
        </w:numPr>
        <w:spacing w:before="0" w:after="0" w:afterAutospacing="0"/>
        <w:ind w:left="0" w:right="0" w:firstLine="422" w:firstLineChars="200"/>
        <w:rPr>
          <w:rFonts w:hint="eastAsia" w:ascii="宋体" w:hAnsi="宋体"/>
          <w:color w:val="auto"/>
          <w:sz w:val="21"/>
          <w:szCs w:val="21"/>
          <w:highlight w:val="none"/>
        </w:rPr>
      </w:pPr>
      <w:bookmarkStart w:id="310" w:name="_Toc19885"/>
      <w:bookmarkStart w:id="311" w:name="_Toc6261"/>
      <w:bookmarkStart w:id="312" w:name="_Toc375039074"/>
      <w:bookmarkStart w:id="313" w:name="_Toc25750601"/>
      <w:bookmarkStart w:id="314" w:name="_Toc26753"/>
      <w:bookmarkStart w:id="315" w:name="_Toc12207"/>
      <w:bookmarkStart w:id="316" w:name="_Toc492478728"/>
      <w:bookmarkStart w:id="317" w:name="_Toc16237"/>
      <w:bookmarkStart w:id="318" w:name="_Toc7524"/>
      <w:bookmarkStart w:id="319" w:name="_Toc3492"/>
      <w:bookmarkStart w:id="320" w:name="_Toc383891178"/>
      <w:bookmarkStart w:id="321" w:name="_Toc1047"/>
      <w:bookmarkStart w:id="322" w:name="_Toc385427803"/>
      <w:bookmarkStart w:id="323" w:name="_Toc114134618"/>
      <w:bookmarkStart w:id="324" w:name="_Toc12983515"/>
      <w:bookmarkStart w:id="325" w:name="_Toc22026"/>
      <w:bookmarkStart w:id="326" w:name="_Toc2662"/>
      <w:bookmarkStart w:id="327" w:name="_Toc28065"/>
      <w:bookmarkStart w:id="328" w:name="_Toc11161"/>
      <w:bookmarkStart w:id="329" w:name="_Toc11040"/>
      <w:bookmarkStart w:id="330" w:name="_Toc9887"/>
      <w:bookmarkStart w:id="331" w:name="_Toc390098429"/>
      <w:bookmarkStart w:id="332" w:name="_Toc15570"/>
      <w:bookmarkStart w:id="333" w:name="_Toc24857"/>
      <w:bookmarkStart w:id="334" w:name="_Toc25770"/>
      <w:bookmarkStart w:id="335" w:name="_Toc28296"/>
      <w:bookmarkStart w:id="336" w:name="_Toc24935"/>
      <w:r>
        <w:rPr>
          <w:rFonts w:ascii="宋体" w:hAnsi="宋体"/>
          <w:color w:val="auto"/>
          <w:sz w:val="21"/>
          <w:szCs w:val="21"/>
          <w:highlight w:val="none"/>
        </w:rPr>
        <w:t>比选申请语言及计量单位</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02E00CC6">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9.1 </w:t>
      </w:r>
      <w:r>
        <w:rPr>
          <w:rFonts w:ascii="宋体" w:hAnsi="宋体"/>
          <w:color w:val="auto"/>
          <w:highlight w:val="none"/>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6856CCA3">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9.2 </w:t>
      </w:r>
      <w:r>
        <w:rPr>
          <w:rFonts w:ascii="宋体" w:hAnsi="宋体"/>
          <w:color w:val="auto"/>
          <w:highlight w:val="none"/>
        </w:rPr>
        <w:t>除在比选文件另有规定外，计量单位应使用中华人民共和国法定计量单位。</w:t>
      </w:r>
    </w:p>
    <w:p w14:paraId="64F578B5">
      <w:pPr>
        <w:pStyle w:val="8"/>
        <w:numPr>
          <w:ilvl w:val="0"/>
          <w:numId w:val="4"/>
        </w:numPr>
        <w:spacing w:before="0" w:after="0" w:afterAutospacing="0"/>
        <w:ind w:left="0" w:right="0" w:firstLine="422" w:firstLineChars="200"/>
        <w:rPr>
          <w:rFonts w:hint="eastAsia" w:ascii="宋体" w:hAnsi="宋体"/>
          <w:color w:val="auto"/>
          <w:sz w:val="21"/>
          <w:szCs w:val="21"/>
          <w:highlight w:val="none"/>
        </w:rPr>
      </w:pPr>
      <w:bookmarkStart w:id="337" w:name="_Toc390098430"/>
      <w:bookmarkStart w:id="338" w:name="_Toc3877"/>
      <w:bookmarkStart w:id="339" w:name="_Toc18149"/>
      <w:bookmarkStart w:id="340" w:name="_Toc30356"/>
      <w:bookmarkStart w:id="341" w:name="_Toc14323"/>
      <w:bookmarkStart w:id="342" w:name="_Toc28164"/>
      <w:bookmarkStart w:id="343" w:name="_Toc492478729"/>
      <w:bookmarkStart w:id="344" w:name="_Toc25750602"/>
      <w:bookmarkStart w:id="345" w:name="_Toc385427804"/>
      <w:bookmarkStart w:id="346" w:name="_Toc383891179"/>
      <w:bookmarkStart w:id="347" w:name="_Toc15809"/>
      <w:bookmarkStart w:id="348" w:name="_Toc3411"/>
      <w:bookmarkStart w:id="349" w:name="_Toc375039075"/>
      <w:bookmarkStart w:id="350" w:name="_Toc53"/>
      <w:bookmarkStart w:id="351" w:name="_Toc114134619"/>
      <w:bookmarkStart w:id="352" w:name="_Toc29881"/>
      <w:bookmarkStart w:id="353" w:name="_Toc3464"/>
      <w:bookmarkStart w:id="354" w:name="_Toc23229"/>
      <w:bookmarkStart w:id="355" w:name="_Toc16307"/>
      <w:bookmarkStart w:id="356" w:name="_Toc19681"/>
      <w:bookmarkStart w:id="357" w:name="_Toc24760"/>
      <w:bookmarkStart w:id="358" w:name="_Toc23364"/>
      <w:bookmarkStart w:id="359" w:name="_Toc18966"/>
      <w:bookmarkStart w:id="360" w:name="_Toc5785"/>
      <w:bookmarkStart w:id="361" w:name="_Toc30991"/>
      <w:bookmarkStart w:id="362" w:name="_Toc12983516"/>
      <w:bookmarkStart w:id="363" w:name="_Toc22476"/>
      <w:r>
        <w:rPr>
          <w:rFonts w:ascii="宋体" w:hAnsi="宋体"/>
          <w:color w:val="auto"/>
          <w:sz w:val="21"/>
          <w:szCs w:val="21"/>
          <w:highlight w:val="none"/>
        </w:rPr>
        <w:t>比选申请文件组成</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3824B363">
      <w:pPr>
        <w:tabs>
          <w:tab w:val="left" w:pos="1134"/>
          <w:tab w:val="left" w:pos="1701"/>
          <w:tab w:val="left" w:pos="1843"/>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10.1 </w:t>
      </w:r>
      <w:r>
        <w:rPr>
          <w:rFonts w:ascii="宋体" w:hAnsi="宋体"/>
          <w:color w:val="auto"/>
          <w:highlight w:val="none"/>
        </w:rPr>
        <w:t>比选申请文件应提供足够、准确和真实的信息，以供比选评审小组判断比选申请人是否具备承担本项目的能力。比选申请人递交的比选申请文件</w:t>
      </w:r>
      <w:r>
        <w:rPr>
          <w:rFonts w:hint="eastAsia" w:ascii="宋体" w:hAnsi="宋体"/>
          <w:color w:val="auto"/>
          <w:highlight w:val="none"/>
        </w:rPr>
        <w:t>组成详见比选申请须知前附表</w:t>
      </w:r>
      <w:r>
        <w:rPr>
          <w:rFonts w:ascii="宋体" w:hAnsi="宋体"/>
          <w:color w:val="auto"/>
          <w:highlight w:val="none"/>
        </w:rPr>
        <w:t>。</w:t>
      </w:r>
    </w:p>
    <w:p w14:paraId="7302AB90">
      <w:pPr>
        <w:tabs>
          <w:tab w:val="left" w:pos="1134"/>
          <w:tab w:val="left" w:pos="1701"/>
          <w:tab w:val="left" w:pos="1843"/>
        </w:tabs>
        <w:spacing w:before="0" w:after="0" w:afterAutospacing="0"/>
        <w:ind w:left="0" w:right="0" w:firstLine="422" w:firstLineChars="200"/>
        <w:rPr>
          <w:rFonts w:hint="eastAsia" w:ascii="宋体" w:hAnsi="宋体"/>
          <w:color w:val="auto"/>
          <w:highlight w:val="none"/>
        </w:rPr>
      </w:pPr>
      <w:r>
        <w:rPr>
          <w:rFonts w:hint="eastAsia" w:ascii="宋体" w:hAnsi="宋体"/>
          <w:b/>
          <w:color w:val="auto"/>
          <w:highlight w:val="none"/>
        </w:rPr>
        <w:t>10.2资格审查文件和技术文件不得透露有关报价的任何信息，否则其比选申请将被否决。</w:t>
      </w:r>
    </w:p>
    <w:p w14:paraId="487CA1E8">
      <w:pPr>
        <w:pStyle w:val="8"/>
        <w:spacing w:before="0" w:after="0" w:afterAutospacing="0"/>
        <w:ind w:left="0" w:right="0" w:firstLine="422" w:firstLineChars="200"/>
        <w:rPr>
          <w:rFonts w:hint="eastAsia" w:ascii="宋体" w:hAnsi="宋体"/>
          <w:color w:val="auto"/>
          <w:sz w:val="21"/>
          <w:szCs w:val="21"/>
          <w:highlight w:val="none"/>
        </w:rPr>
      </w:pPr>
      <w:bookmarkStart w:id="364" w:name="_Toc385427805"/>
      <w:bookmarkStart w:id="365" w:name="_Toc2395"/>
      <w:bookmarkStart w:id="366" w:name="_Toc27194"/>
      <w:bookmarkStart w:id="367" w:name="_Toc21144"/>
      <w:bookmarkStart w:id="368" w:name="_Toc114134620"/>
      <w:bookmarkStart w:id="369" w:name="_Toc3670"/>
      <w:bookmarkStart w:id="370" w:name="_Toc25750603"/>
      <w:bookmarkStart w:id="371" w:name="_Toc16783"/>
      <w:bookmarkStart w:id="372" w:name="_Toc383891180"/>
      <w:bookmarkStart w:id="373" w:name="_Toc390098431"/>
      <w:bookmarkStart w:id="374" w:name="_Toc27019"/>
      <w:bookmarkStart w:id="375" w:name="_Toc20984"/>
      <w:bookmarkStart w:id="376" w:name="_Toc375039076"/>
      <w:bookmarkStart w:id="377" w:name="_Toc675"/>
      <w:bookmarkStart w:id="378" w:name="_Toc11211"/>
      <w:bookmarkStart w:id="379" w:name="_Toc15919"/>
      <w:bookmarkStart w:id="380" w:name="_Toc14308"/>
      <w:bookmarkStart w:id="381" w:name="_Toc8151"/>
      <w:bookmarkStart w:id="382" w:name="_Toc20248"/>
      <w:bookmarkStart w:id="383" w:name="_Toc492478730"/>
      <w:bookmarkStart w:id="384" w:name="_Toc20962"/>
      <w:bookmarkStart w:id="385" w:name="_Toc7608"/>
      <w:bookmarkStart w:id="386" w:name="_Toc12983517"/>
      <w:bookmarkStart w:id="387" w:name="_Toc23002"/>
      <w:bookmarkStart w:id="388" w:name="_Toc15448"/>
      <w:bookmarkStart w:id="389" w:name="_Toc14630"/>
      <w:bookmarkStart w:id="390" w:name="_Toc20490"/>
      <w:r>
        <w:rPr>
          <w:rFonts w:hint="eastAsia" w:ascii="宋体" w:hAnsi="宋体"/>
          <w:color w:val="auto"/>
          <w:sz w:val="21"/>
          <w:szCs w:val="21"/>
          <w:highlight w:val="none"/>
        </w:rPr>
        <w:t xml:space="preserve">11. </w:t>
      </w:r>
      <w:r>
        <w:rPr>
          <w:rFonts w:ascii="宋体" w:hAnsi="宋体"/>
          <w:color w:val="auto"/>
          <w:sz w:val="21"/>
          <w:szCs w:val="21"/>
          <w:highlight w:val="none"/>
        </w:rPr>
        <w:t>比选申请文件格式</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705C1F04">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11.1 </w:t>
      </w:r>
      <w:r>
        <w:rPr>
          <w:rFonts w:ascii="宋体" w:hAnsi="宋体"/>
          <w:color w:val="auto"/>
          <w:highlight w:val="none"/>
        </w:rPr>
        <w:t>比选申请人应按本比选申请须知第10条的内容与要求和提供的格式编写其比选申请文件，比选申请人不得缺少或留空任何比选文件要求填写的表格或提交的资料。</w:t>
      </w:r>
    </w:p>
    <w:p w14:paraId="191EBF36">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11.2 </w:t>
      </w:r>
      <w:r>
        <w:rPr>
          <w:rFonts w:ascii="宋体" w:hAnsi="宋体"/>
          <w:color w:val="auto"/>
          <w:highlight w:val="none"/>
        </w:rPr>
        <w:t>比选申请人应将比选申请文件按本比选申请须知第10条规定的顺序编排、编制目录、逐页标注连续页码、并装订成册，各分册前须有分册目录。</w:t>
      </w:r>
    </w:p>
    <w:p w14:paraId="4B9A3DAD">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11.3 </w:t>
      </w:r>
      <w:r>
        <w:rPr>
          <w:rFonts w:ascii="宋体" w:hAnsi="宋体"/>
          <w:color w:val="auto"/>
          <w:highlight w:val="none"/>
        </w:rPr>
        <w:t>比选申请文件的规格：统一为A4印刷本，纸质封面，印刷本厚度</w:t>
      </w:r>
      <w:r>
        <w:rPr>
          <w:rFonts w:hint="eastAsia" w:ascii="宋体" w:hAnsi="宋体"/>
          <w:color w:val="auto"/>
          <w:highlight w:val="none"/>
        </w:rPr>
        <w:t>宜</w:t>
      </w:r>
      <w:r>
        <w:rPr>
          <w:rFonts w:ascii="宋体" w:hAnsi="宋体"/>
          <w:color w:val="auto"/>
          <w:highlight w:val="none"/>
        </w:rPr>
        <w:t>控制在</w:t>
      </w:r>
      <w:r>
        <w:rPr>
          <w:rFonts w:hint="eastAsia" w:ascii="宋体" w:hAnsi="宋体"/>
          <w:color w:val="auto"/>
          <w:highlight w:val="none"/>
        </w:rPr>
        <w:t>5</w:t>
      </w:r>
      <w:r>
        <w:rPr>
          <w:rFonts w:ascii="宋体" w:hAnsi="宋体"/>
          <w:color w:val="auto"/>
          <w:highlight w:val="none"/>
        </w:rPr>
        <w:t>公分以内，超过厚度</w:t>
      </w:r>
      <w:r>
        <w:rPr>
          <w:rFonts w:hint="eastAsia" w:ascii="宋体" w:hAnsi="宋体"/>
          <w:color w:val="auto"/>
          <w:highlight w:val="none"/>
        </w:rPr>
        <w:t>可</w:t>
      </w:r>
      <w:r>
        <w:rPr>
          <w:rFonts w:ascii="宋体" w:hAnsi="宋体"/>
          <w:color w:val="auto"/>
          <w:highlight w:val="none"/>
        </w:rPr>
        <w:t>分册装订。封面标明文件题名、编号、比选申请人名称、比选申请时间，</w:t>
      </w:r>
      <w:r>
        <w:rPr>
          <w:rFonts w:hint="eastAsia" w:ascii="宋体" w:hAnsi="宋体"/>
          <w:color w:val="auto"/>
          <w:highlight w:val="none"/>
        </w:rPr>
        <w:t>封面上标明</w:t>
      </w:r>
      <w:r>
        <w:rPr>
          <w:rFonts w:ascii="宋体" w:hAnsi="宋体"/>
          <w:color w:val="auto"/>
          <w:highlight w:val="none"/>
        </w:rPr>
        <w:t>正本（或副本）。</w:t>
      </w:r>
      <w:r>
        <w:rPr>
          <w:rFonts w:hint="eastAsia" w:ascii="宋体" w:hAnsi="宋体"/>
          <w:color w:val="auto"/>
          <w:highlight w:val="none"/>
        </w:rPr>
        <w:t>使用不锈钢书钉或拉线装订或无线胶装</w:t>
      </w:r>
      <w:r>
        <w:rPr>
          <w:rFonts w:ascii="宋体" w:hAnsi="宋体"/>
          <w:color w:val="auto"/>
          <w:highlight w:val="none"/>
        </w:rPr>
        <w:t>，装订时书钉不外露；不能使用塑料面或塑料胶条装订。</w:t>
      </w:r>
    </w:p>
    <w:p w14:paraId="773D057D">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11.4</w:t>
      </w:r>
      <w:r>
        <w:rPr>
          <w:rFonts w:ascii="宋体" w:hAnsi="宋体"/>
          <w:color w:val="auto"/>
          <w:highlight w:val="none"/>
        </w:rPr>
        <w:t>比选申请文件的页码：必须按每本</w:t>
      </w:r>
      <w:r>
        <w:rPr>
          <w:rFonts w:hint="eastAsia" w:ascii="宋体" w:hAnsi="宋体"/>
          <w:color w:val="auto"/>
          <w:highlight w:val="none"/>
        </w:rPr>
        <w:t>正文</w:t>
      </w:r>
      <w:r>
        <w:rPr>
          <w:rFonts w:ascii="宋体" w:hAnsi="宋体"/>
          <w:color w:val="auto"/>
          <w:highlight w:val="none"/>
        </w:rPr>
        <w:t>逐页从1开始，按照流水号编号。</w:t>
      </w:r>
    </w:p>
    <w:p w14:paraId="7B087EF9">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11.5</w:t>
      </w:r>
      <w:r>
        <w:rPr>
          <w:rFonts w:ascii="宋体" w:hAnsi="宋体"/>
          <w:color w:val="auto"/>
          <w:highlight w:val="none"/>
        </w:rPr>
        <w:t>图纸的整理：图纸横向按手风琴折叠，竖向按顺时针方向折叠，折叠后图标露在右下角，每本图纸厚度不</w:t>
      </w:r>
      <w:r>
        <w:rPr>
          <w:rFonts w:hint="eastAsia" w:ascii="宋体" w:hAnsi="宋体"/>
          <w:color w:val="auto"/>
          <w:highlight w:val="none"/>
        </w:rPr>
        <w:t>宜</w:t>
      </w:r>
      <w:r>
        <w:rPr>
          <w:rFonts w:ascii="宋体" w:hAnsi="宋体"/>
          <w:color w:val="auto"/>
          <w:highlight w:val="none"/>
        </w:rPr>
        <w:t>超过4公分，超过</w:t>
      </w:r>
      <w:r>
        <w:rPr>
          <w:rFonts w:hint="eastAsia" w:ascii="宋体" w:hAnsi="宋体"/>
          <w:color w:val="auto"/>
          <w:highlight w:val="none"/>
        </w:rPr>
        <w:t>可</w:t>
      </w:r>
      <w:r>
        <w:rPr>
          <w:rFonts w:ascii="宋体" w:hAnsi="宋体"/>
          <w:color w:val="auto"/>
          <w:highlight w:val="none"/>
        </w:rPr>
        <w:t>分卷装订，每卷图纸从图纸封面起逐张从1开始</w:t>
      </w:r>
      <w:r>
        <w:rPr>
          <w:rFonts w:hint="eastAsia" w:ascii="宋体" w:hAnsi="宋体"/>
          <w:color w:val="auto"/>
          <w:highlight w:val="none"/>
        </w:rPr>
        <w:t>，</w:t>
      </w:r>
      <w:r>
        <w:rPr>
          <w:rFonts w:ascii="宋体" w:hAnsi="宋体"/>
          <w:color w:val="auto"/>
          <w:highlight w:val="none"/>
        </w:rPr>
        <w:t>按照流水号编号。</w:t>
      </w:r>
    </w:p>
    <w:p w14:paraId="0FFC0C53">
      <w:pPr>
        <w:pStyle w:val="8"/>
        <w:spacing w:before="0" w:after="0" w:afterAutospacing="0"/>
        <w:ind w:left="0" w:right="0" w:firstLine="422" w:firstLineChars="200"/>
        <w:rPr>
          <w:rFonts w:hint="eastAsia" w:ascii="宋体" w:hAnsi="宋体"/>
          <w:color w:val="auto"/>
          <w:sz w:val="21"/>
          <w:szCs w:val="21"/>
          <w:highlight w:val="none"/>
        </w:rPr>
      </w:pPr>
      <w:bookmarkStart w:id="391" w:name="_Toc12983518"/>
      <w:bookmarkStart w:id="392" w:name="_Toc17338"/>
      <w:bookmarkStart w:id="393" w:name="_Toc20685"/>
      <w:bookmarkStart w:id="394" w:name="_Toc375039077"/>
      <w:bookmarkStart w:id="395" w:name="_Toc9416"/>
      <w:bookmarkStart w:id="396" w:name="_Toc3813"/>
      <w:bookmarkStart w:id="397" w:name="_Toc6671"/>
      <w:bookmarkStart w:id="398" w:name="_Toc390098432"/>
      <w:bookmarkStart w:id="399" w:name="_Toc22295"/>
      <w:bookmarkStart w:id="400" w:name="_Toc24264"/>
      <w:bookmarkStart w:id="401" w:name="_Toc26974"/>
      <w:bookmarkStart w:id="402" w:name="_Toc492478731"/>
      <w:bookmarkStart w:id="403" w:name="_Toc17379"/>
      <w:bookmarkStart w:id="404" w:name="_Toc31743"/>
      <w:bookmarkStart w:id="405" w:name="_Toc14123"/>
      <w:bookmarkStart w:id="406" w:name="_Toc26482"/>
      <w:bookmarkStart w:id="407" w:name="_Toc383891181"/>
      <w:bookmarkStart w:id="408" w:name="_Toc7857"/>
      <w:bookmarkStart w:id="409" w:name="_Toc25750604"/>
      <w:bookmarkStart w:id="410" w:name="_Toc114134621"/>
      <w:bookmarkStart w:id="411" w:name="_Toc17526"/>
      <w:bookmarkStart w:id="412" w:name="_Toc7046"/>
      <w:bookmarkStart w:id="413" w:name="_Toc2469"/>
      <w:bookmarkStart w:id="414" w:name="_Toc16653"/>
      <w:bookmarkStart w:id="415" w:name="_Toc21084"/>
      <w:bookmarkStart w:id="416" w:name="_Toc385427806"/>
      <w:bookmarkStart w:id="417" w:name="_Toc3799"/>
      <w:r>
        <w:rPr>
          <w:rFonts w:hint="eastAsia" w:ascii="宋体" w:hAnsi="宋体"/>
          <w:color w:val="auto"/>
          <w:sz w:val="21"/>
          <w:szCs w:val="21"/>
          <w:highlight w:val="none"/>
        </w:rPr>
        <w:t xml:space="preserve">12. </w:t>
      </w:r>
      <w:r>
        <w:rPr>
          <w:rFonts w:ascii="宋体" w:hAnsi="宋体"/>
          <w:color w:val="auto"/>
          <w:sz w:val="21"/>
          <w:szCs w:val="21"/>
          <w:highlight w:val="none"/>
        </w:rPr>
        <w:t>比选申请报价</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537174FD">
      <w:pPr>
        <w:tabs>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 xml:space="preserve">12.1 </w:t>
      </w:r>
      <w:r>
        <w:rPr>
          <w:rFonts w:hint="eastAsia" w:ascii="宋体" w:hAnsi="宋体"/>
          <w:color w:val="auto"/>
          <w:highlight w:val="none"/>
        </w:rPr>
        <w:t>本项目采用不含税报价。</w:t>
      </w:r>
      <w:r>
        <w:rPr>
          <w:rFonts w:ascii="宋体" w:hAnsi="宋体"/>
          <w:b/>
          <w:bCs/>
          <w:color w:val="auto"/>
          <w:highlight w:val="none"/>
        </w:rPr>
        <w:t>含税</w:t>
      </w:r>
      <w:r>
        <w:rPr>
          <w:rFonts w:hint="eastAsia" w:ascii="宋体" w:hAnsi="宋体"/>
          <w:b/>
          <w:bCs/>
          <w:color w:val="auto"/>
          <w:highlight w:val="none"/>
        </w:rPr>
        <w:t>总</w:t>
      </w:r>
      <w:r>
        <w:rPr>
          <w:rFonts w:ascii="宋体" w:hAnsi="宋体"/>
          <w:b/>
          <w:bCs/>
          <w:color w:val="auto"/>
          <w:highlight w:val="none"/>
        </w:rPr>
        <w:t>报价为合同暂定</w:t>
      </w:r>
      <w:r>
        <w:rPr>
          <w:rFonts w:hint="eastAsia" w:ascii="宋体" w:hAnsi="宋体"/>
          <w:b/>
          <w:bCs/>
          <w:color w:val="auto"/>
          <w:highlight w:val="none"/>
        </w:rPr>
        <w:t>含税总</w:t>
      </w:r>
      <w:r>
        <w:rPr>
          <w:rFonts w:ascii="宋体" w:hAnsi="宋体"/>
          <w:b/>
          <w:bCs/>
          <w:color w:val="auto"/>
          <w:highlight w:val="none"/>
        </w:rPr>
        <w:t>价</w:t>
      </w:r>
      <w:r>
        <w:rPr>
          <w:rFonts w:hint="eastAsia" w:ascii="宋体" w:hAnsi="宋体"/>
          <w:b/>
          <w:bCs/>
          <w:color w:val="auto"/>
          <w:highlight w:val="none"/>
        </w:rPr>
        <w:t>款</w:t>
      </w:r>
      <w:r>
        <w:rPr>
          <w:rFonts w:ascii="宋体" w:hAnsi="宋体"/>
          <w:color w:val="auto"/>
          <w:highlight w:val="none"/>
        </w:rPr>
        <w:t>，</w:t>
      </w:r>
      <w:r>
        <w:rPr>
          <w:rFonts w:hint="eastAsia" w:ascii="宋体" w:hAnsi="宋体"/>
          <w:color w:val="auto"/>
          <w:highlight w:val="none"/>
        </w:rPr>
        <w:t>本项目合同最终税金在结算阶段，按实际产生的税金进行核算</w:t>
      </w:r>
      <w:r>
        <w:rPr>
          <w:rFonts w:ascii="宋体" w:hAnsi="宋体"/>
          <w:color w:val="auto"/>
          <w:highlight w:val="none"/>
        </w:rPr>
        <w:t>，但合同不含税价格不因国家税率调整而调整</w:t>
      </w:r>
      <w:r>
        <w:rPr>
          <w:rFonts w:hint="eastAsia" w:ascii="宋体" w:hAnsi="宋体"/>
          <w:color w:val="auto"/>
          <w:highlight w:val="none"/>
        </w:rPr>
        <w:t>。比选申请人应</w:t>
      </w:r>
      <w:r>
        <w:rPr>
          <w:rFonts w:ascii="宋体" w:hAnsi="宋体"/>
          <w:color w:val="auto"/>
          <w:highlight w:val="none"/>
        </w:rPr>
        <w:t>完整</w:t>
      </w:r>
      <w:r>
        <w:rPr>
          <w:rFonts w:hint="eastAsia" w:ascii="宋体" w:hAnsi="宋体"/>
          <w:color w:val="auto"/>
          <w:highlight w:val="none"/>
        </w:rPr>
        <w:t>地填写比选文件中提供的“比选申请报价一览表”。比选申请人在 “比选申请报价一览表”内所填报的总价应相一致。如大写金额与小写金额不一致，以大写金额为准。</w:t>
      </w:r>
    </w:p>
    <w:p w14:paraId="42A1E786">
      <w:pPr>
        <w:tabs>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 xml:space="preserve">12.2 </w:t>
      </w:r>
      <w:r>
        <w:rPr>
          <w:rFonts w:hint="eastAsia" w:ascii="宋体" w:hAnsi="宋体"/>
          <w:color w:val="auto"/>
          <w:highlight w:val="none"/>
        </w:rPr>
        <w:t>比选申请报价应包括完成所有项目内容及质量保证期服务等履行合同全过程产生的所有成本、利润及其他费用等全部费用以及比选申请人应承担的费用。</w:t>
      </w:r>
    </w:p>
    <w:p w14:paraId="583BE2CF">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12.3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0C7904F5">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12.</w:t>
      </w:r>
      <w:r>
        <w:rPr>
          <w:rFonts w:ascii="宋体" w:hAnsi="宋体"/>
          <w:color w:val="auto"/>
          <w:highlight w:val="none"/>
        </w:rPr>
        <w:t>4</w:t>
      </w:r>
      <w:r>
        <w:rPr>
          <w:rFonts w:hint="eastAsia" w:ascii="宋体" w:hAnsi="宋体"/>
          <w:color w:val="auto"/>
          <w:highlight w:val="none"/>
        </w:rPr>
        <w:t xml:space="preserve"> 同一规格、型号、标准、内容的项目在各分项报价中应为同一单价。比选申请人对同类项目只允许有一个报价，如有不同报价，则以最低报价为准。</w:t>
      </w:r>
    </w:p>
    <w:p w14:paraId="19BFD1BF">
      <w:pPr>
        <w:tabs>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12.5</w:t>
      </w:r>
      <w:r>
        <w:rPr>
          <w:rFonts w:hint="eastAsia" w:ascii="宋体" w:hAnsi="宋体"/>
          <w:color w:val="auto"/>
          <w:highlight w:val="none"/>
        </w:rPr>
        <w:t>项目不接受</w:t>
      </w:r>
      <w:r>
        <w:rPr>
          <w:rFonts w:ascii="宋体" w:hAnsi="宋体"/>
          <w:color w:val="auto"/>
          <w:highlight w:val="none"/>
        </w:rPr>
        <w:t>比选申请人免费</w:t>
      </w:r>
      <w:r>
        <w:rPr>
          <w:rFonts w:hint="eastAsia" w:ascii="宋体" w:hAnsi="宋体"/>
          <w:color w:val="auto"/>
          <w:highlight w:val="none"/>
        </w:rPr>
        <w:t>、赠送、打折</w:t>
      </w:r>
      <w:r>
        <w:rPr>
          <w:rFonts w:ascii="宋体" w:hAnsi="宋体"/>
          <w:color w:val="auto"/>
          <w:highlight w:val="none"/>
        </w:rPr>
        <w:t>提供</w:t>
      </w:r>
      <w:r>
        <w:rPr>
          <w:rFonts w:hint="eastAsia" w:ascii="宋体" w:hAnsi="宋体"/>
          <w:color w:val="auto"/>
          <w:highlight w:val="none"/>
        </w:rPr>
        <w:t>任何形式的</w:t>
      </w:r>
      <w:r>
        <w:rPr>
          <w:rFonts w:ascii="宋体" w:hAnsi="宋体"/>
          <w:color w:val="auto"/>
          <w:highlight w:val="none"/>
        </w:rPr>
        <w:t>产品、部件</w:t>
      </w:r>
      <w:r>
        <w:rPr>
          <w:rFonts w:hint="eastAsia" w:ascii="宋体" w:hAnsi="宋体"/>
          <w:color w:val="auto"/>
          <w:highlight w:val="none"/>
        </w:rPr>
        <w:t>和服务。</w:t>
      </w:r>
    </w:p>
    <w:p w14:paraId="6EDE3C57">
      <w:pPr>
        <w:tabs>
          <w:tab w:val="left" w:pos="8364"/>
        </w:tabs>
        <w:spacing w:before="0" w:after="0" w:afterAutospacing="0"/>
        <w:ind w:left="0" w:right="0" w:firstLine="420" w:firstLineChars="200"/>
        <w:rPr>
          <w:rFonts w:hint="eastAsia" w:ascii="宋体" w:hAnsi="宋体" w:cs="宋体"/>
          <w:color w:val="auto"/>
          <w:highlight w:val="none"/>
        </w:rPr>
      </w:pPr>
      <w:r>
        <w:rPr>
          <w:rFonts w:ascii="宋体" w:hAnsi="宋体"/>
          <w:color w:val="auto"/>
          <w:highlight w:val="none"/>
        </w:rPr>
        <w:t>12.6比选申请人在编制比选申请报价时应考虑包括但不限于合同实施期间政策、法规变化以及汇率浮动、物价指数浮动等对价格的影响，以可调整的价</w:t>
      </w:r>
      <w:r>
        <w:rPr>
          <w:rFonts w:ascii="宋体" w:hAnsi="宋体" w:cs="宋体"/>
          <w:color w:val="auto"/>
          <w:highlight w:val="none"/>
        </w:rPr>
        <w:t xml:space="preserve">格或以选择性报价递交的比选申请文件将作为非实质性响应比选申请而被否决。 </w:t>
      </w:r>
    </w:p>
    <w:p w14:paraId="5EBDB909">
      <w:pPr>
        <w:tabs>
          <w:tab w:val="left" w:pos="8364"/>
        </w:tabs>
        <w:spacing w:before="0" w:after="0" w:afterAutospacing="0"/>
        <w:ind w:left="0" w:right="0" w:firstLine="420" w:firstLineChars="200"/>
        <w:rPr>
          <w:rFonts w:hint="eastAsia" w:ascii="宋体" w:hAnsi="宋体"/>
          <w:b/>
          <w:color w:val="auto"/>
          <w:highlight w:val="none"/>
        </w:rPr>
      </w:pPr>
      <w:r>
        <w:rPr>
          <w:rFonts w:ascii="宋体" w:hAnsi="宋体"/>
          <w:color w:val="auto"/>
          <w:highlight w:val="none"/>
        </w:rPr>
        <w:t>12.</w:t>
      </w:r>
      <w:r>
        <w:rPr>
          <w:rFonts w:hint="eastAsia" w:ascii="宋体" w:hAnsi="宋体"/>
          <w:color w:val="auto"/>
          <w:highlight w:val="none"/>
        </w:rPr>
        <w:t>7</w:t>
      </w:r>
      <w:r>
        <w:rPr>
          <w:rFonts w:hint="eastAsia" w:ascii="宋体" w:hAnsi="宋体"/>
          <w:b/>
          <w:color w:val="auto"/>
          <w:highlight w:val="none"/>
        </w:rPr>
        <w:t>比选申请人不得以低于成本的报价竞标，也不得以他人名义比选申请或者以其他方式弄虚作假，骗取中选。</w:t>
      </w:r>
    </w:p>
    <w:p w14:paraId="2F70699C">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12.8 比选人不接受比选申请人对任何未办理正常进口手续的非中华人民共和国境内生产的货物的比选申请报价。</w:t>
      </w:r>
    </w:p>
    <w:p w14:paraId="06904943">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12.9 比选申请人不得在价格文件之外的比选申请文件中出现任何有关本项目的报价信息。</w:t>
      </w:r>
    </w:p>
    <w:p w14:paraId="68573CAB">
      <w:pPr>
        <w:pStyle w:val="8"/>
        <w:numPr>
          <w:ilvl w:val="0"/>
          <w:numId w:val="5"/>
        </w:numPr>
        <w:spacing w:before="0" w:after="0" w:afterAutospacing="0"/>
        <w:ind w:left="0" w:right="0" w:firstLine="422" w:firstLineChars="200"/>
        <w:rPr>
          <w:rFonts w:hint="eastAsia" w:ascii="宋体" w:hAnsi="宋体"/>
          <w:color w:val="auto"/>
          <w:sz w:val="21"/>
          <w:szCs w:val="21"/>
          <w:highlight w:val="none"/>
        </w:rPr>
      </w:pPr>
      <w:bookmarkStart w:id="418" w:name="_Toc21706"/>
      <w:bookmarkStart w:id="419" w:name="_Toc5836"/>
      <w:bookmarkStart w:id="420" w:name="_Toc385427807"/>
      <w:bookmarkStart w:id="421" w:name="_Toc25459"/>
      <w:bookmarkStart w:id="422" w:name="_Toc10220"/>
      <w:bookmarkStart w:id="423" w:name="_Toc114134622"/>
      <w:bookmarkStart w:id="424" w:name="_Toc7428"/>
      <w:bookmarkStart w:id="425" w:name="_Toc492478732"/>
      <w:bookmarkStart w:id="426" w:name="_Toc20156"/>
      <w:bookmarkStart w:id="427" w:name="_Toc21430"/>
      <w:bookmarkStart w:id="428" w:name="_Toc390098433"/>
      <w:bookmarkStart w:id="429" w:name="_Toc12947"/>
      <w:bookmarkStart w:id="430" w:name="_Toc28476"/>
      <w:bookmarkStart w:id="431" w:name="_Toc18475"/>
      <w:bookmarkStart w:id="432" w:name="_Toc18875"/>
      <w:bookmarkStart w:id="433" w:name="_Toc12762"/>
      <w:bookmarkStart w:id="434" w:name="_Toc28880"/>
      <w:bookmarkStart w:id="435" w:name="_Toc2710"/>
      <w:bookmarkStart w:id="436" w:name="_Toc21448"/>
      <w:bookmarkStart w:id="437" w:name="_Toc15940"/>
      <w:bookmarkStart w:id="438" w:name="_Toc12983519"/>
      <w:bookmarkStart w:id="439" w:name="_Toc15220"/>
      <w:bookmarkStart w:id="440" w:name="_Toc383891182"/>
      <w:bookmarkStart w:id="441" w:name="_Toc1664"/>
      <w:bookmarkStart w:id="442" w:name="_Toc375039078"/>
      <w:bookmarkStart w:id="443" w:name="_Toc26064"/>
      <w:bookmarkStart w:id="444" w:name="_Toc25750605"/>
      <w:r>
        <w:rPr>
          <w:rFonts w:ascii="宋体" w:hAnsi="宋体"/>
          <w:color w:val="auto"/>
          <w:sz w:val="21"/>
          <w:szCs w:val="21"/>
          <w:highlight w:val="none"/>
        </w:rPr>
        <w:t>比选申请货币</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75BF6833">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13.1</w:t>
      </w:r>
      <w:r>
        <w:rPr>
          <w:rFonts w:ascii="宋体" w:hAnsi="宋体"/>
          <w:color w:val="auto"/>
          <w:highlight w:val="none"/>
        </w:rPr>
        <w:t>比选申请人提供的货物和服务用人民币报价。在比选申请文件中的报价一律用人民币币种填报，比选人不接受任何非人民币币种的比选申请报价。</w:t>
      </w:r>
    </w:p>
    <w:p w14:paraId="4B0D64F0">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13.2</w:t>
      </w:r>
      <w:r>
        <w:rPr>
          <w:rFonts w:ascii="宋体" w:hAnsi="宋体"/>
          <w:color w:val="auto"/>
          <w:highlight w:val="none"/>
        </w:rPr>
        <w:t>比选人将以人民币与中选的比选申请人签订合同。</w:t>
      </w:r>
    </w:p>
    <w:p w14:paraId="5BE62121">
      <w:pPr>
        <w:pStyle w:val="8"/>
        <w:numPr>
          <w:ilvl w:val="0"/>
          <w:numId w:val="5"/>
        </w:numPr>
        <w:spacing w:before="0" w:after="0" w:afterAutospacing="0"/>
        <w:ind w:left="0" w:right="0" w:firstLine="422" w:firstLineChars="200"/>
        <w:rPr>
          <w:rFonts w:hint="eastAsia" w:ascii="宋体" w:hAnsi="宋体"/>
          <w:color w:val="auto"/>
          <w:sz w:val="21"/>
          <w:szCs w:val="21"/>
          <w:highlight w:val="none"/>
        </w:rPr>
      </w:pPr>
      <w:bookmarkStart w:id="445" w:name="_Toc7417"/>
      <w:bookmarkStart w:id="446" w:name="_Toc30606"/>
      <w:bookmarkStart w:id="447" w:name="_Toc1530"/>
      <w:bookmarkStart w:id="448" w:name="_Toc1624"/>
      <w:bookmarkStart w:id="449" w:name="_Toc28665"/>
      <w:bookmarkStart w:id="450" w:name="_Toc385427810"/>
      <w:bookmarkStart w:id="451" w:name="_Toc492478735"/>
      <w:bookmarkStart w:id="452" w:name="_Toc30040"/>
      <w:bookmarkStart w:id="453" w:name="_Toc30848"/>
      <w:bookmarkStart w:id="454" w:name="_Toc375039081"/>
      <w:bookmarkStart w:id="455" w:name="_Toc14309"/>
      <w:bookmarkStart w:id="456" w:name="_Toc12049"/>
      <w:bookmarkStart w:id="457" w:name="_Toc16314"/>
      <w:bookmarkStart w:id="458" w:name="_Toc14922"/>
      <w:bookmarkStart w:id="459" w:name="_Toc25750606"/>
      <w:bookmarkStart w:id="460" w:name="_Toc24199"/>
      <w:bookmarkStart w:id="461" w:name="_Toc114134623"/>
      <w:bookmarkStart w:id="462" w:name="_Toc27508"/>
      <w:bookmarkStart w:id="463" w:name="_Toc12983520"/>
      <w:bookmarkStart w:id="464" w:name="_Toc17738"/>
      <w:bookmarkStart w:id="465" w:name="_Toc11690"/>
      <w:bookmarkStart w:id="466" w:name="_Toc383891185"/>
      <w:bookmarkStart w:id="467" w:name="_Toc13095"/>
      <w:bookmarkStart w:id="468" w:name="_Toc390098436"/>
      <w:bookmarkStart w:id="469" w:name="_Toc9237"/>
      <w:bookmarkStart w:id="470" w:name="_Toc5974"/>
      <w:bookmarkStart w:id="471" w:name="_Toc22051"/>
      <w:r>
        <w:rPr>
          <w:rFonts w:ascii="宋体" w:hAnsi="宋体"/>
          <w:color w:val="auto"/>
          <w:sz w:val="21"/>
          <w:szCs w:val="21"/>
          <w:highlight w:val="none"/>
        </w:rPr>
        <w:t>比选保证金</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2691D5F1">
      <w:pPr>
        <w:pStyle w:val="17"/>
        <w:spacing w:before="0" w:after="0" w:afterAutospacing="0"/>
        <w:ind w:left="0" w:right="0" w:firstLine="420" w:firstLineChars="200"/>
        <w:rPr>
          <w:rFonts w:hint="eastAsia" w:hAnsi="宋体" w:cs="Times New Roman"/>
          <w:color w:val="auto"/>
          <w:sz w:val="21"/>
          <w:szCs w:val="21"/>
          <w:highlight w:val="none"/>
        </w:rPr>
      </w:pPr>
      <w:r>
        <w:rPr>
          <w:rFonts w:hint="eastAsia" w:hAnsi="宋体" w:cs="Times New Roman"/>
          <w:color w:val="auto"/>
          <w:sz w:val="21"/>
          <w:szCs w:val="21"/>
          <w:highlight w:val="none"/>
        </w:rPr>
        <w:t>本项目</w:t>
      </w:r>
      <w:r>
        <w:rPr>
          <w:rFonts w:hint="eastAsia" w:hAnsi="宋体"/>
          <w:color w:val="auto"/>
          <w:sz w:val="21"/>
          <w:szCs w:val="21"/>
          <w:highlight w:val="none"/>
        </w:rPr>
        <w:t>不要求递交比选保证金。</w:t>
      </w:r>
    </w:p>
    <w:p w14:paraId="43C9480E">
      <w:pPr>
        <w:pStyle w:val="8"/>
        <w:spacing w:before="0" w:after="0" w:afterAutospacing="0"/>
        <w:ind w:left="0" w:right="0" w:firstLine="422" w:firstLineChars="200"/>
        <w:rPr>
          <w:rFonts w:hint="eastAsia" w:ascii="宋体" w:hAnsi="宋体"/>
          <w:color w:val="auto"/>
          <w:sz w:val="21"/>
          <w:szCs w:val="21"/>
          <w:highlight w:val="none"/>
        </w:rPr>
      </w:pPr>
      <w:bookmarkStart w:id="472" w:name="_Toc14590"/>
      <w:bookmarkStart w:id="473" w:name="_Toc20493"/>
      <w:bookmarkStart w:id="474" w:name="_Toc7808"/>
      <w:bookmarkStart w:id="475" w:name="_Toc383891186"/>
      <w:bookmarkStart w:id="476" w:name="_Toc24656"/>
      <w:bookmarkStart w:id="477" w:name="_Toc28555"/>
      <w:bookmarkStart w:id="478" w:name="_Toc1604"/>
      <w:bookmarkStart w:id="479" w:name="_Toc23114"/>
      <w:bookmarkStart w:id="480" w:name="_Toc20643"/>
      <w:bookmarkStart w:id="481" w:name="_Toc385427811"/>
      <w:bookmarkStart w:id="482" w:name="_Toc25750607"/>
      <w:bookmarkStart w:id="483" w:name="_Toc845"/>
      <w:bookmarkStart w:id="484" w:name="_Toc390098437"/>
      <w:bookmarkStart w:id="485" w:name="_Toc375039082"/>
      <w:bookmarkStart w:id="486" w:name="_Toc492478736"/>
      <w:bookmarkStart w:id="487" w:name="_Toc12983521"/>
      <w:bookmarkStart w:id="488" w:name="_Toc2645"/>
      <w:bookmarkStart w:id="489" w:name="_Toc9117"/>
      <w:bookmarkStart w:id="490" w:name="_Toc30499"/>
      <w:bookmarkStart w:id="491" w:name="_Toc4433"/>
      <w:bookmarkStart w:id="492" w:name="_Toc2268"/>
      <w:bookmarkStart w:id="493" w:name="_Toc10918"/>
      <w:bookmarkStart w:id="494" w:name="_Toc5690"/>
      <w:bookmarkStart w:id="495" w:name="_Toc20070"/>
      <w:bookmarkStart w:id="496" w:name="_Toc114134624"/>
      <w:bookmarkStart w:id="497" w:name="_Toc28997"/>
      <w:bookmarkStart w:id="498" w:name="_Toc691"/>
      <w:r>
        <w:rPr>
          <w:rFonts w:hint="eastAsia" w:ascii="宋体" w:hAnsi="宋体"/>
          <w:color w:val="auto"/>
          <w:sz w:val="21"/>
          <w:szCs w:val="21"/>
          <w:highlight w:val="none"/>
        </w:rPr>
        <w:t xml:space="preserve">15. </w:t>
      </w:r>
      <w:r>
        <w:rPr>
          <w:rFonts w:ascii="宋体" w:hAnsi="宋体"/>
          <w:color w:val="auto"/>
          <w:sz w:val="21"/>
          <w:szCs w:val="21"/>
          <w:highlight w:val="none"/>
        </w:rPr>
        <w:t>比选申请有效期</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1BDE2232">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15.1 </w:t>
      </w:r>
      <w:r>
        <w:rPr>
          <w:rFonts w:ascii="宋体" w:hAnsi="宋体"/>
          <w:color w:val="auto"/>
          <w:highlight w:val="none"/>
        </w:rPr>
        <w:t>根据本须知前附表规定，比选申请应在比选申请须知前附表中规定的时间内保持有效。比选申请有效期不满足要求的比选申请将被视为非实质性响应比选申请而予以否决。</w:t>
      </w:r>
    </w:p>
    <w:p w14:paraId="33D29B3A">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15.2 </w:t>
      </w:r>
      <w:r>
        <w:rPr>
          <w:rFonts w:ascii="宋体" w:hAnsi="宋体"/>
          <w:color w:val="auto"/>
          <w:highlight w:val="none"/>
        </w:rPr>
        <w:t>特殊情况下，</w:t>
      </w:r>
      <w:r>
        <w:rPr>
          <w:rFonts w:hint="eastAsia" w:ascii="宋体" w:hAnsi="宋体"/>
          <w:color w:val="auto"/>
          <w:highlight w:val="none"/>
        </w:rPr>
        <w:t>比选人</w:t>
      </w:r>
      <w:r>
        <w:rPr>
          <w:rFonts w:ascii="宋体" w:hAnsi="宋体"/>
          <w:color w:val="auto"/>
          <w:highlight w:val="none"/>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color w:val="auto"/>
          <w:highlight w:val="none"/>
        </w:rPr>
        <w:t>。</w:t>
      </w:r>
    </w:p>
    <w:p w14:paraId="3199C95A">
      <w:pPr>
        <w:tabs>
          <w:tab w:val="left" w:pos="1134"/>
          <w:tab w:val="left" w:pos="8364"/>
        </w:tabs>
        <w:spacing w:before="0" w:after="0" w:afterAutospacing="0"/>
        <w:ind w:left="0" w:right="0" w:firstLine="422" w:firstLineChars="200"/>
        <w:rPr>
          <w:rFonts w:hint="eastAsia" w:ascii="宋体" w:hAnsi="宋体"/>
          <w:b/>
          <w:bCs/>
          <w:color w:val="auto"/>
          <w:highlight w:val="none"/>
        </w:rPr>
      </w:pPr>
      <w:bookmarkStart w:id="499" w:name="_Toc301"/>
      <w:bookmarkStart w:id="500" w:name="_Toc12983522"/>
      <w:bookmarkStart w:id="501" w:name="_Toc27730"/>
      <w:bookmarkStart w:id="502" w:name="_Toc19044"/>
      <w:bookmarkStart w:id="503" w:name="_Toc25684"/>
      <w:bookmarkStart w:id="504" w:name="_Toc32525"/>
      <w:bookmarkStart w:id="505" w:name="_Toc29108"/>
      <w:bookmarkStart w:id="506" w:name="_Toc19603"/>
      <w:bookmarkStart w:id="507" w:name="_Toc385427812"/>
      <w:bookmarkStart w:id="508" w:name="_Toc390098438"/>
      <w:bookmarkStart w:id="509" w:name="_Toc375039083"/>
      <w:bookmarkStart w:id="510" w:name="_Toc25468"/>
      <w:bookmarkStart w:id="511" w:name="_Toc12435"/>
      <w:bookmarkStart w:id="512" w:name="_Toc24922"/>
      <w:bookmarkStart w:id="513" w:name="_Toc6065"/>
      <w:bookmarkStart w:id="514" w:name="_Toc8100"/>
      <w:bookmarkStart w:id="515" w:name="_Toc492478737"/>
      <w:bookmarkStart w:id="516" w:name="_Toc12506"/>
      <w:bookmarkStart w:id="517" w:name="_Toc14672"/>
      <w:bookmarkStart w:id="518" w:name="_Toc383891187"/>
      <w:bookmarkStart w:id="519" w:name="_Toc3414"/>
      <w:bookmarkStart w:id="520" w:name="_Toc32020"/>
      <w:bookmarkStart w:id="521" w:name="_Toc4216"/>
      <w:r>
        <w:rPr>
          <w:rFonts w:hint="eastAsia" w:ascii="宋体" w:hAnsi="宋体"/>
          <w:b/>
          <w:bCs/>
          <w:color w:val="auto"/>
          <w:highlight w:val="none"/>
        </w:rPr>
        <w:t xml:space="preserve">16. </w:t>
      </w:r>
      <w:r>
        <w:rPr>
          <w:rFonts w:ascii="宋体" w:hAnsi="宋体"/>
          <w:b/>
          <w:bCs/>
          <w:color w:val="auto"/>
          <w:highlight w:val="none"/>
        </w:rPr>
        <w:t>比选申请文件的制作和签署</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73CE4DE5">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16.1 </w:t>
      </w:r>
      <w:r>
        <w:rPr>
          <w:rFonts w:ascii="宋体" w:hAnsi="宋体"/>
          <w:color w:val="auto"/>
          <w:highlight w:val="none"/>
        </w:rPr>
        <w:t>比选申请人应按比选申请须知前附表所示套数准备比选申请文件。每套比选申请文件封面上应清楚地注明比选项目名称、项目编号及比选申请人名称，同时加盖公章并由法定代表人或其授权代表签字或盖章，且须清楚地标明“正本”“副本”或“电子文件”。若正本和副本不符，以正本为准</w:t>
      </w:r>
      <w:r>
        <w:rPr>
          <w:rFonts w:hint="eastAsia" w:ascii="宋体" w:hAnsi="宋体"/>
          <w:color w:val="auto"/>
          <w:highlight w:val="none"/>
        </w:rPr>
        <w:t>；</w:t>
      </w:r>
      <w:r>
        <w:rPr>
          <w:rFonts w:ascii="宋体" w:hAnsi="宋体"/>
          <w:color w:val="auto"/>
          <w:highlight w:val="none"/>
        </w:rPr>
        <w:t>电子版与纸</w:t>
      </w:r>
      <w:r>
        <w:rPr>
          <w:rFonts w:hint="eastAsia" w:ascii="宋体" w:hAnsi="宋体"/>
          <w:color w:val="auto"/>
          <w:highlight w:val="none"/>
        </w:rPr>
        <w:t>质</w:t>
      </w:r>
      <w:r>
        <w:rPr>
          <w:rFonts w:ascii="宋体" w:hAnsi="宋体"/>
          <w:color w:val="auto"/>
          <w:highlight w:val="none"/>
        </w:rPr>
        <w:t>文件不符</w:t>
      </w:r>
      <w:r>
        <w:rPr>
          <w:rFonts w:hint="eastAsia" w:ascii="宋体" w:hAnsi="宋体"/>
          <w:color w:val="auto"/>
          <w:highlight w:val="none"/>
        </w:rPr>
        <w:t>的，</w:t>
      </w:r>
      <w:r>
        <w:rPr>
          <w:rFonts w:ascii="宋体" w:hAnsi="宋体"/>
          <w:color w:val="auto"/>
          <w:highlight w:val="none"/>
        </w:rPr>
        <w:t>以纸</w:t>
      </w:r>
      <w:r>
        <w:rPr>
          <w:rFonts w:hint="eastAsia" w:ascii="宋体" w:hAnsi="宋体"/>
          <w:color w:val="auto"/>
          <w:highlight w:val="none"/>
        </w:rPr>
        <w:t>质</w:t>
      </w:r>
      <w:r>
        <w:rPr>
          <w:rFonts w:ascii="宋体" w:hAnsi="宋体"/>
          <w:color w:val="auto"/>
          <w:highlight w:val="none"/>
        </w:rPr>
        <w:t>文件为准。</w:t>
      </w:r>
      <w:r>
        <w:rPr>
          <w:rFonts w:hint="eastAsia" w:ascii="宋体" w:hAnsi="宋体"/>
          <w:b/>
          <w:color w:val="auto"/>
          <w:highlight w:val="none"/>
        </w:rPr>
        <w:t>比选申请文件要按照资格审查文件、价格文件和技术文件三部分文件单独装订成册。并按照比选申请须知规定的式样、密封和标记、时间和地点递交。</w:t>
      </w:r>
    </w:p>
    <w:p w14:paraId="4C8F3FFA">
      <w:pPr>
        <w:tabs>
          <w:tab w:val="left" w:pos="1134"/>
          <w:tab w:val="left" w:pos="8364"/>
        </w:tabs>
        <w:spacing w:before="0" w:after="0" w:afterAutospacing="0"/>
        <w:ind w:left="0" w:right="0" w:firstLine="422" w:firstLineChars="200"/>
        <w:rPr>
          <w:rFonts w:hint="eastAsia" w:ascii="宋体" w:hAnsi="宋体"/>
          <w:b/>
          <w:color w:val="auto"/>
          <w:highlight w:val="none"/>
        </w:rPr>
      </w:pPr>
      <w:r>
        <w:rPr>
          <w:rFonts w:hint="eastAsia" w:ascii="宋体" w:hAnsi="宋体"/>
          <w:b/>
          <w:color w:val="auto"/>
          <w:highlight w:val="none"/>
        </w:rPr>
        <w:t xml:space="preserve">16.2 </w:t>
      </w:r>
      <w:r>
        <w:rPr>
          <w:rFonts w:ascii="宋体" w:hAnsi="宋体"/>
          <w:b/>
          <w:color w:val="auto"/>
          <w:highlight w:val="none"/>
        </w:rPr>
        <w:t>比选申请文件的正本需打印，并由比选申请人法定代表人或其授权委托人</w:t>
      </w:r>
      <w:r>
        <w:rPr>
          <w:rFonts w:hint="eastAsia" w:ascii="宋体" w:hAnsi="宋体"/>
          <w:b/>
          <w:color w:val="auto"/>
          <w:highlight w:val="none"/>
        </w:rPr>
        <w:t>在比选文件规定的相关位置</w:t>
      </w:r>
      <w:r>
        <w:rPr>
          <w:rFonts w:ascii="宋体" w:hAnsi="宋体"/>
          <w:b/>
          <w:color w:val="auto"/>
          <w:highlight w:val="none"/>
        </w:rPr>
        <w:t>签字并加盖公章。授权委托人应将以书面形式出具的“法定代表人授权书”附在比选申请文件中。</w:t>
      </w:r>
      <w:r>
        <w:rPr>
          <w:rFonts w:hint="eastAsia" w:ascii="宋体" w:hAnsi="宋体"/>
          <w:b/>
          <w:color w:val="auto"/>
          <w:highlight w:val="none"/>
        </w:rPr>
        <w:t>比选申请文件正本需</w:t>
      </w:r>
      <w:r>
        <w:rPr>
          <w:rFonts w:ascii="宋体" w:hAnsi="宋体"/>
          <w:b/>
          <w:color w:val="auto"/>
          <w:highlight w:val="none"/>
        </w:rPr>
        <w:t>骑缝加盖比选申请人单位公章</w:t>
      </w:r>
      <w:r>
        <w:rPr>
          <w:rFonts w:hint="eastAsia" w:ascii="宋体" w:hAnsi="宋体"/>
          <w:b/>
          <w:color w:val="auto"/>
          <w:highlight w:val="none"/>
        </w:rPr>
        <w:t>，</w:t>
      </w:r>
      <w:r>
        <w:rPr>
          <w:rFonts w:ascii="宋体" w:hAnsi="宋体"/>
          <w:b/>
          <w:color w:val="auto"/>
          <w:highlight w:val="none"/>
        </w:rPr>
        <w:t>比选申请文件的副本可采用正本的复印件</w:t>
      </w:r>
      <w:r>
        <w:rPr>
          <w:rFonts w:hint="eastAsia" w:ascii="宋体" w:hAnsi="宋体"/>
          <w:b/>
          <w:color w:val="auto"/>
          <w:highlight w:val="none"/>
        </w:rPr>
        <w:t>（需</w:t>
      </w:r>
      <w:r>
        <w:rPr>
          <w:rFonts w:ascii="宋体" w:hAnsi="宋体"/>
          <w:b/>
          <w:color w:val="auto"/>
          <w:highlight w:val="none"/>
        </w:rPr>
        <w:t>骑缝加盖比选申请人单位公章</w:t>
      </w:r>
      <w:r>
        <w:rPr>
          <w:rFonts w:hint="eastAsia" w:ascii="宋体" w:hAnsi="宋体"/>
          <w:b/>
          <w:color w:val="auto"/>
          <w:highlight w:val="none"/>
        </w:rPr>
        <w:t>）</w:t>
      </w:r>
      <w:r>
        <w:rPr>
          <w:rFonts w:ascii="宋体" w:hAnsi="宋体"/>
          <w:b/>
          <w:color w:val="auto"/>
          <w:highlight w:val="none"/>
        </w:rPr>
        <w:t>。</w:t>
      </w:r>
    </w:p>
    <w:p w14:paraId="2E964857">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16.3 </w:t>
      </w:r>
      <w:r>
        <w:rPr>
          <w:rFonts w:ascii="宋体" w:hAnsi="宋体"/>
          <w:color w:val="auto"/>
          <w:highlight w:val="none"/>
        </w:rPr>
        <w:t>比选申请文件应无涂改和行间插字，除非是比选申请人造成的必须修改的错误，任何行间插字、涂改和增删，必须由比选申请人法定代表人或其授权代表在旁边签字或盖章确认才有效。</w:t>
      </w:r>
    </w:p>
    <w:p w14:paraId="5662085F">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16.4 </w:t>
      </w:r>
      <w:r>
        <w:rPr>
          <w:rFonts w:ascii="宋体" w:hAnsi="宋体"/>
          <w:color w:val="auto"/>
          <w:highlight w:val="none"/>
        </w:rPr>
        <w:t>比选人拒绝接受以</w:t>
      </w:r>
      <w:r>
        <w:rPr>
          <w:rFonts w:hint="eastAsia" w:ascii="宋体" w:hAnsi="宋体"/>
          <w:color w:val="auto"/>
          <w:highlight w:val="none"/>
        </w:rPr>
        <w:t>邮寄、</w:t>
      </w:r>
      <w:r>
        <w:rPr>
          <w:rFonts w:ascii="宋体" w:hAnsi="宋体"/>
          <w:color w:val="auto"/>
          <w:highlight w:val="none"/>
        </w:rPr>
        <w:t>电报、电话、传真、电子邮件形式的比选申请。</w:t>
      </w:r>
    </w:p>
    <w:p w14:paraId="09E80B64">
      <w:pPr>
        <w:pStyle w:val="7"/>
        <w:spacing w:after="0" w:afterAutospacing="0" w:line="360" w:lineRule="auto"/>
        <w:ind w:left="0" w:right="0" w:firstLine="482" w:firstLineChars="200"/>
        <w:rPr>
          <w:rFonts w:hint="eastAsia" w:ascii="宋体" w:hAnsi="宋体" w:eastAsia="宋体"/>
          <w:color w:val="auto"/>
          <w:sz w:val="24"/>
          <w:szCs w:val="24"/>
          <w:highlight w:val="none"/>
        </w:rPr>
      </w:pPr>
      <w:bookmarkStart w:id="522" w:name="_Toc375039084"/>
      <w:bookmarkStart w:id="523" w:name="_Toc390098439"/>
      <w:bookmarkStart w:id="524" w:name="_Toc383891188"/>
      <w:bookmarkStart w:id="525" w:name="_Toc385427813"/>
      <w:bookmarkStart w:id="526" w:name="_Toc30452"/>
      <w:bookmarkStart w:id="527" w:name="_Toc23177"/>
      <w:bookmarkStart w:id="528" w:name="_Toc26551"/>
      <w:bookmarkStart w:id="529" w:name="_Toc30962"/>
      <w:bookmarkStart w:id="530" w:name="_Toc492478738"/>
      <w:bookmarkStart w:id="531" w:name="_Toc6101"/>
      <w:bookmarkStart w:id="532" w:name="_Toc1315"/>
      <w:bookmarkStart w:id="533" w:name="_Toc759"/>
      <w:bookmarkStart w:id="534" w:name="_Toc30187"/>
      <w:bookmarkStart w:id="535" w:name="_Toc25540"/>
      <w:bookmarkStart w:id="536" w:name="_Toc114134625"/>
      <w:bookmarkStart w:id="537" w:name="_Toc10234"/>
      <w:bookmarkStart w:id="538" w:name="_Toc30015"/>
      <w:bookmarkStart w:id="539" w:name="_Toc26776"/>
      <w:bookmarkStart w:id="540" w:name="_Toc18322"/>
      <w:bookmarkStart w:id="541" w:name="_Toc16409"/>
      <w:bookmarkStart w:id="542" w:name="_Toc1952"/>
      <w:bookmarkStart w:id="543" w:name="_Toc15116"/>
      <w:bookmarkStart w:id="544" w:name="_Toc2975"/>
      <w:bookmarkStart w:id="545" w:name="_Toc2113"/>
      <w:bookmarkStart w:id="546" w:name="_Toc32054"/>
      <w:bookmarkStart w:id="547" w:name="_Toc12983523"/>
      <w:r>
        <w:rPr>
          <w:rFonts w:hint="eastAsia" w:ascii="宋体" w:hAnsi="宋体" w:eastAsia="宋体"/>
          <w:color w:val="auto"/>
          <w:sz w:val="24"/>
          <w:szCs w:val="24"/>
          <w:highlight w:val="none"/>
        </w:rPr>
        <w:t>四、</w:t>
      </w:r>
      <w:r>
        <w:rPr>
          <w:rFonts w:ascii="宋体" w:hAnsi="宋体" w:eastAsia="宋体"/>
          <w:color w:val="auto"/>
          <w:sz w:val="24"/>
          <w:szCs w:val="24"/>
          <w:highlight w:val="none"/>
        </w:rPr>
        <w:t>比选申请文件</w:t>
      </w:r>
      <w:bookmarkEnd w:id="522"/>
      <w:bookmarkEnd w:id="523"/>
      <w:bookmarkEnd w:id="524"/>
      <w:bookmarkEnd w:id="525"/>
      <w:r>
        <w:rPr>
          <w:rFonts w:hint="eastAsia" w:ascii="宋体" w:hAnsi="宋体" w:eastAsia="宋体"/>
          <w:color w:val="auto"/>
          <w:sz w:val="24"/>
          <w:szCs w:val="24"/>
          <w:highlight w:val="none"/>
        </w:rPr>
        <w:t>的密封和递交</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2609BDDE">
      <w:pPr>
        <w:pStyle w:val="8"/>
        <w:spacing w:before="0" w:after="0" w:afterAutospacing="0"/>
        <w:ind w:left="0" w:right="0" w:firstLine="422" w:firstLineChars="200"/>
        <w:rPr>
          <w:rFonts w:hint="eastAsia" w:ascii="宋体" w:hAnsi="宋体"/>
          <w:color w:val="auto"/>
          <w:sz w:val="21"/>
          <w:szCs w:val="21"/>
          <w:highlight w:val="none"/>
        </w:rPr>
      </w:pPr>
      <w:bookmarkStart w:id="548" w:name="_Toc8531"/>
      <w:bookmarkStart w:id="549" w:name="_Toc492478739"/>
      <w:bookmarkStart w:id="550" w:name="_Toc9307"/>
      <w:bookmarkStart w:id="551" w:name="_Toc385427814"/>
      <w:bookmarkStart w:id="552" w:name="_Toc15650"/>
      <w:bookmarkStart w:id="553" w:name="_Toc375039085"/>
      <w:bookmarkStart w:id="554" w:name="_Toc12329"/>
      <w:bookmarkStart w:id="555" w:name="_Toc18616"/>
      <w:bookmarkStart w:id="556" w:name="_Toc12983524"/>
      <w:bookmarkStart w:id="557" w:name="_Toc390098440"/>
      <w:bookmarkStart w:id="558" w:name="_Toc15663"/>
      <w:bookmarkStart w:id="559" w:name="_Toc15071"/>
      <w:bookmarkStart w:id="560" w:name="_Toc13621"/>
      <w:bookmarkStart w:id="561" w:name="_Toc17200"/>
      <w:bookmarkStart w:id="562" w:name="_Toc13829"/>
      <w:bookmarkStart w:id="563" w:name="_Toc25750609"/>
      <w:bookmarkStart w:id="564" w:name="_Toc114134626"/>
      <w:bookmarkStart w:id="565" w:name="_Toc19495"/>
      <w:bookmarkStart w:id="566" w:name="_Toc26249"/>
      <w:bookmarkStart w:id="567" w:name="_Toc5922"/>
      <w:bookmarkStart w:id="568" w:name="_Toc15735"/>
      <w:bookmarkStart w:id="569" w:name="_Toc383891189"/>
      <w:bookmarkStart w:id="570" w:name="_Toc15489"/>
      <w:bookmarkStart w:id="571" w:name="_Toc24648"/>
      <w:bookmarkStart w:id="572" w:name="_Toc12117"/>
      <w:bookmarkStart w:id="573" w:name="_Toc13875"/>
      <w:bookmarkStart w:id="574" w:name="_Toc30196"/>
      <w:r>
        <w:rPr>
          <w:rFonts w:hint="eastAsia" w:ascii="宋体" w:hAnsi="宋体"/>
          <w:color w:val="auto"/>
          <w:sz w:val="21"/>
          <w:szCs w:val="21"/>
          <w:highlight w:val="none"/>
        </w:rPr>
        <w:t xml:space="preserve">17. </w:t>
      </w:r>
      <w:r>
        <w:rPr>
          <w:rFonts w:ascii="宋体" w:hAnsi="宋体"/>
          <w:color w:val="auto"/>
          <w:sz w:val="21"/>
          <w:szCs w:val="21"/>
          <w:highlight w:val="none"/>
        </w:rPr>
        <w:t>比选申请文件</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5EC5AC83">
      <w:pPr>
        <w:tabs>
          <w:tab w:val="left" w:pos="1134"/>
          <w:tab w:val="left" w:pos="8364"/>
        </w:tabs>
        <w:spacing w:before="0" w:after="0" w:afterAutospacing="0"/>
        <w:ind w:left="0" w:right="0" w:firstLine="420" w:firstLineChars="200"/>
        <w:rPr>
          <w:rFonts w:hint="eastAsia" w:ascii="宋体" w:hAnsi="宋体"/>
          <w:color w:val="auto"/>
          <w:highlight w:val="none"/>
        </w:rPr>
      </w:pPr>
      <w:bookmarkStart w:id="575" w:name="_Toc375039086"/>
      <w:bookmarkStart w:id="576" w:name="_Toc383891190"/>
      <w:bookmarkStart w:id="577" w:name="_Toc385427815"/>
      <w:bookmarkStart w:id="578" w:name="_Toc390098441"/>
      <w:r>
        <w:rPr>
          <w:rFonts w:hint="eastAsia" w:ascii="宋体" w:hAnsi="宋体"/>
          <w:color w:val="auto"/>
          <w:highlight w:val="none"/>
        </w:rPr>
        <w:t xml:space="preserve">17.1 </w:t>
      </w:r>
      <w:r>
        <w:rPr>
          <w:rFonts w:ascii="宋体" w:hAnsi="宋体"/>
          <w:color w:val="auto"/>
          <w:highlight w:val="none"/>
        </w:rPr>
        <w:t>封装方式</w:t>
      </w:r>
    </w:p>
    <w:p w14:paraId="607806A3">
      <w:pPr>
        <w:tabs>
          <w:tab w:val="left" w:pos="420"/>
          <w:tab w:val="left" w:pos="720"/>
          <w:tab w:val="left" w:pos="113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（1）比选申请文件正本与副本应分别装订成册，封面上应分别标明“正本”和“副本”字样。</w:t>
      </w:r>
    </w:p>
    <w:p w14:paraId="77A38E60">
      <w:pPr>
        <w:tabs>
          <w:tab w:val="left" w:pos="420"/>
          <w:tab w:val="left" w:pos="720"/>
          <w:tab w:val="left" w:pos="113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w:t>
      </w:r>
      <w:r>
        <w:rPr>
          <w:rFonts w:ascii="宋体" w:hAnsi="宋体"/>
          <w:color w:val="auto"/>
          <w:highlight w:val="none"/>
        </w:rPr>
        <w:t>2</w:t>
      </w:r>
      <w:r>
        <w:rPr>
          <w:rFonts w:hint="eastAsia" w:ascii="宋体" w:hAnsi="宋体"/>
          <w:color w:val="auto"/>
          <w:highlight w:val="none"/>
        </w:rPr>
        <w:t>）比选申请人可将比选申请文件封装为</w:t>
      </w:r>
      <w:r>
        <w:rPr>
          <w:rFonts w:ascii="宋体" w:hAnsi="宋体"/>
          <w:color w:val="auto"/>
          <w:highlight w:val="none"/>
        </w:rPr>
        <w:t>1</w:t>
      </w:r>
      <w:r>
        <w:rPr>
          <w:rFonts w:hint="eastAsia" w:ascii="宋体" w:hAnsi="宋体"/>
          <w:color w:val="auto"/>
          <w:highlight w:val="none"/>
        </w:rPr>
        <w:t>个包，其中价格文件还需独立密封成包。</w:t>
      </w:r>
    </w:p>
    <w:p w14:paraId="589A000B">
      <w:pPr>
        <w:tabs>
          <w:tab w:val="left" w:pos="420"/>
          <w:tab w:val="left" w:pos="720"/>
          <w:tab w:val="left" w:pos="113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（3）所有密封箱/袋应保证其密封性，并骑缝加盖比选申请人单位公章。</w:t>
      </w:r>
    </w:p>
    <w:p w14:paraId="270099E9">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17.2 </w:t>
      </w:r>
      <w:r>
        <w:rPr>
          <w:rFonts w:ascii="宋体" w:hAnsi="宋体"/>
          <w:color w:val="auto"/>
          <w:highlight w:val="none"/>
        </w:rPr>
        <w:t>所有密封箱/袋都应具有下列识别标志：</w:t>
      </w:r>
    </w:p>
    <w:p w14:paraId="5D1D5968">
      <w:pPr>
        <w:tabs>
          <w:tab w:val="left" w:pos="1155"/>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w:t>
      </w:r>
      <w:r>
        <w:rPr>
          <w:rFonts w:ascii="宋体" w:hAnsi="宋体"/>
          <w:color w:val="auto"/>
          <w:highlight w:val="none"/>
        </w:rPr>
        <w:t>项目名称：</w:t>
      </w:r>
      <w:r>
        <w:rPr>
          <w:rFonts w:hint="eastAsia" w:ascii="宋体" w:hAnsi="宋体"/>
          <w:color w:val="auto"/>
          <w:highlight w:val="none"/>
          <w:u w:val="single"/>
          <w:lang w:val="zh-CN"/>
        </w:rPr>
        <w:t>轨道云著（北区）项目样板房（125及102户型）精装修设计</w:t>
      </w:r>
      <w:r>
        <w:rPr>
          <w:rFonts w:ascii="宋体" w:hAnsi="宋体"/>
          <w:color w:val="auto"/>
          <w:highlight w:val="none"/>
        </w:rPr>
        <w:t>；</w:t>
      </w:r>
    </w:p>
    <w:p w14:paraId="49FBDBD9">
      <w:pPr>
        <w:tabs>
          <w:tab w:val="left" w:pos="420"/>
          <w:tab w:val="left" w:pos="720"/>
          <w:tab w:val="left" w:pos="113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（2）</w:t>
      </w:r>
      <w:r>
        <w:rPr>
          <w:rFonts w:ascii="宋体" w:hAnsi="宋体"/>
          <w:color w:val="auto"/>
          <w:highlight w:val="none"/>
        </w:rPr>
        <w:t>项目编号：</w:t>
      </w:r>
      <w:r>
        <w:rPr>
          <w:rFonts w:hint="eastAsia" w:ascii="宋体" w:hAnsi="宋体"/>
          <w:color w:val="auto"/>
          <w:highlight w:val="none"/>
        </w:rPr>
        <w:t>无</w:t>
      </w:r>
    </w:p>
    <w:p w14:paraId="5E2DF157">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17.3 </w:t>
      </w:r>
      <w:r>
        <w:rPr>
          <w:rFonts w:ascii="宋体" w:hAnsi="宋体"/>
          <w:color w:val="auto"/>
          <w:highlight w:val="none"/>
        </w:rPr>
        <w:t>所有密封箱</w:t>
      </w:r>
      <w:r>
        <w:rPr>
          <w:rFonts w:hint="eastAsia" w:ascii="宋体" w:hAnsi="宋体"/>
          <w:color w:val="auto"/>
          <w:highlight w:val="none"/>
        </w:rPr>
        <w:t>/</w:t>
      </w:r>
      <w:r>
        <w:rPr>
          <w:rFonts w:ascii="宋体" w:hAnsi="宋体"/>
          <w:color w:val="auto"/>
          <w:highlight w:val="none"/>
        </w:rPr>
        <w:t>袋上均应写明比选申请人的名称与地址，以便比选申请被宣布迟到时，能原封退回。</w:t>
      </w:r>
    </w:p>
    <w:p w14:paraId="23908AD2">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17.4 </w:t>
      </w:r>
      <w:r>
        <w:rPr>
          <w:rFonts w:ascii="宋体" w:hAnsi="宋体"/>
          <w:color w:val="auto"/>
          <w:highlight w:val="none"/>
        </w:rPr>
        <w:t>如果密封箱</w:t>
      </w:r>
      <w:r>
        <w:rPr>
          <w:rFonts w:hint="eastAsia" w:ascii="宋体" w:hAnsi="宋体"/>
          <w:color w:val="auto"/>
          <w:highlight w:val="none"/>
        </w:rPr>
        <w:t>/</w:t>
      </w:r>
      <w:r>
        <w:rPr>
          <w:rFonts w:ascii="宋体" w:hAnsi="宋体"/>
          <w:color w:val="auto"/>
          <w:highlight w:val="none"/>
        </w:rPr>
        <w:t>袋上没有按上述规定密封并加写标志，比选人将不承担比选申请文件错放或提前开封的责任，由此造成的提前开封的比选申请文件，比选人将予以拒绝，并退还给比选申请人。</w:t>
      </w:r>
    </w:p>
    <w:p w14:paraId="7B2A698F">
      <w:pPr>
        <w:pStyle w:val="8"/>
        <w:numPr>
          <w:ilvl w:val="0"/>
          <w:numId w:val="6"/>
        </w:numPr>
        <w:spacing w:before="0" w:after="0" w:afterAutospacing="0"/>
        <w:ind w:left="0" w:right="0" w:firstLine="422" w:firstLineChars="200"/>
        <w:rPr>
          <w:rFonts w:hint="eastAsia" w:ascii="宋体" w:hAnsi="宋体"/>
          <w:color w:val="auto"/>
          <w:sz w:val="21"/>
          <w:szCs w:val="21"/>
          <w:highlight w:val="none"/>
        </w:rPr>
      </w:pPr>
      <w:bookmarkStart w:id="579" w:name="_Toc6339"/>
      <w:bookmarkStart w:id="580" w:name="_Toc11096"/>
      <w:bookmarkStart w:id="581" w:name="_Toc2337"/>
      <w:bookmarkStart w:id="582" w:name="_Toc16755"/>
      <w:bookmarkStart w:id="583" w:name="_Toc17873"/>
      <w:bookmarkStart w:id="584" w:name="_Toc642"/>
      <w:bookmarkStart w:id="585" w:name="_Toc16818"/>
      <w:bookmarkStart w:id="586" w:name="_Toc15693"/>
      <w:bookmarkStart w:id="587" w:name="_Toc492478740"/>
      <w:bookmarkStart w:id="588" w:name="_Toc13883"/>
      <w:bookmarkStart w:id="589" w:name="_Toc32760"/>
      <w:bookmarkStart w:id="590" w:name="_Toc4735"/>
      <w:bookmarkStart w:id="591" w:name="_Toc6482"/>
      <w:bookmarkStart w:id="592" w:name="_Toc11039"/>
      <w:bookmarkStart w:id="593" w:name="_Toc23859"/>
      <w:bookmarkStart w:id="594" w:name="_Toc25750610"/>
      <w:bookmarkStart w:id="595" w:name="_Toc16266"/>
      <w:bookmarkStart w:id="596" w:name="_Toc28071"/>
      <w:bookmarkStart w:id="597" w:name="_Toc22445"/>
      <w:bookmarkStart w:id="598" w:name="_Toc11255"/>
      <w:bookmarkStart w:id="599" w:name="_Toc22180"/>
      <w:bookmarkStart w:id="600" w:name="_Toc114134627"/>
      <w:bookmarkStart w:id="601" w:name="_Toc12983525"/>
      <w:r>
        <w:rPr>
          <w:rFonts w:ascii="宋体" w:hAnsi="宋体"/>
          <w:color w:val="auto"/>
          <w:sz w:val="21"/>
          <w:szCs w:val="21"/>
          <w:highlight w:val="none"/>
        </w:rPr>
        <w:t>比选申请截止期</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252099E6">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18.1 </w:t>
      </w:r>
      <w:r>
        <w:rPr>
          <w:rFonts w:ascii="宋体" w:hAnsi="宋体"/>
          <w:color w:val="auto"/>
          <w:highlight w:val="none"/>
        </w:rPr>
        <w:t>所有比选申请文件应派专人送交，并须按“比选申请须知前附表”中规定的比选申请截止时间</w:t>
      </w:r>
      <w:r>
        <w:rPr>
          <w:rFonts w:hint="eastAsia" w:ascii="宋体" w:hAnsi="宋体"/>
          <w:color w:val="auto"/>
          <w:highlight w:val="none"/>
        </w:rPr>
        <w:t>前</w:t>
      </w:r>
      <w:r>
        <w:rPr>
          <w:rFonts w:ascii="宋体" w:hAnsi="宋体"/>
          <w:color w:val="auto"/>
          <w:highlight w:val="none"/>
        </w:rPr>
        <w:t>送至</w:t>
      </w:r>
      <w:r>
        <w:rPr>
          <w:rFonts w:hint="eastAsia" w:ascii="宋体" w:hAnsi="宋体"/>
          <w:color w:val="auto"/>
          <w:highlight w:val="none"/>
        </w:rPr>
        <w:t>比选文件规定的</w:t>
      </w:r>
      <w:r>
        <w:rPr>
          <w:rFonts w:ascii="宋体" w:hAnsi="宋体"/>
          <w:color w:val="auto"/>
          <w:highlight w:val="none"/>
        </w:rPr>
        <w:t>地点。如有必要，比选申请人可事先自行到该场地进行察看。</w:t>
      </w:r>
    </w:p>
    <w:p w14:paraId="6EBCC546">
      <w:pPr>
        <w:tabs>
          <w:tab w:val="left" w:pos="1134"/>
          <w:tab w:val="left" w:pos="8364"/>
        </w:tabs>
        <w:spacing w:before="0" w:after="0" w:afterAutospacing="0"/>
        <w:ind w:left="0" w:right="0" w:firstLine="422" w:firstLineChars="200"/>
        <w:rPr>
          <w:rFonts w:hint="eastAsia" w:ascii="宋体" w:hAnsi="宋体"/>
          <w:color w:val="auto"/>
          <w:highlight w:val="none"/>
        </w:rPr>
      </w:pPr>
      <w:r>
        <w:rPr>
          <w:rFonts w:hint="eastAsia" w:ascii="宋体" w:hAnsi="宋体"/>
          <w:b/>
          <w:color w:val="auto"/>
          <w:highlight w:val="none"/>
        </w:rPr>
        <w:t xml:space="preserve">18.2 </w:t>
      </w:r>
      <w:r>
        <w:rPr>
          <w:rFonts w:ascii="宋体" w:hAnsi="宋体"/>
          <w:b/>
          <w:color w:val="auto"/>
          <w:highlight w:val="none"/>
        </w:rPr>
        <w:t>比选申请人在递交比选申请文件时必须签到，否则比选申请无效。递交比选申请文件的时间晚于比选申请截止时间时，比选申请文件将不被接受。</w:t>
      </w:r>
    </w:p>
    <w:p w14:paraId="5AE8FB86">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18.3 </w:t>
      </w:r>
      <w:r>
        <w:rPr>
          <w:rFonts w:ascii="宋体" w:hAnsi="宋体"/>
          <w:color w:val="auto"/>
          <w:highlight w:val="none"/>
        </w:rPr>
        <w:t>出现比选申请须知第7条因比选文件的修改推迟比选申请截止时间时，则按比选人修改通知规定的时间递交。在此情况下，比选人和比选申请人受比选申请截止时间制约的所有权利和义务均应延长至新的比选申请截止时间。</w:t>
      </w:r>
    </w:p>
    <w:p w14:paraId="37062F81">
      <w:pPr>
        <w:pStyle w:val="8"/>
        <w:numPr>
          <w:ilvl w:val="0"/>
          <w:numId w:val="6"/>
        </w:numPr>
        <w:spacing w:before="0" w:after="0" w:afterAutospacing="0"/>
        <w:ind w:left="0" w:right="0" w:firstLine="422" w:firstLineChars="200"/>
        <w:rPr>
          <w:rFonts w:hint="eastAsia" w:ascii="宋体" w:hAnsi="宋体"/>
          <w:color w:val="auto"/>
          <w:sz w:val="21"/>
          <w:szCs w:val="21"/>
          <w:highlight w:val="none"/>
        </w:rPr>
      </w:pPr>
      <w:bookmarkStart w:id="602" w:name="_Toc32252"/>
      <w:bookmarkStart w:id="603" w:name="_Toc114134628"/>
      <w:bookmarkStart w:id="604" w:name="_Toc385427816"/>
      <w:bookmarkStart w:id="605" w:name="_Toc15252"/>
      <w:bookmarkStart w:id="606" w:name="_Toc10818"/>
      <w:bookmarkStart w:id="607" w:name="_Toc12983526"/>
      <w:bookmarkStart w:id="608" w:name="_Toc26431"/>
      <w:bookmarkStart w:id="609" w:name="_Toc23404"/>
      <w:bookmarkStart w:id="610" w:name="_Toc13581"/>
      <w:bookmarkStart w:id="611" w:name="_Toc21960"/>
      <w:bookmarkStart w:id="612" w:name="_Toc5975"/>
      <w:bookmarkStart w:id="613" w:name="_Toc492478741"/>
      <w:bookmarkStart w:id="614" w:name="_Toc9522"/>
      <w:bookmarkStart w:id="615" w:name="_Toc324"/>
      <w:bookmarkStart w:id="616" w:name="_Toc383891191"/>
      <w:bookmarkStart w:id="617" w:name="_Toc375039087"/>
      <w:bookmarkStart w:id="618" w:name="_Toc3597"/>
      <w:bookmarkStart w:id="619" w:name="_Toc29473"/>
      <w:bookmarkStart w:id="620" w:name="_Toc11373"/>
      <w:bookmarkStart w:id="621" w:name="_Toc390098442"/>
      <w:bookmarkStart w:id="622" w:name="_Toc32621"/>
      <w:bookmarkStart w:id="623" w:name="_Toc22945"/>
      <w:bookmarkStart w:id="624" w:name="_Toc14239"/>
      <w:bookmarkStart w:id="625" w:name="_Toc2226"/>
      <w:bookmarkStart w:id="626" w:name="_Toc20632"/>
      <w:bookmarkStart w:id="627" w:name="_Toc25750611"/>
      <w:bookmarkStart w:id="628" w:name="_Toc29066"/>
      <w:r>
        <w:rPr>
          <w:rFonts w:ascii="宋体" w:hAnsi="宋体"/>
          <w:color w:val="auto"/>
          <w:sz w:val="21"/>
          <w:szCs w:val="21"/>
          <w:highlight w:val="none"/>
        </w:rPr>
        <w:t>迟交的比选申请文件</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035929F4">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19.1 比选人</w:t>
      </w:r>
      <w:r>
        <w:rPr>
          <w:rFonts w:ascii="宋体" w:hAnsi="宋体"/>
          <w:color w:val="auto"/>
          <w:highlight w:val="none"/>
        </w:rPr>
        <w:t>将拒绝并原封退回在</w:t>
      </w:r>
      <w:r>
        <w:rPr>
          <w:rFonts w:hint="eastAsia" w:ascii="宋体" w:hAnsi="宋体"/>
          <w:color w:val="auto"/>
          <w:highlight w:val="none"/>
        </w:rPr>
        <w:t>本须知</w:t>
      </w:r>
      <w:r>
        <w:rPr>
          <w:rFonts w:ascii="宋体" w:hAnsi="宋体"/>
          <w:color w:val="auto"/>
          <w:highlight w:val="none"/>
        </w:rPr>
        <w:t>18.1</w:t>
      </w:r>
      <w:r>
        <w:rPr>
          <w:rFonts w:hint="eastAsia" w:ascii="宋体" w:hAnsi="宋体"/>
          <w:color w:val="auto"/>
          <w:highlight w:val="none"/>
        </w:rPr>
        <w:t>条</w:t>
      </w:r>
      <w:r>
        <w:rPr>
          <w:rFonts w:ascii="宋体" w:hAnsi="宋体"/>
          <w:color w:val="auto"/>
          <w:highlight w:val="none"/>
        </w:rPr>
        <w:t>规定的比选申请截止时间后收到的任何比选申请文件。</w:t>
      </w:r>
    </w:p>
    <w:p w14:paraId="0EAB3110">
      <w:pPr>
        <w:pStyle w:val="8"/>
        <w:numPr>
          <w:ilvl w:val="0"/>
          <w:numId w:val="6"/>
        </w:numPr>
        <w:spacing w:before="0" w:after="0" w:afterAutospacing="0"/>
        <w:ind w:left="0" w:right="0" w:firstLine="422" w:firstLineChars="200"/>
        <w:rPr>
          <w:rFonts w:hint="eastAsia" w:ascii="宋体" w:hAnsi="宋体"/>
          <w:color w:val="auto"/>
          <w:sz w:val="21"/>
          <w:szCs w:val="21"/>
          <w:highlight w:val="none"/>
        </w:rPr>
      </w:pPr>
      <w:bookmarkStart w:id="629" w:name="_Toc27195"/>
      <w:bookmarkStart w:id="630" w:name="_Toc25750612"/>
      <w:bookmarkStart w:id="631" w:name="_Toc29208"/>
      <w:bookmarkStart w:id="632" w:name="_Toc28452"/>
      <w:bookmarkStart w:id="633" w:name="_Toc492478742"/>
      <w:bookmarkStart w:id="634" w:name="_Toc385427817"/>
      <w:bookmarkStart w:id="635" w:name="_Toc17797"/>
      <w:bookmarkStart w:id="636" w:name="_Toc12983527"/>
      <w:bookmarkStart w:id="637" w:name="_Toc15262"/>
      <w:bookmarkStart w:id="638" w:name="_Toc8636"/>
      <w:bookmarkStart w:id="639" w:name="_Toc383891192"/>
      <w:bookmarkStart w:id="640" w:name="_Toc243"/>
      <w:bookmarkStart w:id="641" w:name="_Toc375039088"/>
      <w:bookmarkStart w:id="642" w:name="_Toc4605"/>
      <w:bookmarkStart w:id="643" w:name="_Toc14522"/>
      <w:bookmarkStart w:id="644" w:name="_Toc26282"/>
      <w:bookmarkStart w:id="645" w:name="_Toc12682"/>
      <w:bookmarkStart w:id="646" w:name="_Toc31033"/>
      <w:bookmarkStart w:id="647" w:name="_Toc23449"/>
      <w:bookmarkStart w:id="648" w:name="_Toc21796"/>
      <w:bookmarkStart w:id="649" w:name="_Toc14411"/>
      <w:bookmarkStart w:id="650" w:name="_Toc390098443"/>
      <w:bookmarkStart w:id="651" w:name="_Toc24030"/>
      <w:bookmarkStart w:id="652" w:name="_Toc12332"/>
      <w:bookmarkStart w:id="653" w:name="_Toc25427"/>
      <w:bookmarkStart w:id="654" w:name="_Toc9706"/>
      <w:bookmarkStart w:id="655" w:name="_Toc114134629"/>
      <w:r>
        <w:rPr>
          <w:rFonts w:ascii="宋体" w:hAnsi="宋体"/>
          <w:color w:val="auto"/>
          <w:sz w:val="21"/>
          <w:szCs w:val="21"/>
          <w:highlight w:val="none"/>
        </w:rPr>
        <w:t>比选申请文件的修改和撤回</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5885E7DC">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20.1 </w:t>
      </w:r>
      <w:r>
        <w:rPr>
          <w:rFonts w:ascii="宋体" w:hAnsi="宋体"/>
          <w:color w:val="auto"/>
          <w:highlight w:val="none"/>
        </w:rPr>
        <w:t>比选申请人在提交比选申请文件后可对其比选申请文件进行修改或撤回，但该修改或撤回的书面通知须在比选申请截止时间之前送达</w:t>
      </w:r>
      <w:r>
        <w:rPr>
          <w:rFonts w:hint="eastAsia" w:ascii="宋体" w:hAnsi="宋体"/>
          <w:color w:val="auto"/>
          <w:highlight w:val="none"/>
        </w:rPr>
        <w:t>比选单位</w:t>
      </w:r>
      <w:r>
        <w:rPr>
          <w:rFonts w:ascii="宋体" w:hAnsi="宋体"/>
          <w:color w:val="auto"/>
          <w:highlight w:val="none"/>
        </w:rPr>
        <w:t>；且该通知需经正式授权的比选申请人代表签字方为有效。</w:t>
      </w:r>
    </w:p>
    <w:p w14:paraId="241CD3D7">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20.2 </w:t>
      </w:r>
      <w:r>
        <w:rPr>
          <w:rFonts w:ascii="宋体" w:hAnsi="宋体"/>
          <w:color w:val="auto"/>
          <w:highlight w:val="none"/>
        </w:rPr>
        <w:t>比选申请人对比选申请文件修改的书面材料或撤回的通知应按本比选申请须知</w:t>
      </w:r>
      <w:r>
        <w:rPr>
          <w:rFonts w:hint="eastAsia" w:ascii="宋体" w:hAnsi="宋体"/>
          <w:color w:val="auto"/>
          <w:highlight w:val="none"/>
        </w:rPr>
        <w:t>16</w:t>
      </w:r>
      <w:r>
        <w:rPr>
          <w:rFonts w:ascii="宋体" w:hAnsi="宋体"/>
          <w:color w:val="auto"/>
          <w:highlight w:val="none"/>
        </w:rPr>
        <w:t>和</w:t>
      </w:r>
      <w:r>
        <w:rPr>
          <w:color w:val="auto"/>
          <w:highlight w:val="none"/>
        </w:rPr>
        <w:fldChar w:fldCharType="begin"/>
      </w:r>
      <w:r>
        <w:rPr>
          <w:color w:val="auto"/>
          <w:highlight w:val="none"/>
        </w:rPr>
        <w:instrText xml:space="preserve"> HYPERLINK \l "_尻깃匡숭돨쵱룐뵨깃션" </w:instrText>
      </w:r>
      <w:r>
        <w:rPr>
          <w:color w:val="auto"/>
          <w:highlight w:val="none"/>
        </w:rPr>
        <w:fldChar w:fldCharType="separate"/>
      </w:r>
      <w:r>
        <w:rPr>
          <w:rFonts w:hint="eastAsia" w:ascii="宋体" w:hAnsi="宋体"/>
          <w:color w:val="auto"/>
          <w:highlight w:val="none"/>
        </w:rPr>
        <w:t>17</w:t>
      </w:r>
      <w:r>
        <w:rPr>
          <w:rFonts w:ascii="宋体" w:hAnsi="宋体"/>
          <w:color w:val="auto"/>
          <w:highlight w:val="none"/>
        </w:rPr>
        <w:t>条</w:t>
      </w:r>
      <w:r>
        <w:rPr>
          <w:rFonts w:ascii="宋体" w:hAnsi="宋体"/>
          <w:color w:val="auto"/>
          <w:highlight w:val="none"/>
        </w:rPr>
        <w:fldChar w:fldCharType="end"/>
      </w:r>
      <w:r>
        <w:rPr>
          <w:rFonts w:ascii="宋体" w:hAnsi="宋体"/>
          <w:color w:val="auto"/>
          <w:highlight w:val="none"/>
        </w:rPr>
        <w:t>规定进行编写、密封、标注和递送，并注明“修改比选申请文件”或“撤回比选申请书面通知”字样。</w:t>
      </w:r>
    </w:p>
    <w:p w14:paraId="00F7AEAF">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20.3 </w:t>
      </w:r>
      <w:r>
        <w:rPr>
          <w:rFonts w:ascii="宋体" w:hAnsi="宋体"/>
          <w:color w:val="auto"/>
          <w:highlight w:val="none"/>
        </w:rPr>
        <w:t>比选申请截止时间以后比选申请人不得修改比选申请文件。</w:t>
      </w:r>
    </w:p>
    <w:p w14:paraId="38F51F4E">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20.4 </w:t>
      </w:r>
      <w:r>
        <w:rPr>
          <w:rFonts w:ascii="宋体" w:hAnsi="宋体"/>
          <w:color w:val="auto"/>
          <w:highlight w:val="none"/>
        </w:rPr>
        <w:t>比选申请人不得在比选申请截止时间至比选申请有效期期满前撤销比选申请文件。否则</w:t>
      </w:r>
      <w:r>
        <w:rPr>
          <w:rFonts w:hint="eastAsia" w:ascii="宋体" w:hAnsi="宋体"/>
          <w:color w:val="auto"/>
          <w:highlight w:val="none"/>
        </w:rPr>
        <w:t>比选人有权</w:t>
      </w:r>
      <w:r>
        <w:rPr>
          <w:rFonts w:ascii="宋体" w:hAnsi="宋体"/>
          <w:color w:val="auto"/>
          <w:highlight w:val="none"/>
        </w:rPr>
        <w:t>要求</w:t>
      </w:r>
      <w:r>
        <w:rPr>
          <w:rFonts w:hint="eastAsia" w:ascii="宋体" w:hAnsi="宋体"/>
          <w:color w:val="auto"/>
          <w:highlight w:val="none"/>
        </w:rPr>
        <w:t>比选申请人</w:t>
      </w:r>
      <w:r>
        <w:rPr>
          <w:rFonts w:ascii="宋体" w:hAnsi="宋体"/>
          <w:color w:val="auto"/>
          <w:highlight w:val="none"/>
        </w:rPr>
        <w:t>对损失给予赔偿。</w:t>
      </w:r>
    </w:p>
    <w:p w14:paraId="2EBEC1DD">
      <w:pPr>
        <w:pStyle w:val="7"/>
        <w:spacing w:after="0" w:afterAutospacing="0" w:line="360" w:lineRule="auto"/>
        <w:ind w:left="0" w:right="0" w:firstLine="482" w:firstLineChars="200"/>
        <w:rPr>
          <w:rFonts w:hint="eastAsia" w:ascii="宋体" w:hAnsi="宋体" w:eastAsia="宋体"/>
          <w:color w:val="auto"/>
          <w:sz w:val="24"/>
          <w:szCs w:val="24"/>
          <w:highlight w:val="none"/>
        </w:rPr>
      </w:pPr>
      <w:bookmarkStart w:id="656" w:name="_Toc28694"/>
      <w:bookmarkStart w:id="657" w:name="_Toc25433"/>
      <w:bookmarkStart w:id="658" w:name="_Toc12983528"/>
      <w:bookmarkStart w:id="659" w:name="_Toc11529"/>
      <w:bookmarkStart w:id="660" w:name="_Toc5592"/>
      <w:bookmarkStart w:id="661" w:name="_Toc3006"/>
      <w:bookmarkStart w:id="662" w:name="_Toc492478743"/>
      <w:bookmarkStart w:id="663" w:name="_Toc383891193"/>
      <w:bookmarkStart w:id="664" w:name="_Toc9728"/>
      <w:bookmarkStart w:id="665" w:name="_Toc18076"/>
      <w:bookmarkStart w:id="666" w:name="_Toc375039089"/>
      <w:bookmarkStart w:id="667" w:name="_Toc12182"/>
      <w:bookmarkStart w:id="668" w:name="_Toc22587"/>
      <w:bookmarkStart w:id="669" w:name="_Toc24485"/>
      <w:bookmarkStart w:id="670" w:name="_Toc385427818"/>
      <w:bookmarkStart w:id="671" w:name="_Toc9549"/>
      <w:bookmarkStart w:id="672" w:name="_Toc390098444"/>
      <w:bookmarkStart w:id="673" w:name="_Toc4291"/>
      <w:bookmarkStart w:id="674" w:name="_Toc29264"/>
      <w:bookmarkStart w:id="675" w:name="_Toc31978"/>
      <w:bookmarkStart w:id="676" w:name="_Toc2306"/>
      <w:bookmarkStart w:id="677" w:name="_Toc16856"/>
      <w:bookmarkStart w:id="678" w:name="_Toc10325"/>
      <w:bookmarkStart w:id="679" w:name="_Toc114134630"/>
      <w:bookmarkStart w:id="680" w:name="_Toc8327"/>
      <w:bookmarkStart w:id="681" w:name="_Toc6055"/>
      <w:r>
        <w:rPr>
          <w:rFonts w:hint="eastAsia" w:ascii="宋体" w:hAnsi="宋体" w:eastAsia="宋体"/>
          <w:color w:val="auto"/>
          <w:sz w:val="24"/>
          <w:szCs w:val="24"/>
          <w:highlight w:val="none"/>
        </w:rPr>
        <w:t>五、</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r>
        <w:rPr>
          <w:rFonts w:hint="eastAsia" w:ascii="宋体" w:hAnsi="宋体" w:eastAsia="宋体"/>
          <w:color w:val="auto"/>
          <w:sz w:val="24"/>
          <w:szCs w:val="24"/>
          <w:highlight w:val="none"/>
        </w:rPr>
        <w:t>比选申请文件递交与评审</w:t>
      </w:r>
      <w:bookmarkEnd w:id="679"/>
      <w:bookmarkEnd w:id="680"/>
      <w:bookmarkEnd w:id="681"/>
    </w:p>
    <w:p w14:paraId="67200802">
      <w:pPr>
        <w:pStyle w:val="8"/>
        <w:spacing w:before="0" w:after="0" w:afterAutospacing="0"/>
        <w:ind w:left="0" w:right="0" w:firstLine="422" w:firstLineChars="200"/>
        <w:rPr>
          <w:rFonts w:hint="eastAsia" w:ascii="宋体" w:hAnsi="宋体"/>
          <w:color w:val="auto"/>
          <w:sz w:val="21"/>
          <w:szCs w:val="21"/>
          <w:highlight w:val="none"/>
        </w:rPr>
      </w:pPr>
      <w:bookmarkStart w:id="682" w:name="_Toc25116"/>
      <w:bookmarkStart w:id="683" w:name="_Toc6377"/>
      <w:bookmarkStart w:id="684" w:name="_Toc4638"/>
      <w:bookmarkStart w:id="685" w:name="_Toc18919"/>
      <w:bookmarkStart w:id="686" w:name="_Toc12983529"/>
      <w:bookmarkStart w:id="687" w:name="_Toc9309"/>
      <w:bookmarkStart w:id="688" w:name="_Toc4365"/>
      <w:bookmarkStart w:id="689" w:name="_Toc4674"/>
      <w:bookmarkStart w:id="690" w:name="_Toc492478744"/>
      <w:bookmarkStart w:id="691" w:name="_Toc9264"/>
      <w:bookmarkStart w:id="692" w:name="_Toc375039090"/>
      <w:bookmarkStart w:id="693" w:name="_Toc5182"/>
      <w:bookmarkStart w:id="694" w:name="_Toc6974"/>
      <w:bookmarkStart w:id="695" w:name="_Toc4825"/>
      <w:bookmarkStart w:id="696" w:name="_Toc895"/>
      <w:bookmarkStart w:id="697" w:name="_Toc385427819"/>
      <w:bookmarkStart w:id="698" w:name="_Toc383891194"/>
      <w:bookmarkStart w:id="699" w:name="_Toc23705"/>
      <w:bookmarkStart w:id="700" w:name="_Toc390098445"/>
      <w:bookmarkStart w:id="701" w:name="_Toc24196"/>
      <w:bookmarkStart w:id="702" w:name="_Toc10883"/>
      <w:bookmarkStart w:id="703" w:name="_Toc10292"/>
      <w:bookmarkStart w:id="704" w:name="_Toc6839"/>
      <w:bookmarkStart w:id="705" w:name="_Toc25750614"/>
      <w:bookmarkStart w:id="706" w:name="_Toc114134631"/>
      <w:bookmarkStart w:id="707" w:name="_Toc445"/>
      <w:bookmarkStart w:id="708" w:name="_Toc31940"/>
      <w:r>
        <w:rPr>
          <w:rFonts w:hint="eastAsia" w:ascii="宋体" w:hAnsi="宋体"/>
          <w:color w:val="auto"/>
          <w:sz w:val="21"/>
          <w:szCs w:val="21"/>
          <w:highlight w:val="none"/>
        </w:rPr>
        <w:t xml:space="preserve">21. </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r>
        <w:rPr>
          <w:rFonts w:hint="eastAsia" w:ascii="宋体" w:hAnsi="宋体"/>
          <w:color w:val="auto"/>
          <w:sz w:val="21"/>
          <w:szCs w:val="21"/>
          <w:highlight w:val="none"/>
        </w:rPr>
        <w:t>比选申请文件递交</w:t>
      </w:r>
      <w:bookmarkEnd w:id="705"/>
      <w:bookmarkEnd w:id="706"/>
      <w:bookmarkEnd w:id="707"/>
      <w:bookmarkEnd w:id="708"/>
    </w:p>
    <w:p w14:paraId="52E034EE">
      <w:pPr>
        <w:tabs>
          <w:tab w:val="left" w:pos="945"/>
          <w:tab w:val="left" w:pos="113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21.1 比选人将按本须知</w:t>
      </w:r>
      <w:r>
        <w:rPr>
          <w:rFonts w:ascii="宋体" w:hAnsi="宋体"/>
          <w:color w:val="auto"/>
          <w:highlight w:val="none"/>
        </w:rPr>
        <w:t>18.1</w:t>
      </w:r>
      <w:r>
        <w:rPr>
          <w:rFonts w:hint="eastAsia" w:ascii="宋体" w:hAnsi="宋体"/>
          <w:color w:val="auto"/>
          <w:highlight w:val="none"/>
        </w:rPr>
        <w:t>条项规定的时间和地址，对所有按时递交并已签收达三个或以上比选申请人的比选申请文件进行核查。</w:t>
      </w:r>
    </w:p>
    <w:p w14:paraId="7E5B6021">
      <w:pPr>
        <w:tabs>
          <w:tab w:val="left" w:pos="113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比选申请文件有下列情形之一的，比选人应当拒收：</w:t>
      </w:r>
    </w:p>
    <w:p w14:paraId="1283D1BE">
      <w:pPr>
        <w:snapToGrid w:val="0"/>
        <w:spacing w:before="0" w:after="0" w:afterAutospacing="0"/>
        <w:ind w:left="0" w:right="0" w:firstLine="422" w:firstLineChars="200"/>
        <w:jc w:val="left"/>
        <w:rPr>
          <w:rFonts w:hint="eastAsia" w:ascii="宋体" w:hAnsi="宋体"/>
          <w:b/>
          <w:color w:val="auto"/>
          <w:highlight w:val="none"/>
        </w:rPr>
      </w:pPr>
      <w:r>
        <w:rPr>
          <w:rFonts w:ascii="宋体" w:hAnsi="宋体"/>
          <w:b/>
          <w:color w:val="auto"/>
          <w:highlight w:val="none"/>
        </w:rPr>
        <w:t>2</w:t>
      </w:r>
      <w:r>
        <w:rPr>
          <w:rFonts w:hint="eastAsia" w:ascii="宋体" w:hAnsi="宋体"/>
          <w:b/>
          <w:color w:val="auto"/>
          <w:highlight w:val="none"/>
        </w:rPr>
        <w:t>1</w:t>
      </w:r>
      <w:r>
        <w:rPr>
          <w:rFonts w:ascii="宋体" w:hAnsi="宋体"/>
          <w:b/>
          <w:color w:val="auto"/>
          <w:highlight w:val="none"/>
        </w:rPr>
        <w:t>.1.1逾期送达的或者未送达指定地点的比选申请文件</w:t>
      </w:r>
      <w:r>
        <w:rPr>
          <w:rFonts w:hint="eastAsia" w:ascii="宋体" w:hAnsi="宋体"/>
          <w:b/>
          <w:color w:val="auto"/>
          <w:highlight w:val="none"/>
        </w:rPr>
        <w:t>；</w:t>
      </w:r>
    </w:p>
    <w:p w14:paraId="66123452">
      <w:pPr>
        <w:snapToGrid w:val="0"/>
        <w:spacing w:before="0" w:after="0" w:afterAutospacing="0"/>
        <w:ind w:left="0" w:right="0" w:firstLine="422" w:firstLineChars="200"/>
        <w:jc w:val="left"/>
        <w:rPr>
          <w:rFonts w:hint="eastAsia" w:ascii="宋体" w:hAnsi="宋体"/>
          <w:b/>
          <w:color w:val="auto"/>
          <w:highlight w:val="none"/>
        </w:rPr>
      </w:pPr>
      <w:r>
        <w:rPr>
          <w:rFonts w:ascii="宋体" w:hAnsi="宋体"/>
          <w:b/>
          <w:color w:val="auto"/>
          <w:highlight w:val="none"/>
        </w:rPr>
        <w:t>2</w:t>
      </w:r>
      <w:r>
        <w:rPr>
          <w:rFonts w:hint="eastAsia" w:ascii="宋体" w:hAnsi="宋体"/>
          <w:b/>
          <w:color w:val="auto"/>
          <w:highlight w:val="none"/>
        </w:rPr>
        <w:t>1</w:t>
      </w:r>
      <w:r>
        <w:rPr>
          <w:rFonts w:ascii="宋体" w:hAnsi="宋体"/>
          <w:b/>
          <w:color w:val="auto"/>
          <w:highlight w:val="none"/>
        </w:rPr>
        <w:t>.1.2</w:t>
      </w:r>
      <w:r>
        <w:rPr>
          <w:rFonts w:hint="eastAsia" w:ascii="宋体" w:hAnsi="宋体"/>
          <w:b/>
          <w:color w:val="auto"/>
          <w:highlight w:val="none"/>
        </w:rPr>
        <w:t>比选申请文件外包封</w:t>
      </w:r>
      <w:r>
        <w:rPr>
          <w:rFonts w:ascii="宋体" w:hAnsi="宋体"/>
          <w:b/>
          <w:color w:val="auto"/>
          <w:highlight w:val="none"/>
        </w:rPr>
        <w:t>未按比选文件要求密封的</w:t>
      </w:r>
      <w:r>
        <w:rPr>
          <w:rFonts w:hint="eastAsia" w:ascii="宋体" w:hAnsi="宋体"/>
          <w:b/>
          <w:color w:val="auto"/>
          <w:highlight w:val="none"/>
        </w:rPr>
        <w:t>。</w:t>
      </w:r>
    </w:p>
    <w:p w14:paraId="636E26DF">
      <w:pPr>
        <w:tabs>
          <w:tab w:val="left" w:pos="945"/>
          <w:tab w:val="left" w:pos="1134"/>
          <w:tab w:val="left" w:pos="8364"/>
        </w:tabs>
        <w:spacing w:before="0" w:after="0" w:afterAutospacing="0"/>
        <w:ind w:left="0" w:right="0" w:firstLine="422" w:firstLineChars="200"/>
        <w:rPr>
          <w:rFonts w:hint="eastAsia" w:ascii="宋体" w:hAnsi="宋体"/>
          <w:color w:val="auto"/>
          <w:highlight w:val="none"/>
        </w:rPr>
      </w:pPr>
      <w:r>
        <w:rPr>
          <w:rFonts w:hint="eastAsia" w:ascii="宋体" w:hAnsi="宋体"/>
          <w:b/>
          <w:color w:val="auto"/>
          <w:highlight w:val="none"/>
        </w:rPr>
        <w:t xml:space="preserve">21.2 </w:t>
      </w:r>
      <w:r>
        <w:rPr>
          <w:rFonts w:ascii="宋体" w:hAnsi="宋体"/>
          <w:b/>
          <w:color w:val="auto"/>
          <w:highlight w:val="none"/>
        </w:rPr>
        <w:t>比选申请人的法定代表人或其授权代表（以下统称</w:t>
      </w:r>
      <w:r>
        <w:rPr>
          <w:rFonts w:hint="eastAsia" w:ascii="宋体" w:hAnsi="宋体"/>
          <w:b/>
          <w:color w:val="auto"/>
          <w:highlight w:val="none"/>
        </w:rPr>
        <w:t>“</w:t>
      </w:r>
      <w:r>
        <w:rPr>
          <w:rFonts w:ascii="宋体" w:hAnsi="宋体"/>
          <w:b/>
          <w:color w:val="auto"/>
          <w:highlight w:val="none"/>
        </w:rPr>
        <w:t>比选申请人代表</w:t>
      </w:r>
      <w:r>
        <w:rPr>
          <w:rFonts w:hint="eastAsia" w:ascii="宋体" w:hAnsi="宋体"/>
          <w:b/>
          <w:color w:val="auto"/>
          <w:highlight w:val="none"/>
        </w:rPr>
        <w:t>”</w:t>
      </w:r>
      <w:r>
        <w:rPr>
          <w:rFonts w:ascii="宋体" w:hAnsi="宋体"/>
          <w:b/>
          <w:color w:val="auto"/>
          <w:highlight w:val="none"/>
        </w:rPr>
        <w:t>）必须出示本人有效身份证</w:t>
      </w:r>
      <w:r>
        <w:rPr>
          <w:rFonts w:hint="eastAsia" w:ascii="宋体" w:hAnsi="宋体"/>
          <w:b/>
          <w:color w:val="auto"/>
          <w:highlight w:val="none"/>
        </w:rPr>
        <w:t>件</w:t>
      </w:r>
      <w:r>
        <w:rPr>
          <w:rFonts w:ascii="宋体" w:hAnsi="宋体"/>
          <w:b/>
          <w:color w:val="auto"/>
          <w:highlight w:val="none"/>
        </w:rPr>
        <w:t>（</w:t>
      </w:r>
      <w:r>
        <w:rPr>
          <w:rFonts w:hint="eastAsia" w:ascii="宋体" w:hAnsi="宋体"/>
          <w:b/>
          <w:color w:val="auto"/>
          <w:highlight w:val="none"/>
        </w:rPr>
        <w:t>限中国公民居民身份证、外籍有效护照</w:t>
      </w:r>
      <w:r>
        <w:rPr>
          <w:rFonts w:ascii="宋体" w:hAnsi="宋体"/>
          <w:b/>
          <w:color w:val="auto"/>
          <w:highlight w:val="none"/>
        </w:rPr>
        <w:t>，下同）的原件，比选申请人授权代表还必须同时出示比选申请授权书原件，以证明授权代表的身份和被授权范围，并由比选人验证确认。</w:t>
      </w:r>
      <w:bookmarkStart w:id="709" w:name="_Toc251051540"/>
      <w:r>
        <w:rPr>
          <w:rFonts w:ascii="宋体" w:hAnsi="宋体"/>
          <w:b/>
          <w:color w:val="auto"/>
          <w:highlight w:val="none"/>
        </w:rPr>
        <w:t>否则作无效</w:t>
      </w:r>
      <w:r>
        <w:rPr>
          <w:rFonts w:hint="eastAsia" w:ascii="宋体" w:hAnsi="宋体"/>
          <w:b/>
          <w:color w:val="auto"/>
          <w:highlight w:val="none"/>
        </w:rPr>
        <w:t>比选文件处理</w:t>
      </w:r>
      <w:bookmarkEnd w:id="709"/>
      <w:r>
        <w:rPr>
          <w:rFonts w:hint="eastAsia" w:ascii="宋体" w:hAnsi="宋体"/>
          <w:b/>
          <w:color w:val="auto"/>
          <w:highlight w:val="none"/>
        </w:rPr>
        <w:t>。</w:t>
      </w:r>
    </w:p>
    <w:p w14:paraId="13D6273C">
      <w:pPr>
        <w:pStyle w:val="8"/>
        <w:spacing w:before="0" w:after="0" w:afterAutospacing="0"/>
        <w:ind w:left="0" w:right="0" w:firstLine="422" w:firstLineChars="200"/>
        <w:rPr>
          <w:rFonts w:hint="eastAsia" w:ascii="宋体" w:hAnsi="宋体"/>
          <w:color w:val="auto"/>
          <w:sz w:val="21"/>
          <w:szCs w:val="21"/>
          <w:highlight w:val="none"/>
        </w:rPr>
      </w:pPr>
      <w:bookmarkStart w:id="710" w:name="_Toc385427820"/>
      <w:bookmarkStart w:id="711" w:name="_Toc383891195"/>
      <w:bookmarkStart w:id="712" w:name="_Toc390098446"/>
      <w:bookmarkStart w:id="713" w:name="_Toc375039091"/>
      <w:bookmarkStart w:id="714" w:name="_Toc16068"/>
      <w:bookmarkStart w:id="715" w:name="_Toc24687"/>
      <w:bookmarkStart w:id="716" w:name="_Toc30671"/>
      <w:bookmarkStart w:id="717" w:name="_Toc21819"/>
      <w:bookmarkStart w:id="718" w:name="_Toc24248"/>
      <w:bookmarkStart w:id="719" w:name="_Toc25750615"/>
      <w:bookmarkStart w:id="720" w:name="_Toc114134632"/>
      <w:bookmarkStart w:id="721" w:name="_Toc12336"/>
      <w:bookmarkStart w:id="722" w:name="_Toc5267"/>
      <w:bookmarkStart w:id="723" w:name="_Toc16601"/>
      <w:bookmarkStart w:id="724" w:name="_Toc27636"/>
      <w:bookmarkStart w:id="725" w:name="_Toc17785"/>
      <w:bookmarkStart w:id="726" w:name="_Toc13202"/>
      <w:bookmarkStart w:id="727" w:name="_Toc23699"/>
      <w:bookmarkStart w:id="728" w:name="_Toc25270"/>
      <w:bookmarkStart w:id="729" w:name="_Toc11263"/>
      <w:bookmarkStart w:id="730" w:name="_Toc24630"/>
      <w:bookmarkStart w:id="731" w:name="_Toc9391"/>
      <w:bookmarkStart w:id="732" w:name="_Toc12983530"/>
      <w:bookmarkStart w:id="733" w:name="_Toc1920"/>
      <w:bookmarkStart w:id="734" w:name="_Toc492478745"/>
      <w:bookmarkStart w:id="735" w:name="_Toc15466"/>
      <w:bookmarkStart w:id="736" w:name="_Toc11013"/>
      <w:r>
        <w:rPr>
          <w:rFonts w:hint="eastAsia" w:ascii="宋体" w:hAnsi="宋体"/>
          <w:color w:val="auto"/>
          <w:sz w:val="21"/>
          <w:szCs w:val="21"/>
          <w:highlight w:val="none"/>
        </w:rPr>
        <w:t>22.</w:t>
      </w:r>
      <w:r>
        <w:rPr>
          <w:rFonts w:ascii="宋体" w:hAnsi="宋体"/>
          <w:color w:val="auto"/>
          <w:sz w:val="21"/>
          <w:szCs w:val="21"/>
          <w:highlight w:val="none"/>
        </w:rPr>
        <w:t>评审</w:t>
      </w:r>
      <w:bookmarkEnd w:id="710"/>
      <w:bookmarkEnd w:id="711"/>
      <w:bookmarkEnd w:id="712"/>
      <w:bookmarkEnd w:id="713"/>
      <w:r>
        <w:rPr>
          <w:rFonts w:ascii="宋体" w:hAnsi="宋体"/>
          <w:color w:val="auto"/>
          <w:sz w:val="21"/>
          <w:szCs w:val="21"/>
          <w:highlight w:val="none"/>
        </w:rPr>
        <w:t>程序</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19ABE3B1">
      <w:pPr>
        <w:tabs>
          <w:tab w:val="left" w:pos="8364"/>
        </w:tabs>
        <w:spacing w:before="0" w:after="0" w:afterAutospacing="0"/>
        <w:ind w:left="0" w:right="0" w:firstLine="420" w:firstLineChars="200"/>
        <w:rPr>
          <w:rFonts w:hint="eastAsia" w:ascii="宋体" w:hAnsi="宋体"/>
          <w:b/>
          <w:color w:val="auto"/>
          <w:highlight w:val="none"/>
        </w:rPr>
      </w:pPr>
      <w:bookmarkStart w:id="737" w:name="_Toc375039092"/>
      <w:r>
        <w:rPr>
          <w:rFonts w:hint="eastAsia" w:ascii="宋体" w:hAnsi="宋体"/>
          <w:color w:val="auto"/>
          <w:highlight w:val="none"/>
        </w:rPr>
        <w:t>详见第六章《评分办法》。</w:t>
      </w:r>
      <w:bookmarkEnd w:id="737"/>
    </w:p>
    <w:p w14:paraId="724ACE4C">
      <w:pPr>
        <w:pStyle w:val="8"/>
        <w:numPr>
          <w:ilvl w:val="0"/>
          <w:numId w:val="7"/>
        </w:numPr>
        <w:spacing w:before="0" w:after="0" w:afterAutospacing="0"/>
        <w:ind w:left="0" w:right="0" w:firstLine="422" w:firstLineChars="200"/>
        <w:rPr>
          <w:rFonts w:hint="eastAsia" w:ascii="宋体" w:hAnsi="宋体"/>
          <w:color w:val="auto"/>
          <w:sz w:val="21"/>
          <w:szCs w:val="21"/>
          <w:highlight w:val="none"/>
        </w:rPr>
      </w:pPr>
      <w:bookmarkStart w:id="738" w:name="_Toc25750616"/>
      <w:bookmarkStart w:id="739" w:name="_Toc18063"/>
      <w:bookmarkStart w:id="740" w:name="_Toc390098447"/>
      <w:bookmarkStart w:id="741" w:name="_Toc29929"/>
      <w:bookmarkStart w:id="742" w:name="_Toc375039093"/>
      <w:bookmarkStart w:id="743" w:name="_Toc11716"/>
      <w:bookmarkStart w:id="744" w:name="_Toc17980"/>
      <w:bookmarkStart w:id="745" w:name="_Toc492478746"/>
      <w:bookmarkStart w:id="746" w:name="_Toc29860"/>
      <w:bookmarkStart w:id="747" w:name="_Toc833"/>
      <w:bookmarkStart w:id="748" w:name="_Toc13421"/>
      <w:bookmarkStart w:id="749" w:name="_Toc1456"/>
      <w:bookmarkStart w:id="750" w:name="_Toc15"/>
      <w:bookmarkStart w:id="751" w:name="_Toc114134633"/>
      <w:bookmarkStart w:id="752" w:name="_Toc5386"/>
      <w:bookmarkStart w:id="753" w:name="_Toc385427821"/>
      <w:bookmarkStart w:id="754" w:name="_Toc12983531"/>
      <w:bookmarkStart w:id="755" w:name="_Toc8295"/>
      <w:bookmarkStart w:id="756" w:name="_Toc27570"/>
      <w:bookmarkStart w:id="757" w:name="_Toc16072"/>
      <w:bookmarkStart w:id="758" w:name="_Toc18803"/>
      <w:bookmarkStart w:id="759" w:name="_Toc14719"/>
      <w:bookmarkStart w:id="760" w:name="_Toc24755"/>
      <w:bookmarkStart w:id="761" w:name="_Toc3410"/>
      <w:bookmarkStart w:id="762" w:name="_Toc383891196"/>
      <w:bookmarkStart w:id="763" w:name="_Toc26137"/>
      <w:bookmarkStart w:id="764" w:name="_Toc25047"/>
      <w:r>
        <w:rPr>
          <w:rFonts w:ascii="宋体" w:hAnsi="宋体"/>
          <w:color w:val="auto"/>
          <w:sz w:val="21"/>
          <w:szCs w:val="21"/>
          <w:highlight w:val="none"/>
        </w:rPr>
        <w:t>与比选人和比选评审小组的接触</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3AD92103">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 xml:space="preserve">23.1 </w:t>
      </w:r>
      <w:r>
        <w:rPr>
          <w:rFonts w:ascii="宋体" w:hAnsi="宋体" w:cs="Arial"/>
          <w:color w:val="auto"/>
          <w:highlight w:val="none"/>
        </w:rPr>
        <w:t>从比选申请截止日起至授予合同期间，未经书面要求，比选申请人不得就与其比选申请文件有关的事项与比选评审小组、比选人接触（包括直接接触</w:t>
      </w:r>
      <w:r>
        <w:rPr>
          <w:rFonts w:hint="eastAsia" w:ascii="宋体" w:hAnsi="宋体" w:cs="Arial"/>
          <w:color w:val="auto"/>
          <w:highlight w:val="none"/>
        </w:rPr>
        <w:t>或</w:t>
      </w:r>
      <w:r>
        <w:rPr>
          <w:rFonts w:ascii="宋体" w:hAnsi="宋体" w:cs="Arial"/>
          <w:color w:val="auto"/>
          <w:highlight w:val="none"/>
        </w:rPr>
        <w:t>间接接触）。</w:t>
      </w:r>
    </w:p>
    <w:p w14:paraId="36D43D0B">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 xml:space="preserve">23.2 </w:t>
      </w:r>
      <w:r>
        <w:rPr>
          <w:rFonts w:ascii="宋体" w:hAnsi="宋体" w:cs="Arial"/>
          <w:color w:val="auto"/>
          <w:highlight w:val="none"/>
        </w:rPr>
        <w:t>比选申请人试图对比选评审小组的评审、比较或授予合同的决定进行影响，都可能导致其比选申请文件被否决。</w:t>
      </w:r>
    </w:p>
    <w:p w14:paraId="07369761">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 xml:space="preserve">23.3 </w:t>
      </w:r>
      <w:r>
        <w:rPr>
          <w:rFonts w:ascii="宋体" w:hAnsi="宋体" w:cs="Arial"/>
          <w:color w:val="auto"/>
          <w:highlight w:val="none"/>
        </w:rPr>
        <w:t>比选申请人不得以任何方式干扰比选人的</w:t>
      </w:r>
      <w:r>
        <w:rPr>
          <w:rFonts w:hint="eastAsia" w:ascii="宋体" w:hAnsi="宋体" w:cs="Arial"/>
          <w:color w:val="auto"/>
          <w:highlight w:val="none"/>
        </w:rPr>
        <w:t>比选</w:t>
      </w:r>
      <w:r>
        <w:rPr>
          <w:rFonts w:ascii="宋体" w:hAnsi="宋体" w:cs="Arial"/>
          <w:color w:val="auto"/>
          <w:highlight w:val="none"/>
        </w:rPr>
        <w:t>和评审活动，否则其比选申请无效并追究其法律责任。</w:t>
      </w:r>
    </w:p>
    <w:p w14:paraId="545A298C">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 xml:space="preserve">23.4 </w:t>
      </w:r>
      <w:r>
        <w:rPr>
          <w:rFonts w:ascii="宋体" w:hAnsi="宋体" w:cs="Arial"/>
          <w:color w:val="auto"/>
          <w:highlight w:val="none"/>
        </w:rPr>
        <w:t>有关比选申请文件的审查、澄清、评估和比较以及有关授予合同的意向的一切情况都不得透露给任一比选申请人。</w:t>
      </w:r>
    </w:p>
    <w:p w14:paraId="21F8BA60">
      <w:pPr>
        <w:pStyle w:val="8"/>
        <w:numPr>
          <w:ilvl w:val="0"/>
          <w:numId w:val="7"/>
        </w:numPr>
        <w:spacing w:before="0" w:after="0" w:afterAutospacing="0"/>
        <w:ind w:left="0" w:right="0" w:firstLine="422" w:firstLineChars="200"/>
        <w:rPr>
          <w:rFonts w:hint="eastAsia" w:ascii="宋体" w:hAnsi="宋体"/>
          <w:color w:val="auto"/>
          <w:sz w:val="21"/>
          <w:szCs w:val="21"/>
          <w:highlight w:val="none"/>
        </w:rPr>
      </w:pPr>
      <w:bookmarkStart w:id="765" w:name="_Toc28849"/>
      <w:bookmarkStart w:id="766" w:name="_Toc19810"/>
      <w:bookmarkStart w:id="767" w:name="_Toc654"/>
      <w:bookmarkStart w:id="768" w:name="_Toc12555"/>
      <w:bookmarkStart w:id="769" w:name="_Toc492478747"/>
      <w:bookmarkStart w:id="770" w:name="_Toc18515"/>
      <w:bookmarkStart w:id="771" w:name="_Toc9602"/>
      <w:bookmarkStart w:id="772" w:name="_Toc16963"/>
      <w:bookmarkStart w:id="773" w:name="_Toc29504"/>
      <w:bookmarkStart w:id="774" w:name="_Toc20523"/>
      <w:bookmarkStart w:id="775" w:name="_Toc24635"/>
      <w:bookmarkStart w:id="776" w:name="_Toc114134634"/>
      <w:bookmarkStart w:id="777" w:name="_Toc12671"/>
      <w:bookmarkStart w:id="778" w:name="_Toc12909"/>
      <w:bookmarkStart w:id="779" w:name="_Toc12960"/>
      <w:bookmarkStart w:id="780" w:name="_Toc21167"/>
      <w:bookmarkStart w:id="781" w:name="_Toc12983532"/>
      <w:bookmarkStart w:id="782" w:name="_Toc385427822"/>
      <w:bookmarkStart w:id="783" w:name="_Toc7858"/>
      <w:bookmarkStart w:id="784" w:name="_Toc383891197"/>
      <w:bookmarkStart w:id="785" w:name="_Toc390098448"/>
      <w:bookmarkStart w:id="786" w:name="_Toc9941"/>
      <w:bookmarkStart w:id="787" w:name="_Toc25750617"/>
      <w:bookmarkStart w:id="788" w:name="_Toc15988"/>
      <w:bookmarkStart w:id="789" w:name="_Toc25734"/>
      <w:bookmarkStart w:id="790" w:name="_Toc30207"/>
      <w:bookmarkStart w:id="791" w:name="_Toc378514937"/>
      <w:bookmarkStart w:id="792" w:name="_Toc375039094"/>
      <w:bookmarkStart w:id="793" w:name="_Toc294723156"/>
      <w:r>
        <w:rPr>
          <w:rFonts w:hint="eastAsia" w:ascii="宋体" w:hAnsi="宋体"/>
          <w:color w:val="auto"/>
          <w:sz w:val="21"/>
          <w:szCs w:val="21"/>
          <w:highlight w:val="none"/>
        </w:rPr>
        <w:t>评审过程保密</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5E12B889">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24.1 递交比选文件后，直到宣布授予中选人且签订合同为止，凡属于审查、澄清、评价和比较比选申请的有关资料且与授予合同有关的信息，都不应向比选申请人或与该过程无关的其他人泄露。</w:t>
      </w:r>
    </w:p>
    <w:p w14:paraId="0F3E3A70">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24.2 比选申请人在比选申请文件的审查、澄清、评价和比较以及授予合同的过程中，对比选人和评审专家施加影响的任何行为，都将导致取消比选申请资格。</w:t>
      </w:r>
    </w:p>
    <w:p w14:paraId="615485EB">
      <w:pPr>
        <w:pStyle w:val="8"/>
        <w:numPr>
          <w:ilvl w:val="0"/>
          <w:numId w:val="7"/>
        </w:numPr>
        <w:spacing w:before="0" w:after="0" w:afterAutospacing="0"/>
        <w:ind w:left="0" w:right="0" w:firstLine="422" w:firstLineChars="200"/>
        <w:rPr>
          <w:rFonts w:hint="eastAsia" w:ascii="宋体" w:hAnsi="宋体"/>
          <w:color w:val="auto"/>
          <w:sz w:val="21"/>
          <w:szCs w:val="21"/>
          <w:highlight w:val="none"/>
        </w:rPr>
      </w:pPr>
      <w:bookmarkStart w:id="794" w:name="_Toc14740"/>
      <w:bookmarkStart w:id="795" w:name="_Toc13743"/>
      <w:bookmarkStart w:id="796" w:name="_Toc28701"/>
      <w:bookmarkStart w:id="797" w:name="_Toc28898"/>
      <w:bookmarkStart w:id="798" w:name="_Toc11077"/>
      <w:bookmarkStart w:id="799" w:name="_Toc385427823"/>
      <w:bookmarkStart w:id="800" w:name="_Toc383891198"/>
      <w:bookmarkStart w:id="801" w:name="_Toc30429"/>
      <w:bookmarkStart w:id="802" w:name="_Toc492478748"/>
      <w:bookmarkStart w:id="803" w:name="_Toc114134635"/>
      <w:bookmarkStart w:id="804" w:name="_Toc8827"/>
      <w:bookmarkStart w:id="805" w:name="_Toc6624"/>
      <w:bookmarkStart w:id="806" w:name="_Toc29554"/>
      <w:bookmarkStart w:id="807" w:name="_Toc28843"/>
      <w:bookmarkStart w:id="808" w:name="_Toc14860"/>
      <w:bookmarkStart w:id="809" w:name="_Toc12983533"/>
      <w:bookmarkStart w:id="810" w:name="_Toc5983"/>
      <w:bookmarkStart w:id="811" w:name="_Toc24327"/>
      <w:bookmarkStart w:id="812" w:name="_Toc25750618"/>
      <w:bookmarkStart w:id="813" w:name="_Toc1983"/>
      <w:bookmarkStart w:id="814" w:name="_Toc23267"/>
      <w:bookmarkStart w:id="815" w:name="_Toc14799"/>
      <w:bookmarkStart w:id="816" w:name="_Toc27670"/>
      <w:bookmarkStart w:id="817" w:name="_Toc13768"/>
      <w:bookmarkStart w:id="818" w:name="_Toc22510"/>
      <w:bookmarkStart w:id="819" w:name="_Toc390098449"/>
      <w:r>
        <w:rPr>
          <w:rFonts w:hint="eastAsia" w:ascii="宋体" w:hAnsi="宋体"/>
          <w:color w:val="auto"/>
          <w:sz w:val="21"/>
          <w:szCs w:val="21"/>
          <w:highlight w:val="none"/>
        </w:rPr>
        <w:t>比选申请文件的澄清</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02A28129">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25.1 为了有助于比选申请文件的审查、评价和比较，比选评审小组可以用书面形式要求比选申请人对比选申请文件含义不明确的内容作必要的澄清或者说明。有关澄清说明与答复、比选申请人应以书面形式进行，但对比选申请报价和实质性的内容不得更改。</w:t>
      </w:r>
    </w:p>
    <w:p w14:paraId="2F41ADE1">
      <w:pPr>
        <w:pStyle w:val="8"/>
        <w:numPr>
          <w:ilvl w:val="0"/>
          <w:numId w:val="7"/>
        </w:numPr>
        <w:spacing w:before="0" w:after="0" w:afterAutospacing="0"/>
        <w:ind w:left="0" w:right="0" w:firstLine="422" w:firstLineChars="200"/>
        <w:rPr>
          <w:rFonts w:hint="eastAsia" w:ascii="宋体" w:hAnsi="宋体"/>
          <w:color w:val="auto"/>
          <w:sz w:val="21"/>
          <w:szCs w:val="21"/>
          <w:highlight w:val="none"/>
        </w:rPr>
      </w:pPr>
      <w:bookmarkStart w:id="820" w:name="_Toc9040"/>
      <w:bookmarkStart w:id="821" w:name="_Toc385427824"/>
      <w:bookmarkStart w:id="822" w:name="_Toc30017"/>
      <w:bookmarkStart w:id="823" w:name="_Toc5607"/>
      <w:bookmarkStart w:id="824" w:name="_Toc26318"/>
      <w:bookmarkStart w:id="825" w:name="_Toc6908"/>
      <w:bookmarkStart w:id="826" w:name="_Toc26070"/>
      <w:bookmarkStart w:id="827" w:name="_Toc16884"/>
      <w:bookmarkStart w:id="828" w:name="_Toc20519"/>
      <w:bookmarkStart w:id="829" w:name="_Toc18093"/>
      <w:bookmarkStart w:id="830" w:name="_Toc383891199"/>
      <w:bookmarkStart w:id="831" w:name="_Toc114134636"/>
      <w:bookmarkStart w:id="832" w:name="_Toc22681"/>
      <w:bookmarkStart w:id="833" w:name="_Toc5437"/>
      <w:bookmarkStart w:id="834" w:name="_Toc390098450"/>
      <w:bookmarkStart w:id="835" w:name="_Toc29146"/>
      <w:bookmarkStart w:id="836" w:name="_Toc1915"/>
      <w:bookmarkStart w:id="837" w:name="_Toc19714"/>
      <w:bookmarkStart w:id="838" w:name="_Toc492478749"/>
      <w:bookmarkStart w:id="839" w:name="_Toc12983534"/>
      <w:bookmarkStart w:id="840" w:name="_Toc11421"/>
      <w:bookmarkStart w:id="841" w:name="_Toc25750619"/>
      <w:bookmarkStart w:id="842" w:name="_Toc28992"/>
      <w:bookmarkStart w:id="843" w:name="_Toc5926"/>
      <w:bookmarkStart w:id="844" w:name="_Toc4397"/>
      <w:bookmarkStart w:id="845" w:name="_Toc12795"/>
      <w:r>
        <w:rPr>
          <w:rFonts w:hint="eastAsia" w:ascii="宋体" w:hAnsi="宋体"/>
          <w:color w:val="auto"/>
          <w:sz w:val="21"/>
          <w:szCs w:val="21"/>
          <w:highlight w:val="none"/>
        </w:rPr>
        <w:t>比选申请文件响应性的确定</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05B85C1F">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26.1 在详细评审之前，比选评审小组将首先审定每份比选申请文件是否在实质上响应了比选文件的要求和规定。</w:t>
      </w:r>
    </w:p>
    <w:p w14:paraId="0CB2D167">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26.2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4318227A">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26.3 如果比选申请文件实质上不响应比选文件的要求，比选人将予以拒绝，并且不允许比选申请人通过修正或撤销其不符要求的差异或保留使之成为具有响应性的比选申请。</w:t>
      </w:r>
    </w:p>
    <w:p w14:paraId="0FEF75CB">
      <w:pPr>
        <w:pStyle w:val="8"/>
        <w:numPr>
          <w:ilvl w:val="0"/>
          <w:numId w:val="7"/>
        </w:numPr>
        <w:spacing w:before="0" w:after="0" w:afterAutospacing="0"/>
        <w:ind w:left="0" w:right="0" w:firstLine="422" w:firstLineChars="200"/>
        <w:rPr>
          <w:rFonts w:hint="eastAsia" w:ascii="宋体" w:hAnsi="宋体"/>
          <w:color w:val="auto"/>
          <w:sz w:val="21"/>
          <w:szCs w:val="21"/>
          <w:highlight w:val="none"/>
        </w:rPr>
      </w:pPr>
      <w:bookmarkStart w:id="846" w:name="_Toc23808"/>
      <w:bookmarkStart w:id="847" w:name="_Toc20874"/>
      <w:bookmarkStart w:id="848" w:name="_Toc390098451"/>
      <w:bookmarkStart w:id="849" w:name="_Toc1027"/>
      <w:bookmarkStart w:id="850" w:name="_Toc21468"/>
      <w:bookmarkStart w:id="851" w:name="_Toc26239"/>
      <w:bookmarkStart w:id="852" w:name="_Toc385427825"/>
      <w:bookmarkStart w:id="853" w:name="_Toc23956"/>
      <w:bookmarkStart w:id="854" w:name="_Toc8588"/>
      <w:bookmarkStart w:id="855" w:name="_Toc19477"/>
      <w:bookmarkStart w:id="856" w:name="_Toc23999"/>
      <w:bookmarkStart w:id="857" w:name="_Toc12983535"/>
      <w:bookmarkStart w:id="858" w:name="_Toc31646"/>
      <w:bookmarkStart w:id="859" w:name="_Toc114134637"/>
      <w:bookmarkStart w:id="860" w:name="_Toc12167"/>
      <w:bookmarkStart w:id="861" w:name="_Toc383891200"/>
      <w:bookmarkStart w:id="862" w:name="_Toc20912"/>
      <w:bookmarkStart w:id="863" w:name="_Toc25750620"/>
      <w:bookmarkStart w:id="864" w:name="_Toc22063"/>
      <w:bookmarkStart w:id="865" w:name="_Toc15051"/>
      <w:bookmarkStart w:id="866" w:name="_Toc20810"/>
      <w:bookmarkStart w:id="867" w:name="_Toc7153"/>
      <w:bookmarkStart w:id="868" w:name="_Toc492478750"/>
      <w:bookmarkStart w:id="869" w:name="_Toc17236"/>
      <w:bookmarkStart w:id="870" w:name="_Toc29398"/>
      <w:bookmarkStart w:id="871" w:name="_Toc22146"/>
      <w:r>
        <w:rPr>
          <w:rFonts w:hint="eastAsia" w:ascii="宋体" w:hAnsi="宋体"/>
          <w:color w:val="auto"/>
          <w:sz w:val="21"/>
          <w:szCs w:val="21"/>
          <w:highlight w:val="none"/>
        </w:rPr>
        <w:t>比选申请文件计算错误的修正</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7086AD8E">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27.1 比选申请报价大写金额与小写金额不一致的，以大写金额为准；</w:t>
      </w:r>
      <w:r>
        <w:rPr>
          <w:rFonts w:ascii="宋体" w:hAnsi="宋体"/>
          <w:color w:val="auto"/>
          <w:highlight w:val="none"/>
        </w:rPr>
        <w:t>总价金额与单价</w:t>
      </w:r>
      <w:r>
        <w:rPr>
          <w:rFonts w:hint="eastAsia" w:ascii="宋体" w:hAnsi="宋体"/>
          <w:color w:val="auto"/>
          <w:highlight w:val="none"/>
        </w:rPr>
        <w:t>乘以数量的合计</w:t>
      </w:r>
      <w:r>
        <w:rPr>
          <w:rFonts w:ascii="宋体" w:hAnsi="宋体"/>
          <w:color w:val="auto"/>
          <w:highlight w:val="none"/>
        </w:rPr>
        <w:t>计算出的结果不一致的，以单价为准修正总价，但单价金额小数点有明显错误的除外。</w:t>
      </w:r>
    </w:p>
    <w:p w14:paraId="79BD255B">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 xml:space="preserve">27.2 </w:t>
      </w:r>
      <w:r>
        <w:rPr>
          <w:rFonts w:hint="eastAsia"/>
          <w:color w:val="auto"/>
          <w:highlight w:val="none"/>
        </w:rPr>
        <w:t>若</w:t>
      </w:r>
      <w:r>
        <w:rPr>
          <w:color w:val="auto"/>
          <w:highlight w:val="none"/>
        </w:rPr>
        <w:t>修正后的总价</w:t>
      </w:r>
      <w:r>
        <w:rPr>
          <w:rFonts w:hint="eastAsia"/>
          <w:color w:val="auto"/>
          <w:highlight w:val="none"/>
        </w:rPr>
        <w:t>与</w:t>
      </w:r>
      <w:r>
        <w:rPr>
          <w:color w:val="auto"/>
          <w:highlight w:val="none"/>
        </w:rPr>
        <w:t>比选申请报价</w:t>
      </w:r>
      <w:r>
        <w:rPr>
          <w:rFonts w:hint="eastAsia"/>
          <w:color w:val="auto"/>
          <w:highlight w:val="none"/>
        </w:rPr>
        <w:t>不相等</w:t>
      </w:r>
      <w:r>
        <w:rPr>
          <w:color w:val="auto"/>
          <w:highlight w:val="none"/>
        </w:rPr>
        <w:t>，则</w:t>
      </w:r>
      <w:r>
        <w:rPr>
          <w:rFonts w:hint="eastAsia"/>
          <w:color w:val="auto"/>
          <w:highlight w:val="none"/>
        </w:rPr>
        <w:t>评标总价和</w:t>
      </w:r>
      <w:r>
        <w:rPr>
          <w:color w:val="auto"/>
          <w:highlight w:val="none"/>
        </w:rPr>
        <w:t>中标价</w:t>
      </w:r>
      <w:r>
        <w:rPr>
          <w:rFonts w:hint="eastAsia"/>
          <w:color w:val="auto"/>
          <w:highlight w:val="none"/>
        </w:rPr>
        <w:t>均</w:t>
      </w:r>
      <w:r>
        <w:rPr>
          <w:color w:val="auto"/>
          <w:highlight w:val="none"/>
        </w:rPr>
        <w:t>以</w:t>
      </w:r>
      <w:r>
        <w:rPr>
          <w:rFonts w:hint="eastAsia"/>
          <w:color w:val="auto"/>
          <w:highlight w:val="none"/>
        </w:rPr>
        <w:t>修正后的总价</w:t>
      </w:r>
      <w:r>
        <w:rPr>
          <w:color w:val="auto"/>
          <w:highlight w:val="none"/>
        </w:rPr>
        <w:t>为准，</w:t>
      </w:r>
      <w:r>
        <w:rPr>
          <w:rFonts w:hint="eastAsia"/>
          <w:color w:val="auto"/>
          <w:highlight w:val="none"/>
        </w:rPr>
        <w:t>如比选申请人不接受按以上规则确定的评标总价和中标价，则其比选申请将被拒绝。</w:t>
      </w:r>
    </w:p>
    <w:p w14:paraId="684F0F2A">
      <w:pPr>
        <w:pStyle w:val="8"/>
        <w:numPr>
          <w:ilvl w:val="0"/>
          <w:numId w:val="7"/>
        </w:numPr>
        <w:spacing w:before="0" w:after="0" w:afterAutospacing="0"/>
        <w:ind w:left="0" w:right="0" w:firstLine="422" w:firstLineChars="200"/>
        <w:rPr>
          <w:rFonts w:hint="eastAsia" w:ascii="宋体" w:hAnsi="宋体"/>
          <w:color w:val="auto"/>
          <w:sz w:val="21"/>
          <w:szCs w:val="21"/>
          <w:highlight w:val="none"/>
        </w:rPr>
      </w:pPr>
      <w:bookmarkStart w:id="872" w:name="_Toc383891201"/>
      <w:bookmarkStart w:id="873" w:name="_Toc23907"/>
      <w:bookmarkStart w:id="874" w:name="_Toc24176"/>
      <w:bookmarkStart w:id="875" w:name="_Toc12983536"/>
      <w:bookmarkStart w:id="876" w:name="_Toc20444"/>
      <w:bookmarkStart w:id="877" w:name="_Toc19936"/>
      <w:bookmarkStart w:id="878" w:name="_Toc22994"/>
      <w:bookmarkStart w:id="879" w:name="_Toc5319"/>
      <w:bookmarkStart w:id="880" w:name="_Toc114134638"/>
      <w:bookmarkStart w:id="881" w:name="_Toc27112"/>
      <w:bookmarkStart w:id="882" w:name="_Toc25750621"/>
      <w:bookmarkStart w:id="883" w:name="_Toc20881"/>
      <w:bookmarkStart w:id="884" w:name="_Toc3258"/>
      <w:bookmarkStart w:id="885" w:name="_Toc492478751"/>
      <w:bookmarkStart w:id="886" w:name="_Toc9812"/>
      <w:bookmarkStart w:id="887" w:name="_Toc1004"/>
      <w:bookmarkStart w:id="888" w:name="_Toc8959"/>
      <w:bookmarkStart w:id="889" w:name="_Toc4958"/>
      <w:bookmarkStart w:id="890" w:name="_Toc29276"/>
      <w:bookmarkStart w:id="891" w:name="_Toc390098452"/>
      <w:bookmarkStart w:id="892" w:name="_Toc16418"/>
      <w:bookmarkStart w:id="893" w:name="_Toc20854"/>
      <w:bookmarkStart w:id="894" w:name="_Toc11312"/>
      <w:bookmarkStart w:id="895" w:name="_Toc25496"/>
      <w:bookmarkStart w:id="896" w:name="_Toc9737"/>
      <w:bookmarkStart w:id="897" w:name="_Toc385427826"/>
      <w:r>
        <w:rPr>
          <w:rFonts w:hint="eastAsia" w:ascii="宋体" w:hAnsi="宋体"/>
          <w:color w:val="auto"/>
          <w:sz w:val="21"/>
          <w:szCs w:val="21"/>
          <w:highlight w:val="none"/>
        </w:rPr>
        <w:t>比选申请文件的评价与比较</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3C05A8E2">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28.1 《评审办法》详见比选文件第六章，比选人将按照《评审办法》对本须知第26条确定为实质上响应比选文件要求的比选申请文件进行评价与比较。</w:t>
      </w:r>
    </w:p>
    <w:p w14:paraId="402CABC9">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28.2 评审将按《评审办法》规定执行。</w:t>
      </w:r>
      <w:bookmarkEnd w:id="791"/>
    </w:p>
    <w:p w14:paraId="0CC71504">
      <w:pPr>
        <w:pStyle w:val="8"/>
        <w:numPr>
          <w:ilvl w:val="0"/>
          <w:numId w:val="7"/>
        </w:numPr>
        <w:spacing w:before="0" w:after="0" w:afterAutospacing="0"/>
        <w:ind w:left="0" w:right="0" w:firstLine="422" w:firstLineChars="200"/>
        <w:rPr>
          <w:rFonts w:hint="eastAsia" w:ascii="宋体" w:hAnsi="宋体"/>
          <w:color w:val="auto"/>
          <w:sz w:val="21"/>
          <w:szCs w:val="21"/>
          <w:highlight w:val="none"/>
        </w:rPr>
      </w:pPr>
      <w:bookmarkStart w:id="898" w:name="_Toc8074"/>
      <w:bookmarkStart w:id="899" w:name="_Toc1450"/>
      <w:bookmarkStart w:id="900" w:name="_Toc14300"/>
      <w:bookmarkStart w:id="901" w:name="_Toc17460"/>
      <w:bookmarkStart w:id="902" w:name="_Toc15146"/>
      <w:bookmarkStart w:id="903" w:name="_Toc31774"/>
      <w:bookmarkStart w:id="904" w:name="_Toc25750622"/>
      <w:bookmarkStart w:id="905" w:name="_Toc19322"/>
      <w:bookmarkStart w:id="906" w:name="_Toc492478752"/>
      <w:bookmarkStart w:id="907" w:name="_Toc11010"/>
      <w:bookmarkStart w:id="908" w:name="_Toc114134639"/>
      <w:bookmarkStart w:id="909" w:name="_Toc385427827"/>
      <w:bookmarkStart w:id="910" w:name="_Toc12983537"/>
      <w:bookmarkStart w:id="911" w:name="_Toc16107"/>
      <w:bookmarkStart w:id="912" w:name="_Toc8845"/>
      <w:bookmarkStart w:id="913" w:name="_Toc3358"/>
      <w:bookmarkStart w:id="914" w:name="_Toc32344"/>
      <w:bookmarkStart w:id="915" w:name="_Toc390098453"/>
      <w:bookmarkStart w:id="916" w:name="_Toc507"/>
      <w:bookmarkStart w:id="917" w:name="_Toc11657"/>
      <w:bookmarkStart w:id="918" w:name="_Toc22500"/>
      <w:bookmarkStart w:id="919" w:name="_Toc27803"/>
      <w:bookmarkStart w:id="920" w:name="_Toc18013"/>
      <w:bookmarkStart w:id="921" w:name="_Toc27289"/>
      <w:bookmarkStart w:id="922" w:name="_Toc28489"/>
      <w:bookmarkStart w:id="923" w:name="_Toc383891202"/>
      <w:r>
        <w:rPr>
          <w:rFonts w:hint="eastAsia" w:ascii="宋体" w:hAnsi="宋体"/>
          <w:color w:val="auto"/>
          <w:sz w:val="21"/>
          <w:szCs w:val="21"/>
          <w:highlight w:val="none"/>
        </w:rPr>
        <w:t>定标</w:t>
      </w:r>
      <w:bookmarkEnd w:id="792"/>
      <w:bookmarkEnd w:id="793"/>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4C7DE982">
      <w:pPr>
        <w:tabs>
          <w:tab w:val="left" w:pos="1134"/>
          <w:tab w:val="left" w:pos="8364"/>
        </w:tabs>
        <w:spacing w:before="0" w:after="0" w:afterAutospacing="0"/>
        <w:ind w:left="0" w:right="0" w:firstLine="420" w:firstLineChars="200"/>
        <w:rPr>
          <w:rFonts w:hint="eastAsia" w:ascii="宋体" w:hAnsi="宋体" w:cs="Arial"/>
          <w:color w:val="auto"/>
          <w:highlight w:val="none"/>
        </w:rPr>
      </w:pPr>
      <w:r>
        <w:rPr>
          <w:rFonts w:ascii="宋体" w:hAnsi="宋体" w:cs="Arial"/>
          <w:color w:val="auto"/>
          <w:highlight w:val="none"/>
        </w:rPr>
        <w:t>29.1</w:t>
      </w:r>
      <w:r>
        <w:rPr>
          <w:rFonts w:hint="eastAsia"/>
          <w:color w:val="auto"/>
          <w:highlight w:val="none"/>
        </w:rPr>
        <w:t>比选评审小组根据综合评分排名情况，推荐3名中标候选人（当中标候选人不足3名时按实际数量推荐），并标明排序</w:t>
      </w:r>
      <w:r>
        <w:rPr>
          <w:rFonts w:hint="eastAsia" w:ascii="宋体" w:hAnsi="宋体" w:cs="Arial"/>
          <w:color w:val="auto"/>
          <w:highlight w:val="none"/>
        </w:rPr>
        <w:t>。</w:t>
      </w:r>
    </w:p>
    <w:p w14:paraId="1573FCC4">
      <w:pPr>
        <w:tabs>
          <w:tab w:val="left" w:pos="1134"/>
          <w:tab w:val="left" w:pos="8364"/>
        </w:tabs>
        <w:spacing w:before="0" w:after="0" w:afterAutospacing="0"/>
        <w:ind w:left="0" w:right="0" w:firstLine="420" w:firstLineChars="200"/>
        <w:rPr>
          <w:rFonts w:hint="eastAsia" w:ascii="宋体" w:hAnsi="宋体" w:cs="Arial"/>
          <w:color w:val="auto"/>
          <w:highlight w:val="none"/>
        </w:rPr>
      </w:pPr>
      <w:r>
        <w:rPr>
          <w:rFonts w:ascii="宋体" w:hAnsi="宋体" w:cs="Arial"/>
          <w:color w:val="auto"/>
          <w:highlight w:val="none"/>
        </w:rPr>
        <w:t>29.2</w:t>
      </w:r>
      <w:r>
        <w:rPr>
          <w:rFonts w:hint="eastAsia" w:ascii="宋体" w:hAnsi="宋体" w:cs="Arial"/>
          <w:color w:val="auto"/>
          <w:highlight w:val="none"/>
        </w:rPr>
        <w:t>比选人应当确定排名第一的中选候选人为中选人。排名第一的中选候选人放弃中选、因不可抗力不能履行合同、不按照比选文件要求提交履约保证金，或者被查实存在影响中选结果的违法行为等情形，不符合中选条件的，比选人可以按照比选评审小组提出的中选候选人名单排序依次确定其他中选候选人为中选人，也可以重新比选。同时，比选人有权禁止其1年内不得参与属于比选人的项目。</w:t>
      </w:r>
    </w:p>
    <w:p w14:paraId="1DB4AB32">
      <w:pPr>
        <w:tabs>
          <w:tab w:val="left" w:pos="1134"/>
          <w:tab w:val="left" w:pos="8364"/>
        </w:tabs>
        <w:spacing w:before="0" w:after="0" w:afterAutospacing="0"/>
        <w:ind w:left="0" w:right="0" w:firstLine="420" w:firstLineChars="200"/>
        <w:rPr>
          <w:rFonts w:hint="eastAsia" w:ascii="宋体" w:hAnsi="宋体" w:cs="Arial"/>
          <w:color w:val="auto"/>
          <w:highlight w:val="none"/>
        </w:rPr>
      </w:pPr>
      <w:r>
        <w:rPr>
          <w:rFonts w:ascii="宋体" w:hAnsi="宋体" w:cs="Arial"/>
          <w:color w:val="auto"/>
          <w:highlight w:val="none"/>
        </w:rPr>
        <w:t>29.3</w:t>
      </w:r>
      <w:r>
        <w:rPr>
          <w:rFonts w:hint="eastAsia" w:ascii="宋体" w:hAnsi="宋体" w:cs="Arial"/>
          <w:color w:val="auto"/>
          <w:highlight w:val="none"/>
        </w:rPr>
        <w:t>比选申请人应确保提供的资料真实无误，如有弄虚作假的情况，一经查实，取消比选申请资格，已经中选的取消中选资格。</w:t>
      </w:r>
    </w:p>
    <w:p w14:paraId="37185549">
      <w:pPr>
        <w:tabs>
          <w:tab w:val="left" w:pos="1134"/>
          <w:tab w:val="left" w:pos="8364"/>
        </w:tabs>
        <w:spacing w:before="0" w:after="0" w:afterAutospacing="0"/>
        <w:ind w:left="0" w:right="0" w:firstLine="420" w:firstLineChars="200"/>
        <w:rPr>
          <w:rFonts w:hint="eastAsia" w:ascii="宋体" w:hAnsi="宋体" w:cs="Arial"/>
          <w:color w:val="auto"/>
          <w:highlight w:val="none"/>
        </w:rPr>
      </w:pPr>
      <w:r>
        <w:rPr>
          <w:rFonts w:ascii="宋体" w:hAnsi="宋体" w:cs="Arial"/>
          <w:color w:val="auto"/>
          <w:highlight w:val="none"/>
        </w:rPr>
        <w:t>29.4</w:t>
      </w:r>
      <w:r>
        <w:rPr>
          <w:rFonts w:hint="eastAsia" w:ascii="宋体" w:hAnsi="宋体" w:cs="Arial"/>
          <w:color w:val="auto"/>
          <w:highlight w:val="none"/>
        </w:rPr>
        <w:t>比选人确定的中选人必须按有关规定进行公示。</w:t>
      </w:r>
    </w:p>
    <w:p w14:paraId="3B8CAD3B">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s="Arial"/>
          <w:color w:val="auto"/>
          <w:highlight w:val="none"/>
        </w:rPr>
        <w:t>29.5</w:t>
      </w:r>
      <w:r>
        <w:rPr>
          <w:rFonts w:hint="eastAsia" w:ascii="宋体" w:hAnsi="宋体" w:cs="Arial"/>
          <w:color w:val="auto"/>
          <w:highlight w:val="none"/>
        </w:rPr>
        <w:t>比选评审小组评审结束后，比选人经审查发现评审过程中有明显错误，可以组织原比选评审小组进行复评。</w:t>
      </w:r>
    </w:p>
    <w:p w14:paraId="1EDE96DD">
      <w:pPr>
        <w:pStyle w:val="8"/>
        <w:numPr>
          <w:ilvl w:val="0"/>
          <w:numId w:val="7"/>
        </w:numPr>
        <w:spacing w:before="0" w:after="0" w:afterAutospacing="0"/>
        <w:ind w:left="0" w:right="0" w:firstLine="422" w:firstLineChars="200"/>
        <w:rPr>
          <w:rFonts w:hint="eastAsia" w:ascii="宋体" w:hAnsi="宋体"/>
          <w:color w:val="auto"/>
          <w:sz w:val="21"/>
          <w:szCs w:val="21"/>
          <w:highlight w:val="none"/>
        </w:rPr>
      </w:pPr>
      <w:bookmarkStart w:id="924" w:name="_Toc21142"/>
      <w:bookmarkStart w:id="925" w:name="_Toc18192"/>
      <w:bookmarkStart w:id="926" w:name="_Toc26470"/>
      <w:bookmarkStart w:id="927" w:name="_Toc375039095"/>
      <w:bookmarkStart w:id="928" w:name="_Toc17823"/>
      <w:bookmarkStart w:id="929" w:name="_Toc383891203"/>
      <w:bookmarkStart w:id="930" w:name="_Toc13986"/>
      <w:bookmarkStart w:id="931" w:name="_Toc3761"/>
      <w:bookmarkStart w:id="932" w:name="_Toc21947"/>
      <w:bookmarkStart w:id="933" w:name="_Toc1215"/>
      <w:bookmarkStart w:id="934" w:name="_Toc385427828"/>
      <w:bookmarkStart w:id="935" w:name="_Toc19634"/>
      <w:bookmarkStart w:id="936" w:name="_Toc14042"/>
      <w:bookmarkStart w:id="937" w:name="_Toc37"/>
      <w:bookmarkStart w:id="938" w:name="_Toc22182"/>
      <w:bookmarkStart w:id="939" w:name="_Toc12983538"/>
      <w:bookmarkStart w:id="940" w:name="_Toc5172"/>
      <w:bookmarkStart w:id="941" w:name="_Toc5257"/>
      <w:bookmarkStart w:id="942" w:name="_Toc16732"/>
      <w:bookmarkStart w:id="943" w:name="_Toc27664"/>
      <w:bookmarkStart w:id="944" w:name="_Toc390098454"/>
      <w:bookmarkStart w:id="945" w:name="_Toc492478753"/>
      <w:bookmarkStart w:id="946" w:name="_Toc15932"/>
      <w:bookmarkStart w:id="947" w:name="_Toc31887"/>
      <w:bookmarkStart w:id="948" w:name="_Toc114134640"/>
      <w:bookmarkStart w:id="949" w:name="_Toc25750623"/>
      <w:bookmarkStart w:id="950" w:name="_Toc15487"/>
      <w:r>
        <w:rPr>
          <w:rFonts w:hint="eastAsia" w:ascii="宋体" w:hAnsi="宋体"/>
          <w:color w:val="auto"/>
          <w:sz w:val="21"/>
          <w:szCs w:val="21"/>
          <w:highlight w:val="none"/>
        </w:rPr>
        <w:t>重新</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r>
        <w:rPr>
          <w:rFonts w:hint="eastAsia" w:ascii="宋体" w:hAnsi="宋体"/>
          <w:color w:val="auto"/>
          <w:sz w:val="21"/>
          <w:szCs w:val="21"/>
          <w:highlight w:val="none"/>
        </w:rPr>
        <w:t>比选</w:t>
      </w:r>
      <w:bookmarkEnd w:id="947"/>
      <w:bookmarkEnd w:id="948"/>
      <w:bookmarkEnd w:id="949"/>
      <w:bookmarkEnd w:id="950"/>
    </w:p>
    <w:p w14:paraId="5C4E5B60">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出现下列特殊情况之一时，可重新</w:t>
      </w:r>
      <w:r>
        <w:rPr>
          <w:rFonts w:hint="eastAsia" w:ascii="宋体" w:hAnsi="宋体"/>
          <w:color w:val="auto"/>
          <w:highlight w:val="none"/>
        </w:rPr>
        <w:t>比选</w:t>
      </w:r>
      <w:r>
        <w:rPr>
          <w:rFonts w:ascii="宋体" w:hAnsi="宋体"/>
          <w:color w:val="auto"/>
          <w:highlight w:val="none"/>
        </w:rPr>
        <w:t>：</w:t>
      </w:r>
    </w:p>
    <w:p w14:paraId="45144977">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30.1</w:t>
      </w:r>
      <w:r>
        <w:rPr>
          <w:rFonts w:ascii="宋体" w:hAnsi="宋体"/>
          <w:color w:val="auto"/>
          <w:highlight w:val="none"/>
        </w:rPr>
        <w:t>在比选申请截止时间到达时提交比选申请文件的比选申请人</w:t>
      </w:r>
      <w:r>
        <w:rPr>
          <w:rFonts w:hint="eastAsia" w:ascii="宋体" w:hAnsi="宋体"/>
          <w:color w:val="auto"/>
          <w:highlight w:val="none"/>
        </w:rPr>
        <w:t>不足3家</w:t>
      </w:r>
      <w:r>
        <w:rPr>
          <w:rFonts w:ascii="宋体" w:hAnsi="宋体"/>
          <w:color w:val="auto"/>
          <w:highlight w:val="none"/>
        </w:rPr>
        <w:t>的；</w:t>
      </w:r>
    </w:p>
    <w:p w14:paraId="36534108">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30.2</w:t>
      </w:r>
      <w:r>
        <w:rPr>
          <w:rFonts w:ascii="宋体" w:hAnsi="宋体"/>
          <w:color w:val="auto"/>
          <w:highlight w:val="none"/>
        </w:rPr>
        <w:t>比选评审小组否决不合格比选申请或者界定为否决比选申请后，因有效比选申请不足三</w:t>
      </w:r>
      <w:r>
        <w:rPr>
          <w:rFonts w:hint="eastAsia" w:ascii="宋体" w:hAnsi="宋体"/>
          <w:color w:val="auto"/>
          <w:highlight w:val="none"/>
        </w:rPr>
        <w:t>家</w:t>
      </w:r>
      <w:r>
        <w:rPr>
          <w:rFonts w:ascii="宋体" w:hAnsi="宋体"/>
          <w:color w:val="auto"/>
          <w:highlight w:val="none"/>
        </w:rPr>
        <w:t>使得比选申请明显缺乏竞争性的（当有效比选申请不足三</w:t>
      </w:r>
      <w:r>
        <w:rPr>
          <w:rFonts w:hint="eastAsia" w:ascii="宋体" w:hAnsi="宋体"/>
          <w:color w:val="auto"/>
          <w:highlight w:val="none"/>
        </w:rPr>
        <w:t>家但还有两家</w:t>
      </w:r>
      <w:r>
        <w:rPr>
          <w:rFonts w:ascii="宋体" w:hAnsi="宋体"/>
          <w:color w:val="auto"/>
          <w:highlight w:val="none"/>
        </w:rPr>
        <w:t>时，比选评审小组认为剩余</w:t>
      </w:r>
      <w:r>
        <w:rPr>
          <w:rFonts w:hint="eastAsia" w:ascii="宋体" w:hAnsi="宋体"/>
          <w:color w:val="auto"/>
          <w:highlight w:val="none"/>
        </w:rPr>
        <w:t>两家</w:t>
      </w:r>
      <w:r>
        <w:rPr>
          <w:rFonts w:ascii="宋体" w:hAnsi="宋体"/>
          <w:color w:val="auto"/>
          <w:highlight w:val="none"/>
        </w:rPr>
        <w:t>的比选申请文件仍具有竞争性的，应继续评审）；</w:t>
      </w:r>
    </w:p>
    <w:p w14:paraId="32F2B1D7">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30.</w:t>
      </w:r>
      <w:r>
        <w:rPr>
          <w:rFonts w:hint="eastAsia" w:ascii="宋体" w:hAnsi="宋体"/>
          <w:color w:val="auto"/>
          <w:highlight w:val="none"/>
        </w:rPr>
        <w:t>3</w:t>
      </w:r>
      <w:r>
        <w:rPr>
          <w:rFonts w:ascii="宋体" w:hAnsi="宋体"/>
          <w:color w:val="auto"/>
          <w:highlight w:val="none"/>
        </w:rPr>
        <w:t>比选评审小组决定否决全部比选申请的；</w:t>
      </w:r>
    </w:p>
    <w:p w14:paraId="239D4818">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30.4</w:t>
      </w:r>
      <w:r>
        <w:rPr>
          <w:rFonts w:ascii="宋体" w:hAnsi="宋体"/>
          <w:color w:val="auto"/>
          <w:highlight w:val="none"/>
        </w:rPr>
        <w:t>中选候选人均放弃中选资格</w:t>
      </w:r>
      <w:r>
        <w:rPr>
          <w:rFonts w:hint="eastAsia" w:ascii="宋体" w:hAnsi="宋体"/>
          <w:color w:val="auto"/>
          <w:highlight w:val="none"/>
        </w:rPr>
        <w:t>的</w:t>
      </w:r>
      <w:r>
        <w:rPr>
          <w:rFonts w:ascii="宋体" w:hAnsi="宋体"/>
          <w:color w:val="auto"/>
          <w:highlight w:val="none"/>
        </w:rPr>
        <w:t>；</w:t>
      </w:r>
    </w:p>
    <w:p w14:paraId="63E38307">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30.5</w:t>
      </w:r>
      <w:r>
        <w:rPr>
          <w:rFonts w:ascii="宋体" w:hAnsi="宋体"/>
          <w:color w:val="auto"/>
          <w:highlight w:val="none"/>
        </w:rPr>
        <w:t>根据本须知15</w:t>
      </w:r>
      <w:r>
        <w:rPr>
          <w:rFonts w:hint="eastAsia" w:ascii="宋体" w:hAnsi="宋体"/>
          <w:color w:val="auto"/>
          <w:highlight w:val="none"/>
        </w:rPr>
        <w:t>.2</w:t>
      </w:r>
      <w:r>
        <w:rPr>
          <w:rFonts w:ascii="宋体" w:hAnsi="宋体"/>
          <w:color w:val="auto"/>
          <w:highlight w:val="none"/>
        </w:rPr>
        <w:t>条规定，</w:t>
      </w:r>
      <w:r>
        <w:rPr>
          <w:rFonts w:hint="eastAsia" w:ascii="宋体" w:hAnsi="宋体"/>
          <w:color w:val="auto"/>
          <w:highlight w:val="none"/>
        </w:rPr>
        <w:t>所有中选候选人均不同意在比选申请有效期内延长比选申请有效期的。</w:t>
      </w:r>
    </w:p>
    <w:p w14:paraId="2A269A3B">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30.6比选文件中规定的其他情况。</w:t>
      </w:r>
    </w:p>
    <w:p w14:paraId="25F7987C">
      <w:pPr>
        <w:pStyle w:val="8"/>
        <w:numPr>
          <w:ilvl w:val="0"/>
          <w:numId w:val="7"/>
        </w:numPr>
        <w:spacing w:before="0" w:after="0" w:afterAutospacing="0"/>
        <w:ind w:left="0" w:right="0" w:firstLine="422" w:firstLineChars="200"/>
        <w:rPr>
          <w:rFonts w:hint="eastAsia" w:ascii="宋体" w:hAnsi="宋体"/>
          <w:color w:val="auto"/>
          <w:sz w:val="21"/>
          <w:szCs w:val="21"/>
          <w:highlight w:val="none"/>
        </w:rPr>
      </w:pPr>
      <w:bookmarkStart w:id="951" w:name="_Toc14235"/>
      <w:bookmarkStart w:id="952" w:name="_Toc492478754"/>
      <w:bookmarkStart w:id="953" w:name="_Toc26954"/>
      <w:bookmarkStart w:id="954" w:name="_Toc3769"/>
      <w:bookmarkStart w:id="955" w:name="_Toc12983539"/>
      <w:bookmarkStart w:id="956" w:name="_Toc11126"/>
      <w:bookmarkStart w:id="957" w:name="_Toc6886"/>
      <w:bookmarkStart w:id="958" w:name="_Toc383891204"/>
      <w:bookmarkStart w:id="959" w:name="_Toc17042"/>
      <w:bookmarkStart w:id="960" w:name="_Toc390098455"/>
      <w:bookmarkStart w:id="961" w:name="_Toc1116"/>
      <w:bookmarkStart w:id="962" w:name="_Toc375039096"/>
      <w:bookmarkStart w:id="963" w:name="_Toc10962"/>
      <w:bookmarkStart w:id="964" w:name="_Toc2422"/>
      <w:bookmarkStart w:id="965" w:name="_Toc26919"/>
      <w:bookmarkStart w:id="966" w:name="_Toc20979"/>
      <w:bookmarkStart w:id="967" w:name="_Toc5959"/>
      <w:bookmarkStart w:id="968" w:name="_Toc25257"/>
      <w:bookmarkStart w:id="969" w:name="_Toc12031"/>
      <w:bookmarkStart w:id="970" w:name="_Toc31757"/>
      <w:bookmarkStart w:id="971" w:name="_Toc1945"/>
      <w:bookmarkStart w:id="972" w:name="_Toc385427829"/>
      <w:bookmarkStart w:id="973" w:name="_Toc14454"/>
      <w:bookmarkStart w:id="974" w:name="_Toc24960"/>
      <w:bookmarkStart w:id="975" w:name="_Toc4738"/>
      <w:bookmarkStart w:id="976" w:name="_Toc25750624"/>
      <w:bookmarkStart w:id="977" w:name="_Toc114134641"/>
      <w:r>
        <w:rPr>
          <w:rFonts w:hint="eastAsia" w:ascii="宋体" w:hAnsi="宋体"/>
          <w:color w:val="auto"/>
          <w:sz w:val="21"/>
          <w:szCs w:val="21"/>
          <w:highlight w:val="none"/>
        </w:rPr>
        <w:t>不再</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r>
        <w:rPr>
          <w:rFonts w:hint="eastAsia" w:ascii="宋体" w:hAnsi="宋体"/>
          <w:color w:val="auto"/>
          <w:sz w:val="21"/>
          <w:szCs w:val="21"/>
          <w:highlight w:val="none"/>
        </w:rPr>
        <w:t>比选</w:t>
      </w:r>
      <w:bookmarkEnd w:id="974"/>
      <w:bookmarkEnd w:id="975"/>
      <w:bookmarkEnd w:id="976"/>
      <w:bookmarkEnd w:id="977"/>
    </w:p>
    <w:p w14:paraId="26A198BA">
      <w:pPr>
        <w:tabs>
          <w:tab w:val="left" w:pos="1155"/>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项目</w:t>
      </w:r>
      <w:r>
        <w:rPr>
          <w:rFonts w:hint="eastAsia" w:ascii="宋体" w:hAnsi="宋体"/>
          <w:color w:val="auto"/>
          <w:highlight w:val="none"/>
        </w:rPr>
        <w:t>比选</w:t>
      </w:r>
      <w:r>
        <w:rPr>
          <w:rFonts w:ascii="宋体" w:hAnsi="宋体"/>
          <w:color w:val="auto"/>
          <w:highlight w:val="none"/>
        </w:rPr>
        <w:t>经两次发布信息后比选申请人仍少于三个或重新</w:t>
      </w:r>
      <w:r>
        <w:rPr>
          <w:rFonts w:hint="eastAsia" w:ascii="宋体" w:hAnsi="宋体"/>
          <w:color w:val="auto"/>
          <w:highlight w:val="none"/>
        </w:rPr>
        <w:t>比选</w:t>
      </w:r>
      <w:r>
        <w:rPr>
          <w:rFonts w:ascii="宋体" w:hAnsi="宋体"/>
          <w:color w:val="auto"/>
          <w:highlight w:val="none"/>
        </w:rPr>
        <w:t>后有效比选申请人仍少于三个或者所有比选申请被否决的，比选人可不再进行</w:t>
      </w:r>
      <w:r>
        <w:rPr>
          <w:rFonts w:hint="eastAsia" w:ascii="宋体" w:hAnsi="宋体"/>
          <w:color w:val="auto"/>
          <w:highlight w:val="none"/>
        </w:rPr>
        <w:t>比选</w:t>
      </w:r>
      <w:r>
        <w:rPr>
          <w:rFonts w:ascii="宋体" w:hAnsi="宋体"/>
          <w:color w:val="auto"/>
          <w:highlight w:val="none"/>
        </w:rPr>
        <w:t>。</w:t>
      </w:r>
    </w:p>
    <w:p w14:paraId="206CDC95">
      <w:pPr>
        <w:pStyle w:val="7"/>
        <w:spacing w:after="0" w:afterAutospacing="0" w:line="360" w:lineRule="auto"/>
        <w:ind w:left="0" w:right="0" w:firstLine="482" w:firstLineChars="200"/>
        <w:rPr>
          <w:rFonts w:hint="eastAsia" w:ascii="宋体" w:hAnsi="宋体" w:eastAsia="宋体"/>
          <w:color w:val="auto"/>
          <w:sz w:val="24"/>
          <w:szCs w:val="24"/>
          <w:highlight w:val="none"/>
        </w:rPr>
      </w:pPr>
      <w:bookmarkStart w:id="978" w:name="_Toc27839"/>
      <w:bookmarkStart w:id="979" w:name="_Toc114134642"/>
      <w:bookmarkStart w:id="980" w:name="_Toc6000"/>
      <w:bookmarkStart w:id="981" w:name="_Toc26653"/>
      <w:bookmarkStart w:id="982" w:name="_Toc19952"/>
      <w:bookmarkStart w:id="983" w:name="_Toc8834"/>
      <w:bookmarkStart w:id="984" w:name="_Toc385427830"/>
      <w:bookmarkStart w:id="985" w:name="_Toc31958"/>
      <w:bookmarkStart w:id="986" w:name="_Toc2326"/>
      <w:bookmarkStart w:id="987" w:name="_Toc24681"/>
      <w:bookmarkStart w:id="988" w:name="_Toc22975"/>
      <w:bookmarkStart w:id="989" w:name="_Toc24580"/>
      <w:bookmarkStart w:id="990" w:name="_Toc29295"/>
      <w:bookmarkStart w:id="991" w:name="_Toc25431"/>
      <w:bookmarkStart w:id="992" w:name="_Toc390098456"/>
      <w:bookmarkStart w:id="993" w:name="_Toc375039097"/>
      <w:bookmarkStart w:id="994" w:name="_Toc29442"/>
      <w:bookmarkStart w:id="995" w:name="_Toc383891205"/>
      <w:bookmarkStart w:id="996" w:name="_Toc21516"/>
      <w:bookmarkStart w:id="997" w:name="_Toc4743"/>
      <w:bookmarkStart w:id="998" w:name="_Toc30278"/>
      <w:bookmarkStart w:id="999" w:name="_Toc12421"/>
      <w:bookmarkStart w:id="1000" w:name="_Toc12983540"/>
      <w:bookmarkStart w:id="1001" w:name="_Toc9113"/>
      <w:bookmarkStart w:id="1002" w:name="_Toc18800"/>
      <w:bookmarkStart w:id="1003" w:name="_Toc492478755"/>
      <w:r>
        <w:rPr>
          <w:rFonts w:hint="eastAsia" w:ascii="宋体" w:hAnsi="宋体" w:eastAsia="宋体"/>
          <w:color w:val="auto"/>
          <w:sz w:val="24"/>
          <w:szCs w:val="24"/>
          <w:highlight w:val="none"/>
        </w:rPr>
        <w:t>六、</w:t>
      </w:r>
      <w:r>
        <w:rPr>
          <w:rFonts w:ascii="宋体" w:hAnsi="宋体" w:eastAsia="宋体"/>
          <w:color w:val="auto"/>
          <w:sz w:val="24"/>
          <w:szCs w:val="24"/>
          <w:highlight w:val="none"/>
        </w:rPr>
        <w:t>授予合同</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0B56FEC6">
      <w:pPr>
        <w:pStyle w:val="8"/>
        <w:spacing w:before="0" w:after="0" w:afterAutospacing="0"/>
        <w:ind w:left="0" w:right="0" w:firstLine="422" w:firstLineChars="200"/>
        <w:rPr>
          <w:rFonts w:hint="eastAsia" w:ascii="宋体" w:hAnsi="宋体"/>
          <w:color w:val="auto"/>
          <w:sz w:val="21"/>
          <w:szCs w:val="21"/>
          <w:highlight w:val="none"/>
        </w:rPr>
      </w:pPr>
      <w:bookmarkStart w:id="1004" w:name="_Toc28584"/>
      <w:bookmarkStart w:id="1005" w:name="_Toc30743"/>
      <w:bookmarkStart w:id="1006" w:name="_Toc390098457"/>
      <w:bookmarkStart w:id="1007" w:name="_Toc114134643"/>
      <w:bookmarkStart w:id="1008" w:name="_Toc1269"/>
      <w:bookmarkStart w:id="1009" w:name="_Toc20642"/>
      <w:bookmarkStart w:id="1010" w:name="_Toc383891206"/>
      <w:bookmarkStart w:id="1011" w:name="_Toc28661"/>
      <w:bookmarkStart w:id="1012" w:name="_Toc8938"/>
      <w:bookmarkStart w:id="1013" w:name="_Toc375039098"/>
      <w:bookmarkStart w:id="1014" w:name="_Toc21975"/>
      <w:bookmarkStart w:id="1015" w:name="_Toc21728"/>
      <w:bookmarkStart w:id="1016" w:name="_Toc492478756"/>
      <w:bookmarkStart w:id="1017" w:name="_Toc31011"/>
      <w:bookmarkStart w:id="1018" w:name="_Toc25750626"/>
      <w:bookmarkStart w:id="1019" w:name="_Toc10522"/>
      <w:bookmarkStart w:id="1020" w:name="_Toc26143"/>
      <w:bookmarkStart w:id="1021" w:name="_Toc18878"/>
      <w:bookmarkStart w:id="1022" w:name="_Toc13914"/>
      <w:bookmarkStart w:id="1023" w:name="_Toc26525"/>
      <w:bookmarkStart w:id="1024" w:name="_Toc19259"/>
      <w:bookmarkStart w:id="1025" w:name="_Toc30026"/>
      <w:bookmarkStart w:id="1026" w:name="_Toc22323"/>
      <w:bookmarkStart w:id="1027" w:name="_Toc12983541"/>
      <w:bookmarkStart w:id="1028" w:name="_Toc385427831"/>
      <w:bookmarkStart w:id="1029" w:name="_Toc22688"/>
      <w:bookmarkStart w:id="1030" w:name="_Toc11795"/>
      <w:r>
        <w:rPr>
          <w:rFonts w:hint="eastAsia" w:ascii="宋体" w:hAnsi="宋体"/>
          <w:color w:val="auto"/>
          <w:sz w:val="21"/>
          <w:szCs w:val="21"/>
          <w:highlight w:val="none"/>
        </w:rPr>
        <w:t>32. 合同授予标准</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23789FB7">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32.1 </w:t>
      </w:r>
      <w:r>
        <w:rPr>
          <w:rFonts w:ascii="宋体" w:hAnsi="宋体"/>
          <w:color w:val="auto"/>
          <w:highlight w:val="none"/>
        </w:rPr>
        <w:t>根据本须知规定，比选人将把合同授予收到中选通知书，并提供了履约担保的比选申请人，该比选申请人必须具有有效实施本合同的能力和资源。</w:t>
      </w:r>
    </w:p>
    <w:p w14:paraId="6593E248">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32.2 </w:t>
      </w:r>
      <w:r>
        <w:rPr>
          <w:rFonts w:ascii="宋体" w:hAnsi="宋体"/>
          <w:color w:val="auto"/>
          <w:highlight w:val="none"/>
        </w:rPr>
        <w:t>如果</w:t>
      </w:r>
      <w:r>
        <w:rPr>
          <w:rFonts w:hint="eastAsia" w:ascii="宋体" w:hAnsi="宋体"/>
          <w:color w:val="auto"/>
          <w:highlight w:val="none"/>
        </w:rPr>
        <w:t>中选候选人放弃中选候选人资格或</w:t>
      </w:r>
      <w:r>
        <w:rPr>
          <w:rFonts w:ascii="宋体" w:hAnsi="宋体"/>
          <w:color w:val="auto"/>
          <w:highlight w:val="none"/>
        </w:rPr>
        <w:t>已中选的比选申请人不能按比选申请文件中承诺的条件履行签约行为，比选人有权按有关法律法规规定，在比选评审小组推荐的、合格的比选申请人名单中按照排名先后顺序选择新的合同授予人。</w:t>
      </w:r>
    </w:p>
    <w:p w14:paraId="755CC3D6">
      <w:pPr>
        <w:pStyle w:val="8"/>
        <w:spacing w:before="0" w:after="0" w:afterAutospacing="0"/>
        <w:ind w:left="0" w:right="0" w:firstLine="422" w:firstLineChars="200"/>
        <w:rPr>
          <w:rFonts w:hint="eastAsia" w:ascii="宋体" w:hAnsi="宋体"/>
          <w:color w:val="auto"/>
          <w:sz w:val="21"/>
          <w:szCs w:val="21"/>
          <w:highlight w:val="none"/>
        </w:rPr>
      </w:pPr>
      <w:bookmarkStart w:id="1031" w:name="_Toc14301"/>
      <w:bookmarkStart w:id="1032" w:name="_Toc17153"/>
      <w:bookmarkStart w:id="1033" w:name="_Toc23649"/>
      <w:bookmarkStart w:id="1034" w:name="_Toc25797"/>
      <w:bookmarkStart w:id="1035" w:name="_Toc390098458"/>
      <w:bookmarkStart w:id="1036" w:name="_Toc13417"/>
      <w:bookmarkStart w:id="1037" w:name="_Toc24183"/>
      <w:bookmarkStart w:id="1038" w:name="_Toc17818"/>
      <w:bookmarkStart w:id="1039" w:name="_Toc1873"/>
      <w:bookmarkStart w:id="1040" w:name="_Toc11913"/>
      <w:bookmarkStart w:id="1041" w:name="_Toc19128"/>
      <w:bookmarkStart w:id="1042" w:name="_Toc15313"/>
      <w:bookmarkStart w:id="1043" w:name="_Toc25750627"/>
      <w:bookmarkStart w:id="1044" w:name="_Toc16111"/>
      <w:bookmarkStart w:id="1045" w:name="_Toc19774"/>
      <w:bookmarkStart w:id="1046" w:name="_Toc20386"/>
      <w:bookmarkStart w:id="1047" w:name="_Toc12983542"/>
      <w:bookmarkStart w:id="1048" w:name="_Toc375039099"/>
      <w:bookmarkStart w:id="1049" w:name="_Toc14832"/>
      <w:bookmarkStart w:id="1050" w:name="_Toc14325"/>
      <w:bookmarkStart w:id="1051" w:name="_Toc383891207"/>
      <w:bookmarkStart w:id="1052" w:name="_Toc377"/>
      <w:bookmarkStart w:id="1053" w:name="_Toc385427832"/>
      <w:bookmarkStart w:id="1054" w:name="_Toc18977"/>
      <w:bookmarkStart w:id="1055" w:name="_Toc114134644"/>
      <w:bookmarkStart w:id="1056" w:name="_Toc492478757"/>
      <w:bookmarkStart w:id="1057" w:name="_Toc31336"/>
      <w:r>
        <w:rPr>
          <w:rFonts w:hint="eastAsia" w:ascii="宋体" w:hAnsi="宋体"/>
          <w:color w:val="auto"/>
          <w:sz w:val="21"/>
          <w:szCs w:val="21"/>
          <w:highlight w:val="none"/>
        </w:rPr>
        <w:t>33. 接受和否决任何或所有比选申请的权力</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02D1E73A">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49A0408F">
      <w:pPr>
        <w:pStyle w:val="8"/>
        <w:numPr>
          <w:ilvl w:val="0"/>
          <w:numId w:val="8"/>
        </w:numPr>
        <w:spacing w:before="0" w:after="0" w:afterAutospacing="0"/>
        <w:ind w:left="0" w:right="0" w:firstLine="422" w:firstLineChars="200"/>
        <w:rPr>
          <w:rFonts w:hint="eastAsia" w:ascii="宋体" w:hAnsi="宋体"/>
          <w:color w:val="auto"/>
          <w:sz w:val="21"/>
          <w:szCs w:val="21"/>
          <w:highlight w:val="none"/>
        </w:rPr>
      </w:pPr>
      <w:bookmarkStart w:id="1058" w:name="_Toc390098459"/>
      <w:bookmarkStart w:id="1059" w:name="_Toc12701"/>
      <w:bookmarkStart w:id="1060" w:name="_Toc5061"/>
      <w:bookmarkStart w:id="1061" w:name="_Toc383891208"/>
      <w:bookmarkStart w:id="1062" w:name="_Toc9636"/>
      <w:bookmarkStart w:id="1063" w:name="_Toc114134645"/>
      <w:bookmarkStart w:id="1064" w:name="_Toc22657"/>
      <w:bookmarkStart w:id="1065" w:name="_Toc13605"/>
      <w:bookmarkStart w:id="1066" w:name="_Toc13596"/>
      <w:bookmarkStart w:id="1067" w:name="_Toc12065"/>
      <w:bookmarkStart w:id="1068" w:name="_Toc375039100"/>
      <w:bookmarkStart w:id="1069" w:name="_Toc492478758"/>
      <w:bookmarkStart w:id="1070" w:name="_Toc2829"/>
      <w:bookmarkStart w:id="1071" w:name="_Toc921"/>
      <w:bookmarkStart w:id="1072" w:name="_Toc25750628"/>
      <w:bookmarkStart w:id="1073" w:name="_Toc20680"/>
      <w:bookmarkStart w:id="1074" w:name="_Toc32424"/>
      <w:bookmarkStart w:id="1075" w:name="_Toc21798"/>
      <w:bookmarkStart w:id="1076" w:name="_Toc19556"/>
      <w:bookmarkStart w:id="1077" w:name="_Toc19943"/>
      <w:bookmarkStart w:id="1078" w:name="_Toc2061"/>
      <w:bookmarkStart w:id="1079" w:name="_Toc10348"/>
      <w:bookmarkStart w:id="1080" w:name="_Toc27683"/>
      <w:bookmarkStart w:id="1081" w:name="_Toc385427833"/>
      <w:bookmarkStart w:id="1082" w:name="_Toc12983543"/>
      <w:bookmarkStart w:id="1083" w:name="_Toc17953"/>
      <w:bookmarkStart w:id="1084" w:name="_Toc673"/>
      <w:r>
        <w:rPr>
          <w:rFonts w:hint="eastAsia" w:ascii="宋体" w:hAnsi="宋体"/>
          <w:color w:val="auto"/>
          <w:sz w:val="21"/>
          <w:szCs w:val="21"/>
          <w:highlight w:val="none"/>
        </w:rPr>
        <w:t>中选通知书</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23D99967">
      <w:pPr>
        <w:tabs>
          <w:tab w:val="left" w:pos="450"/>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34.1 </w:t>
      </w:r>
      <w:r>
        <w:rPr>
          <w:rFonts w:ascii="宋体" w:hAnsi="宋体"/>
          <w:color w:val="auto"/>
          <w:highlight w:val="none"/>
        </w:rPr>
        <w:t>在比选申请有效期截止前，</w:t>
      </w:r>
      <w:r>
        <w:rPr>
          <w:rFonts w:hint="eastAsia" w:ascii="宋体" w:hAnsi="宋体"/>
          <w:color w:val="auto"/>
          <w:highlight w:val="none"/>
        </w:rPr>
        <w:t>在本须知第</w:t>
      </w:r>
      <w:r>
        <w:rPr>
          <w:rFonts w:ascii="宋体" w:hAnsi="宋体"/>
          <w:color w:val="auto"/>
          <w:highlight w:val="none"/>
        </w:rPr>
        <w:t>15条</w:t>
      </w:r>
      <w:r>
        <w:rPr>
          <w:rFonts w:hint="eastAsia" w:ascii="宋体" w:hAnsi="宋体"/>
          <w:color w:val="auto"/>
          <w:highlight w:val="none"/>
        </w:rPr>
        <w:t>规定的比选申请有效期内，比选人以书面形式向中选人发出中选通知书。</w:t>
      </w:r>
    </w:p>
    <w:p w14:paraId="6DDEBAAA">
      <w:pPr>
        <w:tabs>
          <w:tab w:val="left" w:pos="450"/>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34.2 </w:t>
      </w:r>
      <w:r>
        <w:rPr>
          <w:rFonts w:ascii="宋体" w:hAnsi="宋体"/>
          <w:color w:val="auto"/>
          <w:highlight w:val="none"/>
        </w:rPr>
        <w:t>中选通知书将作为签订合同的依据，并是合同的一个组成部分。</w:t>
      </w:r>
    </w:p>
    <w:p w14:paraId="14ABF915">
      <w:pPr>
        <w:tabs>
          <w:tab w:val="left" w:pos="450"/>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34.3 </w:t>
      </w:r>
      <w:r>
        <w:rPr>
          <w:rFonts w:ascii="宋体" w:hAnsi="宋体"/>
          <w:color w:val="auto"/>
          <w:highlight w:val="none"/>
        </w:rPr>
        <w:t>对未中选者，比选人不对未中选原因做出解释，同时亦不退还比选申请文件。</w:t>
      </w:r>
    </w:p>
    <w:p w14:paraId="247F4EB5">
      <w:pPr>
        <w:tabs>
          <w:tab w:val="left" w:pos="450"/>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34.4放弃中选人资格的处罚详见前附表。</w:t>
      </w:r>
    </w:p>
    <w:p w14:paraId="42FB3272">
      <w:pPr>
        <w:pStyle w:val="8"/>
        <w:numPr>
          <w:ilvl w:val="0"/>
          <w:numId w:val="8"/>
        </w:numPr>
        <w:spacing w:before="0" w:after="0" w:afterAutospacing="0"/>
        <w:ind w:left="0" w:right="0" w:firstLine="422" w:firstLineChars="200"/>
        <w:rPr>
          <w:rFonts w:hint="eastAsia" w:ascii="宋体" w:hAnsi="宋体"/>
          <w:color w:val="auto"/>
          <w:sz w:val="21"/>
          <w:szCs w:val="21"/>
          <w:highlight w:val="none"/>
        </w:rPr>
      </w:pPr>
      <w:bookmarkStart w:id="1085" w:name="_Toc4190"/>
      <w:bookmarkStart w:id="1086" w:name="_Toc24240"/>
      <w:bookmarkStart w:id="1087" w:name="_Toc114134646"/>
      <w:bookmarkStart w:id="1088" w:name="_Toc492478759"/>
      <w:bookmarkStart w:id="1089" w:name="_Toc15048"/>
      <w:bookmarkStart w:id="1090" w:name="_Toc24885"/>
      <w:bookmarkStart w:id="1091" w:name="_Toc21217"/>
      <w:bookmarkStart w:id="1092" w:name="_Toc28815"/>
      <w:bookmarkStart w:id="1093" w:name="_Toc15076"/>
      <w:bookmarkStart w:id="1094" w:name="_Toc25750629"/>
      <w:bookmarkStart w:id="1095" w:name="_Toc390098460"/>
      <w:bookmarkStart w:id="1096" w:name="_Toc5617"/>
      <w:bookmarkStart w:id="1097" w:name="_Toc29993"/>
      <w:bookmarkStart w:id="1098" w:name="_Toc12983544"/>
      <w:bookmarkStart w:id="1099" w:name="_Toc8628"/>
      <w:bookmarkStart w:id="1100" w:name="_Toc25208"/>
      <w:bookmarkStart w:id="1101" w:name="_Toc22442"/>
      <w:bookmarkStart w:id="1102" w:name="_Toc5767"/>
      <w:bookmarkStart w:id="1103" w:name="_Toc383891209"/>
      <w:bookmarkStart w:id="1104" w:name="_Toc1862"/>
      <w:bookmarkStart w:id="1105" w:name="_Toc30862"/>
      <w:bookmarkStart w:id="1106" w:name="_Toc1780"/>
      <w:bookmarkStart w:id="1107" w:name="_Toc21570"/>
      <w:bookmarkStart w:id="1108" w:name="_Toc17555"/>
      <w:bookmarkStart w:id="1109" w:name="_Toc18694"/>
      <w:bookmarkStart w:id="1110" w:name="_Toc375039101"/>
      <w:bookmarkStart w:id="1111" w:name="_Toc385427834"/>
      <w:r>
        <w:rPr>
          <w:rFonts w:hint="eastAsia" w:ascii="宋体" w:hAnsi="宋体"/>
          <w:color w:val="auto"/>
          <w:sz w:val="21"/>
          <w:szCs w:val="21"/>
          <w:highlight w:val="none"/>
        </w:rPr>
        <w:t>签订合同</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39CB1E33">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35.1 中选人在收到中选通知书后，按比选文件的要求与比选人签订合同</w:t>
      </w:r>
      <w:r>
        <w:rPr>
          <w:rFonts w:ascii="宋体" w:hAnsi="宋体"/>
          <w:color w:val="auto"/>
          <w:highlight w:val="none"/>
        </w:rPr>
        <w:t>。</w:t>
      </w:r>
    </w:p>
    <w:p w14:paraId="40525BC0">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35.2 </w:t>
      </w:r>
      <w:r>
        <w:rPr>
          <w:rFonts w:ascii="宋体" w:hAnsi="宋体"/>
          <w:color w:val="auto"/>
          <w:highlight w:val="none"/>
        </w:rPr>
        <w:t>比选文件、中选通知书、中选人的比选申请文件及双方确认的澄清文件等，均为有法律约束力的合同的组成部分。</w:t>
      </w:r>
    </w:p>
    <w:p w14:paraId="3296AAB2">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35.3 </w:t>
      </w:r>
      <w:r>
        <w:rPr>
          <w:rFonts w:ascii="宋体" w:hAnsi="宋体"/>
          <w:color w:val="auto"/>
          <w:highlight w:val="none"/>
        </w:rPr>
        <w:t>如果中选人没有按照上述第35.1条规定执行，比选人将有充分理由取消该中选决定。在此情况下，比选人可以按照比选评审小组提出的中选候选人名单排序依次确定其他中选候选人为中选人，也可以重新</w:t>
      </w:r>
      <w:r>
        <w:rPr>
          <w:rFonts w:hint="eastAsia" w:ascii="宋体" w:hAnsi="宋体"/>
          <w:color w:val="auto"/>
          <w:highlight w:val="none"/>
        </w:rPr>
        <w:t>比选</w:t>
      </w:r>
      <w:r>
        <w:rPr>
          <w:rFonts w:ascii="宋体" w:hAnsi="宋体"/>
          <w:color w:val="auto"/>
          <w:highlight w:val="none"/>
        </w:rPr>
        <w:t>。</w:t>
      </w:r>
    </w:p>
    <w:p w14:paraId="591F2F40">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35.4 </w:t>
      </w:r>
      <w:r>
        <w:rPr>
          <w:rFonts w:ascii="宋体" w:hAnsi="宋体"/>
          <w:color w:val="auto"/>
          <w:highlight w:val="none"/>
        </w:rPr>
        <w:t>中选人若未在比选申请文件“商务响应表”及“技术响应表”中列出负偏离说明，即使其在比选申请文件的其他部分说明与比选文件要求有所不同或回避不答，甚至在评审时对该项目已作了偏离扣分处理，在比选人与中选人签订合同期间，亦均视为完全符合比选文件中所要求的最佳值并写入合同。若中选人在定标后及合同签订前，以上述事项为借口而不履行合同签订手续及执行合同，则视作放弃中选资格。</w:t>
      </w:r>
    </w:p>
    <w:p w14:paraId="1C649A1F">
      <w:pPr>
        <w:pStyle w:val="8"/>
        <w:numPr>
          <w:ilvl w:val="0"/>
          <w:numId w:val="8"/>
        </w:numPr>
        <w:spacing w:before="0" w:after="0" w:afterAutospacing="0"/>
        <w:ind w:left="0" w:right="0" w:firstLine="422" w:firstLineChars="200"/>
        <w:rPr>
          <w:rFonts w:hint="eastAsia" w:ascii="宋体" w:hAnsi="宋体"/>
          <w:color w:val="auto"/>
          <w:sz w:val="21"/>
          <w:szCs w:val="21"/>
          <w:highlight w:val="none"/>
        </w:rPr>
      </w:pPr>
      <w:bookmarkStart w:id="1112" w:name="_Toc25750630"/>
      <w:bookmarkStart w:id="1113" w:name="_Toc11079"/>
      <w:bookmarkStart w:id="1114" w:name="_Toc8104"/>
      <w:bookmarkStart w:id="1115" w:name="_Toc385427835"/>
      <w:bookmarkStart w:id="1116" w:name="_Toc16589"/>
      <w:bookmarkStart w:id="1117" w:name="_Toc24750"/>
      <w:bookmarkStart w:id="1118" w:name="_Toc11412"/>
      <w:bookmarkStart w:id="1119" w:name="_Toc17348"/>
      <w:bookmarkStart w:id="1120" w:name="_Toc9433"/>
      <w:bookmarkStart w:id="1121" w:name="_Toc23817"/>
      <w:bookmarkStart w:id="1122" w:name="_Toc9981"/>
      <w:bookmarkStart w:id="1123" w:name="_Toc20178"/>
      <w:bookmarkStart w:id="1124" w:name="_Toc29857"/>
      <w:bookmarkStart w:id="1125" w:name="_Toc16371"/>
      <w:bookmarkStart w:id="1126" w:name="_Toc375039102"/>
      <w:bookmarkStart w:id="1127" w:name="_Toc12983545"/>
      <w:bookmarkStart w:id="1128" w:name="_Toc492478760"/>
      <w:bookmarkStart w:id="1129" w:name="_Toc383891210"/>
      <w:bookmarkStart w:id="1130" w:name="_Toc390098461"/>
      <w:bookmarkStart w:id="1131" w:name="_Toc6599"/>
      <w:bookmarkStart w:id="1132" w:name="_Toc25632"/>
      <w:bookmarkStart w:id="1133" w:name="_Toc17281"/>
      <w:bookmarkStart w:id="1134" w:name="_Toc5576"/>
      <w:bookmarkStart w:id="1135" w:name="_Toc12954"/>
      <w:bookmarkStart w:id="1136" w:name="_Toc25483"/>
      <w:bookmarkStart w:id="1137" w:name="_Toc31814"/>
      <w:bookmarkStart w:id="1138" w:name="_Toc114134647"/>
      <w:r>
        <w:rPr>
          <w:rFonts w:hint="eastAsia" w:ascii="宋体" w:hAnsi="宋体"/>
          <w:color w:val="auto"/>
          <w:sz w:val="21"/>
          <w:szCs w:val="21"/>
          <w:highlight w:val="none"/>
        </w:rPr>
        <w:t>履约担保</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5A795201">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36.1 </w:t>
      </w:r>
      <w:r>
        <w:rPr>
          <w:rFonts w:ascii="宋体" w:hAnsi="宋体"/>
          <w:color w:val="auto"/>
          <w:highlight w:val="none"/>
        </w:rPr>
        <w:t>在签订合同前，</w:t>
      </w:r>
      <w:r>
        <w:rPr>
          <w:rFonts w:hint="eastAsia" w:ascii="宋体" w:hAnsi="宋体"/>
          <w:color w:val="auto"/>
          <w:highlight w:val="none"/>
        </w:rPr>
        <w:t>中选人应按</w:t>
      </w:r>
      <w:r>
        <w:rPr>
          <w:rFonts w:ascii="宋体" w:hAnsi="宋体"/>
          <w:color w:val="auto"/>
          <w:highlight w:val="none"/>
        </w:rPr>
        <w:t>比选申请须知前附表中所示履约担保形式、金额及提交时间向比选人提交履约担保。（如为银行保函形式应按比选文件中提供的银行保函格式开具</w:t>
      </w:r>
      <w:r>
        <w:rPr>
          <w:rFonts w:hint="eastAsia" w:ascii="宋体" w:hAnsi="宋体"/>
          <w:color w:val="auto"/>
          <w:highlight w:val="none"/>
        </w:rPr>
        <w:t>）</w:t>
      </w:r>
    </w:p>
    <w:p w14:paraId="7B4BD9C9">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36.2 </w:t>
      </w:r>
      <w:r>
        <w:rPr>
          <w:rFonts w:ascii="宋体" w:hAnsi="宋体"/>
          <w:color w:val="auto"/>
          <w:highlight w:val="none"/>
        </w:rPr>
        <w:t>如果中选人没有按照上述第35或36.1条以及本比选文件中有关章节中规定执行，比选人将有充分理由取消该中选决定。在此情况下，比选人可将合同授予排名第二的比选申请人，或重新</w:t>
      </w:r>
      <w:r>
        <w:rPr>
          <w:rFonts w:hint="eastAsia" w:ascii="宋体" w:hAnsi="宋体"/>
          <w:color w:val="auto"/>
          <w:highlight w:val="none"/>
        </w:rPr>
        <w:t>比选</w:t>
      </w:r>
      <w:r>
        <w:rPr>
          <w:rFonts w:ascii="宋体" w:hAnsi="宋体"/>
          <w:color w:val="auto"/>
          <w:highlight w:val="none"/>
        </w:rPr>
        <w:t>。</w:t>
      </w:r>
    </w:p>
    <w:p w14:paraId="27EEE3AA">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36.3 履约担保应从生效之日起至</w:t>
      </w:r>
      <w:r>
        <w:rPr>
          <w:rFonts w:hint="eastAsia" w:ascii="宋体" w:hAnsi="宋体"/>
          <w:color w:val="auto"/>
          <w:highlight w:val="none"/>
        </w:rPr>
        <w:t>全部项目内容验收合格（最终验收证书签署）之日后四十五（</w:t>
      </w:r>
      <w:r>
        <w:rPr>
          <w:rFonts w:ascii="宋体" w:hAnsi="宋体"/>
          <w:color w:val="auto"/>
          <w:highlight w:val="none"/>
        </w:rPr>
        <w:t>45</w:t>
      </w:r>
      <w:r>
        <w:rPr>
          <w:rFonts w:hint="eastAsia" w:ascii="宋体" w:hAnsi="宋体"/>
          <w:color w:val="auto"/>
          <w:highlight w:val="none"/>
        </w:rPr>
        <w:t>）天一直有效</w:t>
      </w:r>
      <w:r>
        <w:rPr>
          <w:rFonts w:ascii="宋体" w:hAnsi="宋体"/>
          <w:color w:val="auto"/>
          <w:highlight w:val="none"/>
        </w:rPr>
        <w:t>。如本项目实际</w:t>
      </w:r>
      <w:r>
        <w:rPr>
          <w:rFonts w:hint="eastAsia" w:ascii="宋体" w:hAnsi="宋体"/>
          <w:color w:val="auto"/>
          <w:highlight w:val="none"/>
        </w:rPr>
        <w:t>全部项目内容验收合格</w:t>
      </w:r>
      <w:r>
        <w:rPr>
          <w:rFonts w:ascii="宋体" w:hAnsi="宋体"/>
          <w:color w:val="auto"/>
          <w:highlight w:val="none"/>
        </w:rPr>
        <w:t>日期超出该履约担保写明的日期，则中选人应相应延长履约担保的日期，当出现逾期验收而未及时办理保函续费手续时（如为保函形式），比选人有权暂停剩余费用的支付。</w:t>
      </w:r>
    </w:p>
    <w:p w14:paraId="12A0BD1D">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36.4 </w:t>
      </w:r>
      <w:r>
        <w:rPr>
          <w:rFonts w:ascii="宋体" w:hAnsi="宋体"/>
          <w:color w:val="auto"/>
          <w:highlight w:val="none"/>
        </w:rPr>
        <w:t>履约担保</w:t>
      </w:r>
      <w:r>
        <w:rPr>
          <w:rFonts w:hint="eastAsia" w:ascii="宋体" w:hAnsi="宋体"/>
          <w:color w:val="auto"/>
          <w:highlight w:val="none"/>
        </w:rPr>
        <w:t>如为履约保证金形式的，</w:t>
      </w:r>
      <w:r>
        <w:rPr>
          <w:rFonts w:ascii="宋体" w:hAnsi="宋体"/>
          <w:color w:val="auto"/>
          <w:highlight w:val="none"/>
        </w:rPr>
        <w:t>在本合同结束后，</w:t>
      </w:r>
      <w:r>
        <w:rPr>
          <w:rFonts w:hint="eastAsia" w:ascii="宋体" w:hAnsi="宋体"/>
          <w:color w:val="auto"/>
          <w:highlight w:val="none"/>
        </w:rPr>
        <w:t>比选人将</w:t>
      </w:r>
      <w:r>
        <w:rPr>
          <w:rFonts w:ascii="宋体" w:hAnsi="宋体"/>
          <w:color w:val="auto"/>
          <w:highlight w:val="none"/>
        </w:rPr>
        <w:t>根据履约期间比选人的索赔情况，将剩余履约担保款项无息退还中选人。</w:t>
      </w:r>
    </w:p>
    <w:p w14:paraId="3B83B888">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36.5 </w:t>
      </w:r>
      <w:r>
        <w:rPr>
          <w:rFonts w:ascii="宋体" w:hAnsi="宋体"/>
          <w:color w:val="auto"/>
          <w:highlight w:val="none"/>
        </w:rPr>
        <w:t>在合同执行过程中，履约担保金额应保持足额有效，不足时</w:t>
      </w:r>
      <w:r>
        <w:rPr>
          <w:rFonts w:hint="eastAsia" w:ascii="宋体" w:hAnsi="宋体"/>
          <w:color w:val="auto"/>
          <w:highlight w:val="none"/>
        </w:rPr>
        <w:t>中选人</w:t>
      </w:r>
      <w:r>
        <w:rPr>
          <w:rFonts w:ascii="宋体" w:hAnsi="宋体"/>
          <w:color w:val="auto"/>
          <w:highlight w:val="none"/>
        </w:rPr>
        <w:t>应当按照比选人的要求及时补足担保金额。</w:t>
      </w:r>
    </w:p>
    <w:p w14:paraId="474B1FAF">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36.6 </w:t>
      </w:r>
      <w:r>
        <w:rPr>
          <w:rFonts w:ascii="宋体" w:hAnsi="宋体"/>
          <w:color w:val="auto"/>
          <w:highlight w:val="none"/>
        </w:rPr>
        <w:t>以履约保证金形式提交履约担保的，中选人应通过银行电汇或转账的形式，从基本账户中递交至比选人</w:t>
      </w:r>
      <w:r>
        <w:rPr>
          <w:rFonts w:hint="eastAsia" w:ascii="宋体" w:hAnsi="宋体"/>
          <w:color w:val="auto"/>
          <w:highlight w:val="none"/>
        </w:rPr>
        <w:t>指定账户</w:t>
      </w:r>
      <w:r>
        <w:rPr>
          <w:rFonts w:ascii="宋体" w:hAnsi="宋体"/>
          <w:color w:val="auto"/>
          <w:highlight w:val="none"/>
        </w:rPr>
        <w:t>。</w:t>
      </w:r>
    </w:p>
    <w:p w14:paraId="280B5418">
      <w:pPr>
        <w:tabs>
          <w:tab w:val="left" w:pos="1134"/>
          <w:tab w:val="left" w:pos="8364"/>
        </w:tabs>
        <w:spacing w:before="0" w:after="0" w:afterAutospacing="0"/>
        <w:ind w:left="0" w:right="0" w:firstLine="422" w:firstLineChars="200"/>
        <w:rPr>
          <w:rFonts w:hint="eastAsia" w:ascii="宋体" w:hAnsi="宋体"/>
          <w:b/>
          <w:bCs/>
          <w:color w:val="auto"/>
          <w:highlight w:val="none"/>
        </w:rPr>
      </w:pPr>
      <w:r>
        <w:rPr>
          <w:rFonts w:hint="eastAsia" w:ascii="宋体" w:hAnsi="宋体"/>
          <w:b/>
          <w:bCs/>
          <w:color w:val="auto"/>
          <w:highlight w:val="none"/>
        </w:rPr>
        <w:t xml:space="preserve">37 </w:t>
      </w:r>
      <w:r>
        <w:rPr>
          <w:rFonts w:ascii="宋体" w:hAnsi="宋体"/>
          <w:b/>
          <w:bCs/>
          <w:color w:val="auto"/>
          <w:highlight w:val="none"/>
        </w:rPr>
        <w:t>知识产权和专利权</w:t>
      </w:r>
    </w:p>
    <w:p w14:paraId="55A5D630">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37.1 </w:t>
      </w:r>
      <w:r>
        <w:rPr>
          <w:rFonts w:ascii="宋体" w:hAnsi="宋体"/>
          <w:color w:val="auto"/>
          <w:highlight w:val="none"/>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5616D57D">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37.2 </w:t>
      </w:r>
      <w:r>
        <w:rPr>
          <w:rFonts w:ascii="宋体" w:hAnsi="宋体"/>
          <w:color w:val="auto"/>
          <w:highlight w:val="none"/>
        </w:rPr>
        <w:t>比选申请报价已包括所有应支付的，对专利权、著作权、注册商标专有使用权、计算机软件登记或其他知识产权而需要向其他方支付各项等费用。</w:t>
      </w:r>
    </w:p>
    <w:p w14:paraId="45090562">
      <w:pPr>
        <w:tabs>
          <w:tab w:val="left" w:pos="425"/>
          <w:tab w:val="left" w:pos="1134"/>
          <w:tab w:val="left" w:pos="8364"/>
        </w:tabs>
        <w:spacing w:before="0" w:after="0" w:afterAutospacing="0"/>
        <w:ind w:left="0" w:right="0" w:firstLine="422" w:firstLineChars="200"/>
        <w:rPr>
          <w:rFonts w:hint="eastAsia" w:ascii="宋体" w:hAnsi="宋体"/>
          <w:b/>
          <w:bCs/>
          <w:color w:val="auto"/>
          <w:highlight w:val="none"/>
        </w:rPr>
      </w:pPr>
      <w:r>
        <w:rPr>
          <w:rFonts w:hint="eastAsia" w:ascii="宋体" w:hAnsi="宋体"/>
          <w:b/>
          <w:bCs/>
          <w:color w:val="auto"/>
          <w:highlight w:val="none"/>
        </w:rPr>
        <w:t>38</w:t>
      </w:r>
      <w:r>
        <w:rPr>
          <w:rFonts w:ascii="宋体" w:hAnsi="宋体"/>
          <w:b/>
          <w:bCs/>
          <w:color w:val="auto"/>
          <w:highlight w:val="none"/>
        </w:rPr>
        <w:t>保密</w:t>
      </w:r>
    </w:p>
    <w:p w14:paraId="06206CCD">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38.1 </w:t>
      </w:r>
      <w:r>
        <w:rPr>
          <w:rFonts w:ascii="宋体" w:hAnsi="宋体"/>
          <w:color w:val="auto"/>
          <w:highlight w:val="none"/>
        </w:rPr>
        <w:t>由比选人向比选申请人提供的比选文件、图纸、详细资料、模型、模件和所有其他资料，被视为保密资料，仅被用于它所规定的用途，除非得到比选人的书面同意，</w:t>
      </w:r>
      <w:r>
        <w:rPr>
          <w:rFonts w:hint="eastAsia" w:ascii="宋体" w:hAnsi="宋体"/>
          <w:color w:val="auto"/>
          <w:highlight w:val="none"/>
        </w:rPr>
        <w:t>比选申请人</w:t>
      </w:r>
      <w:r>
        <w:rPr>
          <w:rFonts w:ascii="宋体" w:hAnsi="宋体"/>
          <w:color w:val="auto"/>
          <w:highlight w:val="none"/>
        </w:rPr>
        <w:t>不能向任何第三方透露。</w:t>
      </w:r>
    </w:p>
    <w:p w14:paraId="24FAB30A">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38.2 </w:t>
      </w:r>
      <w:r>
        <w:rPr>
          <w:rFonts w:ascii="宋体" w:hAnsi="宋体"/>
          <w:color w:val="auto"/>
          <w:highlight w:val="none"/>
        </w:rPr>
        <w:t>在比选申请文件完成后，应比选人要求，比选申请人应归还所有从比选人获得的保密资料，以及所有的无论从任何媒介获得的复印件和摘录。</w:t>
      </w:r>
    </w:p>
    <w:p w14:paraId="40B353CF">
      <w:pPr>
        <w:tabs>
          <w:tab w:val="left" w:pos="425"/>
          <w:tab w:val="left" w:pos="1134"/>
          <w:tab w:val="left" w:pos="8364"/>
        </w:tabs>
        <w:spacing w:before="0" w:after="0" w:afterAutospacing="0"/>
        <w:ind w:left="0" w:right="0" w:firstLine="422" w:firstLineChars="200"/>
        <w:rPr>
          <w:rFonts w:hint="eastAsia" w:ascii="宋体" w:hAnsi="宋体"/>
          <w:b/>
          <w:bCs/>
          <w:color w:val="auto"/>
          <w:highlight w:val="none"/>
        </w:rPr>
      </w:pPr>
      <w:r>
        <w:rPr>
          <w:rFonts w:hint="eastAsia" w:ascii="宋体" w:hAnsi="宋体"/>
          <w:b/>
          <w:bCs/>
          <w:color w:val="auto"/>
          <w:highlight w:val="none"/>
        </w:rPr>
        <w:t>39</w:t>
      </w:r>
      <w:r>
        <w:rPr>
          <w:rFonts w:ascii="宋体" w:hAnsi="宋体"/>
          <w:b/>
          <w:bCs/>
          <w:color w:val="auto"/>
          <w:highlight w:val="none"/>
        </w:rPr>
        <w:t>比选申请人知悉</w:t>
      </w:r>
    </w:p>
    <w:p w14:paraId="3AA3097C">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39.1 </w:t>
      </w:r>
      <w:r>
        <w:rPr>
          <w:rFonts w:ascii="宋体" w:hAnsi="宋体"/>
          <w:color w:val="auto"/>
          <w:highlight w:val="none"/>
        </w:rPr>
        <w:t>比选申请人将被视为已合理地充分了解了对所有影响本项目的事项，包括任何与</w:t>
      </w:r>
      <w:r>
        <w:rPr>
          <w:rFonts w:hint="eastAsia" w:ascii="宋体" w:hAnsi="宋体"/>
          <w:color w:val="auto"/>
          <w:highlight w:val="none"/>
        </w:rPr>
        <w:t>项目</w:t>
      </w:r>
      <w:r>
        <w:rPr>
          <w:rFonts w:ascii="宋体" w:hAnsi="宋体"/>
          <w:color w:val="auto"/>
          <w:highlight w:val="none"/>
        </w:rPr>
        <w:t>和项目时间表有关的特殊困难。</w:t>
      </w:r>
    </w:p>
    <w:p w14:paraId="1BAFB95C">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39.2 </w:t>
      </w:r>
      <w:r>
        <w:rPr>
          <w:rFonts w:ascii="宋体" w:hAnsi="宋体"/>
          <w:color w:val="auto"/>
          <w:highlight w:val="none"/>
        </w:rPr>
        <w:t>如果比选申请人在比选申请过程中有欺诈行为，则比选人有权否决比选申请人的比选申请。</w:t>
      </w:r>
    </w:p>
    <w:p w14:paraId="3F66B3B2">
      <w:pPr>
        <w:tabs>
          <w:tab w:val="left" w:pos="425"/>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39.3 分包：本项目不允许分包、禁止转包。</w:t>
      </w:r>
    </w:p>
    <w:p w14:paraId="6208931F">
      <w:pPr>
        <w:pStyle w:val="17"/>
        <w:spacing w:before="0" w:after="0" w:afterAutospacing="0"/>
        <w:ind w:left="0" w:right="0" w:firstLine="400" w:firstLineChars="200"/>
        <w:rPr>
          <w:rFonts w:hint="eastAsia" w:hAnsi="宋体"/>
          <w:color w:val="auto"/>
          <w:highlight w:val="none"/>
        </w:rPr>
      </w:pPr>
      <w:r>
        <w:rPr>
          <w:rFonts w:hint="eastAsia" w:hAnsi="宋体"/>
          <w:color w:val="auto"/>
          <w:highlight w:val="none"/>
        </w:rPr>
        <w:t>39.4需要补充的其他内容：详见比选申请须知前附表</w:t>
      </w:r>
    </w:p>
    <w:p w14:paraId="7E00F5D5">
      <w:pPr>
        <w:tabs>
          <w:tab w:val="left" w:pos="425"/>
          <w:tab w:val="left" w:pos="1134"/>
          <w:tab w:val="left" w:pos="8364"/>
        </w:tabs>
        <w:spacing w:before="0" w:after="0" w:afterAutospacing="0" w:line="240" w:lineRule="auto"/>
        <w:ind w:left="0" w:right="0" w:firstLine="422" w:firstLineChars="200"/>
        <w:rPr>
          <w:rFonts w:hint="eastAsia" w:ascii="宋体" w:hAnsi="宋体"/>
          <w:b/>
          <w:bCs/>
          <w:color w:val="auto"/>
          <w:highlight w:val="none"/>
        </w:rPr>
      </w:pPr>
      <w:r>
        <w:rPr>
          <w:rFonts w:hint="eastAsia" w:ascii="宋体" w:hAnsi="宋体"/>
          <w:b/>
          <w:bCs/>
          <w:color w:val="auto"/>
          <w:highlight w:val="none"/>
        </w:rPr>
        <w:t>40其他</w:t>
      </w:r>
    </w:p>
    <w:p w14:paraId="05E3E9F6">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同时按比选人的不良信用名单实施办法或细则，将其列入比选人的不良信用名单，比选人有权禁止其参加比选人的任何采购项目，禁止时限为6个月至五年，具体时限视情节严重情况而定</w:t>
      </w:r>
      <w:r>
        <w:rPr>
          <w:rFonts w:ascii="宋体" w:hAnsi="宋体"/>
          <w:color w:val="auto"/>
          <w:highlight w:val="none"/>
        </w:rPr>
        <w:t>：</w:t>
      </w:r>
    </w:p>
    <w:p w14:paraId="13934655">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40.1比选申请人在比选申请截止期后撤回其比选申请的。</w:t>
      </w:r>
    </w:p>
    <w:p w14:paraId="13FDD4B1">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40.2提供虚假材料谋取中选的。</w:t>
      </w:r>
    </w:p>
    <w:p w14:paraId="0BD54B6B">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40.3采取不正当手段诋毁、排挤其他供应商的。</w:t>
      </w:r>
    </w:p>
    <w:p w14:paraId="10BAF56E">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40.4恶意串通等不正当竞争行为的。</w:t>
      </w:r>
    </w:p>
    <w:p w14:paraId="6F664138">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40.5中标后无正当理由拒不与</w:t>
      </w:r>
      <w:r>
        <w:rPr>
          <w:rFonts w:hint="eastAsia" w:ascii="宋体" w:hAnsi="宋体"/>
          <w:color w:val="auto"/>
          <w:highlight w:val="none"/>
        </w:rPr>
        <w:t>比选</w:t>
      </w:r>
      <w:r>
        <w:rPr>
          <w:rFonts w:ascii="宋体" w:hAnsi="宋体"/>
          <w:color w:val="auto"/>
          <w:highlight w:val="none"/>
        </w:rPr>
        <w:t>人签订采购合同的。</w:t>
      </w:r>
    </w:p>
    <w:p w14:paraId="40E0ED64">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40.6未照比选、比选申请文件确定的事项签订采购合同的。</w:t>
      </w:r>
    </w:p>
    <w:p w14:paraId="0FFFEC79">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40.7将</w:t>
      </w:r>
      <w:r>
        <w:rPr>
          <w:rFonts w:hint="eastAsia" w:ascii="宋体" w:hAnsi="宋体"/>
          <w:color w:val="auto"/>
          <w:highlight w:val="none"/>
        </w:rPr>
        <w:t>与比选人签订的</w:t>
      </w:r>
      <w:r>
        <w:rPr>
          <w:rFonts w:ascii="宋体" w:hAnsi="宋体"/>
          <w:color w:val="auto"/>
          <w:highlight w:val="none"/>
        </w:rPr>
        <w:t>合同转包的。</w:t>
      </w:r>
    </w:p>
    <w:p w14:paraId="681F9AF2">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40.8提供假冒伪劣产品的。</w:t>
      </w:r>
    </w:p>
    <w:p w14:paraId="1F883093">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40.9擅自变更、中止或者终止合同的。</w:t>
      </w:r>
    </w:p>
    <w:p w14:paraId="46BC3824">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40.10中选人签订合同后，不能履约或无故拖延履约期的。</w:t>
      </w:r>
    </w:p>
    <w:p w14:paraId="3DC29485">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40.11 中选人未按比选申请须知要求在比选申请阶段提出异议或疑问，在成交后无法满足采购需求被认定为无效报价或主动放弃成交资格的。</w:t>
      </w:r>
    </w:p>
    <w:p w14:paraId="6CC88B2E">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40.12 中选人在成交后无正当理由放弃成交资格的。</w:t>
      </w:r>
    </w:p>
    <w:p w14:paraId="64904DE2">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40.13比选文件、法律、法规规定的其他情形。</w:t>
      </w:r>
    </w:p>
    <w:p w14:paraId="0F08BFC8">
      <w:pPr>
        <w:tabs>
          <w:tab w:val="left" w:pos="1134"/>
          <w:tab w:val="left" w:pos="8364"/>
        </w:tabs>
        <w:spacing w:before="0" w:after="0" w:afterAutospacing="0"/>
        <w:ind w:left="0" w:right="0" w:firstLine="420" w:firstLineChars="200"/>
        <w:rPr>
          <w:rFonts w:hint="eastAsia" w:ascii="宋体" w:hAnsi="宋体"/>
          <w:color w:val="auto"/>
          <w:highlight w:val="none"/>
        </w:rPr>
      </w:pPr>
    </w:p>
    <w:p w14:paraId="5DB2059D">
      <w:pPr>
        <w:pStyle w:val="17"/>
        <w:pageBreakBefore/>
        <w:ind w:left="0" w:right="0" w:firstLine="0"/>
        <w:jc w:val="center"/>
        <w:outlineLvl w:val="0"/>
        <w:rPr>
          <w:rFonts w:hint="eastAsia" w:hAnsi="宋体"/>
          <w:b/>
          <w:color w:val="auto"/>
          <w:sz w:val="32"/>
          <w:szCs w:val="32"/>
          <w:highlight w:val="none"/>
        </w:rPr>
      </w:pPr>
      <w:bookmarkStart w:id="1139" w:name="_Toc17022"/>
      <w:bookmarkStart w:id="1140" w:name="_Toc4003"/>
      <w:bookmarkStart w:id="1141" w:name="_Toc25920"/>
      <w:bookmarkStart w:id="1142" w:name="_Toc14991"/>
      <w:bookmarkStart w:id="1143" w:name="_Toc7547"/>
      <w:bookmarkStart w:id="1144" w:name="_Toc9991"/>
      <w:bookmarkStart w:id="1145" w:name="_Toc16340"/>
      <w:bookmarkStart w:id="1146" w:name="_Toc27971"/>
      <w:bookmarkStart w:id="1147" w:name="_Toc1179"/>
      <w:bookmarkStart w:id="1148" w:name="_Toc21919"/>
      <w:bookmarkStart w:id="1149" w:name="_Toc11424"/>
      <w:bookmarkStart w:id="1150" w:name="_Toc28464"/>
      <w:bookmarkStart w:id="1151" w:name="_Toc12281"/>
      <w:bookmarkStart w:id="1152" w:name="_Toc13323"/>
      <w:bookmarkStart w:id="1153" w:name="_Toc15740"/>
      <w:bookmarkStart w:id="1154" w:name="_Toc9458"/>
      <w:bookmarkStart w:id="1155" w:name="_Toc23292"/>
      <w:bookmarkStart w:id="1156" w:name="_Toc9725"/>
      <w:r>
        <w:rPr>
          <w:rStyle w:val="54"/>
          <w:rFonts w:hint="eastAsia" w:ascii="宋体" w:hAnsi="宋体" w:eastAsia="宋体"/>
          <w:color w:val="auto"/>
          <w:highlight w:val="none"/>
        </w:rPr>
        <w:t>第三章</w:t>
      </w:r>
      <w:r>
        <w:rPr>
          <w:rStyle w:val="54"/>
          <w:rFonts w:hint="eastAsia" w:hAnsi="宋体"/>
          <w:color w:val="auto"/>
          <w:highlight w:val="none"/>
        </w:rPr>
        <w:t xml:space="preserve">  </w:t>
      </w:r>
      <w:r>
        <w:rPr>
          <w:rStyle w:val="54"/>
          <w:rFonts w:hint="eastAsia" w:ascii="宋体" w:hAnsi="宋体" w:eastAsia="宋体"/>
          <w:color w:val="auto"/>
          <w:highlight w:val="none"/>
        </w:rPr>
        <w:t>合同条款及格式</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Start w:id="1157" w:name="_Toc19448"/>
      <w:bookmarkStart w:id="1158" w:name="_Toc6194"/>
      <w:bookmarkStart w:id="1159" w:name="_Toc29249"/>
      <w:bookmarkStart w:id="1160" w:name="_Toc2753"/>
      <w:bookmarkStart w:id="1161" w:name="_Toc5644"/>
      <w:bookmarkStart w:id="1162" w:name="_Toc16716"/>
      <w:bookmarkStart w:id="1163" w:name="_Toc5186"/>
      <w:bookmarkStart w:id="1164" w:name="_Toc21033"/>
      <w:bookmarkStart w:id="1165" w:name="_Toc13288"/>
      <w:bookmarkStart w:id="1166" w:name="_Toc14997"/>
      <w:bookmarkStart w:id="1167" w:name="_Toc12983548"/>
      <w:bookmarkStart w:id="1168" w:name="_Toc27258"/>
      <w:bookmarkStart w:id="1169" w:name="_Toc21659"/>
      <w:bookmarkStart w:id="1170" w:name="_Toc27316"/>
      <w:bookmarkStart w:id="1171" w:name="_Toc21635"/>
      <w:bookmarkStart w:id="1172" w:name="_Toc21372"/>
      <w:bookmarkStart w:id="1173" w:name="_Toc16443"/>
      <w:bookmarkStart w:id="1174" w:name="_Toc12470"/>
    </w:p>
    <w:p w14:paraId="1B3E0075">
      <w:pPr>
        <w:pStyle w:val="33"/>
        <w:spacing w:line="500" w:lineRule="exact"/>
        <w:jc w:val="both"/>
        <w:rPr>
          <w:rFonts w:hint="eastAsia" w:ascii="仿宋_GB2312" w:eastAsia="仿宋_GB2312"/>
          <w:b/>
          <w:bCs/>
          <w:color w:val="auto"/>
          <w:sz w:val="44"/>
          <w:szCs w:val="44"/>
          <w:highlight w:val="none"/>
        </w:rPr>
      </w:pPr>
    </w:p>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14:paraId="10474172">
      <w:pPr>
        <w:wordWrap w:val="0"/>
        <w:rPr>
          <w:rFonts w:ascii="华文中宋" w:hAnsi="华文中宋" w:eastAsia="华文中宋" w:cs="华文中宋"/>
          <w:color w:val="auto"/>
          <w:sz w:val="28"/>
          <w:szCs w:val="28"/>
          <w:highlight w:val="none"/>
        </w:rPr>
      </w:pPr>
      <w:r>
        <w:rPr>
          <w:rFonts w:hint="eastAsia" w:ascii="华文中宋" w:hAnsi="华文中宋" w:eastAsia="华文中宋" w:cs="华文中宋"/>
          <w:bCs/>
          <w:color w:val="auto"/>
          <w:sz w:val="28"/>
          <w:szCs w:val="28"/>
          <w:highlight w:val="none"/>
        </w:rPr>
        <w:t>合同编号：</w:t>
      </w:r>
    </w:p>
    <w:p w14:paraId="1FC9C2B9">
      <w:pPr>
        <w:wordWrap w:val="0"/>
        <w:rPr>
          <w:rFonts w:ascii="华文中宋" w:hAnsi="华文中宋" w:eastAsia="华文中宋" w:cs="华文中宋"/>
          <w:color w:val="auto"/>
          <w:sz w:val="30"/>
          <w:szCs w:val="30"/>
          <w:highlight w:val="none"/>
        </w:rPr>
      </w:pPr>
      <w:r>
        <w:rPr>
          <w:rFonts w:hint="eastAsia" w:ascii="华文中宋" w:hAnsi="华文中宋" w:eastAsia="华文中宋" w:cs="华文中宋"/>
          <w:color w:val="auto"/>
          <w:sz w:val="30"/>
          <w:szCs w:val="30"/>
          <w:highlight w:val="none"/>
        </w:rPr>
        <w:t xml:space="preserve">                               </w:t>
      </w:r>
    </w:p>
    <w:p w14:paraId="79C0F93B">
      <w:pPr>
        <w:wordWrap w:val="0"/>
        <w:ind w:right="840"/>
        <w:jc w:val="right"/>
        <w:rPr>
          <w:rFonts w:ascii="华文中宋" w:hAnsi="华文中宋" w:eastAsia="华文中宋" w:cs="华文中宋"/>
          <w:b/>
          <w:bCs/>
          <w:color w:val="auto"/>
          <w:sz w:val="30"/>
          <w:szCs w:val="30"/>
          <w:highlight w:val="none"/>
        </w:rPr>
      </w:pPr>
      <w:r>
        <w:rPr>
          <w:color w:val="auto"/>
          <w:sz w:val="28"/>
          <w:highlight w:val="none"/>
        </w:rPr>
        <mc:AlternateContent>
          <mc:Choice Requires="wps">
            <w:drawing>
              <wp:anchor distT="0" distB="0" distL="114300" distR="114300" simplePos="0" relativeHeight="251659264" behindDoc="0" locked="0" layoutInCell="1" allowOverlap="1">
                <wp:simplePos x="0" y="0"/>
                <wp:positionH relativeFrom="column">
                  <wp:posOffset>5107305</wp:posOffset>
                </wp:positionH>
                <wp:positionV relativeFrom="paragraph">
                  <wp:posOffset>64770</wp:posOffset>
                </wp:positionV>
                <wp:extent cx="865505" cy="367030"/>
                <wp:effectExtent l="12700" t="12700" r="17145" b="20320"/>
                <wp:wrapNone/>
                <wp:docPr id="6" name="矩形 6"/>
                <wp:cNvGraphicFramePr/>
                <a:graphic xmlns:a="http://schemas.openxmlformats.org/drawingml/2006/main">
                  <a:graphicData uri="http://schemas.microsoft.com/office/word/2010/wordprocessingShape">
                    <wps:wsp>
                      <wps:cNvSpPr/>
                      <wps:spPr>
                        <a:xfrm>
                          <a:off x="0" y="0"/>
                          <a:ext cx="865505" cy="367030"/>
                        </a:xfrm>
                        <a:prstGeom prst="rect">
                          <a:avLst/>
                        </a:prstGeom>
                        <a:noFill/>
                      </wps:spPr>
                      <wps:style>
                        <a:lnRef idx="2">
                          <a:schemeClr val="accent1">
                            <a:lumMod val="75000"/>
                          </a:schemeClr>
                        </a:lnRef>
                        <a:fillRef idx="1">
                          <a:schemeClr val="accent1"/>
                        </a:fillRef>
                        <a:effectRef idx="0">
                          <a:srgbClr val="FFFFFF"/>
                        </a:effectRef>
                        <a:fontRef idx="minor">
                          <a:schemeClr val="lt1"/>
                        </a:fontRef>
                      </wps:style>
                      <wps:txbx>
                        <w:txbxContent>
                          <w:p w14:paraId="16EF8D1E">
                            <w:pPr>
                              <w:jc w:val="center"/>
                              <w:rPr>
                                <w:rFonts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正/副本</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02.15pt;margin-top:5.1pt;height:28.9pt;width:68.15pt;z-index:251659264;v-text-anchor:middle;mso-width-relative:page;mso-height-relative:page;" filled="f" stroked="t" coordsize="21600,21600" o:gfxdata="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7aslm9cAAAAJAQAADwAAAAAAAAABACAAAAAiAAAAZHJz&#10;L2Rvd25yZXYueG1sUEsBAhQAFAAAAAgAh07iQFy+wbp3AgAA4AQAAA4AAAAAAAAAAQAgAAAAJgEA&#10;AGRycy9lMm9Eb2MueG1sUEsFBgAAAAAGAAYAWQEAAA8GAAAAAA==&#10;">
                <v:fill on="f" focussize="0,0"/>
                <v:stroke weight="2pt" color="#376092 [2404]" joinstyle="round"/>
                <v:imagedata o:title=""/>
                <o:lock v:ext="edit" aspectratio="f"/>
                <v:textbox>
                  <w:txbxContent>
                    <w:p w14:paraId="16EF8D1E">
                      <w:pPr>
                        <w:jc w:val="center"/>
                        <w:rPr>
                          <w:rFonts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正/副本</w:t>
                      </w:r>
                    </w:p>
                  </w:txbxContent>
                </v:textbox>
              </v:rect>
            </w:pict>
          </mc:Fallback>
        </mc:AlternateContent>
      </w:r>
    </w:p>
    <w:p w14:paraId="5B9C77A1">
      <w:pPr>
        <w:jc w:val="center"/>
        <w:rPr>
          <w:rFonts w:ascii="华文中宋" w:hAnsi="华文中宋" w:eastAsia="华文中宋" w:cs="华文中宋"/>
          <w:b/>
          <w:bCs/>
          <w:color w:val="auto"/>
          <w:sz w:val="30"/>
          <w:szCs w:val="30"/>
          <w:highlight w:val="none"/>
        </w:rPr>
      </w:pPr>
    </w:p>
    <w:p w14:paraId="488F16B3">
      <w:pPr>
        <w:jc w:val="center"/>
        <w:rPr>
          <w:rFonts w:hint="eastAsia" w:ascii="华文中宋" w:hAnsi="华文中宋" w:eastAsia="仿宋_GB2312" w:cs="华文中宋"/>
          <w:b/>
          <w:bCs/>
          <w:color w:val="auto"/>
          <w:sz w:val="30"/>
          <w:szCs w:val="30"/>
          <w:highlight w:val="none"/>
          <w:lang w:val="en-US" w:eastAsia="zh-CN"/>
        </w:rPr>
      </w:pPr>
      <w:r>
        <w:rPr>
          <w:rStyle w:val="38"/>
          <w:rFonts w:hint="eastAsia" w:ascii="宋体" w:hAnsi="宋体" w:eastAsia="宋体" w:cs="Arial Unicode MS"/>
          <w:b/>
          <w:bCs/>
          <w:color w:val="auto"/>
          <w:kern w:val="2"/>
          <w:sz w:val="48"/>
          <w:szCs w:val="48"/>
          <w:highlight w:val="none"/>
          <w:lang w:val="zh-CN" w:eastAsia="zh-CN" w:bidi="ar-SA"/>
        </w:rPr>
        <w:t>轨道云著（北区）项目样板房（125及102户型）精装修设计</w:t>
      </w:r>
      <w:r>
        <w:rPr>
          <w:rStyle w:val="38"/>
          <w:rFonts w:hint="eastAsia" w:ascii="宋体" w:hAnsi="宋体" w:eastAsia="宋体" w:cs="Arial Unicode MS"/>
          <w:b/>
          <w:bCs/>
          <w:color w:val="auto"/>
          <w:kern w:val="2"/>
          <w:sz w:val="48"/>
          <w:szCs w:val="48"/>
          <w:highlight w:val="none"/>
          <w:lang w:val="en-US" w:eastAsia="zh-CN" w:bidi="ar-SA"/>
        </w:rPr>
        <w:t>合同</w:t>
      </w:r>
    </w:p>
    <w:p w14:paraId="4F673D02">
      <w:pPr>
        <w:ind w:left="0" w:leftChars="0" w:firstLine="0" w:firstLineChars="0"/>
        <w:rPr>
          <w:rFonts w:ascii="华文中宋" w:hAnsi="华文中宋" w:eastAsia="华文中宋" w:cs="华文中宋"/>
          <w:color w:val="auto"/>
          <w:sz w:val="30"/>
          <w:szCs w:val="30"/>
          <w:highlight w:val="none"/>
        </w:rPr>
      </w:pPr>
    </w:p>
    <w:p w14:paraId="4E95D738">
      <w:pPr>
        <w:rPr>
          <w:rFonts w:ascii="华文中宋" w:hAnsi="华文中宋" w:eastAsia="华文中宋" w:cs="华文中宋"/>
          <w:color w:val="auto"/>
          <w:sz w:val="30"/>
          <w:szCs w:val="30"/>
          <w:highlight w:val="none"/>
        </w:rPr>
      </w:pPr>
    </w:p>
    <w:p w14:paraId="715355FE">
      <w:pPr>
        <w:spacing w:line="360" w:lineRule="auto"/>
        <w:rPr>
          <w:rFonts w:hint="eastAsia" w:ascii="华文中宋" w:hAnsi="华文中宋" w:eastAsia="华文中宋" w:cs="华文中宋"/>
          <w:b/>
          <w:color w:val="auto"/>
          <w:sz w:val="30"/>
          <w:szCs w:val="30"/>
          <w:highlight w:val="none"/>
        </w:rPr>
      </w:pPr>
      <w:r>
        <w:rPr>
          <w:rFonts w:hint="eastAsia" w:ascii="华文中宋" w:hAnsi="华文中宋" w:eastAsia="华文中宋" w:cs="华文中宋"/>
          <w:b/>
          <w:color w:val="auto"/>
          <w:sz w:val="30"/>
          <w:szCs w:val="30"/>
          <w:highlight w:val="none"/>
        </w:rPr>
        <w:t>发包人（甲方）：南宁轨道盛拓天和房地产有限公司</w:t>
      </w:r>
    </w:p>
    <w:p w14:paraId="1780CCDD">
      <w:pPr>
        <w:spacing w:line="480" w:lineRule="auto"/>
        <w:rPr>
          <w:rFonts w:ascii="华文中宋" w:hAnsi="华文中宋" w:eastAsia="华文中宋" w:cs="华文中宋"/>
          <w:b/>
          <w:color w:val="auto"/>
          <w:sz w:val="30"/>
          <w:szCs w:val="30"/>
          <w:highlight w:val="none"/>
        </w:rPr>
      </w:pPr>
      <w:r>
        <w:rPr>
          <w:rFonts w:hint="eastAsia" w:ascii="华文中宋" w:hAnsi="华文中宋" w:eastAsia="华文中宋" w:cs="华文中宋"/>
          <w:b/>
          <w:color w:val="auto"/>
          <w:sz w:val="30"/>
          <w:szCs w:val="30"/>
          <w:highlight w:val="none"/>
        </w:rPr>
        <w:t xml:space="preserve">设计人（乙方）： </w:t>
      </w:r>
    </w:p>
    <w:p w14:paraId="4115DBB0">
      <w:pPr>
        <w:spacing w:line="480" w:lineRule="auto"/>
        <w:rPr>
          <w:rFonts w:ascii="华文中宋" w:hAnsi="华文中宋" w:eastAsia="华文中宋" w:cs="华文中宋"/>
          <w:b/>
          <w:color w:val="auto"/>
          <w:sz w:val="30"/>
          <w:szCs w:val="30"/>
          <w:highlight w:val="none"/>
        </w:rPr>
      </w:pPr>
      <w:r>
        <w:rPr>
          <w:rFonts w:hint="eastAsia" w:ascii="华文中宋" w:hAnsi="华文中宋" w:eastAsia="华文中宋" w:cs="华文中宋"/>
          <w:b/>
          <w:color w:val="auto"/>
          <w:sz w:val="30"/>
          <w:szCs w:val="30"/>
          <w:highlight w:val="none"/>
        </w:rPr>
        <w:t xml:space="preserve">             </w:t>
      </w:r>
    </w:p>
    <w:p w14:paraId="78F779CA">
      <w:pPr>
        <w:spacing w:line="480" w:lineRule="auto"/>
        <w:jc w:val="center"/>
        <w:rPr>
          <w:rFonts w:ascii="华文中宋" w:hAnsi="华文中宋" w:eastAsia="华文中宋" w:cs="华文中宋"/>
          <w:b/>
          <w:color w:val="auto"/>
          <w:sz w:val="30"/>
          <w:szCs w:val="30"/>
          <w:highlight w:val="none"/>
        </w:rPr>
      </w:pPr>
      <w:r>
        <w:rPr>
          <w:rFonts w:hint="eastAsia" w:ascii="华文中宋" w:hAnsi="华文中宋" w:eastAsia="华文中宋" w:cs="华文中宋"/>
          <w:b/>
          <w:color w:val="auto"/>
          <w:sz w:val="30"/>
          <w:szCs w:val="30"/>
          <w:highlight w:val="none"/>
        </w:rPr>
        <w:t>年   月</w:t>
      </w:r>
    </w:p>
    <w:p w14:paraId="30AE2B08">
      <w:pPr>
        <w:pStyle w:val="6"/>
        <w:rPr>
          <w:color w:val="auto"/>
          <w:highlight w:val="none"/>
        </w:rPr>
        <w:sectPr>
          <w:footerReference r:id="rId8" w:type="default"/>
          <w:pgSz w:w="11906" w:h="16838"/>
          <w:pgMar w:top="1440" w:right="1531" w:bottom="1440" w:left="1531" w:header="851" w:footer="992" w:gutter="0"/>
          <w:pgBorders>
            <w:top w:val="none" w:sz="0" w:space="0"/>
            <w:left w:val="none" w:sz="0" w:space="0"/>
            <w:bottom w:val="none" w:sz="0" w:space="0"/>
            <w:right w:val="none" w:sz="0" w:space="0"/>
          </w:pgBorders>
          <w:pgNumType w:start="1"/>
          <w:cols w:space="425" w:num="1"/>
          <w:docGrid w:type="lines" w:linePitch="312" w:charSpace="0"/>
        </w:sectPr>
      </w:pPr>
      <w:bookmarkStart w:id="1175" w:name="_Toc120"/>
      <w:bookmarkStart w:id="1176" w:name="_Toc9291"/>
      <w:bookmarkStart w:id="1177" w:name="_Toc19403"/>
      <w:bookmarkStart w:id="1178" w:name="_Toc30613"/>
      <w:bookmarkStart w:id="1179" w:name="_Toc30050"/>
    </w:p>
    <w:p w14:paraId="06373746">
      <w:pPr>
        <w:pStyle w:val="6"/>
        <w:ind w:left="0" w:leftChars="0" w:firstLine="0" w:firstLineChars="0"/>
        <w:rPr>
          <w:color w:val="auto"/>
          <w:highlight w:val="none"/>
        </w:rPr>
      </w:pPr>
      <w:r>
        <w:rPr>
          <w:color w:val="auto"/>
          <w:highlight w:val="none"/>
        </w:rPr>
        <w:t>第一</w:t>
      </w:r>
      <w:r>
        <w:rPr>
          <w:rFonts w:hint="eastAsia"/>
          <w:color w:val="auto"/>
          <w:highlight w:val="none"/>
        </w:rPr>
        <w:t>部分</w:t>
      </w:r>
      <w:r>
        <w:rPr>
          <w:color w:val="auto"/>
          <w:highlight w:val="none"/>
        </w:rPr>
        <w:t xml:space="preserve"> </w:t>
      </w:r>
      <w:r>
        <w:rPr>
          <w:rFonts w:hint="eastAsia"/>
          <w:color w:val="auto"/>
          <w:highlight w:val="none"/>
        </w:rPr>
        <w:t xml:space="preserve"> </w:t>
      </w:r>
      <w:r>
        <w:rPr>
          <w:color w:val="auto"/>
          <w:highlight w:val="none"/>
        </w:rPr>
        <w:t>合同协议书</w:t>
      </w:r>
      <w:bookmarkEnd w:id="1175"/>
      <w:bookmarkEnd w:id="1176"/>
      <w:bookmarkEnd w:id="1177"/>
      <w:bookmarkEnd w:id="1178"/>
      <w:bookmarkEnd w:id="1179"/>
    </w:p>
    <w:p w14:paraId="252CE17C">
      <w:pPr>
        <w:pStyle w:val="79"/>
        <w:spacing w:after="0" w:line="360" w:lineRule="auto"/>
        <w:rPr>
          <w:rFonts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pacing w:val="-13"/>
          <w:sz w:val="30"/>
          <w:szCs w:val="30"/>
          <w:highlight w:val="none"/>
        </w:rPr>
        <w:t>发包人（甲方</w:t>
      </w:r>
      <w:r>
        <w:rPr>
          <w:rFonts w:hint="eastAsia" w:ascii="仿宋_GB2312" w:hAnsi="仿宋_GB2312" w:eastAsia="仿宋_GB2312" w:cs="仿宋_GB2312"/>
          <w:color w:val="auto"/>
          <w:spacing w:val="-19"/>
          <w:sz w:val="30"/>
          <w:szCs w:val="30"/>
          <w:highlight w:val="none"/>
        </w:rPr>
        <w:t>）：</w:t>
      </w:r>
      <w:r>
        <w:rPr>
          <w:rFonts w:hint="eastAsia" w:ascii="仿宋_GB2312" w:hAnsi="仿宋_GB2312" w:eastAsia="仿宋_GB2312" w:cs="仿宋_GB2312"/>
          <w:color w:val="auto"/>
          <w:sz w:val="30"/>
          <w:szCs w:val="30"/>
          <w:highlight w:val="none"/>
          <w:u w:val="single"/>
        </w:rPr>
        <w:t xml:space="preserve">                  </w:t>
      </w:r>
    </w:p>
    <w:p w14:paraId="180F44A1">
      <w:pPr>
        <w:pStyle w:val="79"/>
        <w:spacing w:after="0"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2"/>
          <w:sz w:val="30"/>
          <w:szCs w:val="30"/>
          <w:highlight w:val="none"/>
        </w:rPr>
        <w:t>设计人（乙方</w:t>
      </w:r>
      <w:r>
        <w:rPr>
          <w:rFonts w:hint="eastAsia" w:ascii="仿宋_GB2312" w:hAnsi="仿宋_GB2312" w:eastAsia="仿宋_GB2312" w:cs="仿宋_GB2312"/>
          <w:color w:val="auto"/>
          <w:spacing w:val="-21"/>
          <w:sz w:val="30"/>
          <w:szCs w:val="30"/>
          <w:highlight w:val="none"/>
        </w:rPr>
        <w:t>）：</w:t>
      </w:r>
      <w:r>
        <w:rPr>
          <w:rFonts w:hint="eastAsia" w:ascii="仿宋_GB2312" w:hAnsi="仿宋_GB2312" w:eastAsia="仿宋_GB2312" w:cs="仿宋_GB2312"/>
          <w:color w:val="auto"/>
          <w:sz w:val="30"/>
          <w:szCs w:val="30"/>
          <w:highlight w:val="none"/>
          <w:u w:val="single"/>
        </w:rPr>
        <w:t xml:space="preserve">                  </w:t>
      </w:r>
    </w:p>
    <w:p w14:paraId="4FCA1450">
      <w:pPr>
        <w:pStyle w:val="79"/>
        <w:spacing w:after="0" w:line="360" w:lineRule="auto"/>
        <w:ind w:firstLine="596" w:firstLineChars="200"/>
        <w:rPr>
          <w:rFonts w:ascii="仿宋_GB2312" w:hAnsi="仿宋_GB2312" w:eastAsia="仿宋_GB2312" w:cs="仿宋_GB2312"/>
          <w:color w:val="auto"/>
          <w:spacing w:val="-1"/>
          <w:sz w:val="30"/>
          <w:szCs w:val="30"/>
          <w:highlight w:val="none"/>
          <w:u w:val="single"/>
        </w:rPr>
      </w:pPr>
      <w:r>
        <w:rPr>
          <w:rFonts w:hint="eastAsia" w:ascii="仿宋_GB2312" w:hAnsi="仿宋_GB2312" w:eastAsia="仿宋_GB2312" w:cs="仿宋_GB2312"/>
          <w:color w:val="auto"/>
          <w:spacing w:val="-1"/>
          <w:sz w:val="30"/>
          <w:szCs w:val="30"/>
          <w:highlight w:val="none"/>
        </w:rPr>
        <w:t>根据《中华人民共和国民法典》、《中华人民共和国建筑法》及有关法律规定，遵循平等、自愿、公平和诚实信用的原则，双方就</w:t>
      </w:r>
      <w:r>
        <w:rPr>
          <w:rFonts w:hint="eastAsia" w:ascii="仿宋_GB2312" w:hAnsi="仿宋_GB2312" w:eastAsia="仿宋_GB2312" w:cs="仿宋_GB2312"/>
          <w:color w:val="auto"/>
          <w:spacing w:val="4"/>
          <w:sz w:val="30"/>
          <w:szCs w:val="30"/>
          <w:highlight w:val="none"/>
          <w:u w:val="single"/>
        </w:rPr>
        <w:t xml:space="preserve">                      </w:t>
      </w:r>
      <w:r>
        <w:rPr>
          <w:rFonts w:hint="eastAsia" w:ascii="仿宋_GB2312" w:hAnsi="仿宋_GB2312" w:eastAsia="仿宋_GB2312" w:cs="仿宋_GB2312"/>
          <w:color w:val="auto"/>
          <w:spacing w:val="-1"/>
          <w:sz w:val="30"/>
          <w:szCs w:val="30"/>
          <w:highlight w:val="none"/>
        </w:rPr>
        <w:t>及有关事项协商一致，共同达成如下协议：</w:t>
      </w:r>
    </w:p>
    <w:p w14:paraId="4ED81387">
      <w:pPr>
        <w:pStyle w:val="79"/>
        <w:spacing w:after="0"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3"/>
          <w:sz w:val="30"/>
          <w:szCs w:val="30"/>
          <w:highlight w:val="none"/>
        </w:rPr>
        <w:t>一、</w:t>
      </w:r>
      <w:r>
        <w:rPr>
          <w:rFonts w:hint="eastAsia" w:ascii="仿宋_GB2312" w:hAnsi="仿宋_GB2312" w:eastAsia="仿宋_GB2312" w:cs="仿宋_GB2312"/>
          <w:b/>
          <w:bCs/>
          <w:color w:val="auto"/>
          <w:spacing w:val="-3"/>
          <w:sz w:val="30"/>
          <w:szCs w:val="30"/>
          <w:highlight w:val="none"/>
        </w:rPr>
        <w:t>工程概况</w:t>
      </w:r>
    </w:p>
    <w:p w14:paraId="56AE7BEF">
      <w:pPr>
        <w:pStyle w:val="79"/>
        <w:spacing w:after="0" w:line="360" w:lineRule="auto"/>
        <w:ind w:firstLine="596" w:firstLineChars="200"/>
        <w:rPr>
          <w:rFonts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pacing w:val="-1"/>
          <w:sz w:val="30"/>
          <w:szCs w:val="30"/>
          <w:highlight w:val="none"/>
        </w:rPr>
        <w:t>1.工程名称：</w:t>
      </w:r>
      <w:r>
        <w:rPr>
          <w:rFonts w:hint="eastAsia" w:ascii="仿宋_GB2312" w:hAnsi="仿宋_GB2312" w:eastAsia="仿宋_GB2312" w:cs="仿宋_GB2312"/>
          <w:color w:val="auto"/>
          <w:spacing w:val="4"/>
          <w:sz w:val="30"/>
          <w:szCs w:val="30"/>
          <w:highlight w:val="none"/>
        </w:rPr>
        <w:t xml:space="preserve"> </w:t>
      </w:r>
      <w:r>
        <w:rPr>
          <w:rFonts w:hint="eastAsia" w:ascii="仿宋_GB2312" w:hAnsi="仿宋_GB2312" w:eastAsia="仿宋_GB2312" w:cs="仿宋_GB2312"/>
          <w:color w:val="auto"/>
          <w:spacing w:val="4"/>
          <w:sz w:val="30"/>
          <w:szCs w:val="30"/>
          <w:highlight w:val="none"/>
          <w:u w:val="single"/>
        </w:rPr>
        <w:t xml:space="preserve">  </w:t>
      </w:r>
      <w:r>
        <w:rPr>
          <w:rFonts w:hint="eastAsia" w:ascii="仿宋_GB2312" w:hAnsi="仿宋_GB2312" w:eastAsia="仿宋_GB2312" w:cs="仿宋_GB2312"/>
          <w:color w:val="auto"/>
          <w:spacing w:val="4"/>
          <w:sz w:val="30"/>
          <w:szCs w:val="30"/>
          <w:highlight w:val="none"/>
          <w:u w:val="single"/>
          <w:lang w:eastAsia="zh-CN"/>
        </w:rPr>
        <w:t>轨道云著（北区）项目样板房（125及102户型）精装修设计</w:t>
      </w:r>
      <w:r>
        <w:rPr>
          <w:rFonts w:hint="eastAsia" w:ascii="仿宋_GB2312" w:hAnsi="仿宋_GB2312" w:eastAsia="仿宋_GB2312" w:cs="仿宋_GB2312"/>
          <w:color w:val="auto"/>
          <w:spacing w:val="4"/>
          <w:sz w:val="30"/>
          <w:szCs w:val="30"/>
          <w:highlight w:val="none"/>
          <w:u w:val="single"/>
        </w:rPr>
        <w:t xml:space="preserve"> </w:t>
      </w:r>
      <w:r>
        <w:rPr>
          <w:rFonts w:hint="eastAsia" w:ascii="仿宋_GB2312" w:hAnsi="仿宋_GB2312" w:eastAsia="仿宋_GB2312" w:cs="仿宋_GB2312"/>
          <w:color w:val="auto"/>
          <w:spacing w:val="4"/>
          <w:sz w:val="30"/>
          <w:szCs w:val="30"/>
          <w:highlight w:val="none"/>
        </w:rPr>
        <w:t>。</w:t>
      </w:r>
    </w:p>
    <w:p w14:paraId="52E2A30A">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2.工程地点：</w:t>
      </w:r>
      <w:r>
        <w:rPr>
          <w:rFonts w:hint="eastAsia" w:ascii="仿宋_GB2312" w:hAnsi="仿宋_GB2312" w:eastAsia="仿宋_GB2312" w:cs="仿宋_GB2312"/>
          <w:color w:val="auto"/>
          <w:spacing w:val="4"/>
          <w:sz w:val="30"/>
          <w:szCs w:val="30"/>
          <w:highlight w:val="none"/>
          <w:u w:val="single"/>
        </w:rPr>
        <w:t xml:space="preserve"> 南宁市良庆区平乐大道以东、夏林路以南  </w:t>
      </w:r>
      <w:r>
        <w:rPr>
          <w:rFonts w:hint="eastAsia" w:ascii="仿宋_GB2312" w:hAnsi="仿宋_GB2312" w:eastAsia="仿宋_GB2312" w:cs="仿宋_GB2312"/>
          <w:color w:val="auto"/>
          <w:spacing w:val="4"/>
          <w:sz w:val="30"/>
          <w:szCs w:val="30"/>
          <w:highlight w:val="none"/>
        </w:rPr>
        <w:t>。</w:t>
      </w:r>
    </w:p>
    <w:p w14:paraId="4FDCAC0B">
      <w:pPr>
        <w:pStyle w:val="79"/>
        <w:spacing w:after="0" w:line="360" w:lineRule="auto"/>
        <w:ind w:firstLine="580" w:firstLineChars="200"/>
        <w:rPr>
          <w:rFonts w:ascii="仿宋_GB2312" w:hAnsi="仿宋_GB2312" w:eastAsia="仿宋_GB2312" w:cs="仿宋_GB2312"/>
          <w:color w:val="auto"/>
          <w:spacing w:val="-5"/>
          <w:sz w:val="30"/>
          <w:szCs w:val="30"/>
          <w:highlight w:val="none"/>
        </w:rPr>
      </w:pPr>
      <w:r>
        <w:rPr>
          <w:rFonts w:hint="eastAsia" w:ascii="仿宋_GB2312" w:hAnsi="仿宋_GB2312" w:eastAsia="仿宋_GB2312" w:cs="仿宋_GB2312"/>
          <w:color w:val="auto"/>
          <w:spacing w:val="-5"/>
          <w:sz w:val="30"/>
          <w:szCs w:val="30"/>
          <w:highlight w:val="none"/>
        </w:rPr>
        <w:t>3.工程内容及规模：</w:t>
      </w:r>
      <w:r>
        <w:rPr>
          <w:rFonts w:hint="eastAsia" w:ascii="仿宋_GB2312" w:hAnsi="仿宋_GB2312" w:eastAsia="仿宋_GB2312" w:cs="仿宋_GB2312"/>
          <w:color w:val="auto"/>
          <w:spacing w:val="4"/>
          <w:sz w:val="30"/>
          <w:szCs w:val="30"/>
          <w:highlight w:val="none"/>
          <w:u w:val="single"/>
        </w:rPr>
        <w:t xml:space="preserve"> </w:t>
      </w:r>
      <w:r>
        <w:rPr>
          <w:rFonts w:hint="eastAsia" w:ascii="仿宋_GB2312" w:hAnsi="仿宋_GB2312" w:eastAsia="仿宋_GB2312" w:cs="仿宋_GB2312"/>
          <w:color w:val="auto"/>
          <w:spacing w:val="4"/>
          <w:sz w:val="30"/>
          <w:szCs w:val="30"/>
          <w:highlight w:val="none"/>
          <w:u w:val="single"/>
          <w:lang w:val="en-US" w:eastAsia="zh-CN"/>
        </w:rPr>
        <w:t>样板房面积：352㎡，包含样板房方案设计及施工图设计，设计服务包含方案设计及工程估算、效果图、施工图设计及工程概算等设计成果、施工阶段配合等</w:t>
      </w:r>
      <w:r>
        <w:rPr>
          <w:rFonts w:hint="eastAsia" w:ascii="仿宋_GB2312" w:hAnsi="仿宋_GB2312" w:eastAsia="仿宋_GB2312" w:cs="仿宋_GB2312"/>
          <w:color w:val="auto"/>
          <w:spacing w:val="4"/>
          <w:sz w:val="30"/>
          <w:szCs w:val="30"/>
          <w:highlight w:val="none"/>
          <w:u w:val="single"/>
        </w:rPr>
        <w:t xml:space="preserve"> </w:t>
      </w:r>
      <w:r>
        <w:rPr>
          <w:rFonts w:hint="eastAsia" w:ascii="仿宋_GB2312" w:hAnsi="仿宋_GB2312" w:eastAsia="仿宋_GB2312" w:cs="仿宋_GB2312"/>
          <w:color w:val="auto"/>
          <w:spacing w:val="4"/>
          <w:sz w:val="30"/>
          <w:szCs w:val="30"/>
          <w:highlight w:val="none"/>
        </w:rPr>
        <w:t>。</w:t>
      </w:r>
    </w:p>
    <w:p w14:paraId="4F4E97C4">
      <w:pPr>
        <w:pStyle w:val="79"/>
        <w:spacing w:after="0" w:line="360" w:lineRule="auto"/>
        <w:ind w:firstLine="580" w:firstLineChars="200"/>
        <w:rPr>
          <w:rFonts w:ascii="仿宋_GB2312" w:hAnsi="仿宋_GB2312" w:eastAsia="仿宋_GB2312" w:cs="仿宋_GB2312"/>
          <w:color w:val="auto"/>
          <w:spacing w:val="-5"/>
          <w:sz w:val="30"/>
          <w:szCs w:val="30"/>
          <w:highlight w:val="none"/>
        </w:rPr>
      </w:pPr>
      <w:r>
        <w:rPr>
          <w:rFonts w:hint="eastAsia" w:ascii="仿宋_GB2312" w:hAnsi="仿宋_GB2312" w:eastAsia="仿宋_GB2312" w:cs="仿宋_GB2312"/>
          <w:color w:val="auto"/>
          <w:spacing w:val="-5"/>
          <w:sz w:val="30"/>
          <w:szCs w:val="30"/>
          <w:highlight w:val="none"/>
        </w:rPr>
        <w:t>4.工程主要技术标准：</w:t>
      </w:r>
      <w:r>
        <w:rPr>
          <w:rFonts w:hint="eastAsia" w:ascii="仿宋_GB2312" w:hAnsi="仿宋_GB2312" w:eastAsia="仿宋_GB2312" w:cs="仿宋_GB2312"/>
          <w:color w:val="auto"/>
          <w:spacing w:val="4"/>
          <w:sz w:val="30"/>
          <w:szCs w:val="30"/>
          <w:highlight w:val="none"/>
          <w:u w:val="single"/>
        </w:rPr>
        <w:t xml:space="preserve">                      </w:t>
      </w:r>
      <w:r>
        <w:rPr>
          <w:rFonts w:hint="eastAsia" w:ascii="仿宋_GB2312" w:hAnsi="仿宋_GB2312" w:eastAsia="仿宋_GB2312" w:cs="仿宋_GB2312"/>
          <w:color w:val="auto"/>
          <w:spacing w:val="4"/>
          <w:sz w:val="30"/>
          <w:szCs w:val="30"/>
          <w:highlight w:val="none"/>
        </w:rPr>
        <w:t>。</w:t>
      </w:r>
    </w:p>
    <w:p w14:paraId="3A2513CE">
      <w:pPr>
        <w:pStyle w:val="79"/>
        <w:spacing w:after="0" w:line="360" w:lineRule="auto"/>
        <w:ind w:firstLine="580" w:firstLineChars="200"/>
        <w:rPr>
          <w:rFonts w:ascii="仿宋_GB2312" w:hAnsi="仿宋_GB2312" w:eastAsia="仿宋_GB2312" w:cs="仿宋_GB2312"/>
          <w:color w:val="auto"/>
          <w:spacing w:val="-5"/>
          <w:sz w:val="30"/>
          <w:szCs w:val="30"/>
          <w:highlight w:val="none"/>
        </w:rPr>
      </w:pPr>
      <w:r>
        <w:rPr>
          <w:rFonts w:hint="eastAsia" w:ascii="仿宋_GB2312" w:hAnsi="仿宋_GB2312" w:eastAsia="仿宋_GB2312" w:cs="仿宋_GB2312"/>
          <w:color w:val="auto"/>
          <w:spacing w:val="-5"/>
          <w:sz w:val="30"/>
          <w:szCs w:val="30"/>
          <w:highlight w:val="none"/>
        </w:rPr>
        <w:t>5.投资估算：约</w:t>
      </w:r>
      <w:r>
        <w:rPr>
          <w:rFonts w:hint="eastAsia" w:ascii="仿宋_GB2312" w:hAnsi="仿宋_GB2312" w:eastAsia="仿宋_GB2312" w:cs="仿宋_GB2312"/>
          <w:color w:val="auto"/>
          <w:spacing w:val="4"/>
          <w:sz w:val="30"/>
          <w:szCs w:val="30"/>
          <w:highlight w:val="none"/>
          <w:u w:val="single"/>
        </w:rPr>
        <w:t xml:space="preserve"> </w:t>
      </w:r>
      <w:r>
        <w:rPr>
          <w:rFonts w:hint="eastAsia" w:ascii="仿宋_GB2312" w:hAnsi="仿宋_GB2312" w:eastAsia="仿宋_GB2312" w:cs="仿宋_GB2312"/>
          <w:color w:val="auto"/>
          <w:spacing w:val="4"/>
          <w:sz w:val="30"/>
          <w:szCs w:val="30"/>
          <w:highlight w:val="none"/>
          <w:u w:val="single"/>
          <w:lang w:val="en-US" w:eastAsia="zh-CN"/>
        </w:rPr>
        <w:t>635838.00</w:t>
      </w:r>
      <w:r>
        <w:rPr>
          <w:rFonts w:hint="eastAsia" w:ascii="仿宋_GB2312" w:hAnsi="仿宋_GB2312" w:eastAsia="仿宋_GB2312" w:cs="仿宋_GB2312"/>
          <w:color w:val="auto"/>
          <w:spacing w:val="4"/>
          <w:sz w:val="30"/>
          <w:szCs w:val="30"/>
          <w:highlight w:val="none"/>
          <w:u w:val="single"/>
        </w:rPr>
        <w:t xml:space="preserve"> </w:t>
      </w:r>
      <w:r>
        <w:rPr>
          <w:rFonts w:hint="eastAsia" w:ascii="仿宋_GB2312" w:hAnsi="仿宋_GB2312" w:eastAsia="仿宋_GB2312" w:cs="仿宋_GB2312"/>
          <w:color w:val="auto"/>
          <w:spacing w:val="-5"/>
          <w:sz w:val="30"/>
          <w:szCs w:val="30"/>
          <w:highlight w:val="none"/>
        </w:rPr>
        <w:t>万元，</w:t>
      </w:r>
      <w:r>
        <w:rPr>
          <w:rFonts w:hint="eastAsia" w:ascii="仿宋_GB2312" w:hAnsi="仿宋_GB2312" w:eastAsia="仿宋_GB2312" w:cs="仿宋_GB2312"/>
          <w:color w:val="auto"/>
          <w:sz w:val="30"/>
          <w:szCs w:val="30"/>
          <w:highlight w:val="none"/>
        </w:rPr>
        <w:t>建安费约</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万元</w:t>
      </w:r>
      <w:r>
        <w:rPr>
          <w:rFonts w:hint="eastAsia" w:ascii="仿宋_GB2312" w:hAnsi="仿宋_GB2312" w:eastAsia="仿宋_GB2312" w:cs="仿宋_GB2312"/>
          <w:color w:val="auto"/>
          <w:spacing w:val="-5"/>
          <w:sz w:val="30"/>
          <w:szCs w:val="30"/>
          <w:highlight w:val="none"/>
        </w:rPr>
        <w:t>。</w:t>
      </w:r>
    </w:p>
    <w:p w14:paraId="236D5CBA">
      <w:pPr>
        <w:pStyle w:val="79"/>
        <w:spacing w:after="0" w:line="360" w:lineRule="auto"/>
        <w:ind w:firstLine="580" w:firstLineChars="200"/>
        <w:rPr>
          <w:rFonts w:ascii="仿宋_GB2312" w:hAnsi="仿宋_GB2312" w:eastAsia="仿宋_GB2312" w:cs="仿宋_GB2312"/>
          <w:color w:val="auto"/>
          <w:spacing w:val="-5"/>
          <w:sz w:val="30"/>
          <w:szCs w:val="30"/>
          <w:highlight w:val="none"/>
        </w:rPr>
      </w:pPr>
      <w:r>
        <w:rPr>
          <w:rFonts w:hint="eastAsia" w:ascii="仿宋_GB2312" w:hAnsi="仿宋_GB2312" w:eastAsia="仿宋_GB2312" w:cs="仿宋_GB2312"/>
          <w:color w:val="auto"/>
          <w:spacing w:val="-5"/>
          <w:sz w:val="30"/>
          <w:szCs w:val="30"/>
          <w:highlight w:val="none"/>
        </w:rPr>
        <w:t>6.工程批准、核准或备案文号：</w:t>
      </w:r>
      <w:r>
        <w:rPr>
          <w:rFonts w:hint="eastAsia" w:ascii="仿宋_GB2312" w:hAnsi="仿宋_GB2312" w:eastAsia="仿宋_GB2312" w:cs="仿宋_GB2312"/>
          <w:color w:val="auto"/>
          <w:spacing w:val="4"/>
          <w:sz w:val="30"/>
          <w:szCs w:val="30"/>
          <w:highlight w:val="none"/>
          <w:u w:val="single"/>
        </w:rPr>
        <w:t xml:space="preserve">              </w:t>
      </w:r>
      <w:r>
        <w:rPr>
          <w:rFonts w:hint="eastAsia" w:ascii="仿宋_GB2312" w:hAnsi="仿宋_GB2312" w:eastAsia="仿宋_GB2312" w:cs="仿宋_GB2312"/>
          <w:color w:val="auto"/>
          <w:spacing w:val="4"/>
          <w:sz w:val="30"/>
          <w:szCs w:val="30"/>
          <w:highlight w:val="none"/>
        </w:rPr>
        <w:t>。</w:t>
      </w:r>
    </w:p>
    <w:p w14:paraId="393BFB70">
      <w:pPr>
        <w:pStyle w:val="79"/>
        <w:spacing w:after="0"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3"/>
          <w:sz w:val="30"/>
          <w:szCs w:val="30"/>
          <w:highlight w:val="none"/>
        </w:rPr>
        <w:t>二、工程设计范围、阶段与服务内容</w:t>
      </w:r>
    </w:p>
    <w:p w14:paraId="3A6663F4">
      <w:pPr>
        <w:pStyle w:val="79"/>
        <w:spacing w:after="0" w:line="360" w:lineRule="auto"/>
        <w:ind w:firstLine="580" w:firstLineChars="200"/>
        <w:rPr>
          <w:rStyle w:val="45"/>
          <w:rFonts w:ascii="仿宋_GB2312" w:hAnsi="仿宋_GB2312" w:eastAsia="仿宋_GB2312" w:cs="仿宋_GB2312"/>
          <w:color w:val="auto"/>
          <w:spacing w:val="-5"/>
          <w:sz w:val="30"/>
          <w:szCs w:val="30"/>
          <w:highlight w:val="none"/>
          <w:u w:val="single"/>
        </w:rPr>
      </w:pPr>
      <w:r>
        <w:rPr>
          <w:rFonts w:hint="eastAsia" w:ascii="仿宋_GB2312" w:hAnsi="仿宋_GB2312" w:eastAsia="仿宋_GB2312" w:cs="仿宋_GB2312"/>
          <w:color w:val="auto"/>
          <w:spacing w:val="-5"/>
          <w:sz w:val="30"/>
          <w:szCs w:val="30"/>
          <w:highlight w:val="none"/>
        </w:rPr>
        <w:t>工程设计范围：</w:t>
      </w:r>
      <w:r>
        <w:rPr>
          <w:rFonts w:hint="eastAsia" w:ascii="仿宋_GB2312" w:hAnsi="仿宋_GB2312" w:eastAsia="仿宋_GB2312" w:cs="仿宋_GB2312"/>
          <w:color w:val="auto"/>
          <w:spacing w:val="-5"/>
          <w:sz w:val="30"/>
          <w:szCs w:val="30"/>
          <w:highlight w:val="none"/>
        </w:rPr>
        <w:sym w:font="Wingdings" w:char="00A8"/>
      </w:r>
      <w:r>
        <w:rPr>
          <w:rFonts w:hint="eastAsia" w:ascii="仿宋_GB2312" w:hAnsi="仿宋_GB2312" w:eastAsia="仿宋_GB2312" w:cs="仿宋_GB2312"/>
          <w:color w:val="auto"/>
          <w:spacing w:val="-5"/>
          <w:sz w:val="30"/>
          <w:szCs w:val="30"/>
          <w:highlight w:val="none"/>
        </w:rPr>
        <w:t>概念性规划、总平、单体方案、施工图设计；</w:t>
      </w:r>
      <w:r>
        <w:rPr>
          <w:rFonts w:hint="eastAsia" w:ascii="仿宋_GB2312" w:hAnsi="仿宋_GB2312" w:eastAsia="仿宋_GB2312" w:cs="仿宋_GB2312"/>
          <w:color w:val="auto"/>
          <w:spacing w:val="-5"/>
          <w:sz w:val="30"/>
          <w:szCs w:val="30"/>
          <w:highlight w:val="none"/>
        </w:rPr>
        <w:sym w:font="Wingdings" w:char="00A8"/>
      </w:r>
      <w:r>
        <w:rPr>
          <w:rFonts w:hint="eastAsia" w:ascii="仿宋_GB2312" w:hAnsi="仿宋_GB2312" w:eastAsia="仿宋_GB2312" w:cs="仿宋_GB2312"/>
          <w:color w:val="auto"/>
          <w:spacing w:val="-5"/>
          <w:sz w:val="30"/>
          <w:szCs w:val="30"/>
          <w:highlight w:val="none"/>
        </w:rPr>
        <w:t>概念性规划、总平、单体方案设计；</w:t>
      </w:r>
      <w:r>
        <w:rPr>
          <w:rFonts w:hint="eastAsia" w:ascii="仿宋_GB2312" w:hAnsi="仿宋_GB2312" w:eastAsia="仿宋_GB2312" w:cs="仿宋_GB2312"/>
          <w:color w:val="auto"/>
          <w:spacing w:val="-5"/>
          <w:sz w:val="30"/>
          <w:szCs w:val="30"/>
          <w:highlight w:val="none"/>
        </w:rPr>
        <w:sym w:font="Wingdings" w:char="00A8"/>
      </w:r>
      <w:r>
        <w:rPr>
          <w:rFonts w:hint="eastAsia" w:ascii="仿宋_GB2312" w:hAnsi="仿宋_GB2312" w:eastAsia="仿宋_GB2312" w:cs="仿宋_GB2312"/>
          <w:color w:val="auto"/>
          <w:spacing w:val="-5"/>
          <w:sz w:val="30"/>
          <w:szCs w:val="30"/>
          <w:highlight w:val="none"/>
        </w:rPr>
        <w:t>主体施工图设计；</w:t>
      </w:r>
      <w:r>
        <w:rPr>
          <w:rFonts w:hint="eastAsia" w:ascii="仿宋_GB2312" w:hAnsi="仿宋_GB2312" w:eastAsia="仿宋_GB2312" w:cs="仿宋_GB2312"/>
          <w:color w:val="auto"/>
          <w:spacing w:val="-5"/>
          <w:sz w:val="30"/>
          <w:szCs w:val="30"/>
          <w:highlight w:val="none"/>
        </w:rPr>
        <w:sym w:font="Wingdings" w:char="00A8"/>
      </w:r>
      <w:r>
        <w:rPr>
          <w:rFonts w:hint="eastAsia" w:ascii="仿宋_GB2312" w:hAnsi="仿宋_GB2312" w:eastAsia="仿宋_GB2312" w:cs="仿宋_GB2312"/>
          <w:color w:val="auto"/>
          <w:spacing w:val="-5"/>
          <w:sz w:val="30"/>
          <w:szCs w:val="30"/>
          <w:highlight w:val="none"/>
        </w:rPr>
        <w:t xml:space="preserve">供配电设计   </w:t>
      </w:r>
      <w:r>
        <w:rPr>
          <w:rFonts w:hint="eastAsia" w:ascii="仿宋_GB2312" w:hAnsi="仿宋_GB2312" w:eastAsia="仿宋_GB2312" w:cs="仿宋_GB2312"/>
          <w:color w:val="auto"/>
          <w:spacing w:val="-5"/>
          <w:sz w:val="30"/>
          <w:szCs w:val="30"/>
          <w:highlight w:val="none"/>
        </w:rPr>
        <w:sym w:font="Wingdings" w:char="00A8"/>
      </w:r>
      <w:r>
        <w:rPr>
          <w:rFonts w:hint="eastAsia" w:ascii="仿宋_GB2312" w:hAnsi="仿宋_GB2312" w:eastAsia="仿宋_GB2312" w:cs="仿宋_GB2312"/>
          <w:color w:val="auto"/>
          <w:spacing w:val="-5"/>
          <w:sz w:val="30"/>
          <w:szCs w:val="30"/>
          <w:highlight w:val="none"/>
        </w:rPr>
        <w:t>景观设计；</w:t>
      </w:r>
      <w:r>
        <w:rPr>
          <w:rFonts w:hint="eastAsia" w:ascii="仿宋_GB2312" w:hAnsi="仿宋_GB2312" w:eastAsia="仿宋_GB2312" w:cs="仿宋_GB2312"/>
          <w:color w:val="auto"/>
          <w:spacing w:val="-5"/>
          <w:sz w:val="30"/>
          <w:szCs w:val="30"/>
          <w:highlight w:val="none"/>
        </w:rPr>
        <w:sym w:font="Wingdings" w:char="00A8"/>
      </w:r>
      <w:r>
        <w:rPr>
          <w:rFonts w:hint="eastAsia" w:ascii="仿宋_GB2312" w:hAnsi="仿宋_GB2312" w:eastAsia="仿宋_GB2312" w:cs="仿宋_GB2312"/>
          <w:color w:val="auto"/>
          <w:spacing w:val="-5"/>
          <w:sz w:val="30"/>
          <w:szCs w:val="30"/>
          <w:highlight w:val="none"/>
        </w:rPr>
        <w:t>智能化设计；</w:t>
      </w:r>
      <w:r>
        <w:rPr>
          <w:rFonts w:hint="eastAsia" w:ascii="仿宋_GB2312" w:hAnsi="仿宋_GB2312" w:eastAsia="仿宋_GB2312" w:cs="仿宋_GB2312"/>
          <w:color w:val="auto"/>
          <w:spacing w:val="-5"/>
          <w:sz w:val="30"/>
          <w:szCs w:val="30"/>
          <w:highlight w:val="none"/>
        </w:rPr>
        <w:sym w:font="Wingdings" w:char="00FE"/>
      </w:r>
      <w:r>
        <w:rPr>
          <w:rFonts w:hint="eastAsia" w:ascii="仿宋_GB2312" w:hAnsi="仿宋_GB2312" w:eastAsia="仿宋_GB2312" w:cs="仿宋_GB2312"/>
          <w:color w:val="auto"/>
          <w:spacing w:val="-5"/>
          <w:sz w:val="30"/>
          <w:szCs w:val="30"/>
          <w:highlight w:val="none"/>
        </w:rPr>
        <w:t>装修设计；</w:t>
      </w:r>
      <w:r>
        <w:rPr>
          <w:rFonts w:hint="eastAsia" w:ascii="仿宋_GB2312" w:hAnsi="仿宋_GB2312" w:eastAsia="仿宋_GB2312" w:cs="仿宋_GB2312"/>
          <w:color w:val="auto"/>
          <w:spacing w:val="-5"/>
          <w:sz w:val="30"/>
          <w:szCs w:val="30"/>
          <w:highlight w:val="none"/>
        </w:rPr>
        <w:sym w:font="Wingdings" w:char="00A8"/>
      </w:r>
      <w:r>
        <w:rPr>
          <w:rFonts w:hint="eastAsia" w:ascii="仿宋_GB2312" w:hAnsi="仿宋_GB2312" w:eastAsia="仿宋_GB2312" w:cs="仿宋_GB2312"/>
          <w:color w:val="auto"/>
          <w:spacing w:val="-5"/>
          <w:sz w:val="30"/>
          <w:szCs w:val="30"/>
          <w:highlight w:val="none"/>
        </w:rPr>
        <w:t>其他</w:t>
      </w:r>
      <w:r>
        <w:rPr>
          <w:rFonts w:ascii="仿宋_GB2312" w:hAnsi="仿宋_GB2312" w:eastAsia="仿宋_GB2312" w:cs="仿宋_GB2312"/>
          <w:color w:val="auto"/>
          <w:spacing w:val="-5"/>
          <w:sz w:val="30"/>
          <w:szCs w:val="30"/>
          <w:highlight w:val="none"/>
          <w:u w:val="single"/>
        </w:rPr>
        <w:t xml:space="preserve">         </w:t>
      </w:r>
      <w:r>
        <w:rPr>
          <w:rFonts w:hint="eastAsia" w:ascii="仿宋_GB2312" w:hAnsi="仿宋_GB2312" w:eastAsia="仿宋_GB2312" w:cs="仿宋_GB2312"/>
          <w:color w:val="auto"/>
          <w:spacing w:val="-5"/>
          <w:sz w:val="30"/>
          <w:szCs w:val="30"/>
          <w:highlight w:val="none"/>
        </w:rPr>
        <w:t>，具体的服务阶段及服务内容专用合同条款</w:t>
      </w:r>
      <w:r>
        <w:rPr>
          <w:rFonts w:hint="eastAsia" w:ascii="仿宋_GB2312" w:hAnsi="仿宋_GB2312" w:eastAsia="仿宋_GB2312" w:cs="仿宋_GB2312"/>
          <w:color w:val="auto"/>
          <w:spacing w:val="-5"/>
          <w:sz w:val="30"/>
          <w:szCs w:val="30"/>
          <w:highlight w:val="none"/>
          <w:u w:val="single"/>
        </w:rPr>
        <w:t>附件1</w:t>
      </w:r>
      <w:r>
        <w:rPr>
          <w:rFonts w:hint="eastAsia" w:ascii="仿宋_GB2312" w:hAnsi="仿宋_GB2312" w:eastAsia="仿宋_GB2312" w:cs="仿宋_GB2312"/>
          <w:color w:val="auto"/>
          <w:spacing w:val="-5"/>
          <w:sz w:val="30"/>
          <w:szCs w:val="30"/>
          <w:highlight w:val="none"/>
        </w:rPr>
        <w:t>。</w:t>
      </w:r>
    </w:p>
    <w:p w14:paraId="4C3544D6">
      <w:pPr>
        <w:pStyle w:val="79"/>
        <w:spacing w:after="0" w:line="360" w:lineRule="auto"/>
        <w:ind w:firstLine="0" w:firstLineChars="0"/>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3"/>
          <w:sz w:val="30"/>
          <w:szCs w:val="30"/>
          <w:highlight w:val="none"/>
        </w:rPr>
        <w:t>三、工程设计周期</w:t>
      </w:r>
    </w:p>
    <w:p w14:paraId="5A6D8029">
      <w:pPr>
        <w:pStyle w:val="79"/>
        <w:spacing w:after="0" w:line="360" w:lineRule="auto"/>
        <w:ind w:firstLine="580" w:firstLineChars="200"/>
        <w:rPr>
          <w:rFonts w:ascii="仿宋_GB2312" w:hAnsi="仿宋_GB2312" w:eastAsia="仿宋_GB2312" w:cs="仿宋_GB2312"/>
          <w:color w:val="auto"/>
          <w:spacing w:val="-5"/>
          <w:sz w:val="30"/>
          <w:szCs w:val="30"/>
          <w:highlight w:val="none"/>
        </w:rPr>
      </w:pPr>
      <w:r>
        <w:rPr>
          <w:rFonts w:hint="eastAsia" w:ascii="仿宋_GB2312" w:hAnsi="仿宋_GB2312" w:eastAsia="仿宋_GB2312" w:cs="仿宋_GB2312"/>
          <w:color w:val="auto"/>
          <w:spacing w:val="-5"/>
          <w:sz w:val="30"/>
          <w:szCs w:val="30"/>
          <w:highlight w:val="none"/>
        </w:rPr>
        <w:t>1.计划开始设计日期：</w:t>
      </w:r>
      <w:r>
        <w:rPr>
          <w:rFonts w:hint="eastAsia" w:ascii="仿宋_GB2312" w:hAnsi="仿宋_GB2312" w:eastAsia="仿宋_GB2312" w:cs="仿宋_GB2312"/>
          <w:color w:val="auto"/>
          <w:spacing w:val="-5"/>
          <w:sz w:val="30"/>
          <w:szCs w:val="30"/>
          <w:highlight w:val="none"/>
          <w:u w:val="single"/>
        </w:rPr>
        <w:t xml:space="preserve">    </w:t>
      </w:r>
      <w:r>
        <w:rPr>
          <w:rFonts w:hint="eastAsia" w:ascii="仿宋_GB2312" w:hAnsi="仿宋_GB2312" w:eastAsia="仿宋_GB2312" w:cs="仿宋_GB2312"/>
          <w:color w:val="auto"/>
          <w:spacing w:val="-5"/>
          <w:sz w:val="30"/>
          <w:szCs w:val="30"/>
          <w:highlight w:val="none"/>
        </w:rPr>
        <w:t>年</w:t>
      </w:r>
      <w:r>
        <w:rPr>
          <w:rFonts w:hint="eastAsia" w:ascii="仿宋_GB2312" w:hAnsi="仿宋_GB2312" w:eastAsia="仿宋_GB2312" w:cs="仿宋_GB2312"/>
          <w:color w:val="auto"/>
          <w:spacing w:val="-5"/>
          <w:sz w:val="30"/>
          <w:szCs w:val="30"/>
          <w:highlight w:val="none"/>
          <w:u w:val="single"/>
        </w:rPr>
        <w:t xml:space="preserve">   </w:t>
      </w:r>
      <w:r>
        <w:rPr>
          <w:rFonts w:hint="eastAsia" w:ascii="仿宋_GB2312" w:hAnsi="仿宋_GB2312" w:eastAsia="仿宋_GB2312" w:cs="仿宋_GB2312"/>
          <w:color w:val="auto"/>
          <w:spacing w:val="-5"/>
          <w:sz w:val="30"/>
          <w:szCs w:val="30"/>
          <w:highlight w:val="none"/>
        </w:rPr>
        <w:t>月</w:t>
      </w:r>
      <w:r>
        <w:rPr>
          <w:rFonts w:hint="eastAsia" w:ascii="仿宋_GB2312" w:hAnsi="仿宋_GB2312" w:eastAsia="仿宋_GB2312" w:cs="仿宋_GB2312"/>
          <w:color w:val="auto"/>
          <w:spacing w:val="-5"/>
          <w:sz w:val="30"/>
          <w:szCs w:val="30"/>
          <w:highlight w:val="none"/>
          <w:u w:val="single"/>
        </w:rPr>
        <w:t xml:space="preserve">    </w:t>
      </w:r>
      <w:r>
        <w:rPr>
          <w:rFonts w:hint="eastAsia" w:ascii="仿宋_GB2312" w:hAnsi="仿宋_GB2312" w:eastAsia="仿宋_GB2312" w:cs="仿宋_GB2312"/>
          <w:color w:val="auto"/>
          <w:spacing w:val="-5"/>
          <w:sz w:val="30"/>
          <w:szCs w:val="30"/>
          <w:highlight w:val="none"/>
        </w:rPr>
        <w:t>日。</w:t>
      </w:r>
    </w:p>
    <w:p w14:paraId="1B8BAE03">
      <w:pPr>
        <w:pStyle w:val="79"/>
        <w:spacing w:after="0" w:line="360" w:lineRule="auto"/>
        <w:ind w:firstLine="580" w:firstLineChars="200"/>
        <w:rPr>
          <w:rFonts w:ascii="仿宋_GB2312" w:hAnsi="仿宋_GB2312" w:eastAsia="仿宋_GB2312" w:cs="仿宋_GB2312"/>
          <w:color w:val="auto"/>
          <w:spacing w:val="-5"/>
          <w:sz w:val="30"/>
          <w:szCs w:val="30"/>
          <w:highlight w:val="none"/>
        </w:rPr>
      </w:pPr>
      <w:r>
        <w:rPr>
          <w:rFonts w:hint="eastAsia" w:ascii="仿宋_GB2312" w:hAnsi="仿宋_GB2312" w:eastAsia="仿宋_GB2312" w:cs="仿宋_GB2312"/>
          <w:color w:val="auto"/>
          <w:spacing w:val="-5"/>
          <w:sz w:val="30"/>
          <w:szCs w:val="30"/>
          <w:highlight w:val="none"/>
        </w:rPr>
        <w:t>2.计划完成设计日期：</w:t>
      </w:r>
      <w:r>
        <w:rPr>
          <w:rFonts w:hint="eastAsia" w:ascii="仿宋_GB2312" w:hAnsi="仿宋_GB2312" w:eastAsia="仿宋_GB2312" w:cs="仿宋_GB2312"/>
          <w:color w:val="auto"/>
          <w:spacing w:val="-5"/>
          <w:sz w:val="30"/>
          <w:szCs w:val="30"/>
          <w:highlight w:val="none"/>
          <w:u w:val="single"/>
        </w:rPr>
        <w:t xml:space="preserve">    </w:t>
      </w:r>
      <w:r>
        <w:rPr>
          <w:rFonts w:hint="eastAsia" w:ascii="仿宋_GB2312" w:hAnsi="仿宋_GB2312" w:eastAsia="仿宋_GB2312" w:cs="仿宋_GB2312"/>
          <w:color w:val="auto"/>
          <w:spacing w:val="-5"/>
          <w:sz w:val="30"/>
          <w:szCs w:val="30"/>
          <w:highlight w:val="none"/>
        </w:rPr>
        <w:t>年</w:t>
      </w:r>
      <w:r>
        <w:rPr>
          <w:rFonts w:hint="eastAsia" w:ascii="仿宋_GB2312" w:hAnsi="仿宋_GB2312" w:eastAsia="仿宋_GB2312" w:cs="仿宋_GB2312"/>
          <w:color w:val="auto"/>
          <w:spacing w:val="-5"/>
          <w:sz w:val="30"/>
          <w:szCs w:val="30"/>
          <w:highlight w:val="none"/>
          <w:u w:val="single"/>
        </w:rPr>
        <w:t xml:space="preserve">   </w:t>
      </w:r>
      <w:r>
        <w:rPr>
          <w:rFonts w:hint="eastAsia" w:ascii="仿宋_GB2312" w:hAnsi="仿宋_GB2312" w:eastAsia="仿宋_GB2312" w:cs="仿宋_GB2312"/>
          <w:color w:val="auto"/>
          <w:spacing w:val="-5"/>
          <w:sz w:val="30"/>
          <w:szCs w:val="30"/>
          <w:highlight w:val="none"/>
        </w:rPr>
        <w:t>月</w:t>
      </w:r>
      <w:r>
        <w:rPr>
          <w:rFonts w:hint="eastAsia" w:ascii="仿宋_GB2312" w:hAnsi="仿宋_GB2312" w:eastAsia="仿宋_GB2312" w:cs="仿宋_GB2312"/>
          <w:color w:val="auto"/>
          <w:spacing w:val="-5"/>
          <w:sz w:val="30"/>
          <w:szCs w:val="30"/>
          <w:highlight w:val="none"/>
          <w:u w:val="single"/>
        </w:rPr>
        <w:t xml:space="preserve">    </w:t>
      </w:r>
      <w:r>
        <w:rPr>
          <w:rFonts w:hint="eastAsia" w:ascii="仿宋_GB2312" w:hAnsi="仿宋_GB2312" w:eastAsia="仿宋_GB2312" w:cs="仿宋_GB2312"/>
          <w:color w:val="auto"/>
          <w:spacing w:val="-5"/>
          <w:sz w:val="30"/>
          <w:szCs w:val="30"/>
          <w:highlight w:val="none"/>
        </w:rPr>
        <w:t>日。</w:t>
      </w:r>
    </w:p>
    <w:p w14:paraId="14D2DA99">
      <w:pPr>
        <w:pStyle w:val="79"/>
        <w:spacing w:after="0" w:line="360" w:lineRule="auto"/>
        <w:ind w:firstLine="580" w:firstLineChars="200"/>
        <w:rPr>
          <w:rFonts w:ascii="仿宋_GB2312" w:hAnsi="仿宋_GB2312" w:eastAsia="仿宋_GB2312" w:cs="仿宋_GB2312"/>
          <w:color w:val="auto"/>
          <w:spacing w:val="-5"/>
          <w:sz w:val="30"/>
          <w:szCs w:val="30"/>
          <w:highlight w:val="none"/>
        </w:rPr>
      </w:pPr>
      <w:r>
        <w:rPr>
          <w:rFonts w:hint="eastAsia" w:ascii="仿宋_GB2312" w:hAnsi="仿宋_GB2312" w:eastAsia="仿宋_GB2312" w:cs="仿宋_GB2312"/>
          <w:color w:val="auto"/>
          <w:spacing w:val="-5"/>
          <w:sz w:val="30"/>
          <w:szCs w:val="30"/>
          <w:highlight w:val="none"/>
        </w:rPr>
        <w:t>3.实际设计开始日期按照发包人在《开始设计通知》中载明的开始设计日期为准。</w:t>
      </w:r>
    </w:p>
    <w:p w14:paraId="3B32DCE0">
      <w:pPr>
        <w:pStyle w:val="79"/>
        <w:spacing w:after="0" w:line="360" w:lineRule="auto"/>
        <w:ind w:firstLine="58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5"/>
          <w:sz w:val="30"/>
          <w:szCs w:val="30"/>
          <w:highlight w:val="none"/>
        </w:rPr>
        <w:t>4.具体设计周期以专用合同条款及其附件的约定为准。</w:t>
      </w:r>
    </w:p>
    <w:p w14:paraId="0A308D14">
      <w:pPr>
        <w:pStyle w:val="79"/>
        <w:spacing w:after="0"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4"/>
          <w:sz w:val="30"/>
          <w:szCs w:val="30"/>
          <w:highlight w:val="none"/>
        </w:rPr>
        <w:t>四、合同价格形式与签约合同价</w:t>
      </w:r>
    </w:p>
    <w:p w14:paraId="7B5F02FD">
      <w:pPr>
        <w:pStyle w:val="79"/>
        <w:spacing w:after="0" w:line="360" w:lineRule="auto"/>
        <w:ind w:firstLine="580" w:firstLineChars="200"/>
        <w:rPr>
          <w:rFonts w:ascii="仿宋_GB2312" w:hAnsi="仿宋_GB2312" w:eastAsia="仿宋_GB2312" w:cs="仿宋_GB2312"/>
          <w:color w:val="auto"/>
          <w:spacing w:val="-5"/>
          <w:sz w:val="30"/>
          <w:szCs w:val="30"/>
          <w:highlight w:val="none"/>
        </w:rPr>
      </w:pPr>
      <w:r>
        <w:rPr>
          <w:rFonts w:hint="eastAsia" w:ascii="仿宋_GB2312" w:hAnsi="仿宋_GB2312" w:eastAsia="仿宋_GB2312" w:cs="仿宋_GB2312"/>
          <w:color w:val="auto"/>
          <w:spacing w:val="-5"/>
          <w:sz w:val="30"/>
          <w:szCs w:val="30"/>
          <w:highlight w:val="none"/>
        </w:rPr>
        <w:t>1.合同价格形式</w:t>
      </w:r>
      <w:r>
        <w:rPr>
          <w:rFonts w:hint="eastAsia" w:ascii="仿宋_GB2312" w:hAnsi="仿宋_GB2312" w:eastAsia="仿宋_GB2312" w:cs="仿宋_GB2312"/>
          <w:color w:val="auto"/>
          <w:spacing w:val="-5"/>
          <w:sz w:val="30"/>
          <w:szCs w:val="30"/>
          <w:highlight w:val="none"/>
          <w:u w:val="none"/>
        </w:rPr>
        <w:t>：</w:t>
      </w:r>
      <w:r>
        <w:rPr>
          <w:rFonts w:hint="eastAsia" w:ascii="仿宋_GB2312" w:hAnsi="仿宋_GB2312" w:eastAsia="仿宋_GB2312" w:cs="仿宋_GB2312"/>
          <w:color w:val="auto"/>
          <w:spacing w:val="-5"/>
          <w:sz w:val="30"/>
          <w:szCs w:val="30"/>
          <w:highlight w:val="none"/>
          <w:u w:val="none"/>
        </w:rPr>
        <w:sym w:font="Wingdings" w:char="00FE"/>
      </w:r>
      <w:r>
        <w:rPr>
          <w:rFonts w:hint="eastAsia" w:ascii="仿宋_GB2312" w:hAnsi="仿宋_GB2312" w:eastAsia="仿宋_GB2312" w:cs="仿宋_GB2312"/>
          <w:color w:val="auto"/>
          <w:spacing w:val="-5"/>
          <w:sz w:val="30"/>
          <w:szCs w:val="30"/>
          <w:highlight w:val="none"/>
          <w:u w:val="none"/>
        </w:rPr>
        <w:t>固定单价：</w:t>
      </w:r>
      <w:r>
        <w:rPr>
          <w:rFonts w:hint="eastAsia" w:ascii="仿宋_GB2312" w:hAnsi="仿宋_GB2312" w:eastAsia="仿宋_GB2312" w:cs="仿宋_GB2312"/>
          <w:color w:val="auto"/>
          <w:spacing w:val="-5"/>
          <w:sz w:val="30"/>
          <w:szCs w:val="30"/>
          <w:highlight w:val="none"/>
          <w:u w:val="single"/>
        </w:rPr>
        <w:t xml:space="preserve">    </w:t>
      </w:r>
      <w:r>
        <w:rPr>
          <w:rFonts w:hint="eastAsia" w:ascii="仿宋_GB2312" w:hAnsi="仿宋_GB2312" w:eastAsia="仿宋_GB2312" w:cs="仿宋_GB2312"/>
          <w:color w:val="auto"/>
          <w:spacing w:val="-5"/>
          <w:sz w:val="30"/>
          <w:szCs w:val="30"/>
          <w:highlight w:val="none"/>
          <w:u w:val="none"/>
        </w:rPr>
        <w:t xml:space="preserve">元/㎡ </w:t>
      </w:r>
      <w:r>
        <w:rPr>
          <w:rFonts w:hint="eastAsia" w:ascii="仿宋_GB2312" w:hAnsi="仿宋_GB2312" w:eastAsia="仿宋_GB2312" w:cs="仿宋_GB2312"/>
          <w:color w:val="auto"/>
          <w:spacing w:val="-5"/>
          <w:sz w:val="30"/>
          <w:szCs w:val="30"/>
          <w:highlight w:val="none"/>
          <w:u w:val="none"/>
          <w:lang w:eastAsia="zh-CN"/>
        </w:rPr>
        <w:t>；</w:t>
      </w:r>
      <w:r>
        <w:rPr>
          <w:rFonts w:hint="eastAsia" w:ascii="仿宋_GB2312" w:hAnsi="仿宋_GB2312" w:eastAsia="仿宋_GB2312" w:cs="仿宋_GB2312"/>
          <w:color w:val="auto"/>
          <w:spacing w:val="-5"/>
          <w:sz w:val="30"/>
          <w:szCs w:val="30"/>
          <w:highlight w:val="none"/>
          <w:u w:val="none"/>
        </w:rPr>
        <w:sym w:font="Wingdings" w:char="00A8"/>
      </w:r>
      <w:r>
        <w:rPr>
          <w:rFonts w:hint="eastAsia" w:ascii="仿宋_GB2312" w:hAnsi="仿宋_GB2312" w:eastAsia="仿宋_GB2312" w:cs="仿宋_GB2312"/>
          <w:color w:val="auto"/>
          <w:spacing w:val="-5"/>
          <w:sz w:val="30"/>
          <w:szCs w:val="30"/>
          <w:highlight w:val="none"/>
          <w:u w:val="none"/>
        </w:rPr>
        <w:t>固定总价：</w:t>
      </w:r>
      <w:r>
        <w:rPr>
          <w:rFonts w:hint="eastAsia" w:ascii="仿宋_GB2312" w:hAnsi="仿宋_GB2312" w:eastAsia="仿宋_GB2312" w:cs="仿宋_GB2312"/>
          <w:color w:val="auto"/>
          <w:spacing w:val="-5"/>
          <w:sz w:val="30"/>
          <w:szCs w:val="30"/>
          <w:highlight w:val="none"/>
          <w:u w:val="single"/>
        </w:rPr>
        <w:t xml:space="preserve">    </w:t>
      </w:r>
      <w:r>
        <w:rPr>
          <w:rFonts w:hint="eastAsia" w:ascii="仿宋_GB2312" w:hAnsi="仿宋_GB2312" w:eastAsia="仿宋_GB2312" w:cs="仿宋_GB2312"/>
          <w:color w:val="auto"/>
          <w:spacing w:val="-5"/>
          <w:sz w:val="30"/>
          <w:szCs w:val="30"/>
          <w:highlight w:val="none"/>
          <w:u w:val="none"/>
        </w:rPr>
        <w:t xml:space="preserve">元   </w:t>
      </w:r>
      <w:r>
        <w:rPr>
          <w:rFonts w:hint="eastAsia" w:ascii="仿宋_GB2312" w:hAnsi="仿宋_GB2312" w:eastAsia="仿宋_GB2312" w:cs="仿宋_GB2312"/>
          <w:color w:val="auto"/>
          <w:spacing w:val="-5"/>
          <w:sz w:val="30"/>
          <w:szCs w:val="30"/>
          <w:highlight w:val="none"/>
          <w:u w:val="none"/>
        </w:rPr>
        <w:sym w:font="Wingdings" w:char="00A8"/>
      </w:r>
      <w:r>
        <w:rPr>
          <w:rFonts w:hint="eastAsia" w:ascii="仿宋_GB2312" w:hAnsi="仿宋_GB2312" w:eastAsia="仿宋_GB2312" w:cs="仿宋_GB2312"/>
          <w:color w:val="auto"/>
          <w:spacing w:val="-5"/>
          <w:sz w:val="30"/>
          <w:szCs w:val="30"/>
          <w:highlight w:val="none"/>
          <w:u w:val="none"/>
        </w:rPr>
        <w:t>固定单价+固定总价：</w:t>
      </w:r>
      <w:r>
        <w:rPr>
          <w:rFonts w:hint="eastAsia" w:ascii="仿宋_GB2312" w:hAnsi="仿宋_GB2312" w:eastAsia="仿宋_GB2312" w:cs="仿宋_GB2312"/>
          <w:color w:val="auto"/>
          <w:spacing w:val="-5"/>
          <w:sz w:val="30"/>
          <w:szCs w:val="30"/>
          <w:highlight w:val="none"/>
          <w:u w:val="single"/>
        </w:rPr>
        <w:t xml:space="preserve">     </w:t>
      </w:r>
      <w:r>
        <w:rPr>
          <w:rFonts w:hint="eastAsia" w:ascii="仿宋_GB2312" w:hAnsi="仿宋_GB2312" w:eastAsia="仿宋_GB2312" w:cs="仿宋_GB2312"/>
          <w:color w:val="auto"/>
          <w:spacing w:val="-5"/>
          <w:sz w:val="30"/>
          <w:szCs w:val="30"/>
          <w:highlight w:val="none"/>
          <w:u w:val="none"/>
        </w:rPr>
        <w:t>元</w:t>
      </w:r>
      <w:r>
        <w:rPr>
          <w:rFonts w:hint="eastAsia" w:ascii="仿宋_GB2312" w:hAnsi="仿宋_GB2312" w:eastAsia="仿宋_GB2312" w:cs="仿宋_GB2312"/>
          <w:color w:val="auto"/>
          <w:spacing w:val="-5"/>
          <w:sz w:val="30"/>
          <w:szCs w:val="30"/>
          <w:highlight w:val="none"/>
        </w:rPr>
        <w:t>。</w:t>
      </w:r>
    </w:p>
    <w:p w14:paraId="3F632B62">
      <w:pPr>
        <w:adjustRightInd w:val="0"/>
        <w:snapToGrid w:val="0"/>
        <w:spacing w:line="360" w:lineRule="auto"/>
        <w:ind w:firstLine="580" w:firstLineChars="200"/>
        <w:jc w:val="left"/>
        <w:rPr>
          <w:rFonts w:hint="eastAsia"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spacing w:val="-5"/>
          <w:sz w:val="30"/>
          <w:szCs w:val="30"/>
          <w:highlight w:val="none"/>
        </w:rPr>
        <w:t>2.</w:t>
      </w:r>
      <w:r>
        <w:rPr>
          <w:rFonts w:hint="eastAsia" w:ascii="Cambria" w:hAnsi="Cambria" w:eastAsia="仿宋_GB2312" w:cs="Cambria"/>
          <w:color w:val="auto"/>
          <w:spacing w:val="-5"/>
          <w:sz w:val="30"/>
          <w:szCs w:val="30"/>
          <w:highlight w:val="none"/>
        </w:rPr>
        <w:t>签约合同价</w:t>
      </w:r>
      <w:r>
        <w:rPr>
          <w:rFonts w:hint="eastAsia" w:ascii="仿宋_GB2312" w:hAnsi="仿宋_GB2312" w:eastAsia="仿宋_GB2312" w:cs="仿宋_GB2312"/>
          <w:color w:val="auto"/>
          <w:spacing w:val="-5"/>
          <w:sz w:val="30"/>
          <w:szCs w:val="30"/>
          <w:highlight w:val="none"/>
        </w:rPr>
        <w:t>：</w:t>
      </w:r>
      <w:r>
        <w:rPr>
          <w:rFonts w:hint="eastAsia" w:ascii="仿宋_GB2312" w:hAnsi="仿宋_GB2312" w:eastAsia="仿宋_GB2312" w:cs="仿宋_GB2312"/>
          <w:color w:val="auto"/>
          <w:kern w:val="0"/>
          <w:sz w:val="30"/>
          <w:szCs w:val="30"/>
          <w:highlight w:val="none"/>
        </w:rPr>
        <w:t>不含税价格为：人民币（大写）</w:t>
      </w:r>
      <w:r>
        <w:rPr>
          <w:rFonts w:hint="eastAsia" w:ascii="仿宋_GB2312" w:hAnsi="仿宋_GB2312" w:eastAsia="仿宋_GB2312" w:cs="仿宋_GB2312"/>
          <w:color w:val="auto"/>
          <w:kern w:val="0"/>
          <w:sz w:val="30"/>
          <w:szCs w:val="30"/>
          <w:highlight w:val="none"/>
          <w:u w:val="single"/>
        </w:rPr>
        <w:t xml:space="preserve">     </w:t>
      </w:r>
      <w:r>
        <w:rPr>
          <w:rFonts w:hint="eastAsia" w:ascii="仿宋_GB2312" w:hAnsi="仿宋_GB2312" w:eastAsia="仿宋_GB2312" w:cs="仿宋_GB2312"/>
          <w:color w:val="auto"/>
          <w:kern w:val="0"/>
          <w:sz w:val="30"/>
          <w:szCs w:val="30"/>
          <w:highlight w:val="none"/>
        </w:rPr>
        <w:t xml:space="preserve">（¥ </w:t>
      </w:r>
      <w:r>
        <w:rPr>
          <w:rFonts w:hint="eastAsia" w:ascii="仿宋_GB2312" w:hAnsi="仿宋_GB2312" w:eastAsia="仿宋_GB2312" w:cs="仿宋_GB2312"/>
          <w:color w:val="auto"/>
          <w:kern w:val="0"/>
          <w:sz w:val="30"/>
          <w:szCs w:val="30"/>
          <w:highlight w:val="none"/>
          <w:u w:val="single"/>
        </w:rPr>
        <w:t xml:space="preserve">     </w:t>
      </w:r>
      <w:r>
        <w:rPr>
          <w:rFonts w:hint="eastAsia" w:ascii="仿宋_GB2312" w:hAnsi="仿宋_GB2312" w:eastAsia="仿宋_GB2312" w:cs="仿宋_GB2312"/>
          <w:color w:val="auto"/>
          <w:kern w:val="0"/>
          <w:sz w:val="30"/>
          <w:szCs w:val="30"/>
          <w:highlight w:val="none"/>
        </w:rPr>
        <w:t>），增值税税额为：人民币（大写）</w:t>
      </w:r>
      <w:r>
        <w:rPr>
          <w:rFonts w:hint="eastAsia" w:ascii="仿宋_GB2312" w:hAnsi="仿宋_GB2312" w:eastAsia="仿宋_GB2312" w:cs="仿宋_GB2312"/>
          <w:color w:val="auto"/>
          <w:kern w:val="0"/>
          <w:sz w:val="30"/>
          <w:szCs w:val="30"/>
          <w:highlight w:val="none"/>
          <w:u w:val="single"/>
        </w:rPr>
        <w:t xml:space="preserve">            </w:t>
      </w:r>
      <w:r>
        <w:rPr>
          <w:rFonts w:hint="eastAsia" w:ascii="仿宋_GB2312" w:hAnsi="仿宋_GB2312" w:eastAsia="仿宋_GB2312" w:cs="仿宋_GB2312"/>
          <w:color w:val="auto"/>
          <w:kern w:val="0"/>
          <w:sz w:val="30"/>
          <w:szCs w:val="30"/>
          <w:highlight w:val="none"/>
        </w:rPr>
        <w:t xml:space="preserve">（¥ </w:t>
      </w:r>
      <w:r>
        <w:rPr>
          <w:rFonts w:hint="eastAsia" w:ascii="仿宋_GB2312" w:hAnsi="仿宋_GB2312" w:eastAsia="仿宋_GB2312" w:cs="仿宋_GB2312"/>
          <w:color w:val="auto"/>
          <w:kern w:val="0"/>
          <w:sz w:val="30"/>
          <w:szCs w:val="30"/>
          <w:highlight w:val="none"/>
          <w:u w:val="single"/>
        </w:rPr>
        <w:t xml:space="preserve">     </w:t>
      </w:r>
      <w:r>
        <w:rPr>
          <w:rFonts w:hint="eastAsia" w:ascii="仿宋_GB2312" w:hAnsi="仿宋_GB2312" w:eastAsia="仿宋_GB2312" w:cs="仿宋_GB2312"/>
          <w:color w:val="auto"/>
          <w:kern w:val="0"/>
          <w:sz w:val="30"/>
          <w:szCs w:val="30"/>
          <w:highlight w:val="none"/>
        </w:rPr>
        <w:t>），税率：</w:t>
      </w:r>
      <w:r>
        <w:rPr>
          <w:rFonts w:hint="eastAsia" w:ascii="仿宋_GB2312" w:hAnsi="仿宋_GB2312" w:eastAsia="仿宋_GB2312" w:cs="仿宋_GB2312"/>
          <w:color w:val="auto"/>
          <w:kern w:val="0"/>
          <w:sz w:val="30"/>
          <w:szCs w:val="30"/>
          <w:highlight w:val="none"/>
          <w:u w:val="single"/>
        </w:rPr>
        <w:t xml:space="preserve">       </w:t>
      </w:r>
      <w:r>
        <w:rPr>
          <w:rFonts w:hint="eastAsia" w:ascii="仿宋_GB2312" w:hAnsi="仿宋_GB2312" w:eastAsia="仿宋_GB2312" w:cs="仿宋_GB2312"/>
          <w:color w:val="auto"/>
          <w:kern w:val="0"/>
          <w:sz w:val="30"/>
          <w:szCs w:val="30"/>
          <w:highlight w:val="none"/>
        </w:rPr>
        <w:t>，价税合计为人民币（大写）</w:t>
      </w:r>
      <w:r>
        <w:rPr>
          <w:rFonts w:hint="eastAsia" w:ascii="仿宋_GB2312" w:hAnsi="仿宋_GB2312" w:eastAsia="仿宋_GB2312" w:cs="仿宋_GB2312"/>
          <w:color w:val="auto"/>
          <w:kern w:val="0"/>
          <w:sz w:val="30"/>
          <w:szCs w:val="30"/>
          <w:highlight w:val="none"/>
          <w:u w:val="single"/>
        </w:rPr>
        <w:t xml:space="preserve">      </w:t>
      </w:r>
      <w:r>
        <w:rPr>
          <w:rFonts w:hint="eastAsia" w:ascii="仿宋_GB2312" w:hAnsi="仿宋_GB2312" w:eastAsia="仿宋_GB2312" w:cs="仿宋_GB2312"/>
          <w:color w:val="auto"/>
          <w:kern w:val="0"/>
          <w:sz w:val="30"/>
          <w:szCs w:val="30"/>
          <w:highlight w:val="none"/>
        </w:rPr>
        <w:t xml:space="preserve">（¥ </w:t>
      </w:r>
      <w:r>
        <w:rPr>
          <w:rFonts w:hint="eastAsia" w:ascii="仿宋_GB2312" w:hAnsi="仿宋_GB2312" w:eastAsia="仿宋_GB2312" w:cs="仿宋_GB2312"/>
          <w:color w:val="auto"/>
          <w:kern w:val="0"/>
          <w:sz w:val="30"/>
          <w:szCs w:val="30"/>
          <w:highlight w:val="none"/>
          <w:u w:val="single"/>
        </w:rPr>
        <w:t xml:space="preserve">     </w:t>
      </w:r>
      <w:r>
        <w:rPr>
          <w:rFonts w:hint="eastAsia" w:ascii="仿宋_GB2312" w:hAnsi="仿宋_GB2312" w:eastAsia="仿宋_GB2312" w:cs="仿宋_GB2312"/>
          <w:color w:val="auto"/>
          <w:kern w:val="0"/>
          <w:sz w:val="30"/>
          <w:szCs w:val="30"/>
          <w:highlight w:val="none"/>
        </w:rPr>
        <w:t>）。</w:t>
      </w:r>
    </w:p>
    <w:p w14:paraId="0F94787E">
      <w:pPr>
        <w:pStyle w:val="83"/>
        <w:spacing w:line="440" w:lineRule="exact"/>
        <w:jc w:val="both"/>
        <w:rPr>
          <w:rStyle w:val="38"/>
          <w:rFonts w:hint="eastAsia" w:ascii="宋体" w:hAnsi="宋体" w:eastAsia="宋体" w:cs="Times New Roman"/>
          <w:color w:val="auto"/>
          <w:szCs w:val="21"/>
          <w:highlight w:val="none"/>
        </w:rPr>
      </w:pPr>
      <w:r>
        <w:rPr>
          <w:rFonts w:hint="eastAsia" w:ascii="仿宋_GB2312" w:hAnsi="仿宋_GB2312" w:eastAsia="仿宋_GB2312" w:cs="仿宋_GB2312"/>
          <w:color w:val="auto"/>
          <w:kern w:val="0"/>
          <w:sz w:val="30"/>
          <w:szCs w:val="30"/>
          <w:highlight w:val="none"/>
          <w:lang w:val="en-US" w:eastAsia="zh-CN"/>
        </w:rPr>
        <w:t>附：设计费用清单</w:t>
      </w:r>
    </w:p>
    <w:p w14:paraId="34CCE8D7">
      <w:pPr>
        <w:pStyle w:val="83"/>
        <w:spacing w:line="440" w:lineRule="exact"/>
        <w:jc w:val="right"/>
        <w:rPr>
          <w:rStyle w:val="38"/>
          <w:rFonts w:hint="eastAsia" w:ascii="仿宋_GB2312" w:hAnsi="仿宋_GB2312" w:eastAsia="仿宋_GB2312" w:cs="仿宋_GB2312"/>
          <w:color w:val="auto"/>
          <w:sz w:val="30"/>
          <w:szCs w:val="30"/>
          <w:highlight w:val="none"/>
        </w:rPr>
      </w:pPr>
      <w:r>
        <w:rPr>
          <w:rStyle w:val="38"/>
          <w:rFonts w:hint="eastAsia" w:ascii="仿宋_GB2312" w:hAnsi="仿宋_GB2312" w:eastAsia="仿宋_GB2312" w:cs="仿宋_GB2312"/>
          <w:color w:val="auto"/>
          <w:sz w:val="30"/>
          <w:szCs w:val="30"/>
          <w:highlight w:val="none"/>
        </w:rPr>
        <w:t>单位：人民币元</w:t>
      </w:r>
    </w:p>
    <w:tbl>
      <w:tblPr>
        <w:tblStyle w:val="36"/>
        <w:tblW w:w="5343" w:type="pct"/>
        <w:tblInd w:w="-380" w:type="dxa"/>
        <w:tblLayout w:type="fixed"/>
        <w:tblCellMar>
          <w:top w:w="0" w:type="dxa"/>
          <w:left w:w="108" w:type="dxa"/>
          <w:bottom w:w="0" w:type="dxa"/>
          <w:right w:w="108" w:type="dxa"/>
        </w:tblCellMar>
      </w:tblPr>
      <w:tblGrid>
        <w:gridCol w:w="727"/>
        <w:gridCol w:w="2341"/>
        <w:gridCol w:w="1470"/>
        <w:gridCol w:w="1495"/>
        <w:gridCol w:w="882"/>
        <w:gridCol w:w="1049"/>
        <w:gridCol w:w="1486"/>
      </w:tblGrid>
      <w:tr w14:paraId="0983AEE0">
        <w:tblPrEx>
          <w:tblCellMar>
            <w:top w:w="0" w:type="dxa"/>
            <w:left w:w="108" w:type="dxa"/>
            <w:bottom w:w="0" w:type="dxa"/>
            <w:right w:w="108" w:type="dxa"/>
          </w:tblCellMar>
        </w:tblPrEx>
        <w:trPr>
          <w:trHeight w:val="567" w:hRule="atLeast"/>
          <w:tblHeader/>
        </w:trPr>
        <w:tc>
          <w:tcPr>
            <w:tcW w:w="384" w:type="pct"/>
            <w:tcBorders>
              <w:top w:val="single" w:color="000000" w:sz="4" w:space="0"/>
              <w:left w:val="single" w:color="000000" w:sz="8" w:space="0"/>
              <w:bottom w:val="single" w:color="000000" w:sz="4" w:space="0"/>
              <w:right w:val="single" w:color="000000" w:sz="4" w:space="0"/>
            </w:tcBorders>
            <w:noWrap/>
            <w:vAlign w:val="center"/>
          </w:tcPr>
          <w:p w14:paraId="07FF6A4D">
            <w:pPr>
              <w:pStyle w:val="84"/>
              <w:snapToGrid w:val="0"/>
              <w:jc w:val="center"/>
              <w:rPr>
                <w:rStyle w:val="38"/>
                <w:rFonts w:hint="eastAsia" w:ascii="仿宋_GB2312" w:hAnsi="仿宋_GB2312" w:eastAsia="仿宋_GB2312" w:cs="仿宋_GB2312"/>
                <w:b/>
                <w:bCs/>
                <w:color w:val="auto"/>
                <w:sz w:val="30"/>
                <w:szCs w:val="30"/>
                <w:highlight w:val="none"/>
              </w:rPr>
            </w:pPr>
            <w:r>
              <w:rPr>
                <w:rStyle w:val="38"/>
                <w:rFonts w:hint="eastAsia" w:ascii="仿宋_GB2312" w:hAnsi="仿宋_GB2312" w:eastAsia="仿宋_GB2312" w:cs="仿宋_GB2312"/>
                <w:b/>
                <w:bCs/>
                <w:color w:val="auto"/>
                <w:sz w:val="30"/>
                <w:szCs w:val="30"/>
                <w:highlight w:val="none"/>
              </w:rPr>
              <w:t>序号</w:t>
            </w:r>
          </w:p>
        </w:tc>
        <w:tc>
          <w:tcPr>
            <w:tcW w:w="1238" w:type="pct"/>
            <w:tcBorders>
              <w:top w:val="single" w:color="000000" w:sz="4" w:space="0"/>
              <w:left w:val="single" w:color="000000" w:sz="4" w:space="0"/>
              <w:bottom w:val="single" w:color="000000" w:sz="4" w:space="0"/>
              <w:right w:val="single" w:color="000000" w:sz="4" w:space="0"/>
            </w:tcBorders>
            <w:noWrap/>
            <w:vAlign w:val="center"/>
          </w:tcPr>
          <w:p w14:paraId="2D9AE58D">
            <w:pPr>
              <w:pStyle w:val="84"/>
              <w:widowControl/>
              <w:snapToGrid w:val="0"/>
              <w:jc w:val="center"/>
              <w:textAlignment w:val="center"/>
              <w:rPr>
                <w:rStyle w:val="38"/>
                <w:rFonts w:hint="eastAsia" w:ascii="仿宋_GB2312" w:hAnsi="仿宋_GB2312" w:eastAsia="仿宋_GB2312" w:cs="仿宋_GB2312"/>
                <w:b/>
                <w:bCs/>
                <w:color w:val="auto"/>
                <w:sz w:val="30"/>
                <w:szCs w:val="30"/>
                <w:highlight w:val="none"/>
              </w:rPr>
            </w:pPr>
            <w:r>
              <w:rPr>
                <w:rStyle w:val="38"/>
                <w:rFonts w:hint="eastAsia" w:ascii="仿宋_GB2312" w:hAnsi="仿宋_GB2312" w:eastAsia="仿宋_GB2312" w:cs="仿宋_GB2312"/>
                <w:b/>
                <w:bCs/>
                <w:color w:val="auto"/>
                <w:kern w:val="0"/>
                <w:sz w:val="30"/>
                <w:szCs w:val="30"/>
                <w:highlight w:val="none"/>
                <w:lang w:bidi="ar"/>
              </w:rPr>
              <w:t>分项费用名称</w:t>
            </w:r>
          </w:p>
        </w:tc>
        <w:tc>
          <w:tcPr>
            <w:tcW w:w="777" w:type="pct"/>
            <w:tcBorders>
              <w:top w:val="single" w:color="000000" w:sz="4" w:space="0"/>
              <w:left w:val="single" w:color="000000" w:sz="4" w:space="0"/>
              <w:bottom w:val="single" w:color="000000" w:sz="4" w:space="0"/>
              <w:right w:val="single" w:color="000000" w:sz="4" w:space="0"/>
            </w:tcBorders>
            <w:noWrap w:val="0"/>
            <w:vAlign w:val="center"/>
          </w:tcPr>
          <w:p w14:paraId="30295DBD">
            <w:pPr>
              <w:pStyle w:val="84"/>
              <w:widowControl/>
              <w:snapToGrid w:val="0"/>
              <w:jc w:val="center"/>
              <w:textAlignment w:val="center"/>
              <w:rPr>
                <w:rFonts w:hint="eastAsia" w:ascii="仿宋_GB2312" w:hAnsi="仿宋_GB2312" w:eastAsia="仿宋_GB2312" w:cs="仿宋_GB2312"/>
                <w:b/>
                <w:bCs/>
                <w:color w:val="auto"/>
                <w:kern w:val="0"/>
                <w:sz w:val="30"/>
                <w:szCs w:val="30"/>
                <w:highlight w:val="none"/>
                <w:lang w:val="en-US" w:eastAsia="zh-CN" w:bidi="ar"/>
              </w:rPr>
            </w:pPr>
            <w:r>
              <w:rPr>
                <w:rStyle w:val="38"/>
                <w:rFonts w:hint="eastAsia" w:ascii="仿宋_GB2312" w:hAnsi="仿宋_GB2312" w:eastAsia="仿宋_GB2312" w:cs="仿宋_GB2312"/>
                <w:b/>
                <w:bCs/>
                <w:color w:val="auto"/>
                <w:kern w:val="0"/>
                <w:sz w:val="30"/>
                <w:szCs w:val="30"/>
                <w:highlight w:val="none"/>
                <w:lang w:bidi="ar"/>
              </w:rPr>
              <w:t>数量</w:t>
            </w:r>
          </w:p>
        </w:tc>
        <w:tc>
          <w:tcPr>
            <w:tcW w:w="791" w:type="pct"/>
            <w:tcBorders>
              <w:top w:val="single" w:color="000000" w:sz="4" w:space="0"/>
              <w:left w:val="single" w:color="000000" w:sz="4" w:space="0"/>
              <w:bottom w:val="single" w:color="auto" w:sz="4" w:space="0"/>
              <w:right w:val="single" w:color="000000" w:sz="4" w:space="0"/>
            </w:tcBorders>
            <w:noWrap/>
            <w:vAlign w:val="center"/>
          </w:tcPr>
          <w:p w14:paraId="3D063D99">
            <w:pPr>
              <w:pStyle w:val="84"/>
              <w:widowControl/>
              <w:snapToGrid w:val="0"/>
              <w:jc w:val="center"/>
              <w:textAlignment w:val="center"/>
              <w:rPr>
                <w:rFonts w:hint="eastAsia" w:ascii="仿宋_GB2312" w:hAnsi="仿宋_GB2312" w:eastAsia="仿宋_GB2312" w:cs="仿宋_GB2312"/>
                <w:b/>
                <w:bCs/>
                <w:color w:val="auto"/>
                <w:kern w:val="0"/>
                <w:sz w:val="30"/>
                <w:szCs w:val="30"/>
                <w:highlight w:val="none"/>
                <w:lang w:val="en-US" w:eastAsia="zh-CN" w:bidi="ar"/>
              </w:rPr>
            </w:pPr>
            <w:r>
              <w:rPr>
                <w:rStyle w:val="38"/>
                <w:rFonts w:hint="eastAsia" w:ascii="仿宋_GB2312" w:hAnsi="仿宋_GB2312" w:eastAsia="仿宋_GB2312" w:cs="仿宋_GB2312"/>
                <w:b/>
                <w:bCs/>
                <w:color w:val="auto"/>
                <w:kern w:val="0"/>
                <w:sz w:val="30"/>
                <w:szCs w:val="30"/>
                <w:highlight w:val="none"/>
                <w:lang w:bidi="ar"/>
              </w:rPr>
              <w:t>单位</w:t>
            </w:r>
          </w:p>
        </w:tc>
        <w:tc>
          <w:tcPr>
            <w:tcW w:w="466" w:type="pct"/>
            <w:tcBorders>
              <w:top w:val="single" w:color="000000" w:sz="4" w:space="0"/>
              <w:left w:val="single" w:color="000000" w:sz="4" w:space="0"/>
              <w:bottom w:val="single" w:color="auto" w:sz="4" w:space="0"/>
              <w:right w:val="single" w:color="000000" w:sz="4" w:space="0"/>
            </w:tcBorders>
            <w:noWrap/>
            <w:vAlign w:val="center"/>
          </w:tcPr>
          <w:p w14:paraId="29E8139A">
            <w:pPr>
              <w:pStyle w:val="84"/>
              <w:widowControl/>
              <w:snapToGrid w:val="0"/>
              <w:jc w:val="center"/>
              <w:textAlignment w:val="center"/>
              <w:rPr>
                <w:rFonts w:hint="eastAsia" w:ascii="仿宋_GB2312" w:hAnsi="仿宋_GB2312" w:eastAsia="仿宋_GB2312" w:cs="仿宋_GB2312"/>
                <w:b/>
                <w:bCs/>
                <w:color w:val="auto"/>
                <w:kern w:val="0"/>
                <w:sz w:val="30"/>
                <w:szCs w:val="30"/>
                <w:highlight w:val="none"/>
                <w:lang w:val="en-US" w:eastAsia="zh-CN" w:bidi="ar"/>
              </w:rPr>
            </w:pPr>
            <w:r>
              <w:rPr>
                <w:rStyle w:val="38"/>
                <w:rFonts w:hint="eastAsia" w:ascii="仿宋_GB2312" w:hAnsi="仿宋_GB2312" w:eastAsia="仿宋_GB2312" w:cs="仿宋_GB2312"/>
                <w:b/>
                <w:bCs/>
                <w:color w:val="auto"/>
                <w:kern w:val="0"/>
                <w:sz w:val="30"/>
                <w:szCs w:val="30"/>
                <w:highlight w:val="none"/>
                <w:lang w:val="en-US" w:eastAsia="zh-CN" w:bidi="ar"/>
              </w:rPr>
              <w:t>综合</w:t>
            </w:r>
            <w:r>
              <w:rPr>
                <w:rStyle w:val="38"/>
                <w:rFonts w:hint="eastAsia" w:ascii="仿宋_GB2312" w:hAnsi="仿宋_GB2312" w:eastAsia="仿宋_GB2312" w:cs="仿宋_GB2312"/>
                <w:b/>
                <w:bCs/>
                <w:color w:val="auto"/>
                <w:kern w:val="0"/>
                <w:sz w:val="30"/>
                <w:szCs w:val="30"/>
                <w:highlight w:val="none"/>
                <w:lang w:bidi="ar"/>
              </w:rPr>
              <w:t>单价</w:t>
            </w:r>
          </w:p>
        </w:tc>
        <w:tc>
          <w:tcPr>
            <w:tcW w:w="555" w:type="pct"/>
            <w:tcBorders>
              <w:top w:val="single" w:color="000000" w:sz="4" w:space="0"/>
              <w:left w:val="single" w:color="000000" w:sz="4" w:space="0"/>
              <w:bottom w:val="single" w:color="000000" w:sz="4" w:space="0"/>
              <w:right w:val="single" w:color="000000" w:sz="4" w:space="0"/>
            </w:tcBorders>
            <w:noWrap/>
            <w:vAlign w:val="center"/>
          </w:tcPr>
          <w:p w14:paraId="3CB70DD7">
            <w:pPr>
              <w:pStyle w:val="84"/>
              <w:widowControl/>
              <w:snapToGrid w:val="0"/>
              <w:jc w:val="center"/>
              <w:textAlignment w:val="center"/>
              <w:rPr>
                <w:rStyle w:val="38"/>
                <w:rFonts w:hint="eastAsia" w:ascii="仿宋_GB2312" w:hAnsi="仿宋_GB2312" w:eastAsia="仿宋_GB2312" w:cs="仿宋_GB2312"/>
                <w:b/>
                <w:bCs/>
                <w:color w:val="auto"/>
                <w:kern w:val="0"/>
                <w:sz w:val="30"/>
                <w:szCs w:val="30"/>
                <w:highlight w:val="none"/>
                <w:lang w:val="en-US" w:eastAsia="zh-CN" w:bidi="ar"/>
              </w:rPr>
            </w:pPr>
            <w:r>
              <w:rPr>
                <w:rStyle w:val="38"/>
                <w:rFonts w:hint="eastAsia" w:ascii="仿宋_GB2312" w:hAnsi="仿宋_GB2312" w:eastAsia="仿宋_GB2312" w:cs="仿宋_GB2312"/>
                <w:b/>
                <w:bCs/>
                <w:color w:val="auto"/>
                <w:kern w:val="0"/>
                <w:sz w:val="30"/>
                <w:szCs w:val="30"/>
                <w:highlight w:val="none"/>
                <w:lang w:val="en-US" w:eastAsia="zh-CN" w:bidi="ar"/>
              </w:rPr>
              <w:t>税率</w:t>
            </w:r>
          </w:p>
        </w:tc>
        <w:tc>
          <w:tcPr>
            <w:tcW w:w="785" w:type="pct"/>
            <w:tcBorders>
              <w:top w:val="single" w:color="000000" w:sz="4" w:space="0"/>
              <w:left w:val="single" w:color="000000" w:sz="4" w:space="0"/>
              <w:bottom w:val="single" w:color="000000" w:sz="4" w:space="0"/>
              <w:right w:val="single" w:color="000000" w:sz="4" w:space="0"/>
            </w:tcBorders>
            <w:noWrap/>
            <w:vAlign w:val="center"/>
          </w:tcPr>
          <w:p w14:paraId="73CC57F2">
            <w:pPr>
              <w:pStyle w:val="84"/>
              <w:widowControl/>
              <w:snapToGrid w:val="0"/>
              <w:jc w:val="center"/>
              <w:textAlignment w:val="center"/>
              <w:rPr>
                <w:rStyle w:val="38"/>
                <w:rFonts w:hint="eastAsia" w:ascii="仿宋_GB2312" w:hAnsi="仿宋_GB2312" w:eastAsia="仿宋_GB2312" w:cs="仿宋_GB2312"/>
                <w:b/>
                <w:bCs/>
                <w:color w:val="auto"/>
                <w:kern w:val="0"/>
                <w:sz w:val="30"/>
                <w:szCs w:val="30"/>
                <w:highlight w:val="none"/>
                <w:lang w:bidi="ar"/>
              </w:rPr>
            </w:pPr>
            <w:r>
              <w:rPr>
                <w:rStyle w:val="38"/>
                <w:rFonts w:hint="eastAsia" w:ascii="仿宋_GB2312" w:hAnsi="仿宋_GB2312" w:eastAsia="仿宋_GB2312" w:cs="仿宋_GB2312"/>
                <w:b/>
                <w:bCs/>
                <w:color w:val="auto"/>
                <w:kern w:val="0"/>
                <w:sz w:val="30"/>
                <w:szCs w:val="30"/>
                <w:highlight w:val="none"/>
                <w:lang w:val="en-US" w:eastAsia="zh-CN" w:bidi="ar"/>
              </w:rPr>
              <w:t>含税</w:t>
            </w:r>
            <w:r>
              <w:rPr>
                <w:rStyle w:val="38"/>
                <w:rFonts w:hint="eastAsia" w:ascii="仿宋_GB2312" w:hAnsi="仿宋_GB2312" w:eastAsia="仿宋_GB2312" w:cs="仿宋_GB2312"/>
                <w:b/>
                <w:bCs/>
                <w:color w:val="auto"/>
                <w:kern w:val="0"/>
                <w:sz w:val="30"/>
                <w:szCs w:val="30"/>
                <w:highlight w:val="none"/>
                <w:lang w:bidi="ar"/>
              </w:rPr>
              <w:t>合价</w:t>
            </w:r>
          </w:p>
        </w:tc>
      </w:tr>
      <w:tr w14:paraId="218FA270">
        <w:tblPrEx>
          <w:tblCellMar>
            <w:top w:w="0" w:type="dxa"/>
            <w:left w:w="108" w:type="dxa"/>
            <w:bottom w:w="0" w:type="dxa"/>
            <w:right w:w="108" w:type="dxa"/>
          </w:tblCellMar>
        </w:tblPrEx>
        <w:trPr>
          <w:trHeight w:val="567" w:hRule="atLeast"/>
        </w:trPr>
        <w:tc>
          <w:tcPr>
            <w:tcW w:w="384" w:type="pct"/>
            <w:tcBorders>
              <w:top w:val="single" w:color="000000" w:sz="4" w:space="0"/>
              <w:left w:val="single" w:color="000000" w:sz="8" w:space="0"/>
              <w:bottom w:val="single" w:color="000000" w:sz="4" w:space="0"/>
              <w:right w:val="single" w:color="000000" w:sz="4" w:space="0"/>
            </w:tcBorders>
            <w:noWrap/>
            <w:vAlign w:val="center"/>
          </w:tcPr>
          <w:p w14:paraId="15C5CED1">
            <w:pPr>
              <w:pStyle w:val="88"/>
              <w:keepNext w:val="0"/>
              <w:keepLines w:val="0"/>
              <w:widowControl/>
              <w:suppressLineNumbers w:val="0"/>
              <w:jc w:val="center"/>
              <w:textAlignment w:val="center"/>
              <w:rPr>
                <w:rStyle w:val="38"/>
                <w:rFonts w:hint="eastAsia" w:ascii="仿宋_GB2312" w:hAnsi="仿宋_GB2312" w:eastAsia="仿宋_GB2312" w:cs="仿宋_GB2312"/>
                <w:i w:val="0"/>
                <w:iCs w:val="0"/>
                <w:color w:val="auto"/>
                <w:kern w:val="0"/>
                <w:sz w:val="30"/>
                <w:szCs w:val="30"/>
                <w:highlight w:val="none"/>
                <w:u w:val="none"/>
                <w:lang w:val="en-US" w:eastAsia="zh-CN" w:bidi="ar"/>
              </w:rPr>
            </w:pPr>
            <w:r>
              <w:rPr>
                <w:rStyle w:val="38"/>
                <w:rFonts w:hint="eastAsia" w:ascii="仿宋_GB2312" w:hAnsi="仿宋_GB2312" w:eastAsia="仿宋_GB2312" w:cs="仿宋_GB2312"/>
                <w:i w:val="0"/>
                <w:iCs w:val="0"/>
                <w:color w:val="auto"/>
                <w:kern w:val="0"/>
                <w:sz w:val="30"/>
                <w:szCs w:val="30"/>
                <w:highlight w:val="none"/>
                <w:u w:val="none"/>
                <w:lang w:val="en-US" w:eastAsia="zh-CN" w:bidi="ar"/>
              </w:rPr>
              <w:t>1</w:t>
            </w:r>
          </w:p>
        </w:tc>
        <w:tc>
          <w:tcPr>
            <w:tcW w:w="1238" w:type="pct"/>
            <w:tcBorders>
              <w:top w:val="single" w:color="000000" w:sz="4" w:space="0"/>
              <w:left w:val="single" w:color="000000" w:sz="4" w:space="0"/>
              <w:bottom w:val="single" w:color="000000" w:sz="4" w:space="0"/>
              <w:right w:val="single" w:color="000000" w:sz="4" w:space="0"/>
            </w:tcBorders>
            <w:noWrap/>
            <w:vAlign w:val="center"/>
          </w:tcPr>
          <w:p w14:paraId="31E3EB3F">
            <w:pPr>
              <w:pStyle w:val="88"/>
              <w:keepNext w:val="0"/>
              <w:keepLines w:val="0"/>
              <w:widowControl/>
              <w:suppressLineNumbers w:val="0"/>
              <w:jc w:val="center"/>
              <w:textAlignment w:val="center"/>
              <w:rPr>
                <w:rStyle w:val="38"/>
                <w:rFonts w:hint="eastAsia" w:ascii="仿宋_GB2312" w:hAnsi="仿宋_GB2312" w:eastAsia="仿宋_GB2312" w:cs="仿宋_GB2312"/>
                <w:b w:val="0"/>
                <w:bCs w:val="0"/>
                <w:color w:val="auto"/>
                <w:sz w:val="30"/>
                <w:szCs w:val="30"/>
                <w:highlight w:val="none"/>
                <w:lang w:eastAsia="zh-CN"/>
              </w:rPr>
            </w:pPr>
            <w:r>
              <w:rPr>
                <w:rStyle w:val="38"/>
                <w:rFonts w:hint="eastAsia" w:ascii="仿宋_GB2312" w:hAnsi="仿宋_GB2312" w:eastAsia="仿宋_GB2312" w:cs="仿宋_GB2312"/>
                <w:b w:val="0"/>
                <w:bCs w:val="0"/>
                <w:color w:val="auto"/>
                <w:sz w:val="30"/>
                <w:szCs w:val="30"/>
                <w:highlight w:val="none"/>
                <w:lang w:val="en-US" w:eastAsia="zh-CN"/>
              </w:rPr>
              <w:t>样板房</w:t>
            </w:r>
          </w:p>
        </w:tc>
        <w:tc>
          <w:tcPr>
            <w:tcW w:w="777" w:type="pct"/>
            <w:tcBorders>
              <w:top w:val="single" w:color="000000" w:sz="4" w:space="0"/>
              <w:left w:val="single" w:color="000000" w:sz="4" w:space="0"/>
              <w:bottom w:val="single" w:color="000000" w:sz="4" w:space="0"/>
              <w:right w:val="single" w:color="000000" w:sz="4" w:space="0"/>
            </w:tcBorders>
            <w:noWrap/>
            <w:vAlign w:val="center"/>
          </w:tcPr>
          <w:p w14:paraId="281B2528">
            <w:pPr>
              <w:keepNext w:val="0"/>
              <w:keepLines w:val="0"/>
              <w:widowControl/>
              <w:suppressLineNumbers w:val="0"/>
              <w:jc w:val="center"/>
              <w:textAlignment w:val="center"/>
              <w:rPr>
                <w:rFonts w:hint="default" w:ascii="仿宋_GB2312" w:hAnsi="仿宋_GB2312" w:eastAsia="仿宋_GB2312" w:cs="仿宋_GB2312"/>
                <w:i w:val="0"/>
                <w:iCs w:val="0"/>
                <w:color w:val="auto"/>
                <w:kern w:val="0"/>
                <w:sz w:val="30"/>
                <w:szCs w:val="30"/>
                <w:highlight w:val="none"/>
                <w:u w:val="none"/>
                <w:lang w:val="en-US" w:eastAsia="zh-CN" w:bidi="ar"/>
              </w:rPr>
            </w:pPr>
            <w:r>
              <w:rPr>
                <w:rFonts w:hint="eastAsia" w:ascii="仿宋_GB2312" w:hAnsi="仿宋_GB2312" w:eastAsia="仿宋_GB2312" w:cs="仿宋_GB2312"/>
                <w:i w:val="0"/>
                <w:iCs w:val="0"/>
                <w:color w:val="auto"/>
                <w:kern w:val="0"/>
                <w:sz w:val="30"/>
                <w:szCs w:val="30"/>
                <w:highlight w:val="none"/>
                <w:u w:val="none"/>
                <w:lang w:val="en-US" w:eastAsia="zh-CN" w:bidi="ar"/>
              </w:rPr>
              <w:t>352</w:t>
            </w:r>
          </w:p>
        </w:tc>
        <w:tc>
          <w:tcPr>
            <w:tcW w:w="791" w:type="pct"/>
            <w:tcBorders>
              <w:top w:val="single" w:color="auto" w:sz="4" w:space="0"/>
              <w:left w:val="single" w:color="000000" w:sz="4" w:space="0"/>
              <w:bottom w:val="single" w:color="000000" w:sz="4" w:space="0"/>
              <w:right w:val="single" w:color="000000" w:sz="4" w:space="0"/>
            </w:tcBorders>
            <w:noWrap/>
            <w:vAlign w:val="center"/>
          </w:tcPr>
          <w:p w14:paraId="5CCD2687">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30"/>
                <w:szCs w:val="30"/>
                <w:highlight w:val="none"/>
                <w:u w:val="none"/>
                <w:lang w:val="en-US" w:eastAsia="zh-CN" w:bidi="ar"/>
              </w:rPr>
            </w:pPr>
            <w:r>
              <w:rPr>
                <w:rStyle w:val="38"/>
                <w:rFonts w:hint="eastAsia" w:ascii="仿宋_GB2312" w:hAnsi="仿宋_GB2312" w:eastAsia="仿宋_GB2312" w:cs="仿宋_GB2312"/>
                <w:i w:val="0"/>
                <w:iCs w:val="0"/>
                <w:color w:val="auto"/>
                <w:kern w:val="0"/>
                <w:sz w:val="30"/>
                <w:szCs w:val="30"/>
                <w:highlight w:val="none"/>
                <w:u w:val="none"/>
                <w:lang w:val="en-US" w:eastAsia="zh-CN" w:bidi="ar"/>
              </w:rPr>
              <w:t>㎡</w:t>
            </w:r>
          </w:p>
        </w:tc>
        <w:tc>
          <w:tcPr>
            <w:tcW w:w="466" w:type="pct"/>
            <w:tcBorders>
              <w:top w:val="single" w:color="auto" w:sz="4" w:space="0"/>
              <w:left w:val="single" w:color="000000" w:sz="4" w:space="0"/>
              <w:bottom w:val="single" w:color="000000" w:sz="4" w:space="0"/>
              <w:right w:val="single" w:color="000000" w:sz="4" w:space="0"/>
            </w:tcBorders>
            <w:noWrap/>
            <w:vAlign w:val="center"/>
          </w:tcPr>
          <w:p w14:paraId="45FE8853">
            <w:pPr>
              <w:pStyle w:val="88"/>
              <w:keepNext w:val="0"/>
              <w:keepLines w:val="0"/>
              <w:widowControl/>
              <w:suppressLineNumbers w:val="0"/>
              <w:jc w:val="center"/>
              <w:textAlignment w:val="center"/>
              <w:rPr>
                <w:rFonts w:hint="eastAsia" w:ascii="仿宋_GB2312" w:hAnsi="仿宋_GB2312" w:eastAsia="仿宋_GB2312" w:cs="仿宋_GB2312"/>
                <w:b w:val="0"/>
                <w:bCs w:val="0"/>
                <w:color w:val="auto"/>
                <w:kern w:val="0"/>
                <w:sz w:val="30"/>
                <w:szCs w:val="30"/>
                <w:highlight w:val="none"/>
                <w:lang w:val="en-US" w:eastAsia="zh-CN" w:bidi="ar"/>
              </w:rPr>
            </w:pPr>
          </w:p>
        </w:tc>
        <w:tc>
          <w:tcPr>
            <w:tcW w:w="555" w:type="pct"/>
            <w:tcBorders>
              <w:top w:val="single" w:color="000000" w:sz="4" w:space="0"/>
              <w:left w:val="single" w:color="000000" w:sz="4" w:space="0"/>
              <w:bottom w:val="single" w:color="000000" w:sz="4" w:space="0"/>
              <w:right w:val="single" w:color="000000" w:sz="4" w:space="0"/>
            </w:tcBorders>
            <w:noWrap/>
            <w:vAlign w:val="center"/>
          </w:tcPr>
          <w:p w14:paraId="551DF0DA">
            <w:pPr>
              <w:pStyle w:val="88"/>
              <w:keepNext w:val="0"/>
              <w:keepLines w:val="0"/>
              <w:widowControl/>
              <w:suppressLineNumbers w:val="0"/>
              <w:jc w:val="center"/>
              <w:textAlignment w:val="center"/>
              <w:rPr>
                <w:rStyle w:val="38"/>
                <w:rFonts w:hint="eastAsia" w:ascii="仿宋_GB2312" w:hAnsi="仿宋_GB2312" w:eastAsia="仿宋_GB2312" w:cs="仿宋_GB2312"/>
                <w:b w:val="0"/>
                <w:bCs w:val="0"/>
                <w:color w:val="auto"/>
                <w:kern w:val="0"/>
                <w:sz w:val="30"/>
                <w:szCs w:val="30"/>
                <w:highlight w:val="none"/>
                <w:lang w:val="en-US" w:eastAsia="zh-CN" w:bidi="ar"/>
              </w:rPr>
            </w:pPr>
          </w:p>
        </w:tc>
        <w:tc>
          <w:tcPr>
            <w:tcW w:w="785" w:type="pct"/>
            <w:tcBorders>
              <w:top w:val="single" w:color="000000" w:sz="4" w:space="0"/>
              <w:left w:val="single" w:color="000000" w:sz="4" w:space="0"/>
              <w:bottom w:val="single" w:color="000000" w:sz="4" w:space="0"/>
              <w:right w:val="single" w:color="000000" w:sz="4" w:space="0"/>
            </w:tcBorders>
            <w:noWrap/>
            <w:vAlign w:val="center"/>
          </w:tcPr>
          <w:p w14:paraId="5DDBFA4D">
            <w:pPr>
              <w:pStyle w:val="88"/>
              <w:keepNext w:val="0"/>
              <w:keepLines w:val="0"/>
              <w:widowControl/>
              <w:suppressLineNumbers w:val="0"/>
              <w:jc w:val="center"/>
              <w:textAlignment w:val="center"/>
              <w:rPr>
                <w:rStyle w:val="38"/>
                <w:rFonts w:hint="eastAsia" w:ascii="仿宋_GB2312" w:hAnsi="仿宋_GB2312" w:eastAsia="仿宋_GB2312" w:cs="仿宋_GB2312"/>
                <w:b w:val="0"/>
                <w:bCs w:val="0"/>
                <w:color w:val="auto"/>
                <w:kern w:val="0"/>
                <w:sz w:val="30"/>
                <w:szCs w:val="30"/>
                <w:highlight w:val="none"/>
                <w:lang w:bidi="ar"/>
              </w:rPr>
            </w:pPr>
          </w:p>
        </w:tc>
      </w:tr>
      <w:tr w14:paraId="7EB07E9A">
        <w:tblPrEx>
          <w:tblCellMar>
            <w:top w:w="0" w:type="dxa"/>
            <w:left w:w="108" w:type="dxa"/>
            <w:bottom w:w="0" w:type="dxa"/>
            <w:right w:w="108" w:type="dxa"/>
          </w:tblCellMar>
        </w:tblPrEx>
        <w:trPr>
          <w:trHeight w:val="567" w:hRule="atLeast"/>
        </w:trPr>
        <w:tc>
          <w:tcPr>
            <w:tcW w:w="384" w:type="pct"/>
            <w:tcBorders>
              <w:top w:val="single" w:color="000000" w:sz="4" w:space="0"/>
              <w:left w:val="single" w:color="000000" w:sz="8" w:space="0"/>
              <w:bottom w:val="single" w:color="000000" w:sz="4" w:space="0"/>
              <w:right w:val="single" w:color="000000" w:sz="4" w:space="0"/>
            </w:tcBorders>
            <w:noWrap w:val="0"/>
            <w:vAlign w:val="center"/>
          </w:tcPr>
          <w:p w14:paraId="78C78492">
            <w:pPr>
              <w:pStyle w:val="84"/>
              <w:widowControl/>
              <w:snapToGrid w:val="0"/>
              <w:jc w:val="center"/>
              <w:textAlignment w:val="center"/>
              <w:rPr>
                <w:rStyle w:val="38"/>
                <w:rFonts w:hint="eastAsia" w:ascii="仿宋_GB2312" w:hAnsi="仿宋_GB2312" w:eastAsia="仿宋_GB2312" w:cs="仿宋_GB2312"/>
                <w:b w:val="0"/>
                <w:bCs w:val="0"/>
                <w:color w:val="auto"/>
                <w:sz w:val="30"/>
                <w:szCs w:val="30"/>
                <w:highlight w:val="none"/>
                <w:lang w:eastAsia="zh-CN"/>
              </w:rPr>
            </w:pPr>
            <w:r>
              <w:rPr>
                <w:rStyle w:val="38"/>
                <w:rFonts w:hint="eastAsia" w:ascii="仿宋_GB2312" w:hAnsi="仿宋_GB2312" w:eastAsia="仿宋_GB2312" w:cs="仿宋_GB2312"/>
                <w:b w:val="0"/>
                <w:bCs w:val="0"/>
                <w:color w:val="auto"/>
                <w:sz w:val="30"/>
                <w:szCs w:val="30"/>
                <w:highlight w:val="none"/>
                <w:lang w:val="en-US" w:eastAsia="zh-CN"/>
              </w:rPr>
              <w:t>2</w:t>
            </w:r>
          </w:p>
        </w:tc>
        <w:tc>
          <w:tcPr>
            <w:tcW w:w="3274" w:type="pct"/>
            <w:gridSpan w:val="4"/>
            <w:tcBorders>
              <w:top w:val="single" w:color="000000" w:sz="4" w:space="0"/>
              <w:left w:val="single" w:color="000000" w:sz="4" w:space="0"/>
              <w:bottom w:val="single" w:color="000000" w:sz="4" w:space="0"/>
              <w:right w:val="single" w:color="000000" w:sz="4" w:space="0"/>
            </w:tcBorders>
            <w:noWrap w:val="0"/>
            <w:vAlign w:val="center"/>
          </w:tcPr>
          <w:p w14:paraId="33EB0145">
            <w:pPr>
              <w:pStyle w:val="84"/>
              <w:widowControl/>
              <w:snapToGrid w:val="0"/>
              <w:jc w:val="center"/>
              <w:textAlignment w:val="center"/>
              <w:rPr>
                <w:rStyle w:val="38"/>
                <w:rFonts w:hint="eastAsia" w:ascii="仿宋_GB2312" w:hAnsi="仿宋_GB2312" w:eastAsia="仿宋_GB2312" w:cs="仿宋_GB2312"/>
                <w:b w:val="0"/>
                <w:bCs w:val="0"/>
                <w:color w:val="auto"/>
                <w:sz w:val="30"/>
                <w:szCs w:val="30"/>
                <w:highlight w:val="none"/>
                <w:lang w:eastAsia="zh-CN"/>
              </w:rPr>
            </w:pPr>
            <w:r>
              <w:rPr>
                <w:rStyle w:val="38"/>
                <w:rFonts w:hint="eastAsia" w:ascii="仿宋_GB2312" w:hAnsi="仿宋_GB2312" w:eastAsia="仿宋_GB2312" w:cs="仿宋_GB2312"/>
                <w:b w:val="0"/>
                <w:bCs w:val="0"/>
                <w:color w:val="auto"/>
                <w:sz w:val="30"/>
                <w:szCs w:val="30"/>
                <w:highlight w:val="none"/>
              </w:rPr>
              <w:t>注：</w:t>
            </w:r>
            <w:r>
              <w:rPr>
                <w:rStyle w:val="38"/>
                <w:rFonts w:hint="eastAsia" w:ascii="仿宋_GB2312" w:hAnsi="仿宋_GB2312" w:eastAsia="仿宋_GB2312" w:cs="仿宋_GB2312"/>
                <w:b w:val="0"/>
                <w:bCs w:val="0"/>
                <w:color w:val="auto"/>
                <w:kern w:val="0"/>
                <w:sz w:val="30"/>
                <w:szCs w:val="30"/>
                <w:highlight w:val="none"/>
                <w:lang w:bidi="ar"/>
              </w:rPr>
              <w:t>合价的合计</w:t>
            </w:r>
            <w:r>
              <w:rPr>
                <w:rStyle w:val="38"/>
                <w:rFonts w:hint="eastAsia" w:ascii="仿宋_GB2312" w:hAnsi="仿宋_GB2312" w:eastAsia="仿宋_GB2312" w:cs="仿宋_GB2312"/>
                <w:b w:val="0"/>
                <w:bCs w:val="0"/>
                <w:color w:val="auto"/>
                <w:kern w:val="0"/>
                <w:sz w:val="30"/>
                <w:szCs w:val="30"/>
                <w:highlight w:val="none"/>
                <w:lang w:eastAsia="zh-CN" w:bidi="ar"/>
              </w:rPr>
              <w:t>（</w:t>
            </w:r>
            <w:r>
              <w:rPr>
                <w:rStyle w:val="38"/>
                <w:rFonts w:hint="eastAsia" w:ascii="仿宋_GB2312" w:hAnsi="仿宋_GB2312" w:eastAsia="仿宋_GB2312" w:cs="仿宋_GB2312"/>
                <w:b w:val="0"/>
                <w:bCs w:val="0"/>
                <w:color w:val="auto"/>
                <w:kern w:val="0"/>
                <w:sz w:val="30"/>
                <w:szCs w:val="30"/>
                <w:highlight w:val="none"/>
                <w:lang w:val="en-US" w:eastAsia="zh-CN" w:bidi="ar"/>
              </w:rPr>
              <w:t>含税</w:t>
            </w:r>
            <w:r>
              <w:rPr>
                <w:rStyle w:val="38"/>
                <w:rFonts w:hint="eastAsia" w:ascii="仿宋_GB2312" w:hAnsi="仿宋_GB2312" w:eastAsia="仿宋_GB2312" w:cs="仿宋_GB2312"/>
                <w:b w:val="0"/>
                <w:bCs w:val="0"/>
                <w:color w:val="auto"/>
                <w:kern w:val="0"/>
                <w:sz w:val="30"/>
                <w:szCs w:val="30"/>
                <w:highlight w:val="none"/>
                <w:lang w:eastAsia="zh-CN" w:bidi="ar"/>
              </w:rPr>
              <w:t>）</w:t>
            </w:r>
          </w:p>
        </w:tc>
        <w:tc>
          <w:tcPr>
            <w:tcW w:w="1341" w:type="pct"/>
            <w:gridSpan w:val="2"/>
            <w:tcBorders>
              <w:top w:val="single" w:color="000000" w:sz="4" w:space="0"/>
              <w:left w:val="single" w:color="000000" w:sz="4" w:space="0"/>
              <w:bottom w:val="single" w:color="000000" w:sz="4" w:space="0"/>
              <w:right w:val="single" w:color="000000" w:sz="4" w:space="0"/>
            </w:tcBorders>
            <w:noWrap/>
            <w:vAlign w:val="center"/>
          </w:tcPr>
          <w:p w14:paraId="21125C5E">
            <w:pPr>
              <w:pStyle w:val="84"/>
              <w:widowControl/>
              <w:snapToGrid w:val="0"/>
              <w:jc w:val="center"/>
              <w:textAlignment w:val="center"/>
              <w:rPr>
                <w:rStyle w:val="38"/>
                <w:rFonts w:hint="eastAsia" w:ascii="仿宋_GB2312" w:hAnsi="仿宋_GB2312" w:eastAsia="仿宋_GB2312" w:cs="仿宋_GB2312"/>
                <w:b w:val="0"/>
                <w:bCs w:val="0"/>
                <w:color w:val="auto"/>
                <w:kern w:val="0"/>
                <w:sz w:val="30"/>
                <w:szCs w:val="30"/>
                <w:highlight w:val="none"/>
                <w:lang w:bidi="ar"/>
              </w:rPr>
            </w:pPr>
          </w:p>
        </w:tc>
      </w:tr>
    </w:tbl>
    <w:p w14:paraId="6E58E2F5">
      <w:pPr>
        <w:pStyle w:val="2"/>
        <w:rPr>
          <w:color w:val="auto"/>
          <w:highlight w:val="none"/>
        </w:rPr>
      </w:pPr>
    </w:p>
    <w:p w14:paraId="4433CD49">
      <w:pPr>
        <w:adjustRightInd w:val="0"/>
        <w:snapToGri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注：在合同履约过程中，本合同税率必须遵照国家现行税法执行。本合同最终税金在结算阶段，按实际产生的税金进行核算。</w:t>
      </w:r>
    </w:p>
    <w:p w14:paraId="2434BE17">
      <w:pPr>
        <w:pStyle w:val="78"/>
        <w:spacing w:line="360" w:lineRule="auto"/>
        <w:jc w:val="left"/>
        <w:rPr>
          <w:rFonts w:ascii="仿宋_GB2312" w:hAnsi="仿宋_GB2312" w:eastAsia="仿宋_GB2312" w:cs="仿宋_GB2312"/>
          <w:b/>
          <w:bCs/>
          <w:color w:val="auto"/>
          <w:sz w:val="30"/>
          <w:szCs w:val="30"/>
          <w:highlight w:val="none"/>
        </w:rPr>
      </w:pPr>
      <w:r>
        <w:rPr>
          <w:rFonts w:hint="eastAsia" w:ascii="仿宋_GB2312" w:hAnsi="仿宋_GB2312" w:eastAsia="仿宋_GB2312" w:cs="仿宋_GB2312"/>
          <w:b/>
          <w:bCs/>
          <w:color w:val="auto"/>
          <w:sz w:val="30"/>
          <w:szCs w:val="30"/>
          <w:highlight w:val="none"/>
        </w:rPr>
        <w:t>五、发包人代表与设计人项目负责人</w:t>
      </w:r>
    </w:p>
    <w:p w14:paraId="489BAF8B">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 发包人代表：</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u w:val="single"/>
          <w:lang w:val="en-US" w:eastAsia="zh-CN"/>
        </w:rPr>
        <w:t xml:space="preserve">    </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p>
    <w:p w14:paraId="7FC31731">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 设计项目负责人：</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p>
    <w:p w14:paraId="6D06371D">
      <w:pPr>
        <w:adjustRightInd w:val="0"/>
        <w:snapToGrid w:val="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3"/>
          <w:sz w:val="30"/>
          <w:szCs w:val="30"/>
          <w:highlight w:val="none"/>
        </w:rPr>
        <w:t>六、合同文件构成</w:t>
      </w:r>
    </w:p>
    <w:p w14:paraId="7014D158">
      <w:pPr>
        <w:pStyle w:val="79"/>
        <w:spacing w:after="0" w:line="360" w:lineRule="auto"/>
        <w:ind w:firstLine="596" w:firstLineChars="200"/>
        <w:rPr>
          <w:rFonts w:ascii="仿宋_GB2312" w:hAnsi="仿宋_GB2312" w:eastAsia="仿宋_GB2312" w:cs="仿宋_GB2312"/>
          <w:color w:val="auto"/>
          <w:spacing w:val="-1"/>
          <w:sz w:val="30"/>
          <w:szCs w:val="30"/>
          <w:highlight w:val="none"/>
        </w:rPr>
      </w:pPr>
      <w:r>
        <w:rPr>
          <w:rFonts w:hint="eastAsia" w:ascii="仿宋_GB2312" w:hAnsi="仿宋_GB2312" w:eastAsia="仿宋_GB2312" w:cs="仿宋_GB2312"/>
          <w:color w:val="auto"/>
          <w:spacing w:val="-1"/>
          <w:sz w:val="30"/>
          <w:szCs w:val="30"/>
          <w:highlight w:val="none"/>
        </w:rPr>
        <w:t>1.下列文件一起构成合同文件：</w:t>
      </w:r>
    </w:p>
    <w:p w14:paraId="64256CBE">
      <w:pPr>
        <w:pStyle w:val="78"/>
        <w:spacing w:line="360" w:lineRule="auto"/>
        <w:ind w:firstLine="600" w:firstLineChars="200"/>
        <w:jc w:val="left"/>
        <w:rPr>
          <w:rFonts w:hint="eastAsia" w:ascii="仿宋_GB2312" w:hAnsi="仿宋_GB2312" w:eastAsia="仿宋_GB2312" w:cs="仿宋_GB2312"/>
          <w:color w:val="auto"/>
          <w:sz w:val="30"/>
          <w:szCs w:val="30"/>
          <w:highlight w:val="none"/>
          <w:lang w:eastAsia="zh-CN"/>
        </w:rPr>
      </w:pPr>
      <w:r>
        <w:rPr>
          <w:rFonts w:hint="eastAsia" w:ascii="仿宋_GB2312" w:hAnsi="仿宋_GB2312" w:eastAsia="仿宋_GB2312" w:cs="仿宋_GB2312"/>
          <w:color w:val="auto"/>
          <w:sz w:val="30"/>
          <w:szCs w:val="30"/>
          <w:highlight w:val="none"/>
        </w:rPr>
        <w:t>（1）合同协议书</w:t>
      </w:r>
      <w:r>
        <w:rPr>
          <w:rFonts w:hint="eastAsia" w:ascii="仿宋_GB2312" w:hAnsi="仿宋_GB2312" w:eastAsia="仿宋_GB2312" w:cs="仿宋_GB2312"/>
          <w:color w:val="auto"/>
          <w:sz w:val="30"/>
          <w:szCs w:val="30"/>
          <w:highlight w:val="none"/>
          <w:lang w:eastAsia="zh-CN"/>
        </w:rPr>
        <w:t>；</w:t>
      </w:r>
    </w:p>
    <w:p w14:paraId="1538040E">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（2）合同澄清文件（如有）；</w:t>
      </w:r>
    </w:p>
    <w:p w14:paraId="5B99E300">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（3）中标（选）通知书或委托书（如有）；</w:t>
      </w:r>
    </w:p>
    <w:p w14:paraId="3D98312E">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（4）投标函及其附录（如有）；</w:t>
      </w:r>
    </w:p>
    <w:p w14:paraId="285377DF">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（5）专用合同条款及其附件；</w:t>
      </w:r>
    </w:p>
    <w:p w14:paraId="096F9FE1">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（6）发包人（甲方）要求（如有）；</w:t>
      </w:r>
    </w:p>
    <w:p w14:paraId="2D5EB282">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（7）通用合同条款；</w:t>
      </w:r>
    </w:p>
    <w:p w14:paraId="344AA40B">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（8）技术标准；</w:t>
      </w:r>
    </w:p>
    <w:p w14:paraId="68D62DCA">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（9）设计费用清单；</w:t>
      </w:r>
    </w:p>
    <w:p w14:paraId="1D5000D3">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（10）发包人提供的上一阶段图纸（如有）；</w:t>
      </w:r>
    </w:p>
    <w:p w14:paraId="06F1D100">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（11）招标文件及附件（如有）；</w:t>
      </w:r>
    </w:p>
    <w:p w14:paraId="058BC612">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（12） 投标文件（如有）；</w:t>
      </w:r>
    </w:p>
    <w:p w14:paraId="17805581">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（13）其他合同文件。</w:t>
      </w:r>
    </w:p>
    <w:p w14:paraId="19360D1F">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2.上述合同文件互相补充和解释。如果合同文件之间存在矛盾或不一致之处，以上述文件</w:t>
      </w:r>
      <w:r>
        <w:rPr>
          <w:rFonts w:hint="eastAsia" w:ascii="仿宋_GB2312" w:hAnsi="仿宋_GB2312" w:eastAsia="仿宋_GB2312" w:cs="仿宋_GB2312"/>
          <w:color w:val="auto"/>
          <w:spacing w:val="-4"/>
          <w:sz w:val="30"/>
          <w:szCs w:val="30"/>
          <w:highlight w:val="none"/>
        </w:rPr>
        <w:t>的排列顺序在先者为准。</w:t>
      </w:r>
    </w:p>
    <w:p w14:paraId="57E21064">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3.上述各项合同文件包括合同当事人就该项合同文件所作出的补充和修改，属</w:t>
      </w:r>
      <w:r>
        <w:rPr>
          <w:rFonts w:hint="eastAsia" w:ascii="仿宋_GB2312" w:hAnsi="仿宋_GB2312" w:eastAsia="仿宋_GB2312" w:cs="仿宋_GB2312"/>
          <w:color w:val="auto"/>
          <w:spacing w:val="-1"/>
          <w:sz w:val="30"/>
          <w:szCs w:val="30"/>
          <w:highlight w:val="none"/>
        </w:rPr>
        <w:t>于同一类内容的文件，应以最新签署的为准。</w:t>
      </w:r>
    </w:p>
    <w:p w14:paraId="139B84BE">
      <w:pPr>
        <w:pStyle w:val="79"/>
        <w:spacing w:after="0"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2"/>
          <w:sz w:val="30"/>
          <w:szCs w:val="30"/>
          <w:highlight w:val="none"/>
        </w:rPr>
        <w:t>七、质量标准和要求</w:t>
      </w:r>
    </w:p>
    <w:p w14:paraId="7D0AB9D8">
      <w:pPr>
        <w:pStyle w:val="79"/>
        <w:spacing w:after="0" w:line="360" w:lineRule="auto"/>
        <w:ind w:firstLine="600" w:firstLineChars="200"/>
        <w:rPr>
          <w:rFonts w:ascii="仿宋_GB2312" w:hAnsi="仿宋_GB2312" w:eastAsia="仿宋_GB2312" w:cs="仿宋_GB2312"/>
          <w:color w:val="auto"/>
          <w:spacing w:val="-1"/>
          <w:sz w:val="30"/>
          <w:szCs w:val="30"/>
          <w:highlight w:val="none"/>
        </w:rPr>
      </w:pPr>
      <w:r>
        <w:rPr>
          <w:rFonts w:hint="eastAsia" w:ascii="仿宋_GB2312" w:hAnsi="仿宋_GB2312" w:eastAsia="仿宋_GB2312" w:cs="仿宋_GB2312"/>
          <w:color w:val="auto"/>
          <w:sz w:val="30"/>
          <w:szCs w:val="30"/>
          <w:highlight w:val="none"/>
        </w:rPr>
        <w:t>1.设计工作质量符合的标准和要求：</w:t>
      </w:r>
      <w:r>
        <w:rPr>
          <w:rFonts w:hint="eastAsia" w:ascii="仿宋_GB2312" w:hAnsi="仿宋_GB2312" w:eastAsia="仿宋_GB2312" w:cs="仿宋_GB2312"/>
          <w:color w:val="auto"/>
          <w:sz w:val="30"/>
          <w:szCs w:val="30"/>
          <w:highlight w:val="none"/>
          <w:u w:val="single"/>
        </w:rPr>
        <w:t xml:space="preserve"> 符合国家、地方规范及甲方要求</w:t>
      </w:r>
      <w:r>
        <w:rPr>
          <w:rFonts w:hint="eastAsia" w:ascii="仿宋_GB2312" w:hAnsi="仿宋_GB2312" w:eastAsia="仿宋_GB2312" w:cs="仿宋_GB2312"/>
          <w:color w:val="auto"/>
          <w:spacing w:val="-1"/>
          <w:sz w:val="30"/>
          <w:szCs w:val="30"/>
          <w:highlight w:val="none"/>
        </w:rPr>
        <w:t>。</w:t>
      </w:r>
    </w:p>
    <w:p w14:paraId="4398AD81">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2.奖项要求：</w:t>
      </w:r>
      <w:r>
        <w:rPr>
          <w:rFonts w:hint="eastAsia" w:ascii="仿宋_GB2312" w:hAnsi="仿宋_GB2312" w:eastAsia="仿宋_GB2312" w:cs="仿宋_GB2312"/>
          <w:color w:val="auto"/>
          <w:spacing w:val="-5"/>
          <w:sz w:val="30"/>
          <w:szCs w:val="30"/>
          <w:highlight w:val="none"/>
        </w:rPr>
        <w:sym w:font="Wingdings" w:char="00A8"/>
      </w:r>
      <w:r>
        <w:rPr>
          <w:rFonts w:hint="eastAsia" w:ascii="仿宋_GB2312" w:hAnsi="仿宋_GB2312" w:eastAsia="仿宋_GB2312" w:cs="仿宋_GB2312"/>
          <w:color w:val="auto"/>
          <w:spacing w:val="-5"/>
          <w:sz w:val="30"/>
          <w:szCs w:val="30"/>
          <w:highlight w:val="none"/>
          <w:u w:val="single"/>
        </w:rPr>
        <w:t xml:space="preserve">获得   </w:t>
      </w:r>
      <w:r>
        <w:rPr>
          <w:rFonts w:hint="eastAsia" w:ascii="仿宋_GB2312" w:hAnsi="仿宋_GB2312" w:eastAsia="仿宋_GB2312" w:cs="仿宋_GB2312"/>
          <w:color w:val="auto"/>
          <w:sz w:val="30"/>
          <w:szCs w:val="30"/>
          <w:highlight w:val="none"/>
          <w:u w:val="single"/>
        </w:rPr>
        <w:t>个国家级的设计优秀奖</w:t>
      </w:r>
      <w:r>
        <w:rPr>
          <w:rFonts w:hint="eastAsia" w:ascii="仿宋_GB2312" w:hAnsi="仿宋_GB2312" w:eastAsia="仿宋_GB2312" w:cs="仿宋_GB2312"/>
          <w:color w:val="auto"/>
          <w:sz w:val="30"/>
          <w:szCs w:val="30"/>
          <w:highlight w:val="none"/>
        </w:rPr>
        <w:t>；</w:t>
      </w:r>
      <w:r>
        <w:rPr>
          <w:rFonts w:hint="eastAsia" w:ascii="仿宋_GB2312" w:hAnsi="仿宋_GB2312" w:eastAsia="仿宋_GB2312" w:cs="仿宋_GB2312"/>
          <w:color w:val="auto"/>
          <w:spacing w:val="-5"/>
          <w:sz w:val="30"/>
          <w:szCs w:val="30"/>
          <w:highlight w:val="none"/>
        </w:rPr>
        <w:sym w:font="Wingdings" w:char="00A8"/>
      </w:r>
      <w:r>
        <w:rPr>
          <w:rFonts w:hint="eastAsia" w:ascii="仿宋_GB2312" w:hAnsi="仿宋_GB2312" w:eastAsia="仿宋_GB2312" w:cs="仿宋_GB2312"/>
          <w:color w:val="auto"/>
          <w:spacing w:val="-5"/>
          <w:sz w:val="30"/>
          <w:szCs w:val="30"/>
          <w:highlight w:val="none"/>
          <w:u w:val="single"/>
        </w:rPr>
        <w:t xml:space="preserve">获得   </w:t>
      </w:r>
      <w:r>
        <w:rPr>
          <w:rFonts w:hint="eastAsia" w:ascii="仿宋_GB2312" w:hAnsi="仿宋_GB2312" w:eastAsia="仿宋_GB2312" w:cs="仿宋_GB2312"/>
          <w:color w:val="auto"/>
          <w:sz w:val="30"/>
          <w:szCs w:val="30"/>
          <w:highlight w:val="none"/>
          <w:u w:val="single"/>
        </w:rPr>
        <w:t>个省部级的设计优秀奖</w:t>
      </w:r>
      <w:r>
        <w:rPr>
          <w:rFonts w:hint="eastAsia" w:ascii="仿宋_GB2312" w:hAnsi="仿宋_GB2312" w:eastAsia="仿宋_GB2312" w:cs="仿宋_GB2312"/>
          <w:color w:val="auto"/>
          <w:sz w:val="30"/>
          <w:szCs w:val="30"/>
          <w:highlight w:val="none"/>
        </w:rPr>
        <w:t>；</w:t>
      </w:r>
      <w:r>
        <w:rPr>
          <w:rFonts w:hint="eastAsia" w:ascii="仿宋_GB2312" w:hAnsi="仿宋_GB2312" w:eastAsia="仿宋_GB2312" w:cs="仿宋_GB2312"/>
          <w:color w:val="auto"/>
          <w:spacing w:val="-5"/>
          <w:sz w:val="30"/>
          <w:szCs w:val="30"/>
          <w:highlight w:val="none"/>
        </w:rPr>
        <w:sym w:font="Wingdings" w:char="00A8"/>
      </w:r>
      <w:r>
        <w:rPr>
          <w:rFonts w:hint="eastAsia" w:ascii="仿宋_GB2312" w:hAnsi="仿宋_GB2312" w:eastAsia="仿宋_GB2312" w:cs="仿宋_GB2312"/>
          <w:color w:val="auto"/>
          <w:spacing w:val="-5"/>
          <w:sz w:val="30"/>
          <w:szCs w:val="30"/>
          <w:highlight w:val="none"/>
          <w:u w:val="single"/>
        </w:rPr>
        <w:t xml:space="preserve">获得  </w:t>
      </w:r>
      <w:r>
        <w:rPr>
          <w:rFonts w:hint="eastAsia" w:ascii="仿宋_GB2312" w:hAnsi="仿宋_GB2312" w:eastAsia="仿宋_GB2312" w:cs="仿宋_GB2312"/>
          <w:color w:val="auto"/>
          <w:sz w:val="30"/>
          <w:szCs w:val="30"/>
          <w:highlight w:val="none"/>
          <w:u w:val="single"/>
        </w:rPr>
        <w:t>个市级的设计优秀奖</w:t>
      </w:r>
      <w:r>
        <w:rPr>
          <w:rFonts w:hint="eastAsia" w:ascii="仿宋_GB2312" w:hAnsi="仿宋_GB2312" w:eastAsia="仿宋_GB2312" w:cs="仿宋_GB2312"/>
          <w:color w:val="auto"/>
          <w:sz w:val="30"/>
          <w:szCs w:val="30"/>
          <w:highlight w:val="none"/>
        </w:rPr>
        <w:t>。</w:t>
      </w:r>
    </w:p>
    <w:p w14:paraId="3E211E89">
      <w:pPr>
        <w:pStyle w:val="79"/>
        <w:spacing w:after="0"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4"/>
          <w:sz w:val="30"/>
          <w:szCs w:val="30"/>
          <w:highlight w:val="none"/>
        </w:rPr>
        <w:t>八、承诺</w:t>
      </w:r>
    </w:p>
    <w:p w14:paraId="7FD76C93">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1.发包人承诺按照法律规定履行项目审批</w:t>
      </w:r>
      <w:r>
        <w:rPr>
          <w:rFonts w:hint="eastAsia" w:ascii="仿宋_GB2312" w:hAnsi="仿宋_GB2312" w:eastAsia="仿宋_GB2312" w:cs="仿宋_GB2312"/>
          <w:color w:val="auto"/>
          <w:spacing w:val="-1"/>
          <w:sz w:val="30"/>
          <w:szCs w:val="30"/>
          <w:highlight w:val="none"/>
        </w:rPr>
        <w:t>手续，按照合同约定提供设计依据，并按合同约定的条件、期限和方式支付合同价款。</w:t>
      </w:r>
    </w:p>
    <w:p w14:paraId="2D7A6100">
      <w:pPr>
        <w:pStyle w:val="79"/>
        <w:spacing w:after="0" w:line="360" w:lineRule="auto"/>
        <w:ind w:firstLine="596"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2.设计人承诺按照法律和技术标准规定及合同约定提供工程设计服务。</w:t>
      </w:r>
    </w:p>
    <w:p w14:paraId="6732D43D">
      <w:pPr>
        <w:pStyle w:val="79"/>
        <w:spacing w:after="0"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4"/>
          <w:sz w:val="30"/>
          <w:szCs w:val="30"/>
          <w:highlight w:val="none"/>
        </w:rPr>
        <w:t>九、词语含义</w:t>
      </w:r>
    </w:p>
    <w:p w14:paraId="0D8C197A">
      <w:pPr>
        <w:pStyle w:val="79"/>
        <w:spacing w:after="0" w:line="360" w:lineRule="auto"/>
        <w:ind w:firstLine="596" w:firstLineChars="200"/>
        <w:rPr>
          <w:rFonts w:ascii="仿宋_GB2312" w:hAnsi="仿宋_GB2312" w:eastAsia="仿宋_GB2312" w:cs="仿宋_GB2312"/>
          <w:color w:val="auto"/>
          <w:spacing w:val="-1"/>
          <w:sz w:val="30"/>
          <w:szCs w:val="30"/>
          <w:highlight w:val="none"/>
        </w:rPr>
      </w:pPr>
      <w:r>
        <w:rPr>
          <w:rFonts w:hint="eastAsia" w:ascii="仿宋_GB2312" w:hAnsi="仿宋_GB2312" w:eastAsia="仿宋_GB2312" w:cs="仿宋_GB2312"/>
          <w:color w:val="auto"/>
          <w:spacing w:val="-1"/>
          <w:sz w:val="30"/>
          <w:szCs w:val="30"/>
          <w:highlight w:val="none"/>
        </w:rPr>
        <w:t>本协议书中词语含义与第五部分通用合同条款中赋予的含义相同。</w:t>
      </w:r>
    </w:p>
    <w:p w14:paraId="6FE663F4">
      <w:pPr>
        <w:pStyle w:val="78"/>
        <w:spacing w:line="360" w:lineRule="auto"/>
        <w:jc w:val="left"/>
        <w:rPr>
          <w:rFonts w:ascii="仿宋_GB2312" w:hAnsi="仿宋_GB2312" w:eastAsia="仿宋_GB2312" w:cs="仿宋_GB2312"/>
          <w:b/>
          <w:bCs/>
          <w:color w:val="auto"/>
          <w:sz w:val="30"/>
          <w:szCs w:val="30"/>
          <w:highlight w:val="none"/>
        </w:rPr>
      </w:pPr>
      <w:r>
        <w:rPr>
          <w:rFonts w:hint="eastAsia" w:ascii="仿宋_GB2312" w:hAnsi="仿宋_GB2312" w:eastAsia="仿宋_GB2312" w:cs="仿宋_GB2312"/>
          <w:b/>
          <w:bCs/>
          <w:color w:val="auto"/>
          <w:sz w:val="30"/>
          <w:szCs w:val="30"/>
          <w:highlight w:val="none"/>
        </w:rPr>
        <w:t>十、签订时间</w:t>
      </w:r>
    </w:p>
    <w:p w14:paraId="65B66C45">
      <w:pPr>
        <w:snapToGrid w:val="0"/>
        <w:spacing w:line="360" w:lineRule="auto"/>
        <w:ind w:firstLine="600" w:firstLineChars="200"/>
        <w:rPr>
          <w:rFonts w:ascii="仿宋_GB2312" w:hAnsi="仿宋_GB2312" w:eastAsia="仿宋_GB2312" w:cs="仿宋_GB2312"/>
          <w:bCs/>
          <w:color w:val="auto"/>
          <w:sz w:val="30"/>
          <w:szCs w:val="30"/>
          <w:highlight w:val="none"/>
        </w:rPr>
      </w:pPr>
      <w:r>
        <w:rPr>
          <w:rFonts w:hint="eastAsia" w:ascii="仿宋_GB2312" w:hAnsi="仿宋_GB2312" w:eastAsia="仿宋_GB2312" w:cs="仿宋_GB2312"/>
          <w:bCs/>
          <w:color w:val="auto"/>
          <w:sz w:val="30"/>
          <w:szCs w:val="30"/>
          <w:highlight w:val="none"/>
        </w:rPr>
        <w:t>本合同于</w:t>
      </w:r>
      <w:r>
        <w:rPr>
          <w:rFonts w:hint="eastAsia" w:ascii="仿宋_GB2312" w:hAnsi="仿宋_GB2312" w:eastAsia="仿宋_GB2312" w:cs="仿宋_GB2312"/>
          <w:bCs/>
          <w:color w:val="auto"/>
          <w:sz w:val="30"/>
          <w:szCs w:val="30"/>
          <w:highlight w:val="none"/>
          <w:u w:val="single"/>
        </w:rPr>
        <w:t xml:space="preserve">    </w:t>
      </w:r>
      <w:r>
        <w:rPr>
          <w:rFonts w:hint="eastAsia" w:ascii="仿宋_GB2312" w:hAnsi="仿宋_GB2312" w:eastAsia="仿宋_GB2312" w:cs="仿宋_GB2312"/>
          <w:bCs/>
          <w:color w:val="auto"/>
          <w:sz w:val="30"/>
          <w:szCs w:val="30"/>
          <w:highlight w:val="none"/>
        </w:rPr>
        <w:t>年</w:t>
      </w:r>
      <w:r>
        <w:rPr>
          <w:rFonts w:hint="eastAsia" w:ascii="仿宋_GB2312" w:hAnsi="仿宋_GB2312" w:eastAsia="仿宋_GB2312" w:cs="仿宋_GB2312"/>
          <w:bCs/>
          <w:color w:val="auto"/>
          <w:sz w:val="30"/>
          <w:szCs w:val="30"/>
          <w:highlight w:val="none"/>
          <w:u w:val="single"/>
        </w:rPr>
        <w:t xml:space="preserve">    </w:t>
      </w:r>
      <w:r>
        <w:rPr>
          <w:rFonts w:hint="eastAsia" w:ascii="仿宋_GB2312" w:hAnsi="仿宋_GB2312" w:eastAsia="仿宋_GB2312" w:cs="仿宋_GB2312"/>
          <w:bCs/>
          <w:color w:val="auto"/>
          <w:sz w:val="30"/>
          <w:szCs w:val="30"/>
          <w:highlight w:val="none"/>
        </w:rPr>
        <w:t>月</w:t>
      </w:r>
      <w:r>
        <w:rPr>
          <w:rFonts w:hint="eastAsia" w:ascii="仿宋_GB2312" w:hAnsi="仿宋_GB2312" w:eastAsia="仿宋_GB2312" w:cs="仿宋_GB2312"/>
          <w:bCs/>
          <w:color w:val="auto"/>
          <w:sz w:val="30"/>
          <w:szCs w:val="30"/>
          <w:highlight w:val="none"/>
          <w:u w:val="single"/>
        </w:rPr>
        <w:t xml:space="preserve">    </w:t>
      </w:r>
      <w:r>
        <w:rPr>
          <w:rFonts w:hint="eastAsia" w:ascii="仿宋_GB2312" w:hAnsi="仿宋_GB2312" w:eastAsia="仿宋_GB2312" w:cs="仿宋_GB2312"/>
          <w:bCs/>
          <w:color w:val="auto"/>
          <w:sz w:val="30"/>
          <w:szCs w:val="30"/>
          <w:highlight w:val="none"/>
        </w:rPr>
        <w:t>日签订。</w:t>
      </w:r>
    </w:p>
    <w:p w14:paraId="5D9369B0">
      <w:pPr>
        <w:pStyle w:val="79"/>
        <w:spacing w:after="0"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3"/>
          <w:sz w:val="30"/>
          <w:szCs w:val="30"/>
          <w:highlight w:val="none"/>
        </w:rPr>
        <w:t>十一、签订地点</w:t>
      </w:r>
    </w:p>
    <w:p w14:paraId="18C754D9">
      <w:pPr>
        <w:pStyle w:val="79"/>
        <w:spacing w:after="0" w:line="360" w:lineRule="auto"/>
        <w:ind w:firstLine="58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5"/>
          <w:sz w:val="30"/>
          <w:szCs w:val="30"/>
          <w:highlight w:val="none"/>
        </w:rPr>
        <w:t>本合同在</w:t>
      </w:r>
      <w:r>
        <w:rPr>
          <w:rFonts w:hint="eastAsia" w:ascii="仿宋_GB2312" w:hAnsi="仿宋_GB2312" w:eastAsia="仿宋_GB2312" w:cs="仿宋_GB2312"/>
          <w:color w:val="auto"/>
          <w:spacing w:val="-5"/>
          <w:sz w:val="30"/>
          <w:szCs w:val="30"/>
          <w:highlight w:val="none"/>
          <w:u w:val="single"/>
        </w:rPr>
        <w:t xml:space="preserve">       </w:t>
      </w:r>
      <w:r>
        <w:rPr>
          <w:rFonts w:hint="eastAsia" w:ascii="仿宋_GB2312" w:hAnsi="仿宋_GB2312" w:eastAsia="仿宋_GB2312" w:cs="仿宋_GB2312"/>
          <w:color w:val="auto"/>
          <w:spacing w:val="-5"/>
          <w:sz w:val="30"/>
          <w:szCs w:val="30"/>
          <w:highlight w:val="none"/>
          <w:u w:val="single"/>
          <w:lang w:val="en-US" w:eastAsia="zh-CN"/>
        </w:rPr>
        <w:t xml:space="preserve"> </w:t>
      </w:r>
      <w:r>
        <w:rPr>
          <w:rFonts w:hint="eastAsia" w:ascii="仿宋_GB2312" w:hAnsi="仿宋_GB2312" w:eastAsia="仿宋_GB2312" w:cs="仿宋_GB2312"/>
          <w:color w:val="auto"/>
          <w:spacing w:val="-5"/>
          <w:sz w:val="30"/>
          <w:szCs w:val="30"/>
          <w:highlight w:val="none"/>
          <w:u w:val="single"/>
        </w:rPr>
        <w:t xml:space="preserve">            </w:t>
      </w:r>
      <w:r>
        <w:rPr>
          <w:rFonts w:hint="eastAsia" w:ascii="仿宋_GB2312" w:hAnsi="仿宋_GB2312" w:eastAsia="仿宋_GB2312" w:cs="仿宋_GB2312"/>
          <w:color w:val="auto"/>
          <w:spacing w:val="-5"/>
          <w:sz w:val="30"/>
          <w:szCs w:val="30"/>
          <w:highlight w:val="none"/>
        </w:rPr>
        <w:t>签订。</w:t>
      </w:r>
    </w:p>
    <w:p w14:paraId="4F1A7689">
      <w:pPr>
        <w:pStyle w:val="79"/>
        <w:spacing w:after="0"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4"/>
          <w:sz w:val="30"/>
          <w:szCs w:val="30"/>
          <w:highlight w:val="none"/>
        </w:rPr>
        <w:t>十二、补充协议</w:t>
      </w:r>
    </w:p>
    <w:p w14:paraId="3B5D97C4">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合同未尽事宜，合同当事人另行签订补充协议，补充协议是合同的组</w:t>
      </w:r>
      <w:r>
        <w:rPr>
          <w:rFonts w:hint="eastAsia" w:ascii="仿宋_GB2312" w:hAnsi="仿宋_GB2312" w:eastAsia="仿宋_GB2312" w:cs="仿宋_GB2312"/>
          <w:color w:val="auto"/>
          <w:spacing w:val="-1"/>
          <w:sz w:val="30"/>
          <w:szCs w:val="30"/>
          <w:highlight w:val="none"/>
        </w:rPr>
        <w:t>成部分。</w:t>
      </w:r>
    </w:p>
    <w:p w14:paraId="2FD557BE">
      <w:pPr>
        <w:pStyle w:val="79"/>
        <w:spacing w:after="0"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3"/>
          <w:sz w:val="30"/>
          <w:szCs w:val="30"/>
          <w:highlight w:val="none"/>
        </w:rPr>
        <w:t>十三、合同生效</w:t>
      </w:r>
    </w:p>
    <w:p w14:paraId="10160DF1">
      <w:pPr>
        <w:pStyle w:val="80"/>
        <w:spacing w:line="500" w:lineRule="exact"/>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bCs/>
          <w:color w:val="auto"/>
          <w:sz w:val="30"/>
          <w:szCs w:val="30"/>
          <w:highlight w:val="none"/>
        </w:rPr>
        <w:t>本合同经双方法定代表人或委托代理人签字或（盖章）并加盖双方单位公章（或合同专用章）后生效。</w:t>
      </w:r>
    </w:p>
    <w:p w14:paraId="1EBC282C">
      <w:pPr>
        <w:pStyle w:val="79"/>
        <w:spacing w:after="0"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3"/>
          <w:sz w:val="30"/>
          <w:szCs w:val="30"/>
          <w:highlight w:val="none"/>
        </w:rPr>
        <w:t>十四、合同份数</w:t>
      </w:r>
    </w:p>
    <w:p w14:paraId="7F244B77">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ascii="Times New Roman" w:hAnsi="Times New Roman" w:eastAsia="仿宋_GB2312"/>
          <w:bCs/>
          <w:color w:val="auto"/>
          <w:sz w:val="30"/>
          <w:szCs w:val="30"/>
          <w:highlight w:val="none"/>
        </w:rPr>
        <w:t>本</w:t>
      </w:r>
      <w:r>
        <w:rPr>
          <w:rFonts w:hint="eastAsia" w:ascii="Times New Roman" w:hAnsi="Times New Roman" w:eastAsia="仿宋_GB2312"/>
          <w:bCs/>
          <w:color w:val="auto"/>
          <w:sz w:val="30"/>
          <w:szCs w:val="30"/>
          <w:highlight w:val="none"/>
          <w:lang w:val="en-US" w:eastAsia="zh-CN"/>
        </w:rPr>
        <w:t>合同</w:t>
      </w:r>
      <w:r>
        <w:rPr>
          <w:rFonts w:ascii="Times New Roman" w:hAnsi="Times New Roman" w:eastAsia="仿宋_GB2312"/>
          <w:bCs/>
          <w:color w:val="auto"/>
          <w:sz w:val="30"/>
          <w:szCs w:val="30"/>
          <w:highlight w:val="none"/>
        </w:rPr>
        <w:t>正本</w:t>
      </w:r>
      <w:r>
        <w:rPr>
          <w:rFonts w:hint="eastAsia" w:ascii="Times New Roman" w:hAnsi="Times New Roman" w:eastAsia="仿宋_GB2312"/>
          <w:bCs/>
          <w:color w:val="auto"/>
          <w:sz w:val="30"/>
          <w:szCs w:val="30"/>
          <w:highlight w:val="none"/>
        </w:rPr>
        <w:t>一</w:t>
      </w:r>
      <w:r>
        <w:rPr>
          <w:rFonts w:ascii="Times New Roman" w:hAnsi="Times New Roman" w:eastAsia="仿宋_GB2312"/>
          <w:bCs/>
          <w:color w:val="auto"/>
          <w:sz w:val="30"/>
          <w:szCs w:val="30"/>
          <w:highlight w:val="none"/>
        </w:rPr>
        <w:t>式</w:t>
      </w:r>
      <w:r>
        <w:rPr>
          <w:rFonts w:hint="eastAsia" w:ascii="Times New Roman" w:hAnsi="Times New Roman" w:eastAsia="仿宋_GB2312"/>
          <w:bCs/>
          <w:color w:val="auto"/>
          <w:sz w:val="30"/>
          <w:szCs w:val="30"/>
          <w:highlight w:val="none"/>
        </w:rPr>
        <w:t>二</w:t>
      </w:r>
      <w:r>
        <w:rPr>
          <w:rFonts w:ascii="Times New Roman" w:hAnsi="Times New Roman" w:eastAsia="仿宋_GB2312"/>
          <w:bCs/>
          <w:color w:val="auto"/>
          <w:sz w:val="30"/>
          <w:szCs w:val="30"/>
          <w:highlight w:val="none"/>
        </w:rPr>
        <w:t>份，甲方和乙方各执</w:t>
      </w:r>
      <w:r>
        <w:rPr>
          <w:rFonts w:hint="eastAsia" w:ascii="Times New Roman" w:hAnsi="Times New Roman" w:eastAsia="仿宋_GB2312"/>
          <w:bCs/>
          <w:color w:val="auto"/>
          <w:sz w:val="30"/>
          <w:szCs w:val="30"/>
          <w:highlight w:val="none"/>
        </w:rPr>
        <w:t>一</w:t>
      </w:r>
      <w:r>
        <w:rPr>
          <w:rFonts w:ascii="Times New Roman" w:hAnsi="Times New Roman" w:eastAsia="仿宋_GB2312"/>
          <w:bCs/>
          <w:color w:val="auto"/>
          <w:sz w:val="30"/>
          <w:szCs w:val="30"/>
          <w:highlight w:val="none"/>
        </w:rPr>
        <w:t>份。副本</w:t>
      </w:r>
      <w:r>
        <w:rPr>
          <w:rFonts w:hint="eastAsia" w:eastAsia="仿宋_GB2312"/>
          <w:bCs/>
          <w:color w:val="auto"/>
          <w:sz w:val="30"/>
          <w:szCs w:val="30"/>
          <w:highlight w:val="none"/>
        </w:rPr>
        <w:t>一</w:t>
      </w:r>
      <w:r>
        <w:rPr>
          <w:rFonts w:ascii="Times New Roman" w:hAnsi="Times New Roman" w:eastAsia="仿宋_GB2312"/>
          <w:bCs/>
          <w:color w:val="auto"/>
          <w:sz w:val="30"/>
          <w:szCs w:val="30"/>
          <w:highlight w:val="none"/>
        </w:rPr>
        <w:t>式</w:t>
      </w:r>
      <w:r>
        <w:rPr>
          <w:rFonts w:ascii="Times New Roman" w:hAnsi="Times New Roman" w:eastAsia="仿宋_GB2312"/>
          <w:bCs/>
          <w:color w:val="auto"/>
          <w:sz w:val="30"/>
          <w:szCs w:val="30"/>
          <w:highlight w:val="none"/>
          <w:u w:val="single"/>
        </w:rPr>
        <w:t xml:space="preserve">        </w:t>
      </w:r>
      <w:r>
        <w:rPr>
          <w:rFonts w:ascii="Times New Roman" w:hAnsi="Times New Roman" w:eastAsia="仿宋_GB2312"/>
          <w:bCs/>
          <w:color w:val="auto"/>
          <w:sz w:val="30"/>
          <w:szCs w:val="30"/>
          <w:highlight w:val="none"/>
        </w:rPr>
        <w:t>份，甲方</w:t>
      </w:r>
      <w:r>
        <w:rPr>
          <w:rFonts w:hint="eastAsia" w:ascii="Times New Roman" w:hAnsi="Times New Roman" w:eastAsia="仿宋_GB2312"/>
          <w:bCs/>
          <w:color w:val="auto"/>
          <w:sz w:val="30"/>
          <w:szCs w:val="30"/>
          <w:highlight w:val="none"/>
        </w:rPr>
        <w:t>执</w:t>
      </w:r>
      <w:r>
        <w:rPr>
          <w:rFonts w:ascii="Times New Roman" w:hAnsi="Times New Roman" w:eastAsia="仿宋_GB2312"/>
          <w:bCs/>
          <w:color w:val="auto"/>
          <w:sz w:val="30"/>
          <w:szCs w:val="30"/>
          <w:highlight w:val="none"/>
          <w:u w:val="single"/>
        </w:rPr>
        <w:t xml:space="preserve">    </w:t>
      </w:r>
      <w:r>
        <w:rPr>
          <w:rFonts w:ascii="Times New Roman" w:hAnsi="Times New Roman" w:eastAsia="仿宋_GB2312"/>
          <w:bCs/>
          <w:color w:val="auto"/>
          <w:sz w:val="30"/>
          <w:szCs w:val="30"/>
          <w:highlight w:val="none"/>
        </w:rPr>
        <w:t>份，乙方</w:t>
      </w:r>
      <w:r>
        <w:rPr>
          <w:rFonts w:hint="eastAsia" w:ascii="Times New Roman" w:hAnsi="Times New Roman" w:eastAsia="仿宋_GB2312"/>
          <w:bCs/>
          <w:color w:val="auto"/>
          <w:sz w:val="30"/>
          <w:szCs w:val="30"/>
          <w:highlight w:val="none"/>
        </w:rPr>
        <w:t>执</w:t>
      </w:r>
      <w:r>
        <w:rPr>
          <w:rFonts w:ascii="Times New Roman" w:hAnsi="Times New Roman" w:eastAsia="仿宋_GB2312"/>
          <w:bCs/>
          <w:color w:val="auto"/>
          <w:sz w:val="30"/>
          <w:szCs w:val="30"/>
          <w:highlight w:val="none"/>
          <w:u w:val="single"/>
        </w:rPr>
        <w:t xml:space="preserve">    </w:t>
      </w:r>
      <w:r>
        <w:rPr>
          <w:rFonts w:ascii="Times New Roman" w:hAnsi="Times New Roman" w:eastAsia="仿宋_GB2312"/>
          <w:bCs/>
          <w:color w:val="auto"/>
          <w:sz w:val="30"/>
          <w:szCs w:val="30"/>
          <w:highlight w:val="none"/>
        </w:rPr>
        <w:t>份，</w:t>
      </w:r>
      <w:r>
        <w:rPr>
          <w:rFonts w:hint="eastAsia" w:ascii="Times New Roman" w:hAnsi="Times New Roman" w:eastAsia="仿宋_GB2312"/>
          <w:bCs/>
          <w:color w:val="auto"/>
          <w:sz w:val="30"/>
          <w:szCs w:val="30"/>
          <w:highlight w:val="none"/>
        </w:rPr>
        <w:t>均</w:t>
      </w:r>
      <w:r>
        <w:rPr>
          <w:rFonts w:ascii="Times New Roman" w:hAnsi="Times New Roman" w:eastAsia="仿宋_GB2312"/>
          <w:bCs/>
          <w:color w:val="auto"/>
          <w:sz w:val="30"/>
          <w:szCs w:val="30"/>
          <w:highlight w:val="none"/>
        </w:rPr>
        <w:t>具有同等法律效力。</w:t>
      </w:r>
    </w:p>
    <w:p w14:paraId="2B9A8F3D">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（以下无正文）</w:t>
      </w:r>
    </w:p>
    <w:p w14:paraId="72F1A70C">
      <w:pPr>
        <w:pStyle w:val="78"/>
        <w:spacing w:line="360" w:lineRule="auto"/>
        <w:rPr>
          <w:rFonts w:ascii="仿宋_GB2312" w:hAnsi="仿宋_GB2312" w:eastAsia="仿宋_GB2312" w:cs="仿宋_GB2312"/>
          <w:color w:val="auto"/>
          <w:sz w:val="30"/>
          <w:szCs w:val="30"/>
          <w:highlight w:val="none"/>
        </w:rPr>
      </w:pPr>
    </w:p>
    <w:p w14:paraId="0908B58E">
      <w:pPr>
        <w:pStyle w:val="78"/>
        <w:spacing w:line="360" w:lineRule="auto"/>
        <w:rPr>
          <w:rFonts w:ascii="仿宋_GB2312" w:hAnsi="仿宋_GB2312" w:eastAsia="仿宋_GB2312" w:cs="仿宋_GB2312"/>
          <w:color w:val="auto"/>
          <w:sz w:val="30"/>
          <w:szCs w:val="30"/>
          <w:highlight w:val="none"/>
        </w:rPr>
      </w:pPr>
    </w:p>
    <w:p w14:paraId="36DA9784">
      <w:pPr>
        <w:pStyle w:val="78"/>
        <w:spacing w:line="360" w:lineRule="auto"/>
        <w:rPr>
          <w:rFonts w:ascii="仿宋_GB2312" w:hAnsi="仿宋_GB2312" w:eastAsia="仿宋_GB2312" w:cs="仿宋_GB2312"/>
          <w:color w:val="auto"/>
          <w:sz w:val="30"/>
          <w:szCs w:val="30"/>
          <w:highlight w:val="none"/>
        </w:rPr>
      </w:pPr>
    </w:p>
    <w:p w14:paraId="1AC75A1A">
      <w:pPr>
        <w:pStyle w:val="78"/>
        <w:spacing w:line="360" w:lineRule="auto"/>
        <w:rPr>
          <w:rFonts w:ascii="仿宋_GB2312" w:hAnsi="仿宋_GB2312" w:eastAsia="仿宋_GB2312" w:cs="仿宋_GB2312"/>
          <w:color w:val="auto"/>
          <w:sz w:val="30"/>
          <w:szCs w:val="30"/>
          <w:highlight w:val="none"/>
        </w:rPr>
      </w:pPr>
    </w:p>
    <w:p w14:paraId="2EF818EE">
      <w:pPr>
        <w:pStyle w:val="78"/>
        <w:spacing w:line="360" w:lineRule="auto"/>
        <w:rPr>
          <w:rFonts w:ascii="仿宋_GB2312" w:hAnsi="仿宋_GB2312" w:eastAsia="仿宋_GB2312" w:cs="仿宋_GB2312"/>
          <w:color w:val="auto"/>
          <w:sz w:val="30"/>
          <w:szCs w:val="30"/>
          <w:highlight w:val="none"/>
        </w:rPr>
      </w:pPr>
    </w:p>
    <w:p w14:paraId="08D47CB0">
      <w:pPr>
        <w:pStyle w:val="78"/>
        <w:spacing w:line="360" w:lineRule="auto"/>
        <w:rPr>
          <w:rFonts w:ascii="仿宋_GB2312" w:hAnsi="仿宋_GB2312" w:eastAsia="仿宋_GB2312" w:cs="仿宋_GB2312"/>
          <w:color w:val="auto"/>
          <w:sz w:val="30"/>
          <w:szCs w:val="30"/>
          <w:highlight w:val="none"/>
        </w:rPr>
      </w:pPr>
    </w:p>
    <w:p w14:paraId="12DB6B15">
      <w:pPr>
        <w:pStyle w:val="78"/>
        <w:spacing w:line="360" w:lineRule="auto"/>
        <w:rPr>
          <w:rFonts w:ascii="仿宋_GB2312" w:hAnsi="仿宋_GB2312" w:eastAsia="仿宋_GB2312" w:cs="仿宋_GB2312"/>
          <w:color w:val="auto"/>
          <w:sz w:val="30"/>
          <w:szCs w:val="30"/>
          <w:highlight w:val="none"/>
        </w:rPr>
      </w:pPr>
    </w:p>
    <w:p w14:paraId="085AD062">
      <w:pPr>
        <w:pStyle w:val="78"/>
        <w:spacing w:line="360" w:lineRule="auto"/>
        <w:rPr>
          <w:rFonts w:ascii="仿宋_GB2312" w:hAnsi="仿宋_GB2312" w:eastAsia="仿宋_GB2312" w:cs="仿宋_GB2312"/>
          <w:color w:val="auto"/>
          <w:sz w:val="30"/>
          <w:szCs w:val="30"/>
          <w:highlight w:val="none"/>
        </w:rPr>
      </w:pPr>
    </w:p>
    <w:p w14:paraId="023FE2E2">
      <w:pPr>
        <w:pStyle w:val="78"/>
        <w:spacing w:after="200" w:line="360" w:lineRule="auto"/>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（此页为签署页，无正文）</w:t>
      </w:r>
    </w:p>
    <w:p w14:paraId="759F055C">
      <w:pPr>
        <w:pStyle w:val="78"/>
        <w:spacing w:line="360" w:lineRule="auto"/>
        <w:rPr>
          <w:rFonts w:ascii="仿宋_GB2312" w:hAnsi="仿宋_GB2312" w:eastAsia="仿宋_GB2312" w:cs="仿宋_GB2312"/>
          <w:color w:val="auto"/>
          <w:sz w:val="30"/>
          <w:szCs w:val="30"/>
          <w:highlight w:val="none"/>
        </w:rPr>
      </w:pPr>
    </w:p>
    <w:tbl>
      <w:tblPr>
        <w:tblStyle w:val="3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58"/>
        <w:gridCol w:w="4258"/>
      </w:tblGrid>
      <w:tr w14:paraId="37B6D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8" w:type="dxa"/>
            <w:tcBorders>
              <w:tl2br w:val="nil"/>
              <w:tr2bl w:val="nil"/>
            </w:tcBorders>
          </w:tcPr>
          <w:p w14:paraId="1CFFE546">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发包人：(盖章)</w:t>
            </w:r>
          </w:p>
        </w:tc>
        <w:tc>
          <w:tcPr>
            <w:tcW w:w="4258" w:type="dxa"/>
            <w:tcBorders>
              <w:tl2br w:val="nil"/>
              <w:tr2bl w:val="nil"/>
            </w:tcBorders>
          </w:tcPr>
          <w:p w14:paraId="48B2A76F">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设计人：(盖章)</w:t>
            </w:r>
          </w:p>
        </w:tc>
      </w:tr>
      <w:tr w14:paraId="221538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8" w:type="dxa"/>
            <w:tcBorders>
              <w:tl2br w:val="nil"/>
              <w:tr2bl w:val="nil"/>
            </w:tcBorders>
          </w:tcPr>
          <w:p w14:paraId="17B1430B">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法定代表人或其委托代理人：</w:t>
            </w:r>
          </w:p>
        </w:tc>
        <w:tc>
          <w:tcPr>
            <w:tcW w:w="4258" w:type="dxa"/>
            <w:tcBorders>
              <w:tl2br w:val="nil"/>
              <w:tr2bl w:val="nil"/>
            </w:tcBorders>
          </w:tcPr>
          <w:p w14:paraId="5B24A1A3">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法定代表人或其委托代理人：</w:t>
            </w:r>
          </w:p>
        </w:tc>
      </w:tr>
      <w:tr w14:paraId="21FA74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2" w:hRule="atLeast"/>
        </w:trPr>
        <w:tc>
          <w:tcPr>
            <w:tcW w:w="4258" w:type="dxa"/>
            <w:tcBorders>
              <w:tl2br w:val="nil"/>
              <w:tr2bl w:val="nil"/>
            </w:tcBorders>
          </w:tcPr>
          <w:p w14:paraId="48119CA9">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（签字或盖章）</w:t>
            </w:r>
          </w:p>
        </w:tc>
        <w:tc>
          <w:tcPr>
            <w:tcW w:w="4258" w:type="dxa"/>
            <w:tcBorders>
              <w:tl2br w:val="nil"/>
              <w:tr2bl w:val="nil"/>
            </w:tcBorders>
          </w:tcPr>
          <w:p w14:paraId="5140CE02">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（签字或盖章）</w:t>
            </w:r>
          </w:p>
        </w:tc>
      </w:tr>
      <w:tr w14:paraId="526976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8" w:type="dxa"/>
            <w:tcBorders>
              <w:tl2br w:val="nil"/>
              <w:tr2bl w:val="nil"/>
            </w:tcBorders>
          </w:tcPr>
          <w:p w14:paraId="4C7D1CA0">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统一社会信用代码：</w:t>
            </w:r>
          </w:p>
        </w:tc>
        <w:tc>
          <w:tcPr>
            <w:tcW w:w="4258" w:type="dxa"/>
            <w:tcBorders>
              <w:tl2br w:val="nil"/>
              <w:tr2bl w:val="nil"/>
            </w:tcBorders>
          </w:tcPr>
          <w:p w14:paraId="00D3A350">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统一社会信用代码：</w:t>
            </w:r>
          </w:p>
        </w:tc>
      </w:tr>
      <w:tr w14:paraId="6F2848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258" w:type="dxa"/>
            <w:tcBorders>
              <w:tl2br w:val="nil"/>
              <w:tr2bl w:val="nil"/>
            </w:tcBorders>
          </w:tcPr>
          <w:p w14:paraId="6768B9C8">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地址：</w:t>
            </w:r>
          </w:p>
        </w:tc>
        <w:tc>
          <w:tcPr>
            <w:tcW w:w="4258" w:type="dxa"/>
            <w:tcBorders>
              <w:tl2br w:val="nil"/>
              <w:tr2bl w:val="nil"/>
            </w:tcBorders>
          </w:tcPr>
          <w:p w14:paraId="55883DF5">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地址</w:t>
            </w:r>
            <w:r>
              <w:rPr>
                <w:rFonts w:ascii="仿宋_GB2312" w:hAnsi="仿宋_GB2312" w:eastAsia="仿宋_GB2312" w:cs="仿宋_GB2312"/>
                <w:color w:val="auto"/>
                <w:sz w:val="30"/>
                <w:szCs w:val="30"/>
                <w:highlight w:val="none"/>
              </w:rPr>
              <w:t>：</w:t>
            </w:r>
          </w:p>
        </w:tc>
      </w:tr>
      <w:tr w14:paraId="7AEB66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8" w:type="dxa"/>
            <w:tcBorders>
              <w:tl2br w:val="nil"/>
              <w:tr2bl w:val="nil"/>
            </w:tcBorders>
          </w:tcPr>
          <w:p w14:paraId="4BE73239">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法定代表人：</w:t>
            </w:r>
          </w:p>
        </w:tc>
        <w:tc>
          <w:tcPr>
            <w:tcW w:w="4258" w:type="dxa"/>
            <w:tcBorders>
              <w:tl2br w:val="nil"/>
              <w:tr2bl w:val="nil"/>
            </w:tcBorders>
          </w:tcPr>
          <w:p w14:paraId="48D00CB3">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法定代表人：</w:t>
            </w:r>
          </w:p>
        </w:tc>
      </w:tr>
      <w:tr w14:paraId="1B6819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8" w:type="dxa"/>
            <w:tcBorders>
              <w:tl2br w:val="nil"/>
              <w:tr2bl w:val="nil"/>
            </w:tcBorders>
          </w:tcPr>
          <w:p w14:paraId="58BDB746">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电话：</w:t>
            </w:r>
          </w:p>
        </w:tc>
        <w:tc>
          <w:tcPr>
            <w:tcW w:w="4258" w:type="dxa"/>
            <w:tcBorders>
              <w:tl2br w:val="nil"/>
              <w:tr2bl w:val="nil"/>
            </w:tcBorders>
          </w:tcPr>
          <w:p w14:paraId="74853695">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电话：</w:t>
            </w:r>
          </w:p>
        </w:tc>
      </w:tr>
      <w:tr w14:paraId="281B9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8" w:type="dxa"/>
            <w:tcBorders>
              <w:tl2br w:val="nil"/>
              <w:tr2bl w:val="nil"/>
            </w:tcBorders>
          </w:tcPr>
          <w:p w14:paraId="2F12A490">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电子信箱：</w:t>
            </w:r>
          </w:p>
        </w:tc>
        <w:tc>
          <w:tcPr>
            <w:tcW w:w="4258" w:type="dxa"/>
            <w:tcBorders>
              <w:tl2br w:val="nil"/>
              <w:tr2bl w:val="nil"/>
            </w:tcBorders>
          </w:tcPr>
          <w:p w14:paraId="52FA7E7E">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电子信箱：</w:t>
            </w:r>
          </w:p>
        </w:tc>
      </w:tr>
      <w:tr w14:paraId="2BDA49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8" w:type="dxa"/>
            <w:tcBorders>
              <w:tl2br w:val="nil"/>
              <w:tr2bl w:val="nil"/>
            </w:tcBorders>
          </w:tcPr>
          <w:p w14:paraId="1992409B">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开户银行：</w:t>
            </w:r>
          </w:p>
        </w:tc>
        <w:tc>
          <w:tcPr>
            <w:tcW w:w="4258" w:type="dxa"/>
            <w:tcBorders>
              <w:tl2br w:val="nil"/>
              <w:tr2bl w:val="nil"/>
            </w:tcBorders>
          </w:tcPr>
          <w:p w14:paraId="398A7204">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开户银行：</w:t>
            </w:r>
          </w:p>
        </w:tc>
      </w:tr>
      <w:tr w14:paraId="4FBF86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8" w:type="dxa"/>
            <w:tcBorders>
              <w:tl2br w:val="nil"/>
              <w:tr2bl w:val="nil"/>
            </w:tcBorders>
          </w:tcPr>
          <w:p w14:paraId="34DC782E">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账号：</w:t>
            </w:r>
          </w:p>
        </w:tc>
        <w:tc>
          <w:tcPr>
            <w:tcW w:w="4258" w:type="dxa"/>
            <w:tcBorders>
              <w:tl2br w:val="nil"/>
              <w:tr2bl w:val="nil"/>
            </w:tcBorders>
          </w:tcPr>
          <w:p w14:paraId="12B700F3">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账号：</w:t>
            </w:r>
          </w:p>
        </w:tc>
      </w:tr>
    </w:tbl>
    <w:p w14:paraId="1C2B6378">
      <w:pPr>
        <w:pStyle w:val="79"/>
        <w:spacing w:before="156" w:line="221" w:lineRule="auto"/>
        <w:ind w:left="20"/>
        <w:rPr>
          <w:rFonts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rPr>
        <w:br w:type="page"/>
      </w:r>
    </w:p>
    <w:p w14:paraId="5A4E1A88">
      <w:pPr>
        <w:pStyle w:val="6"/>
        <w:rPr>
          <w:color w:val="auto"/>
          <w:highlight w:val="none"/>
        </w:rPr>
        <w:sectPr>
          <w:footerReference r:id="rId9" w:type="default"/>
          <w:pgSz w:w="11906" w:h="16838"/>
          <w:pgMar w:top="1440" w:right="1531" w:bottom="1440" w:left="1531" w:header="851" w:footer="992" w:gutter="0"/>
          <w:pgBorders>
            <w:top w:val="none" w:sz="0" w:space="0"/>
            <w:left w:val="none" w:sz="0" w:space="0"/>
            <w:bottom w:val="none" w:sz="0" w:space="0"/>
            <w:right w:val="none" w:sz="0" w:space="0"/>
          </w:pgBorders>
          <w:pgNumType w:start="1"/>
          <w:cols w:space="425" w:num="1"/>
          <w:docGrid w:type="lines" w:linePitch="312" w:charSpace="0"/>
        </w:sectPr>
      </w:pPr>
      <w:bookmarkStart w:id="1180" w:name="_Toc137596542"/>
      <w:bookmarkStart w:id="1181" w:name="_Toc3572"/>
      <w:bookmarkStart w:id="1182" w:name="_Toc256000293"/>
    </w:p>
    <w:p w14:paraId="1A590A6C">
      <w:pPr>
        <w:pStyle w:val="6"/>
        <w:rPr>
          <w:color w:val="auto"/>
          <w:highlight w:val="none"/>
        </w:rPr>
        <w:sectPr>
          <w:pgSz w:w="11906" w:h="16838"/>
          <w:pgMar w:top="1440" w:right="1531" w:bottom="1440" w:left="1531" w:header="851" w:footer="992" w:gutter="0"/>
          <w:pgBorders>
            <w:top w:val="none" w:sz="0" w:space="0"/>
            <w:left w:val="none" w:sz="0" w:space="0"/>
            <w:bottom w:val="none" w:sz="0" w:space="0"/>
            <w:right w:val="none" w:sz="0" w:space="0"/>
          </w:pgBorders>
          <w:cols w:space="425" w:num="1"/>
          <w:docGrid w:type="lines" w:linePitch="312" w:charSpace="0"/>
        </w:sectPr>
      </w:pPr>
      <w:bookmarkStart w:id="1183" w:name="_Toc21034"/>
      <w:bookmarkStart w:id="1184" w:name="_Toc15109"/>
      <w:bookmarkStart w:id="1185" w:name="_Toc17470"/>
      <w:bookmarkStart w:id="1186" w:name="_Toc22114"/>
      <w:bookmarkStart w:id="1187" w:name="_Toc20677"/>
      <w:bookmarkStart w:id="1188" w:name="_Toc15086"/>
      <w:r>
        <w:rPr>
          <w:color w:val="auto"/>
          <w:highlight w:val="none"/>
        </w:rPr>
        <w:t>第二部分　合同澄清文件</w:t>
      </w:r>
      <w:bookmarkEnd w:id="1183"/>
      <w:r>
        <w:rPr>
          <w:rFonts w:hint="eastAsia"/>
          <w:color w:val="auto"/>
          <w:highlight w:val="none"/>
        </w:rPr>
        <w:t>（如有）</w:t>
      </w:r>
      <w:bookmarkEnd w:id="1184"/>
      <w:bookmarkEnd w:id="1185"/>
      <w:bookmarkEnd w:id="1186"/>
      <w:bookmarkEnd w:id="1187"/>
      <w:bookmarkEnd w:id="1188"/>
    </w:p>
    <w:p w14:paraId="50089F32">
      <w:pPr>
        <w:pStyle w:val="6"/>
        <w:rPr>
          <w:color w:val="auto"/>
          <w:highlight w:val="none"/>
        </w:rPr>
        <w:sectPr>
          <w:pgSz w:w="11906" w:h="16838"/>
          <w:pgMar w:top="1440" w:right="1531" w:bottom="1440" w:left="1531" w:header="851" w:footer="992" w:gutter="0"/>
          <w:pgBorders>
            <w:top w:val="none" w:sz="0" w:space="0"/>
            <w:left w:val="none" w:sz="0" w:space="0"/>
            <w:bottom w:val="none" w:sz="0" w:space="0"/>
            <w:right w:val="none" w:sz="0" w:space="0"/>
          </w:pgBorders>
          <w:cols w:space="425" w:num="1"/>
          <w:docGrid w:type="lines" w:linePitch="312" w:charSpace="0"/>
        </w:sectPr>
      </w:pPr>
      <w:bookmarkStart w:id="1189" w:name="_Toc29533"/>
      <w:bookmarkStart w:id="1190" w:name="_Toc3843"/>
      <w:bookmarkStart w:id="1191" w:name="_Toc2858"/>
      <w:bookmarkStart w:id="1192" w:name="_Toc11262"/>
      <w:bookmarkStart w:id="1193" w:name="_Toc25773"/>
      <w:bookmarkStart w:id="1194" w:name="_Toc18937"/>
      <w:bookmarkStart w:id="1195" w:name="_Toc14780"/>
      <w:r>
        <w:rPr>
          <w:rFonts w:hint="eastAsia"/>
          <w:color w:val="auto"/>
          <w:highlight w:val="none"/>
        </w:rPr>
        <w:t>第三部分 中标</w:t>
      </w:r>
      <w:bookmarkEnd w:id="1189"/>
      <w:bookmarkEnd w:id="1190"/>
      <w:r>
        <w:rPr>
          <w:rFonts w:hint="eastAsia"/>
          <w:color w:val="auto"/>
          <w:highlight w:val="none"/>
        </w:rPr>
        <w:t>（选）通知书或委托书（如有）</w:t>
      </w:r>
      <w:bookmarkEnd w:id="1191"/>
      <w:bookmarkEnd w:id="1192"/>
      <w:bookmarkEnd w:id="1193"/>
      <w:bookmarkEnd w:id="1194"/>
      <w:bookmarkEnd w:id="1195"/>
    </w:p>
    <w:p w14:paraId="145A7AC3">
      <w:pPr>
        <w:pStyle w:val="6"/>
        <w:rPr>
          <w:color w:val="auto"/>
          <w:highlight w:val="none"/>
        </w:rPr>
        <w:sectPr>
          <w:pgSz w:w="11906" w:h="16838"/>
          <w:pgMar w:top="1440" w:right="1531" w:bottom="1440" w:left="1531" w:header="851" w:footer="992" w:gutter="0"/>
          <w:pgBorders>
            <w:top w:val="none" w:sz="0" w:space="0"/>
            <w:left w:val="none" w:sz="0" w:space="0"/>
            <w:bottom w:val="none" w:sz="0" w:space="0"/>
            <w:right w:val="none" w:sz="0" w:space="0"/>
          </w:pgBorders>
          <w:cols w:space="425" w:num="1"/>
          <w:docGrid w:type="lines" w:linePitch="312" w:charSpace="0"/>
        </w:sectPr>
      </w:pPr>
      <w:bookmarkStart w:id="1196" w:name="_Toc7915"/>
      <w:bookmarkStart w:id="1197" w:name="_Toc24005"/>
      <w:bookmarkStart w:id="1198" w:name="_Toc24283"/>
      <w:bookmarkStart w:id="1199" w:name="_Toc18379"/>
      <w:bookmarkStart w:id="1200" w:name="_Toc84"/>
      <w:bookmarkStart w:id="1201" w:name="_Toc19752"/>
      <w:bookmarkStart w:id="1202" w:name="_Toc17513"/>
      <w:bookmarkStart w:id="1203" w:name="_Toc5598"/>
      <w:bookmarkStart w:id="1204" w:name="_Toc3930"/>
      <w:bookmarkStart w:id="1205" w:name="_Toc13888"/>
      <w:bookmarkStart w:id="1206" w:name="_Toc10009"/>
      <w:bookmarkStart w:id="1207" w:name="_Toc30884"/>
      <w:bookmarkStart w:id="1208" w:name="_Toc23818"/>
      <w:r>
        <w:rPr>
          <w:rFonts w:hint="eastAsia"/>
          <w:color w:val="auto"/>
          <w:highlight w:val="none"/>
        </w:rPr>
        <w:t>第四部分 投标函及其附录</w:t>
      </w:r>
      <w:bookmarkEnd w:id="1196"/>
      <w:bookmarkEnd w:id="1197"/>
      <w:bookmarkEnd w:id="1198"/>
      <w:bookmarkEnd w:id="1199"/>
      <w:bookmarkEnd w:id="1200"/>
      <w:bookmarkEnd w:id="1201"/>
      <w:bookmarkEnd w:id="1202"/>
      <w:bookmarkEnd w:id="1203"/>
      <w:r>
        <w:rPr>
          <w:rFonts w:hint="eastAsia"/>
          <w:color w:val="auto"/>
          <w:highlight w:val="none"/>
        </w:rPr>
        <w:t>（如有）</w:t>
      </w:r>
      <w:bookmarkEnd w:id="1204"/>
      <w:bookmarkEnd w:id="1205"/>
      <w:bookmarkEnd w:id="1206"/>
      <w:bookmarkEnd w:id="1207"/>
      <w:bookmarkEnd w:id="1208"/>
    </w:p>
    <w:p w14:paraId="4C55F204">
      <w:pPr>
        <w:pStyle w:val="6"/>
        <w:rPr>
          <w:rFonts w:ascii="仿宋_GB2312" w:hAnsi="仿宋_GB2312" w:cs="仿宋_GB2312"/>
          <w:bCs/>
          <w:color w:val="auto"/>
          <w:szCs w:val="30"/>
          <w:highlight w:val="none"/>
        </w:rPr>
      </w:pPr>
      <w:bookmarkStart w:id="1209" w:name="_Toc20520"/>
      <w:bookmarkStart w:id="1210" w:name="_Toc15524"/>
      <w:bookmarkStart w:id="1211" w:name="_Toc337"/>
      <w:bookmarkStart w:id="1212" w:name="_Toc30516"/>
      <w:bookmarkStart w:id="1213" w:name="_Toc19701"/>
      <w:r>
        <w:rPr>
          <w:rFonts w:hint="eastAsia"/>
          <w:color w:val="auto"/>
          <w:highlight w:val="none"/>
        </w:rPr>
        <w:t>第五部分  通用合同</w:t>
      </w:r>
      <w:bookmarkEnd w:id="1209"/>
      <w:bookmarkEnd w:id="1210"/>
      <w:bookmarkEnd w:id="1211"/>
      <w:r>
        <w:rPr>
          <w:rFonts w:hint="eastAsia"/>
          <w:color w:val="auto"/>
          <w:highlight w:val="none"/>
        </w:rPr>
        <w:t>条款</w:t>
      </w:r>
      <w:bookmarkEnd w:id="1212"/>
      <w:bookmarkEnd w:id="1213"/>
    </w:p>
    <w:p w14:paraId="13B14EF6">
      <w:pPr>
        <w:keepNext/>
        <w:keepLines/>
        <w:spacing w:line="360" w:lineRule="auto"/>
        <w:outlineLvl w:val="1"/>
        <w:rPr>
          <w:rFonts w:ascii="Times New Roman" w:hAnsi="Times New Roman" w:eastAsia="黑体"/>
          <w:b/>
          <w:bCs/>
          <w:color w:val="auto"/>
          <w:sz w:val="32"/>
          <w:szCs w:val="32"/>
          <w:highlight w:val="none"/>
        </w:rPr>
      </w:pPr>
      <w:bookmarkStart w:id="1214" w:name="_Toc19518"/>
      <w:bookmarkStart w:id="1215" w:name="_Toc28527"/>
      <w:bookmarkStart w:id="1216" w:name="_Toc21818"/>
      <w:bookmarkStart w:id="1217" w:name="_Toc24981"/>
      <w:bookmarkStart w:id="1218" w:name="_Toc351203495"/>
      <w:r>
        <w:rPr>
          <w:rFonts w:hint="eastAsia" w:ascii="Times New Roman" w:hAnsi="Times New Roman" w:eastAsia="黑体"/>
          <w:b/>
          <w:bCs/>
          <w:color w:val="auto"/>
          <w:sz w:val="32"/>
          <w:szCs w:val="32"/>
          <w:highlight w:val="none"/>
        </w:rPr>
        <w:t>1. 一</w:t>
      </w:r>
      <w:r>
        <w:rPr>
          <w:rFonts w:hint="eastAsia" w:ascii="Arial" w:hAnsi="Arial" w:eastAsia="黑体"/>
          <w:b/>
          <w:bCs/>
          <w:color w:val="auto"/>
          <w:sz w:val="32"/>
          <w:szCs w:val="32"/>
          <w:highlight w:val="none"/>
        </w:rPr>
        <w:t>般约定</w:t>
      </w:r>
      <w:bookmarkEnd w:id="1214"/>
      <w:bookmarkEnd w:id="1215"/>
      <w:bookmarkEnd w:id="1216"/>
      <w:bookmarkEnd w:id="1217"/>
    </w:p>
    <w:p w14:paraId="758768FA">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1.1 词语定义与解释</w:t>
      </w:r>
    </w:p>
    <w:p w14:paraId="721DA84A">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合同协议书、通用合同条款、专用合同条款中的下列词语具有本款所赋予的含义：</w:t>
      </w:r>
    </w:p>
    <w:p w14:paraId="5F1AFA0B">
      <w:pPr>
        <w:autoSpaceDE w:val="0"/>
        <w:autoSpaceDN w:val="0"/>
        <w:adjustRightInd w:val="0"/>
        <w:spacing w:line="360" w:lineRule="auto"/>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    1.1.1 合同</w:t>
      </w:r>
    </w:p>
    <w:p w14:paraId="01ACE273">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1.1.1.1 合同：是指根据法律规定和合同当事人约定具有约束力的文件，构成合同的文件包括合同协议书、专用合同条款</w:t>
      </w:r>
      <w:r>
        <w:rPr>
          <w:rFonts w:hint="eastAsia" w:ascii="仿宋_GB2312" w:hAnsi="仿宋_GB2312" w:eastAsia="仿宋_GB2312" w:cs="仿宋_GB2312"/>
          <w:color w:val="auto"/>
          <w:sz w:val="30"/>
          <w:szCs w:val="30"/>
          <w:highlight w:val="none"/>
        </w:rPr>
        <w:t>及其附件</w:t>
      </w:r>
      <w:r>
        <w:rPr>
          <w:rFonts w:hint="eastAsia" w:ascii="仿宋_GB2312" w:hAnsi="仿宋_GB2312" w:eastAsia="仿宋_GB2312" w:cs="仿宋_GB2312"/>
          <w:color w:val="auto"/>
          <w:kern w:val="0"/>
          <w:sz w:val="30"/>
          <w:szCs w:val="30"/>
          <w:highlight w:val="none"/>
        </w:rPr>
        <w:t>、通用合同条款、中标通知书（如果有）、投标函及其附录（如果有）、发包人要求、技术标准、发包人提供的上一阶段图纸（如果有）以及其他合同文件。</w:t>
      </w:r>
    </w:p>
    <w:p w14:paraId="534B578F">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1.1.1.2 合同协议书：是指构成合同的由发包人和设计人共同签署的称为“合同协议书”的书面文件。</w:t>
      </w:r>
    </w:p>
    <w:p w14:paraId="47A276A8">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sz w:val="30"/>
          <w:szCs w:val="30"/>
          <w:highlight w:val="none"/>
        </w:rPr>
        <w:t xml:space="preserve">1.1.1.3 </w:t>
      </w:r>
      <w:r>
        <w:rPr>
          <w:rFonts w:hint="eastAsia" w:ascii="仿宋_GB2312" w:hAnsi="仿宋_GB2312" w:eastAsia="仿宋_GB2312" w:cs="仿宋_GB2312"/>
          <w:color w:val="auto"/>
          <w:kern w:val="0"/>
          <w:sz w:val="30"/>
          <w:szCs w:val="30"/>
          <w:highlight w:val="none"/>
        </w:rPr>
        <w:t>中标通知书：是指构成合同的由发包人通知设计人中标的书面文件。</w:t>
      </w:r>
    </w:p>
    <w:p w14:paraId="05939061">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1.1.1.4 投标函：是指构成合同的由设计人填写并签署的用于投标的称为“投标函”的文件。</w:t>
      </w:r>
    </w:p>
    <w:p w14:paraId="6F6A822B">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1.1.1.5 投标函附录：是指构成合同的附在投标函后的称为“投标函附录”的文件。</w:t>
      </w:r>
    </w:p>
    <w:p w14:paraId="237168AA">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1.1.1.6 </w:t>
      </w:r>
      <w:r>
        <w:rPr>
          <w:rFonts w:hint="eastAsia" w:ascii="仿宋_GB2312" w:hAnsi="仿宋_GB2312" w:eastAsia="仿宋_GB2312" w:cs="仿宋_GB2312"/>
          <w:color w:val="auto"/>
          <w:sz w:val="30"/>
          <w:szCs w:val="30"/>
          <w:highlight w:val="none"/>
        </w:rPr>
        <w:t>发包人要求：是指构成合同文件组成部分的，由发包人就工程项目的目的、范围、功能要求及工程设计文件审查的范围和内容等提出相应要求的书面文件，又称设计任务书。</w:t>
      </w:r>
    </w:p>
    <w:p w14:paraId="049237DB">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1.1.1.7 技术标准：是指构成合同的设计应当遵守的或指导设计的国家、行业或地方的技术标准和要求，以及合同约定的技术标准和要求。</w:t>
      </w:r>
    </w:p>
    <w:p w14:paraId="082F7CD8">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1.1.1.8 其他合同文件：是指经合同当事人约定的与工程设计有关的具有合同约束力的文件或书面协议。合同当事人可以在专用合同条款中进行约定。</w:t>
      </w:r>
    </w:p>
    <w:p w14:paraId="6FE061D6">
      <w:pPr>
        <w:autoSpaceDE w:val="0"/>
        <w:autoSpaceDN w:val="0"/>
        <w:adjustRightInd w:val="0"/>
        <w:spacing w:line="360" w:lineRule="auto"/>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    1.1.2 合同当事人及其他相关方</w:t>
      </w:r>
    </w:p>
    <w:p w14:paraId="4F29E0DD">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1.1.2.1 合同当事人：是指发包人和（或）设计人。</w:t>
      </w:r>
    </w:p>
    <w:p w14:paraId="3BA1448B">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1.1.2.2 发包人：是指与设计人签订合同协议书的当事人及取得该当事人资格的合法继承人。</w:t>
      </w:r>
    </w:p>
    <w:p w14:paraId="2FE9D8B5">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1.1.2.3 设计人：是指与发包人签订合同协议书的，具有相应工程设计资质的当事人及取得该当事人资格的合法继承人。</w:t>
      </w:r>
    </w:p>
    <w:p w14:paraId="5FFAFF7C">
      <w:pPr>
        <w:spacing w:line="360" w:lineRule="auto"/>
        <w:ind w:firstLine="585" w:firstLineChars="195"/>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1.1.2.4 分包人：是指按照法律规定和合同约定，分包部分工程设计工作，并与设计人签订分包合同的具有相应资质的法人。</w:t>
      </w:r>
    </w:p>
    <w:p w14:paraId="4FDB0961">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1.1.2.5 发包人代表：是指由发包人指定负责工程设计方面在发包人授权范围内行使发包人权利的人。</w:t>
      </w:r>
    </w:p>
    <w:p w14:paraId="01ED5E71">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1.1.2.6 项目负责人：是指由设计人任命负责工程设计，在设计人授权范围内负责合同履行，且按照法律规定具有相应资格的项目主持人。</w:t>
      </w:r>
    </w:p>
    <w:p w14:paraId="0BE5EF8D">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1.1.2.7 联合体：是指两个以上设计人联合，以一个设计人身份为发包人提供工程设计服务的临时性组织。</w:t>
      </w:r>
    </w:p>
    <w:p w14:paraId="0B467780">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1.1.3 工程设计服务、资料与文件</w:t>
      </w:r>
    </w:p>
    <w:p w14:paraId="4126FDBF">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1.1.3.1 工程设计服务：是指设计人按照合同约定履行的服务，包括工程设计基本服务、工程设计其他服务。</w:t>
      </w:r>
    </w:p>
    <w:p w14:paraId="5D7E72A5">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1.1.3.2 工程设计基本服务：是指设计人根据发包人的委托，提供编制专业建设工程初步设计文件（含初步设计概算）、施工图设计文件服务，并相应提供设计技术交底、解决施工中的设计技术问题、参加试车（试运行）考核和竣工验收等服务。基本服务费用包含在设计费中。</w:t>
      </w:r>
    </w:p>
    <w:p w14:paraId="0DCB8E90">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1.1.3.3 工程设计其他服务：是指发包人根据工程设计实际需要，要求设计人另行提供且发包人应当单独支付费用的服务，包括总体设计服务、主体设计协调服务、采用标准设计和复用设计服务、非标准设备设计文件编制服务、施工图预算编制服务、竣工图编制服务等。</w:t>
      </w:r>
    </w:p>
    <w:p w14:paraId="6E49B09B">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sz w:val="30"/>
          <w:szCs w:val="30"/>
          <w:highlight w:val="none"/>
        </w:rPr>
        <w:t>1.1.3.4 暂停设计：是指发生设计人不能按照合同约定履行全部或部分义务情形而暂时中断工程设计服务的行为。</w:t>
      </w:r>
    </w:p>
    <w:p w14:paraId="15DB5956">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kern w:val="0"/>
          <w:sz w:val="30"/>
          <w:szCs w:val="30"/>
          <w:highlight w:val="none"/>
        </w:rPr>
        <w:t>1.1.3.5 工程设计资料：是指</w:t>
      </w:r>
      <w:r>
        <w:rPr>
          <w:rFonts w:hint="eastAsia" w:ascii="仿宋_GB2312" w:hAnsi="仿宋_GB2312" w:eastAsia="仿宋_GB2312" w:cs="仿宋_GB2312"/>
          <w:color w:val="auto"/>
          <w:sz w:val="30"/>
          <w:szCs w:val="30"/>
          <w:highlight w:val="none"/>
        </w:rPr>
        <w:t>根据合同约定，发包人向设计人提供的用于完成工程设计范围与内容所需要的资料。工程设计资料包括项目基础资料和现场障碍资料。项目基础资料包括经有关部门对项目批准、核准或备案的文件、报告（如选址报告、资源报告、勘察报告、专项评估报告等）、资料（如气象、水文、地质等）、协议（如燃料、水、电、气、运输等）和有关数据等其他基础资料。现场障碍资料包括地上和地下已有的建筑物、构筑物、线缆、管道、受保护的古建筑、古树木等坐标方位、数据和其他相关资料。</w:t>
      </w:r>
    </w:p>
    <w:p w14:paraId="36566E29">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1.1.3.6 工程设计文件：指按照合同约定和技术要求，由设计人向发包人提供的阶段性成果、最终工作成果等，且应当采用合同中双方约定的载体。</w:t>
      </w:r>
    </w:p>
    <w:p w14:paraId="3F9BC9D9">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1.1.4 日期和期限</w:t>
      </w:r>
    </w:p>
    <w:p w14:paraId="06E95DDF">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1.1.4.1 开始设计日期：包括计划开始设计日期和实际开始设计日期。计划开始设计日期是指合同协议书约定的开始设计日期；实际开始设计日期是指发包人发出的开始设计通知中载明的开始设计日期。</w:t>
      </w:r>
    </w:p>
    <w:p w14:paraId="6E6FE7E9">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1.1.4.2 完成设计日期：包括计划完成设计日期和实际完成设计日期。计划完成设计日期是指合同协议书约定的完成设计及相关服务的日期；实际完成设计日期是指设计人交付全部或阶段性设计成果及提供相关服务日期。 </w:t>
      </w:r>
    </w:p>
    <w:p w14:paraId="7BCBA6AA">
      <w:pPr>
        <w:spacing w:line="360" w:lineRule="auto"/>
        <w:ind w:firstLine="608" w:firstLineChars="203"/>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kern w:val="0"/>
          <w:sz w:val="30"/>
          <w:szCs w:val="30"/>
          <w:highlight w:val="none"/>
        </w:rPr>
        <w:t>1.1.4.3 设计周期又称设计工期：是指在合同协议书约定的设计人完成工程设计及相关服务所需的期限，包括按照合同约定所作的期限变更。</w:t>
      </w:r>
    </w:p>
    <w:p w14:paraId="4577948B">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1.1.4.4 基准日期：招标发包的工程设计以投标截止日前28天的日期为基准日期，直接发包的工程设计以合同签订日前28天的日期为基准日期。</w:t>
      </w:r>
    </w:p>
    <w:p w14:paraId="61EC966F">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1.1.4.5 天：除特别指明外，均指日历天。合同中按天计算时间的，开始当天不计入，从次日开始计算，期限最后一天的截止时间为当天24:00时。</w:t>
      </w:r>
    </w:p>
    <w:p w14:paraId="27FAA0CD">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1.1.5 合同价格</w:t>
      </w:r>
    </w:p>
    <w:p w14:paraId="72D09EE8">
      <w:pPr>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kern w:val="0"/>
          <w:sz w:val="30"/>
          <w:szCs w:val="30"/>
          <w:highlight w:val="none"/>
        </w:rPr>
        <w:t>1.1.5.1 签约合同价：是指</w:t>
      </w:r>
      <w:r>
        <w:rPr>
          <w:rFonts w:hint="eastAsia" w:ascii="仿宋_GB2312" w:hAnsi="仿宋_GB2312" w:eastAsia="仿宋_GB2312" w:cs="仿宋_GB2312"/>
          <w:color w:val="auto"/>
          <w:sz w:val="30"/>
          <w:szCs w:val="30"/>
          <w:highlight w:val="none"/>
        </w:rPr>
        <w:t>发包人和设计人在合同协议书中确定的总金额。</w:t>
      </w:r>
    </w:p>
    <w:p w14:paraId="2C73A150">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1.1.5.2 合同价格又称设计费：是指发包人用于支付设计人按照合同约定完成工程设计范围内全部工作的金额，包括合同履行过程中按合同约定发生的价格变化。</w:t>
      </w:r>
    </w:p>
    <w:p w14:paraId="460AF766">
      <w:pPr>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1.1.6 其他</w:t>
      </w:r>
    </w:p>
    <w:p w14:paraId="2BA64F6E">
      <w:pPr>
        <w:spacing w:line="360" w:lineRule="auto"/>
        <w:ind w:firstLine="600" w:firstLineChars="200"/>
        <w:jc w:val="left"/>
        <w:rPr>
          <w:rFonts w:ascii="Times New Roman" w:hAnsi="Times New Roman"/>
          <w:color w:val="auto"/>
          <w:highlight w:val="none"/>
        </w:rPr>
      </w:pPr>
      <w:r>
        <w:rPr>
          <w:rFonts w:hint="eastAsia" w:ascii="仿宋_GB2312" w:hAnsi="仿宋_GB2312" w:eastAsia="仿宋_GB2312" w:cs="仿宋_GB2312"/>
          <w:color w:val="auto"/>
          <w:sz w:val="30"/>
          <w:szCs w:val="30"/>
          <w:highlight w:val="none"/>
        </w:rPr>
        <w:t>1.1.6.1 书面形式：是指合同书、信件和数据电文（包括电报、电传、传真、电子数据交换和电子邮件）等可以有形地表现所载内容的形式。</w:t>
      </w:r>
    </w:p>
    <w:p w14:paraId="7968710B">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1.2 语言文字</w:t>
      </w:r>
    </w:p>
    <w:p w14:paraId="6839DC5E">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合同以中国的汉语简体文字编写、解释和说明。合同当事人在专用合同条款中约定使用两种以上语言时，汉语为优先解释和说明合同的语言。</w:t>
      </w:r>
    </w:p>
    <w:p w14:paraId="5EEE6A88">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1.3 法律</w:t>
      </w:r>
    </w:p>
    <w:p w14:paraId="3237625A">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合同所称法律是指中华人民共和国法律、行政法规、部门规章，以及工程所在地的地方性法规、自治条例、单行条例和地方政府规章等。</w:t>
      </w:r>
    </w:p>
    <w:p w14:paraId="3930FE72">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合同当事人可以在专用合同条款中约定合同适用的其他规范性文件。</w:t>
      </w:r>
    </w:p>
    <w:p w14:paraId="4DFDFAC5">
      <w:pPr>
        <w:keepNext/>
        <w:keepLines/>
        <w:spacing w:before="120" w:after="120" w:line="360" w:lineRule="auto"/>
        <w:ind w:firstLine="602" w:firstLineChars="200"/>
        <w:jc w:val="left"/>
        <w:outlineLvl w:val="2"/>
        <w:rPr>
          <w:rFonts w:ascii="仿宋_GB2312" w:hAnsi="仿宋_GB2312" w:eastAsia="仿宋_GB2312" w:cs="仿宋_GB2312"/>
          <w:bCs/>
          <w:color w:val="auto"/>
          <w:sz w:val="30"/>
          <w:szCs w:val="30"/>
          <w:highlight w:val="none"/>
        </w:rPr>
      </w:pPr>
      <w:r>
        <w:rPr>
          <w:rFonts w:hint="eastAsia" w:ascii="Times New Roman" w:hAnsi="Times New Roman" w:eastAsia="黑体"/>
          <w:b/>
          <w:bCs/>
          <w:color w:val="auto"/>
          <w:sz w:val="30"/>
          <w:szCs w:val="32"/>
          <w:highlight w:val="none"/>
        </w:rPr>
        <w:t>1.4 技术标准</w:t>
      </w:r>
    </w:p>
    <w:p w14:paraId="0027CE50">
      <w:pPr>
        <w:autoSpaceDE w:val="0"/>
        <w:autoSpaceDN w:val="0"/>
        <w:adjustRightInd w:val="0"/>
        <w:spacing w:line="360" w:lineRule="auto"/>
        <w:ind w:firstLine="64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1.4.1 适用于工程的现行有效的国家标准、行业标准、工程所在地的地方性标准，以及相应的规范、规程等，合同当事人有特别要求的，应在专用合同条款中约定。</w:t>
      </w:r>
    </w:p>
    <w:p w14:paraId="4762D576">
      <w:pPr>
        <w:autoSpaceDE w:val="0"/>
        <w:autoSpaceDN w:val="0"/>
        <w:adjustRightInd w:val="0"/>
        <w:spacing w:line="360" w:lineRule="auto"/>
        <w:ind w:firstLine="64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1.4.2 发包人要求使用国外技术标准的，发包人与设计人在专用合同条款中约定原文版本和中文译本提供方及提供标准的名称、份数、时间及费用承担等事项。</w:t>
      </w:r>
    </w:p>
    <w:p w14:paraId="724A0FFC">
      <w:pPr>
        <w:autoSpaceDE w:val="0"/>
        <w:autoSpaceDN w:val="0"/>
        <w:adjustRightInd w:val="0"/>
        <w:spacing w:line="360" w:lineRule="auto"/>
        <w:ind w:firstLine="64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1.4.3 发包人对工程的技术标准、功能要求高于或严于现行国家、行业或地方标准的，应当在专用合同条款中予以明确。除专用合同条款另有约定外，应视为设计人在签订合同前已充分预见前述技术标准和功能要求的复杂程度，签约合同价中已包含由此产生的设计费用。</w:t>
      </w:r>
    </w:p>
    <w:p w14:paraId="328DB42E">
      <w:pPr>
        <w:keepNext/>
        <w:keepLines/>
        <w:spacing w:before="120" w:after="120" w:line="360" w:lineRule="auto"/>
        <w:ind w:firstLine="602" w:firstLineChars="200"/>
        <w:jc w:val="left"/>
        <w:outlineLvl w:val="2"/>
        <w:rPr>
          <w:rFonts w:ascii="仿宋_GB2312" w:hAnsi="仿宋_GB2312" w:eastAsia="仿宋_GB2312" w:cs="仿宋_GB2312"/>
          <w:bCs/>
          <w:color w:val="auto"/>
          <w:sz w:val="30"/>
          <w:szCs w:val="30"/>
          <w:highlight w:val="none"/>
        </w:rPr>
      </w:pPr>
      <w:r>
        <w:rPr>
          <w:rFonts w:hint="eastAsia" w:ascii="Times New Roman" w:hAnsi="Times New Roman" w:eastAsia="黑体"/>
          <w:b/>
          <w:bCs/>
          <w:color w:val="auto"/>
          <w:sz w:val="30"/>
          <w:szCs w:val="32"/>
          <w:highlight w:val="none"/>
        </w:rPr>
        <w:t>1.5 合同文件的优先顺序</w:t>
      </w:r>
    </w:p>
    <w:p w14:paraId="1CB17A6F">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组成合同的各项文件应互相解释，互为说明。除专用合同条款另有约定外，解释合同文件的优先顺序如下：</w:t>
      </w:r>
    </w:p>
    <w:p w14:paraId="038407BD">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（1）合同协议书；</w:t>
      </w:r>
    </w:p>
    <w:p w14:paraId="5568E3D1">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（2）专用合同条款</w:t>
      </w:r>
      <w:r>
        <w:rPr>
          <w:rFonts w:hint="eastAsia" w:ascii="仿宋_GB2312" w:hAnsi="仿宋_GB2312" w:eastAsia="仿宋_GB2312" w:cs="仿宋_GB2312"/>
          <w:color w:val="auto"/>
          <w:sz w:val="30"/>
          <w:szCs w:val="30"/>
          <w:highlight w:val="none"/>
        </w:rPr>
        <w:t>及其附件</w:t>
      </w:r>
      <w:r>
        <w:rPr>
          <w:rFonts w:hint="eastAsia" w:ascii="仿宋_GB2312" w:hAnsi="仿宋_GB2312" w:eastAsia="仿宋_GB2312" w:cs="仿宋_GB2312"/>
          <w:color w:val="auto"/>
          <w:kern w:val="0"/>
          <w:sz w:val="30"/>
          <w:szCs w:val="30"/>
          <w:highlight w:val="none"/>
        </w:rPr>
        <w:t xml:space="preserve">； </w:t>
      </w:r>
    </w:p>
    <w:p w14:paraId="0D81E5E6">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（3）通用合同条款； </w:t>
      </w:r>
    </w:p>
    <w:p w14:paraId="5D54BFBA">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（4）中标通知书（如果有）；</w:t>
      </w:r>
    </w:p>
    <w:p w14:paraId="48725A70">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（5）投标函及其附录（如果有）；</w:t>
      </w:r>
    </w:p>
    <w:p w14:paraId="2B57136F">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（6）发包人要求；</w:t>
      </w:r>
    </w:p>
    <w:p w14:paraId="0B4AD029">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（7）技术标准；</w:t>
      </w:r>
    </w:p>
    <w:p w14:paraId="07ACBA2D">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（8）发包人提供的上一阶段图纸（如果有）；</w:t>
      </w:r>
    </w:p>
    <w:p w14:paraId="48A15051">
      <w:pPr>
        <w:autoSpaceDE w:val="0"/>
        <w:autoSpaceDN w:val="0"/>
        <w:adjustRightInd w:val="0"/>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kern w:val="0"/>
          <w:sz w:val="30"/>
          <w:szCs w:val="30"/>
          <w:highlight w:val="none"/>
        </w:rPr>
        <w:t>（9）其他合同文件。</w:t>
      </w:r>
    </w:p>
    <w:p w14:paraId="29CD848B">
      <w:pPr>
        <w:spacing w:line="360" w:lineRule="auto"/>
        <w:ind w:firstLine="639" w:firstLineChars="213"/>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上述各项合同文件包括合同当事人就该项合同文件所作出的补充和修改，属于同一类内容的文件，应以最新签署的为准。</w:t>
      </w:r>
    </w:p>
    <w:p w14:paraId="1A2F8BA9">
      <w:pPr>
        <w:spacing w:line="360" w:lineRule="auto"/>
        <w:ind w:firstLine="639" w:firstLineChars="213"/>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在合同履行过程中形成的与合同有关的文件均构成合同文件组成部分，并根据其性质确定优先解释顺序。</w:t>
      </w:r>
    </w:p>
    <w:p w14:paraId="45A1192D">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1.6 联络</w:t>
      </w:r>
    </w:p>
    <w:p w14:paraId="02075DEC">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1.6.1 与合同有关的通知、批准、证明、证书、指示、指令、要求、请求、同意</w:t>
      </w:r>
      <w:r>
        <w:rPr>
          <w:rFonts w:hint="eastAsia" w:ascii="仿宋_GB2312" w:hAnsi="仿宋_GB2312" w:eastAsia="仿宋_GB2312" w:cs="仿宋_GB2312"/>
          <w:b/>
          <w:color w:val="auto"/>
          <w:kern w:val="0"/>
          <w:sz w:val="30"/>
          <w:szCs w:val="30"/>
          <w:highlight w:val="none"/>
        </w:rPr>
        <w:t>、</w:t>
      </w:r>
      <w:r>
        <w:rPr>
          <w:rFonts w:hint="eastAsia" w:ascii="仿宋_GB2312" w:hAnsi="仿宋_GB2312" w:eastAsia="仿宋_GB2312" w:cs="仿宋_GB2312"/>
          <w:color w:val="auto"/>
          <w:kern w:val="0"/>
          <w:sz w:val="30"/>
          <w:szCs w:val="30"/>
          <w:highlight w:val="none"/>
        </w:rPr>
        <w:t>确定和决定等，均应采用书面形式，并应在合同约定的期限内送达接收人和送达地点。</w:t>
      </w:r>
    </w:p>
    <w:p w14:paraId="60979D6A">
      <w:pPr>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1.6.2 发包人和设计人应在专用合同条款中约定各自的送达接收人、送达地点、电子邮箱。任何一方合同当事人指定的接收人或送达地点或电子邮箱发生变动的，应提前3天以书面形式通知对方，否则视为未发生变动。</w:t>
      </w:r>
    </w:p>
    <w:p w14:paraId="30710C4C">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1.6.3 发包人和设计人应当及时签收另一方送达至送达地点和指定接收人的来往信函，如确有充分证据证明一方无正当理由拒不签收的，视为拒绝签收一方认可往来信函的内容。</w:t>
      </w:r>
    </w:p>
    <w:p w14:paraId="099EA500">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1.7 严禁贿赂</w:t>
      </w:r>
    </w:p>
    <w:p w14:paraId="17A0F151">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合同当事人不得以贿赂或变相贿赂的方式，谋取非法利益或损害对方权益。因一方合同当事人的贿赂造成对方损失的，应赔偿损失，并承担相应的法律责任。</w:t>
      </w:r>
    </w:p>
    <w:p w14:paraId="6A5E9DD8">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1.8 保密</w:t>
      </w:r>
    </w:p>
    <w:p w14:paraId="16992967">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除法律规定或合同另有约定外，未经发包人同意，设计人不得将发包人提供的图纸、文件以及声明需要保密的资料信息等商业秘密泄露给第三方。</w:t>
      </w:r>
    </w:p>
    <w:p w14:paraId="1DE8EBD9">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除法律规定或合同另有约定外，未经设计人同意，发包人不得将设计人提供的技术文件、技术成果、技术秘密及声明需要保密的资料信息等商业秘密泄露给第三方。</w:t>
      </w:r>
    </w:p>
    <w:p w14:paraId="2CE4B075">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保密期限由发包人与设计人在专用合同条款中约定。</w:t>
      </w:r>
    </w:p>
    <w:p w14:paraId="6605DF8D">
      <w:pPr>
        <w:keepNext/>
        <w:keepLines/>
        <w:spacing w:line="360" w:lineRule="auto"/>
        <w:outlineLvl w:val="1"/>
        <w:rPr>
          <w:rFonts w:ascii="Arial" w:hAnsi="Arial" w:eastAsia="黑体"/>
          <w:b/>
          <w:bCs/>
          <w:color w:val="auto"/>
          <w:sz w:val="32"/>
          <w:szCs w:val="32"/>
          <w:highlight w:val="none"/>
        </w:rPr>
      </w:pPr>
      <w:bookmarkStart w:id="1219" w:name="_Toc12330"/>
      <w:bookmarkStart w:id="1220" w:name="_Toc27410"/>
      <w:bookmarkStart w:id="1221" w:name="_Toc24812"/>
      <w:bookmarkStart w:id="1222" w:name="_Toc23120"/>
      <w:r>
        <w:rPr>
          <w:rFonts w:hint="eastAsia" w:ascii="Arial" w:hAnsi="Arial" w:eastAsia="黑体"/>
          <w:b/>
          <w:bCs/>
          <w:color w:val="auto"/>
          <w:sz w:val="32"/>
          <w:szCs w:val="32"/>
          <w:highlight w:val="none"/>
        </w:rPr>
        <w:t>2. 发包人</w:t>
      </w:r>
      <w:bookmarkEnd w:id="1219"/>
      <w:bookmarkEnd w:id="1220"/>
      <w:bookmarkEnd w:id="1221"/>
      <w:bookmarkEnd w:id="1222"/>
    </w:p>
    <w:p w14:paraId="08FA51AF">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2.1 发包人一般义务</w:t>
      </w:r>
    </w:p>
    <w:p w14:paraId="17E2258F">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2.1.1 发包人应遵守法律，并办理法律规定由其办理的许可、核准或备案，包括但不限于建设用地规划许可证、建设工程规划许可证等许可、核准或备案。</w:t>
      </w:r>
    </w:p>
    <w:p w14:paraId="4124FAEF">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sz w:val="30"/>
          <w:szCs w:val="30"/>
          <w:highlight w:val="none"/>
        </w:rPr>
        <w:t>发包人负责本项目各阶段设计文件向有关管理部门的送审报批工作，并负责将报批结果书面通知设计人。</w:t>
      </w:r>
      <w:r>
        <w:rPr>
          <w:rFonts w:hint="eastAsia" w:ascii="仿宋_GB2312" w:hAnsi="仿宋_GB2312" w:eastAsia="仿宋_GB2312" w:cs="仿宋_GB2312"/>
          <w:color w:val="auto"/>
          <w:kern w:val="0"/>
          <w:sz w:val="30"/>
          <w:szCs w:val="30"/>
          <w:highlight w:val="none"/>
        </w:rPr>
        <w:t>因发包人原因未能及时办理完毕前述许可、核准或备案手续，导致设计工作量增加和（或）设计周期延长时，由发包人承担由此增加的设计费用和（或）延长的设计周期。</w:t>
      </w:r>
    </w:p>
    <w:p w14:paraId="393E482F">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2.1.2 发包人应当负责工程设计的所有外部关系的协调（包括但不限于当地政府主管部门等），为设计人履行合同提供必要的外部条件。</w:t>
      </w:r>
    </w:p>
    <w:p w14:paraId="5C1D356D">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2.1.3 专用合同条款约定的其他义务。</w:t>
      </w:r>
    </w:p>
    <w:p w14:paraId="16195F33">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2.2 发包人代表</w:t>
      </w:r>
    </w:p>
    <w:p w14:paraId="15E0972F">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应在专用合同条款中明确其负责工程设计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在专用合同条款约定的期限内提前书面通知设计人。</w:t>
      </w:r>
    </w:p>
    <w:p w14:paraId="521BFAE2">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发包人代表不能按照合同约定履行其职责及义务，并导致合同无法继续正常履行的，设计人可以要求发包人撤换发包人代表。</w:t>
      </w:r>
    </w:p>
    <w:p w14:paraId="4B1F461B">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2.3 发包人决定</w:t>
      </w:r>
    </w:p>
    <w:p w14:paraId="622286AA">
      <w:pPr>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kern w:val="0"/>
          <w:sz w:val="30"/>
          <w:szCs w:val="30"/>
          <w:highlight w:val="none"/>
        </w:rPr>
        <w:t xml:space="preserve">2.3.1 </w:t>
      </w:r>
      <w:r>
        <w:rPr>
          <w:rFonts w:hint="eastAsia" w:ascii="仿宋_GB2312" w:hAnsi="仿宋_GB2312" w:eastAsia="仿宋_GB2312" w:cs="仿宋_GB2312"/>
          <w:color w:val="auto"/>
          <w:sz w:val="30"/>
          <w:szCs w:val="30"/>
          <w:highlight w:val="none"/>
        </w:rPr>
        <w:t>发包人在法律允许的范围内有权对设计人的设计工作、设计项目和/或设计文件作出处理决定，设计人应按照发包人的决定执行，涉及设计周期或设计费用等问题按本合同第11条〔工程设计变更与索赔〕的约定处理。</w:t>
      </w:r>
    </w:p>
    <w:p w14:paraId="5F15F1AA">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sz w:val="30"/>
          <w:szCs w:val="30"/>
          <w:highlight w:val="none"/>
        </w:rPr>
        <w:t>2.3.2 发包人应在专用合同条款约定的期限内对设计人书面提出的事项作出书面决定，如发包人不在确定时间内作出书面决定，设计人的设计周期相应延长。</w:t>
      </w:r>
    </w:p>
    <w:p w14:paraId="6502668E">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2.4 支付合同价款</w:t>
      </w:r>
    </w:p>
    <w:p w14:paraId="3593AF04">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发包人应按合同约定向设计人及时足额支付合同价款。</w:t>
      </w:r>
    </w:p>
    <w:p w14:paraId="3003CF5D">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2.5 设计文件接收</w:t>
      </w:r>
    </w:p>
    <w:p w14:paraId="1B795706">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发包人应按合同约定及时接收设计人提交的工程设计文件。</w:t>
      </w:r>
    </w:p>
    <w:p w14:paraId="7F6844C7">
      <w:pPr>
        <w:keepNext/>
        <w:keepLines/>
        <w:spacing w:line="360" w:lineRule="auto"/>
        <w:outlineLvl w:val="1"/>
        <w:rPr>
          <w:rFonts w:ascii="Arial" w:hAnsi="Arial" w:eastAsia="黑体"/>
          <w:b/>
          <w:bCs/>
          <w:color w:val="auto"/>
          <w:sz w:val="32"/>
          <w:szCs w:val="32"/>
          <w:highlight w:val="none"/>
        </w:rPr>
      </w:pPr>
      <w:bookmarkStart w:id="1223" w:name="_Toc5496"/>
      <w:bookmarkStart w:id="1224" w:name="_Toc30729"/>
      <w:bookmarkStart w:id="1225" w:name="_Toc16833"/>
      <w:bookmarkStart w:id="1226" w:name="_Toc8614"/>
      <w:r>
        <w:rPr>
          <w:rFonts w:hint="eastAsia" w:ascii="Arial" w:hAnsi="Arial" w:eastAsia="黑体"/>
          <w:b/>
          <w:bCs/>
          <w:color w:val="auto"/>
          <w:sz w:val="32"/>
          <w:szCs w:val="32"/>
          <w:highlight w:val="none"/>
        </w:rPr>
        <w:t>3. 设计人</w:t>
      </w:r>
      <w:bookmarkEnd w:id="1223"/>
      <w:bookmarkEnd w:id="1224"/>
      <w:bookmarkEnd w:id="1225"/>
      <w:bookmarkEnd w:id="1226"/>
    </w:p>
    <w:p w14:paraId="024E0D6E">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3.1 设计人一般义务</w:t>
      </w:r>
    </w:p>
    <w:p w14:paraId="32BDB154">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3.1.1 设计人应遵守法律和有关技术标准的强制性规定，完成合同约定范围内的专业建设工程初步设计、施工图设计，提供符合技术标准及合同要求的工程设计文件，提供施工配合服务。</w:t>
      </w:r>
    </w:p>
    <w:p w14:paraId="359EC289">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设计人应当按照专用合同条款约定配合发包人办理有关许可、核准或备案手续的，因设计人原因造成发包人未能及时办理许可、核准或备案手续，导致设计工作量增加和（或）设计周期延长时，由设计人自行承担由此增加的设计费用和（或）设计周期延长的责任。</w:t>
      </w:r>
    </w:p>
    <w:p w14:paraId="4230404C">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3.1.2 设计人应当完成合同约定的工程设计其他服务。</w:t>
      </w:r>
    </w:p>
    <w:p w14:paraId="4A489B61">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3.1.3 专用合同条款约定的其他义务。</w:t>
      </w:r>
    </w:p>
    <w:p w14:paraId="6BB38495">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3.2 项目负责人</w:t>
      </w:r>
    </w:p>
    <w:p w14:paraId="51596132">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3.2.1 项目负责人应为合同当事人所确认的人选，并在专用合同条款中明确项目负责人的姓名、执业资格及等级与注册执业证书编号或职称、联系方式及授权范围等事项，项目负责人经设计人授权后代表设计人负责履行合同。</w:t>
      </w:r>
    </w:p>
    <w:p w14:paraId="7426039B">
      <w:pPr>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3.2.2 设计人需要更换项目负责人的，应在专用合同条款约定的期限内提前书面通知发包人，并征得发包人书面同意。通知中应当载明继任项目负责人的注册执业资格或职称、管理经验等资料，继任项目负责人继续履行第3.2.1项约定的职责。未经发包人书面同意，设计人不得擅自更换项目负责人。设计人擅自更换项目负责人的，应按照专用合同条款的约定承担违约责任。对于设计人项目负责人确因患病、与设计人解除或终止劳动关系、工伤等原因更换项目负责人的，发包人无正当理由不得拒绝更换。</w:t>
      </w:r>
    </w:p>
    <w:p w14:paraId="2592D39A">
      <w:pPr>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3.2.3 发包人有权书面通知设计人更换其认为不称职的项目负责人，通知中应当载明要求更换的理由。对于发包人有理由的更换要求，设计人应在收到书面更换通知后在专用合同条款约定的期限内进行更换，并将新任命的项目负责人的注册执业资格或职称、管理经验等资料书面通知发包人。继任项目负责人继续履行第3.2.1项约定的职责。设计人无正当理由拒绝更换项目负责人的，应按照专用合同条款的约定承担违约责任。</w:t>
      </w:r>
    </w:p>
    <w:p w14:paraId="66E5ED7B">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3.3 设计人人员</w:t>
      </w:r>
    </w:p>
    <w:p w14:paraId="15F71D93">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3.3.1 除专用合同条款对期限另有约定外，设计人应在接到开始设计通知后7天内，向发包人提交设计人项目管理机构及人员安排的报告，其内容应包括工艺、土建、设备等专业负责人名单及其岗位、注册执业资格或职称等。</w:t>
      </w:r>
    </w:p>
    <w:p w14:paraId="3D0B2CA1">
      <w:pPr>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3.3.2 设计人委派到工程设计中的设计人员应相对稳定。设计过程中如有变动，设计人应及时向发包人提交工程设计人员变动情况的报告。设计人更换专业负责人时，应提前7天书面通知发包人，除专业负责人无法正常履职情形外，还应征得发包人书面同意。通知中应当载明继任人员的注册执业资格或职称、执业经验等资料。</w:t>
      </w:r>
    </w:p>
    <w:p w14:paraId="306D38E9">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3.3.3 发包人对于设计人主要设计人员的资格或能力有异议的，设计人应提供资料证明被质疑人员有能力完成其岗位工作或不存在发包人所质疑的情形。发包人要求撤换不能按照合同约定履行职责及义务的主要设计人员的，设计人认为发包人有理由的，应当撤换。设计人无正当理由拒绝撤换的，应按照专用合同条款的约定承担违约责任。</w:t>
      </w:r>
    </w:p>
    <w:p w14:paraId="31007B77">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3.4 设计分包</w:t>
      </w:r>
    </w:p>
    <w:p w14:paraId="3ABD6BE5">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3.4.1 设计分包的一般约定</w:t>
      </w:r>
    </w:p>
    <w:p w14:paraId="4DB3E577">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设计人不得将其承包的全部工程设计转包给第三人，或将其承包的全部工程设计肢解后以分包的名义转包给第三人。设计人不得将工程主体结构、关键性工作及专用合同条款中禁止分包的工程设计分包给第三人，工程主体结构、关键性工作的范围由合同当事人按照法律规定在专用合同条款中予以明确。设计人不得进行违法分包。</w:t>
      </w:r>
    </w:p>
    <w:p w14:paraId="33258273">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3.4.2 设计分包的确定</w:t>
      </w:r>
    </w:p>
    <w:p w14:paraId="642A2D41">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设计人应按专用合同条款的约定或经过发包人书面同意后进行分包，确定分包人。按照合同约定或经过发包人书面同意后进行分包的，设计人应确保分包人具有相应的资质和能力。工程设计分包不减轻或免除设计人的责任和义务，设计人和分包人就分包工程设计向发包人承担连带责任。</w:t>
      </w:r>
    </w:p>
    <w:p w14:paraId="435A9C6C">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3.4.3 设计分包管理</w:t>
      </w:r>
    </w:p>
    <w:p w14:paraId="0BD965D2">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设计人应按照专用合同条款的约定向发包人提交分包人的主要工程设计人员名单、注册执业资格或职称及执业经历等。</w:t>
      </w:r>
    </w:p>
    <w:p w14:paraId="16EC6B25">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3.4.4 分包工程设计费</w:t>
      </w:r>
    </w:p>
    <w:p w14:paraId="4AA6AD8B">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（1）除本项第（2）目约定的情况或专用合同条款另有约定外，分包工程设计费由设计人与分包人结算，未经设计人同意，发包人不得向分包人支付分包工程设计费；</w:t>
      </w:r>
    </w:p>
    <w:p w14:paraId="4FAE5588">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（2）生效的法院判决书或仲裁裁决书要求发包人向分包人支付分包工程设计费的，发包人有权从应付设计人合同价款中扣除该部分费用。</w:t>
      </w:r>
    </w:p>
    <w:p w14:paraId="0F02B3FE">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3.5 联合体</w:t>
      </w:r>
    </w:p>
    <w:p w14:paraId="4C7E90A4">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3.5.1 联合体各方应共同与发包人签订合同协议书。联合体各方应为履行合同向发包人承担连带责任。</w:t>
      </w:r>
    </w:p>
    <w:p w14:paraId="20342699">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3.5.2 联合体协议，应当约定联合体各成员工作分工，经发包人确认后作为合同附件。在履行合同过程中，未经发包人同意，不得修改联合体协议。</w:t>
      </w:r>
    </w:p>
    <w:p w14:paraId="5FD78FBE">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3.5.3 联合体牵头人负责与发包人联系，并接受指示，负责组织联合体各成员全面履行合同。</w:t>
      </w:r>
    </w:p>
    <w:p w14:paraId="3562DD7C">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3.5.4 发包人向联合体支付设计费用的方式在专用合同条款中约定。</w:t>
      </w:r>
    </w:p>
    <w:p w14:paraId="733EB25E">
      <w:pPr>
        <w:keepNext/>
        <w:keepLines/>
        <w:spacing w:line="360" w:lineRule="auto"/>
        <w:outlineLvl w:val="1"/>
        <w:rPr>
          <w:rFonts w:ascii="Arial" w:hAnsi="Arial" w:eastAsia="黑体"/>
          <w:b/>
          <w:bCs/>
          <w:color w:val="auto"/>
          <w:sz w:val="32"/>
          <w:szCs w:val="32"/>
          <w:highlight w:val="none"/>
        </w:rPr>
      </w:pPr>
      <w:bookmarkStart w:id="1227" w:name="_Toc25177"/>
      <w:bookmarkStart w:id="1228" w:name="_Toc24973"/>
      <w:bookmarkStart w:id="1229" w:name="_Toc3708"/>
      <w:bookmarkStart w:id="1230" w:name="_Toc23815"/>
      <w:r>
        <w:rPr>
          <w:rFonts w:hint="eastAsia" w:ascii="Arial" w:hAnsi="Arial" w:eastAsia="黑体"/>
          <w:b/>
          <w:bCs/>
          <w:color w:val="auto"/>
          <w:sz w:val="32"/>
          <w:szCs w:val="32"/>
          <w:highlight w:val="none"/>
        </w:rPr>
        <w:t>4. 工程设计资料</w:t>
      </w:r>
      <w:bookmarkEnd w:id="1227"/>
      <w:bookmarkEnd w:id="1228"/>
      <w:bookmarkEnd w:id="1229"/>
      <w:bookmarkEnd w:id="1230"/>
    </w:p>
    <w:p w14:paraId="717D9D0F">
      <w:pPr>
        <w:autoSpaceDE w:val="0"/>
        <w:autoSpaceDN w:val="0"/>
        <w:adjustRightInd w:val="0"/>
        <w:spacing w:before="120" w:after="120" w:line="360" w:lineRule="auto"/>
        <w:ind w:firstLine="627" w:firstLineChars="209"/>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bCs/>
          <w:color w:val="auto"/>
          <w:sz w:val="30"/>
          <w:szCs w:val="30"/>
          <w:highlight w:val="none"/>
        </w:rPr>
        <w:t>4.1 提供工程设计资料</w:t>
      </w:r>
    </w:p>
    <w:p w14:paraId="61C956A8">
      <w:pPr>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发包人应当在工程设计前或专用合同条款附件2约定的时间向设计人提供工程设计所必需的工程设计资料，并对所提供资料的真实性、准确性和完整性负责。</w:t>
      </w:r>
    </w:p>
    <w:p w14:paraId="7B938867">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按照法律规定确需在工程设计开始后方能提供的设计资料，发包人应及时地在相应工程设计文件提交给发包人前的合理期限内提供，合理期限应以不影响设计人的正常设计为限。</w:t>
      </w:r>
    </w:p>
    <w:p w14:paraId="7CB26FF7">
      <w:pPr>
        <w:autoSpaceDE w:val="0"/>
        <w:autoSpaceDN w:val="0"/>
        <w:adjustRightInd w:val="0"/>
        <w:spacing w:before="120" w:after="120" w:line="360" w:lineRule="auto"/>
        <w:ind w:firstLine="624" w:firstLineChars="208"/>
        <w:jc w:val="left"/>
        <w:rPr>
          <w:rFonts w:ascii="仿宋_GB2312" w:hAnsi="仿宋_GB2312" w:eastAsia="仿宋_GB2312" w:cs="仿宋_GB2312"/>
          <w:bCs/>
          <w:color w:val="auto"/>
          <w:sz w:val="30"/>
          <w:szCs w:val="30"/>
          <w:highlight w:val="none"/>
        </w:rPr>
      </w:pPr>
      <w:r>
        <w:rPr>
          <w:rFonts w:hint="eastAsia" w:ascii="仿宋_GB2312" w:hAnsi="仿宋_GB2312" w:eastAsia="仿宋_GB2312" w:cs="仿宋_GB2312"/>
          <w:bCs/>
          <w:color w:val="auto"/>
          <w:sz w:val="30"/>
          <w:szCs w:val="30"/>
          <w:highlight w:val="none"/>
        </w:rPr>
        <w:t>4.2 逾期提供的责任</w:t>
      </w:r>
    </w:p>
    <w:p w14:paraId="13D30154">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sz w:val="30"/>
          <w:szCs w:val="30"/>
          <w:highlight w:val="none"/>
        </w:rPr>
        <w:t>发包人提交上述文件和资料超过约定期限的，超过约定期限15天以内，设计人按本合同约定的交付工程设计文件时间相应顺延；超过约定期限15天以外时，设计人有权重新确定提交工程设计文件的时间。工程设计资料逾期提供导致增加了设计工作量的，设计人可以要求发包人另行支付相应设计费用，并相应延长设计周期。</w:t>
      </w:r>
    </w:p>
    <w:p w14:paraId="765C0878">
      <w:pPr>
        <w:keepNext/>
        <w:keepLines/>
        <w:spacing w:line="360" w:lineRule="auto"/>
        <w:outlineLvl w:val="1"/>
        <w:rPr>
          <w:rFonts w:ascii="Arial" w:hAnsi="Arial" w:eastAsia="黑体"/>
          <w:b/>
          <w:bCs/>
          <w:color w:val="auto"/>
          <w:sz w:val="32"/>
          <w:szCs w:val="32"/>
          <w:highlight w:val="none"/>
        </w:rPr>
      </w:pPr>
      <w:bookmarkStart w:id="1231" w:name="_Toc10656"/>
      <w:bookmarkStart w:id="1232" w:name="_Toc4161"/>
      <w:bookmarkStart w:id="1233" w:name="_Toc29118"/>
      <w:bookmarkStart w:id="1234" w:name="_Toc31695"/>
      <w:r>
        <w:rPr>
          <w:rFonts w:hint="eastAsia" w:ascii="Arial" w:hAnsi="Arial" w:eastAsia="黑体"/>
          <w:b/>
          <w:bCs/>
          <w:color w:val="auto"/>
          <w:sz w:val="32"/>
          <w:szCs w:val="32"/>
          <w:highlight w:val="none"/>
        </w:rPr>
        <w:t>5. 工程设计要求</w:t>
      </w:r>
      <w:bookmarkEnd w:id="1231"/>
      <w:bookmarkEnd w:id="1232"/>
      <w:bookmarkEnd w:id="1233"/>
      <w:bookmarkEnd w:id="1234"/>
    </w:p>
    <w:p w14:paraId="65D9199A">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5.1 工程设计一般要求</w:t>
      </w:r>
    </w:p>
    <w:p w14:paraId="48A1EA64">
      <w:pPr>
        <w:spacing w:line="360" w:lineRule="auto"/>
        <w:ind w:firstLine="600" w:firstLineChars="200"/>
        <w:outlineLvl w:val="4"/>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5.1.1 对发包人的要求</w:t>
      </w:r>
    </w:p>
    <w:p w14:paraId="51364185">
      <w:pPr>
        <w:spacing w:line="360" w:lineRule="auto"/>
        <w:ind w:firstLine="600" w:firstLineChars="200"/>
        <w:outlineLvl w:val="4"/>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应当遵守法律和技术标准，发包人提出的有关安全、质量、环境保护和职业健康的要求应当符合法律和技术标准的规定，不得以任何理由要求设计人违反法律、技术标准进行设计。发包人鼓励设计人使用可靠的创新技术和新材料。</w:t>
      </w:r>
    </w:p>
    <w:p w14:paraId="0F347A98">
      <w:pPr>
        <w:spacing w:line="360" w:lineRule="auto"/>
        <w:ind w:firstLine="600" w:firstLineChars="200"/>
        <w:outlineLvl w:val="4"/>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5.1.2 对设计人的要求</w:t>
      </w:r>
    </w:p>
    <w:p w14:paraId="1B525C18">
      <w:pPr>
        <w:spacing w:line="360" w:lineRule="auto"/>
        <w:ind w:firstLine="600" w:firstLineChars="200"/>
        <w:outlineLvl w:val="4"/>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5.1.2.1设计人应当按法律和技术标准的强制性规定及发包人要求进行工程设计。有关工程设计的特殊标准或要求由合同当事人在专用合同条款中约定。</w:t>
      </w:r>
    </w:p>
    <w:p w14:paraId="0B3FB052">
      <w:pPr>
        <w:spacing w:line="360" w:lineRule="auto"/>
        <w:ind w:firstLine="650"/>
        <w:rPr>
          <w:rFonts w:ascii="仿宋_GB2312" w:hAnsi="仿宋_GB2312" w:eastAsia="仿宋_GB2312" w:cs="仿宋_GB2312"/>
          <w:color w:val="auto"/>
          <w:sz w:val="30"/>
          <w:szCs w:val="30"/>
          <w:highlight w:val="none"/>
        </w:rPr>
      </w:pPr>
      <w:r>
        <w:rPr>
          <w:rFonts w:hint="eastAsia" w:ascii="仿宋_GB2312" w:hAnsi="仿宋_GB2312" w:eastAsia="仿宋_GB2312" w:cs="仿宋_GB2312"/>
          <w:bCs/>
          <w:color w:val="auto"/>
          <w:kern w:val="0"/>
          <w:sz w:val="30"/>
          <w:szCs w:val="30"/>
          <w:highlight w:val="none"/>
        </w:rPr>
        <w:t>设计人发现发包人提供的工程设计资料有问题的，设计人应当及时通知发包人并经发包人确认。</w:t>
      </w:r>
    </w:p>
    <w:p w14:paraId="66832C93">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5.1.2.2  除合同另有约定外，设计人完成设计工作所应遵守的法律以及技术标准，均应视为在基准日期适用的版本。基准日期之后，前述版本发生重大变化，或者有新的法律以及技术标准实施的，设计人应就推荐性标准向发包人提出遵守新标准的建议，对强制性的规定或标准应当遵照执行。因发包人采纳设计人的建议或遵守基准日期后新的强制性的规定或标准，导致增加设计费用和（或）设计周期延长的，由发包人承担。</w:t>
      </w:r>
    </w:p>
    <w:p w14:paraId="7C555931">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5.1.2.3 设计人在工程设计中应当采用合同约定的技术、工艺和设备，满足质量、安全、节能、环保等要求。</w:t>
      </w:r>
    </w:p>
    <w:p w14:paraId="5D05BA45">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5.2 工程设计保证措施</w:t>
      </w:r>
    </w:p>
    <w:p w14:paraId="232E99AE">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5.2.1 发包人的保证措施</w:t>
      </w:r>
    </w:p>
    <w:p w14:paraId="25D8A393">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发包人应按照法律规定及合同约定完成与工程设计有关的各项工作。</w:t>
      </w:r>
    </w:p>
    <w:p w14:paraId="5E87903A">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5.2.2 设计人的保证措施</w:t>
      </w:r>
    </w:p>
    <w:p w14:paraId="54E01C29">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设计人应做好工程设计的质量与技术管理工作，建立健全工程设计质量保证体系，加强工程设计全过程的质量控制，建立完整的设计文件的设计、复核、审核、会签和批准制度，明确各阶段的责任人。</w:t>
      </w:r>
    </w:p>
    <w:p w14:paraId="41F345EE">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5.3 工程设计文件的要求</w:t>
      </w:r>
    </w:p>
    <w:p w14:paraId="3168872E">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5.3.1 工程设计文件的编制应符合法律、技术标准的强制性规定及合同的要求。</w:t>
      </w:r>
    </w:p>
    <w:p w14:paraId="65583717">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5.3.2 工程设计依据应完整、准确、可靠，设计方案论证充分，计算成果可靠，并能够实施。</w:t>
      </w:r>
    </w:p>
    <w:p w14:paraId="14089381">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5.3.3 工程设计文件的深度应满足本合同相应设计阶段的规定要求，并符合国家和行业现行有效的相关规定。</w:t>
      </w:r>
    </w:p>
    <w:p w14:paraId="17AE6F3C">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5.3.4 工程设计文件应当保证工程施工及投产后安全性要求，满足工程经济性包括节约投资及降低生产成本要求、合理布局要求，按照有关法律规定在工程设计文件中提出保障施工作业人员安全和预防生产安全事故的措施建议，安全设施应当按规定同步设计。 </w:t>
      </w:r>
    </w:p>
    <w:p w14:paraId="248FAB6A">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5.3.5 应根据法律、技术标准要求，保证专业建设工程的合理使用寿命年限，并应在工程设计文件中注明相应的合理使用寿命年限。</w:t>
      </w:r>
    </w:p>
    <w:p w14:paraId="78ED075B">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5.4 不合格工程设计文件的处理</w:t>
      </w:r>
    </w:p>
    <w:p w14:paraId="2F132418">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5.4.1 因设计人原因造成工程设计文件不合格的，发包人有权要求设计人采取补救措施，直至达到合同要求的质量标准，并按第14.2款〔设计人违约责任〕的约定承担责任。 </w:t>
      </w:r>
    </w:p>
    <w:p w14:paraId="747F26E7">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5.4.2 因发包人原因造成工程设计文件不合格的，设计人应当采取补救措施，直至达到合同要求的质量标准，由此增加的设计费用和（或）设计周期的延长由发包人承担。</w:t>
      </w:r>
    </w:p>
    <w:p w14:paraId="54170B23">
      <w:pPr>
        <w:keepNext/>
        <w:keepLines/>
        <w:spacing w:line="360" w:lineRule="auto"/>
        <w:outlineLvl w:val="1"/>
        <w:rPr>
          <w:rFonts w:ascii="Arial" w:hAnsi="Arial" w:eastAsia="黑体"/>
          <w:b/>
          <w:bCs/>
          <w:color w:val="auto"/>
          <w:sz w:val="32"/>
          <w:szCs w:val="32"/>
          <w:highlight w:val="none"/>
        </w:rPr>
      </w:pPr>
      <w:bookmarkStart w:id="1235" w:name="_Toc11762"/>
      <w:bookmarkStart w:id="1236" w:name="_Toc26678"/>
      <w:bookmarkStart w:id="1237" w:name="_Toc15998"/>
      <w:bookmarkStart w:id="1238" w:name="_Toc14632"/>
      <w:r>
        <w:rPr>
          <w:rFonts w:hint="eastAsia" w:ascii="Arial" w:hAnsi="Arial" w:eastAsia="黑体"/>
          <w:b/>
          <w:bCs/>
          <w:color w:val="auto"/>
          <w:sz w:val="32"/>
          <w:szCs w:val="32"/>
          <w:highlight w:val="none"/>
        </w:rPr>
        <w:t>6. 工程设计进度与周期</w:t>
      </w:r>
      <w:bookmarkEnd w:id="1235"/>
      <w:bookmarkEnd w:id="1236"/>
      <w:bookmarkEnd w:id="1237"/>
      <w:bookmarkEnd w:id="1238"/>
    </w:p>
    <w:p w14:paraId="1B56A801">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6.1 工程设计进度计划</w:t>
      </w:r>
    </w:p>
    <w:p w14:paraId="1D0C590C">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6.1.1 工程设计进度计划的编制</w:t>
      </w:r>
    </w:p>
    <w:p w14:paraId="40DEDB2C">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设计人应按照专用合同条款约定提交工程设计进度计划，工程设计进度计划的编制应当符合法律规定和一般工程设计实践惯例，工程设计进度计划经发包人批准后实施。工程设计进度计划是控制工程设计进度的依据，发包人有权按照工程设计进度计划中列明的关键性控制节点检查工程设计进度情况。</w:t>
      </w:r>
    </w:p>
    <w:p w14:paraId="746C14E5">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工程设计进度计划中的设计周期应由发包人与设计人协商确定，明确约定各阶段设计任务的完成时间区间，</w:t>
      </w:r>
      <w:r>
        <w:rPr>
          <w:rFonts w:hint="eastAsia" w:ascii="仿宋_GB2312" w:hAnsi="仿宋_GB2312" w:eastAsia="仿宋_GB2312" w:cs="仿宋_GB2312"/>
          <w:color w:val="auto"/>
          <w:sz w:val="30"/>
          <w:szCs w:val="30"/>
          <w:highlight w:val="none"/>
        </w:rPr>
        <w:t>包括各阶段设计过程中设计人与发包人的交流时间，但不包括相关政府部门对设计成果的审批时间及发包人的审查时间。</w:t>
      </w:r>
    </w:p>
    <w:p w14:paraId="0089AB51">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sz w:val="30"/>
          <w:szCs w:val="30"/>
          <w:highlight w:val="none"/>
        </w:rPr>
        <w:t>6.1.2 工程设计进度计划的修订</w:t>
      </w:r>
    </w:p>
    <w:p w14:paraId="5B3CE307">
      <w:pPr>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工程设计进度计划不符合合同要求或与工程设计的实际进度不一致的，设计人应向发包人提交修订的工程设计进度计划，并附具有关措施和相关资料。除专用合同条款对期限另有约定外，发包人应在收到修订的工程设计进度计划后5天内完成审核和批准或提出修改意见，否则视为发包人同意设计人提交的修订的工程设计进度计划。</w:t>
      </w:r>
    </w:p>
    <w:p w14:paraId="2F6FC1E6">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6.2 工程设计开始</w:t>
      </w:r>
    </w:p>
    <w:p w14:paraId="5D3F745F">
      <w:pPr>
        <w:adjustRightInd w:val="0"/>
        <w:spacing w:line="360" w:lineRule="auto"/>
        <w:ind w:firstLine="627" w:firstLineChars="209"/>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应按照法律规定获得工程设计所需的许可。发包人发出的开始设计通知应符合法律规定，一般应在计划开始设计日期7天前向设计人发出开始工程设计工作通知，工程设计周期自开始设计通知中载明的开始设计的日期起算。</w:t>
      </w:r>
    </w:p>
    <w:p w14:paraId="03430D1A">
      <w:pPr>
        <w:autoSpaceDE w:val="0"/>
        <w:autoSpaceDN w:val="0"/>
        <w:adjustRightInd w:val="0"/>
        <w:spacing w:line="360" w:lineRule="auto"/>
        <w:ind w:firstLine="630" w:firstLineChars="21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设计人应当在收到发包人提供的工程设计资料及专用合同条款约定的定金或预付款后，开始工程设计工作。</w:t>
      </w:r>
    </w:p>
    <w:p w14:paraId="56EAD8B7">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各设计阶段的开始时间均以设计人收到的发包人发出开始设计工作的书面通知书中载明的</w:t>
      </w:r>
      <w:r>
        <w:rPr>
          <w:rFonts w:hint="eastAsia" w:ascii="仿宋_GB2312" w:hAnsi="仿宋_GB2312" w:eastAsia="仿宋_GB2312" w:cs="仿宋_GB2312"/>
          <w:color w:val="auto"/>
          <w:kern w:val="0"/>
          <w:sz w:val="30"/>
          <w:szCs w:val="30"/>
          <w:highlight w:val="none"/>
        </w:rPr>
        <w:t>开始设计的日期起算。</w:t>
      </w:r>
    </w:p>
    <w:p w14:paraId="7B450521">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6.3 工程设计进度延误</w:t>
      </w:r>
    </w:p>
    <w:p w14:paraId="2D75B5B9">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6.3.1 因发包人原因导致工程设计进度延误</w:t>
      </w:r>
    </w:p>
    <w:p w14:paraId="7A581E85">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在合同履行过程中，发包人导致工程设计进度延误的情形主要有： </w:t>
      </w:r>
    </w:p>
    <w:p w14:paraId="7B121AB6">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（1）发包人未能按合同约定提供工程设计资料或所提供的工程设计资料不符合合同约定或存在错误或疏漏的；</w:t>
      </w:r>
    </w:p>
    <w:p w14:paraId="3D4B5F11">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（2）发包人未能按合同约定日期足额支付定金或预付款、进度款的；</w:t>
      </w:r>
    </w:p>
    <w:p w14:paraId="1D098D4F">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（3）发包人提出影响设计周期的设计变更要求的；</w:t>
      </w:r>
    </w:p>
    <w:p w14:paraId="13C2EFC8">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（4）专用合同条款中约定的其他情形。</w:t>
      </w:r>
    </w:p>
    <w:p w14:paraId="5FF7AEDD">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因发包人原因未按计划开始设计日期开始设计的，发包人应按实际开始设计日期顺延完成设计日期。</w:t>
      </w:r>
    </w:p>
    <w:p w14:paraId="57311C02">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kern w:val="0"/>
          <w:sz w:val="30"/>
          <w:szCs w:val="30"/>
          <w:highlight w:val="none"/>
        </w:rPr>
        <w:t>除专用合同条款对期限另有约定外，</w:t>
      </w:r>
      <w:r>
        <w:rPr>
          <w:rFonts w:hint="eastAsia" w:ascii="仿宋_GB2312" w:hAnsi="仿宋_GB2312" w:eastAsia="仿宋_GB2312" w:cs="仿宋_GB2312"/>
          <w:color w:val="auto"/>
          <w:sz w:val="30"/>
          <w:szCs w:val="30"/>
          <w:highlight w:val="none"/>
        </w:rPr>
        <w:t>设计人应在发生上述情况后5天内向发包人发出要求延期的书面通知，在发生上述情况后10天内提交要求延期的详细说明供发包人审查。</w:t>
      </w:r>
      <w:r>
        <w:rPr>
          <w:rFonts w:hint="eastAsia" w:ascii="仿宋_GB2312" w:hAnsi="仿宋_GB2312" w:eastAsia="仿宋_GB2312" w:cs="仿宋_GB2312"/>
          <w:color w:val="auto"/>
          <w:kern w:val="0"/>
          <w:sz w:val="30"/>
          <w:szCs w:val="30"/>
          <w:highlight w:val="none"/>
        </w:rPr>
        <w:t>除专用合同条款对期限另有约定外，</w:t>
      </w:r>
      <w:r>
        <w:rPr>
          <w:rFonts w:hint="eastAsia" w:ascii="仿宋_GB2312" w:hAnsi="仿宋_GB2312" w:eastAsia="仿宋_GB2312" w:cs="仿宋_GB2312"/>
          <w:color w:val="auto"/>
          <w:sz w:val="30"/>
          <w:szCs w:val="30"/>
          <w:highlight w:val="none"/>
        </w:rPr>
        <w:t>发包人收到设计人要求延期的详细说明后，应在5天内进行审查并就是否延长设计周期及延期天数向设计人进行书面答复。</w:t>
      </w:r>
    </w:p>
    <w:p w14:paraId="327FB14D">
      <w:pPr>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如果发包人在收到设计人</w:t>
      </w:r>
      <w:r>
        <w:rPr>
          <w:rFonts w:hint="eastAsia" w:ascii="仿宋_GB2312" w:hAnsi="仿宋_GB2312" w:eastAsia="仿宋_GB2312" w:cs="仿宋_GB2312"/>
          <w:color w:val="auto"/>
          <w:kern w:val="0"/>
          <w:sz w:val="30"/>
          <w:szCs w:val="30"/>
          <w:highlight w:val="none"/>
        </w:rPr>
        <w:t>提交要求</w:t>
      </w:r>
      <w:r>
        <w:rPr>
          <w:rFonts w:hint="eastAsia" w:ascii="仿宋_GB2312" w:hAnsi="仿宋_GB2312" w:eastAsia="仿宋_GB2312" w:cs="仿宋_GB2312"/>
          <w:color w:val="auto"/>
          <w:sz w:val="30"/>
          <w:szCs w:val="30"/>
          <w:highlight w:val="none"/>
        </w:rPr>
        <w:t>延期的详细说明后，在约定的期限内未予答复，则视为设计人要求的延期已被发包人批准。如果设计人未能按本款约定的时间内发出要求延期的通知并提交详细资料，则发包人可拒绝作出任何延期的决定。</w:t>
      </w:r>
    </w:p>
    <w:p w14:paraId="36B1C406">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发包人上述工程设计进度延误情形</w:t>
      </w:r>
      <w:r>
        <w:rPr>
          <w:rFonts w:hint="eastAsia" w:ascii="仿宋_GB2312" w:hAnsi="仿宋_GB2312" w:eastAsia="仿宋_GB2312" w:cs="仿宋_GB2312"/>
          <w:color w:val="auto"/>
          <w:sz w:val="30"/>
          <w:szCs w:val="30"/>
          <w:highlight w:val="none"/>
        </w:rPr>
        <w:t>导致增加了设计工作量的，发包人应当另行支付相应设计费用。</w:t>
      </w:r>
    </w:p>
    <w:p w14:paraId="638E706D">
      <w:pPr>
        <w:autoSpaceDE w:val="0"/>
        <w:autoSpaceDN w:val="0"/>
        <w:adjustRightInd w:val="0"/>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kern w:val="0"/>
          <w:sz w:val="30"/>
          <w:szCs w:val="30"/>
          <w:highlight w:val="none"/>
        </w:rPr>
        <w:t>6.3.2 因设计人原因导致工程设计进度延误</w:t>
      </w:r>
    </w:p>
    <w:p w14:paraId="06C298A2">
      <w:pPr>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因设计人原因导致工程设计进度延误的，设计人应当按照第14.2款〔设计人违约责任〕承担责任。设计人支付逾期完成工程设计违约金后，不免除设计人继续完成工程设计的义务。</w:t>
      </w:r>
    </w:p>
    <w:p w14:paraId="67E346E8">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6.4 暂停设计</w:t>
      </w:r>
    </w:p>
    <w:p w14:paraId="3E709344">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6.4.1 发包人原因引起的暂停设计</w:t>
      </w:r>
    </w:p>
    <w:p w14:paraId="6C1E8291">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因发包人原因引起暂停设计的，发包人应及时下达暂停设计指示。</w:t>
      </w:r>
    </w:p>
    <w:p w14:paraId="7F13A3B4">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因发包人原因引起的暂停设计，发包人应承担由此增加的设计费用和（或）延长的设计周期。</w:t>
      </w:r>
    </w:p>
    <w:p w14:paraId="28B55F3C">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6.4.2 设计人原因引起的暂停设计</w:t>
      </w:r>
    </w:p>
    <w:p w14:paraId="731434A9">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因设计人原因引起的暂停设计，设计人应当尽快向发包人发出书面通知并按第14.2款〔设计人违约责任〕承担责任，且设计人在收到发包人复工指示后15天内仍未复工的，视为设计人无法继续履行合同的情形，设计人应按第16条〔合同解除〕的约定承担责任。</w:t>
      </w:r>
    </w:p>
    <w:p w14:paraId="1BBE4720">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6.4.3 其他原因引起的暂停设计</w:t>
      </w:r>
    </w:p>
    <w:p w14:paraId="4B0601B6">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当出现非设计人原因造成的暂停设计，设计人应当尽快向发包人发出书面通知。</w:t>
      </w:r>
    </w:p>
    <w:p w14:paraId="54ADC02B">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在上述情形下设计人的设计服务暂停，设计人的设计周期应当相应延长，复工应有发包人与设计人共同确认的合理期限。</w:t>
      </w:r>
    </w:p>
    <w:p w14:paraId="053A4008">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当发生本项约定的情况，导致设计人增加设计工作量的，发包人应当另行支付相应设计费用。</w:t>
      </w:r>
    </w:p>
    <w:p w14:paraId="2472A34D">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6.4.4 暂停设计后的复工</w:t>
      </w:r>
    </w:p>
    <w:p w14:paraId="6D0B9D99">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暂停设计后，发包人和设计人应采取有效措施积极消除暂停设计的影响。当工程具备复工条件时，发包人向设计人发出复工通知，设计人应按照复工通知要求复工。</w:t>
      </w:r>
    </w:p>
    <w:p w14:paraId="406152E1">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除设计人原因导致暂停设计外，设计人暂停设计后复工所增加的设计工作量，发包人应当另行支付相应设计费用。</w:t>
      </w:r>
    </w:p>
    <w:p w14:paraId="77DED1C1">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6.5 提前交付工程设计文件</w:t>
      </w:r>
    </w:p>
    <w:p w14:paraId="282B78EF">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6.5.1 发包人要求设计人提前交付工程设计文件的，发包人应向设计人下达提前交付工程设计文件指示，设计人应向发包人提交提前交付工程设计文件建议书，提前交付工程设计文件建议书应包括实施的方案、缩短的时间、增加的合同价格等内容。发包人接受该提前交付工程设计文件建议书的，发包人和设计人协商采取加快工程设计进度的措施，并修订工程设计进度计划，由此增加的设计费用由发包人承担。设计人认为提前交付工程设计文件的指示无法执行的，应向发包人提出书面异议，发包人应在收到异议后7天内予以答复。任何情况下，发包人不得压缩合理设计周期。</w:t>
      </w:r>
    </w:p>
    <w:p w14:paraId="25BDA1F0">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6.5.2 发包人要求设计人提前交付工程设计文件，或设计人提出提前交付工程设计文件的建议能够给发包人带来效益的，合同当事人可以在专用合同条款中约定提前交付工程设计文件的奖励。</w:t>
      </w:r>
    </w:p>
    <w:p w14:paraId="0C9DFB37">
      <w:pPr>
        <w:keepNext/>
        <w:keepLines/>
        <w:spacing w:line="360" w:lineRule="auto"/>
        <w:outlineLvl w:val="1"/>
        <w:rPr>
          <w:rFonts w:ascii="Arial" w:hAnsi="Arial" w:eastAsia="黑体"/>
          <w:b/>
          <w:bCs/>
          <w:color w:val="auto"/>
          <w:sz w:val="32"/>
          <w:szCs w:val="32"/>
          <w:highlight w:val="none"/>
        </w:rPr>
      </w:pPr>
      <w:bookmarkStart w:id="1239" w:name="_Toc30953"/>
      <w:bookmarkStart w:id="1240" w:name="_Toc23363"/>
      <w:bookmarkStart w:id="1241" w:name="_Toc31228"/>
      <w:bookmarkStart w:id="1242" w:name="_Toc26172"/>
      <w:r>
        <w:rPr>
          <w:rFonts w:hint="eastAsia" w:ascii="Arial" w:hAnsi="Arial" w:eastAsia="黑体"/>
          <w:b/>
          <w:bCs/>
          <w:color w:val="auto"/>
          <w:sz w:val="32"/>
          <w:szCs w:val="32"/>
          <w:highlight w:val="none"/>
        </w:rPr>
        <w:t>7. 工程设计文件交付</w:t>
      </w:r>
      <w:bookmarkEnd w:id="1239"/>
      <w:bookmarkEnd w:id="1240"/>
      <w:bookmarkEnd w:id="1241"/>
      <w:bookmarkEnd w:id="1242"/>
    </w:p>
    <w:p w14:paraId="2AA3814B">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7.1 工程设计文件交付的内容</w:t>
      </w:r>
    </w:p>
    <w:p w14:paraId="22D2DD88">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7.1.1 工程设计图纸及设计说明。</w:t>
      </w:r>
    </w:p>
    <w:p w14:paraId="10011E63">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7.1.2 发包人可以要求设计人提交专用合同条款约定的具体形式的</w:t>
      </w:r>
      <w:r>
        <w:rPr>
          <w:rFonts w:hint="eastAsia" w:ascii="仿宋_GB2312" w:hAnsi="仿宋_GB2312" w:eastAsia="仿宋_GB2312" w:cs="仿宋_GB2312"/>
          <w:color w:val="auto"/>
          <w:sz w:val="30"/>
          <w:szCs w:val="30"/>
          <w:highlight w:val="none"/>
        </w:rPr>
        <w:t>电子版设计文件</w:t>
      </w:r>
      <w:r>
        <w:rPr>
          <w:rFonts w:hint="eastAsia" w:ascii="仿宋_GB2312" w:hAnsi="仿宋_GB2312" w:eastAsia="仿宋_GB2312" w:cs="仿宋_GB2312"/>
          <w:color w:val="auto"/>
          <w:kern w:val="0"/>
          <w:sz w:val="30"/>
          <w:szCs w:val="30"/>
          <w:highlight w:val="none"/>
        </w:rPr>
        <w:t>。</w:t>
      </w:r>
    </w:p>
    <w:p w14:paraId="6FCB05CC">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7.2 工程设计文件的交付方式</w:t>
      </w:r>
    </w:p>
    <w:p w14:paraId="4C1E7733">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设计人交付工程设计文件给发包人，发包人应当出具书面签收单，内容包括图纸名称、图纸内容、图纸形式、份数、提交和签收日期、提交人与接收人的亲笔签名。</w:t>
      </w:r>
    </w:p>
    <w:p w14:paraId="1981ABA1">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7.3 工程设计文件交付的时间和份数</w:t>
      </w:r>
    </w:p>
    <w:p w14:paraId="036A5470">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工程设计文件交付的名称、时间和份数在专用合同条款附件3中约定。</w:t>
      </w:r>
    </w:p>
    <w:p w14:paraId="4AFA682F">
      <w:pPr>
        <w:keepNext/>
        <w:keepLines/>
        <w:spacing w:line="360" w:lineRule="auto"/>
        <w:outlineLvl w:val="1"/>
        <w:rPr>
          <w:rFonts w:ascii="Arial" w:hAnsi="Arial" w:eastAsia="黑体"/>
          <w:b/>
          <w:bCs/>
          <w:color w:val="auto"/>
          <w:sz w:val="32"/>
          <w:szCs w:val="32"/>
          <w:highlight w:val="none"/>
        </w:rPr>
      </w:pPr>
      <w:bookmarkStart w:id="1243" w:name="_Toc31500"/>
      <w:bookmarkStart w:id="1244" w:name="_Toc1241"/>
      <w:bookmarkStart w:id="1245" w:name="_Toc19180"/>
      <w:bookmarkStart w:id="1246" w:name="_Toc6568"/>
      <w:r>
        <w:rPr>
          <w:rFonts w:hint="eastAsia" w:ascii="Arial" w:hAnsi="Arial" w:eastAsia="黑体"/>
          <w:b/>
          <w:bCs/>
          <w:color w:val="auto"/>
          <w:sz w:val="32"/>
          <w:szCs w:val="32"/>
          <w:highlight w:val="none"/>
        </w:rPr>
        <w:t>8. 工程设计文件审查</w:t>
      </w:r>
      <w:bookmarkEnd w:id="1243"/>
      <w:bookmarkEnd w:id="1244"/>
      <w:bookmarkEnd w:id="1245"/>
      <w:bookmarkEnd w:id="1246"/>
    </w:p>
    <w:p w14:paraId="14E58855">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8.1 设计人的工程设计文件应报发包人审查同意。审查的范围和内容在发包人要求中约定。审查的具体标准应符合法律规定、技术标准要求和本合同约定。</w:t>
      </w:r>
    </w:p>
    <w:p w14:paraId="5A6BB7E6">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除专用合同条款对期限另有约定外，自发包人收到设计人的工程设计文件以及设计人的通知之日起，发包人对设计人的工程设计文件审查期不超过15天。</w:t>
      </w:r>
    </w:p>
    <w:p w14:paraId="0EF2A2DF">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发包人不同意工程设计文件的，应以书面形式通知设计人，并说明不符合合同要求的具体内容。设计人应根据发包人的书面说明，对工程设计文件进行修改后重新报送发包人审查，审查期重新起算。</w:t>
      </w:r>
    </w:p>
    <w:p w14:paraId="45265F9B">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合同约定的审查期满，发包人没有做出审查结论也没有提出异议的，视为设计人的工程设计文件已获发包人同意。</w:t>
      </w:r>
    </w:p>
    <w:p w14:paraId="65F433B4">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8.2 设计人的工程设计文件不需要政府有关部门审查或批准的，设计人应当严格按照经发包人审查同意的工程设计文件进行修改，如果发包人的修改意见超出或更改了发包人要求，发包人应当根据第11条〔工程设计变更与索赔〕的约定，向设计人另行支付费用。</w:t>
      </w:r>
    </w:p>
    <w:p w14:paraId="2DBBE6D9">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8.3 工程</w:t>
      </w:r>
      <w:r>
        <w:rPr>
          <w:rFonts w:hint="eastAsia" w:ascii="仿宋_GB2312" w:hAnsi="仿宋_GB2312" w:eastAsia="仿宋_GB2312" w:cs="仿宋_GB2312"/>
          <w:vanish/>
          <w:color w:val="auto"/>
          <w:sz w:val="30"/>
          <w:szCs w:val="30"/>
          <w:highlight w:val="none"/>
        </w:rPr>
        <w:t>（</w:t>
      </w:r>
      <w:r>
        <w:rPr>
          <w:rFonts w:hint="eastAsia" w:ascii="仿宋_GB2312" w:hAnsi="仿宋_GB2312" w:eastAsia="仿宋_GB2312" w:cs="仿宋_GB2312"/>
          <w:color w:val="auto"/>
          <w:sz w:val="30"/>
          <w:szCs w:val="30"/>
          <w:highlight w:val="none"/>
        </w:rPr>
        <w:t>设计文件需政府有关部门审查或批准的，发包人应在审查同意设计人的工程设计文件后在专用合同条款约定的期限内，向政府有关部门报送工程设计文件，设计人应予以协助。</w:t>
      </w:r>
    </w:p>
    <w:p w14:paraId="384E460C">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对于政府有关部门的审查意见，不需要修改发包人要求的，设计人需按该审查意见修改设计人的工程设计文件；需要修改发包人要求的，发包人应重新提出发包人要求，设计人应根据新提出的发包人要求修改设计人的工程设计文件，发包人应当根据第11条〔工程设计变更与索赔〕的约定，向设计人另行支付费用。</w:t>
      </w:r>
    </w:p>
    <w:p w14:paraId="39B6E915">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8.4 发包人需要组织审查会议对工程设计文件进行审查的，审查会议的审查形式和时间安排，在专用合同条款中约定。发包人负责组织工程设计文件审查会议，并承担会议费用及发包人的上级单位、政府有关部门参加的审查会议的费用。</w:t>
      </w:r>
    </w:p>
    <w:p w14:paraId="7E24EE50">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设计人按第7条〔工程设计文件交付〕的约定向发包人提交工程设计文件，有义务参加发包人组织的设计审查会议，向审查者介绍、解答、解释其工程设计文件，并提供有关补充资料。</w:t>
      </w:r>
    </w:p>
    <w:p w14:paraId="76509548">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发包人有义务向设计人提供设计审查会议的批准文件和纪要。设计人有义务按照相关设计审查会议批准的文件和纪要，并依据合同约定及相关技术标准，对工程设计文件进行修改、补充和完善。</w:t>
      </w:r>
    </w:p>
    <w:p w14:paraId="0A81E38F">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8.5 因设计人原因，未能按第7条〔工程设计文件交付〕约定的时间向发包人提交工程设计文件，致使工程设计文件审查无法进行或无法按期进行，造成设计周期延长、窝工损失及发包人增加费用的，设计人</w:t>
      </w:r>
      <w:r>
        <w:rPr>
          <w:rFonts w:hint="eastAsia" w:ascii="仿宋_GB2312" w:hAnsi="仿宋_GB2312" w:eastAsia="仿宋_GB2312" w:cs="仿宋_GB2312"/>
          <w:color w:val="auto"/>
          <w:kern w:val="0"/>
          <w:sz w:val="30"/>
          <w:szCs w:val="30"/>
          <w:highlight w:val="none"/>
        </w:rPr>
        <w:t>按第14.2款〔设计人违约责任〕的约定承担责任</w:t>
      </w:r>
      <w:r>
        <w:rPr>
          <w:rFonts w:hint="eastAsia" w:ascii="仿宋_GB2312" w:hAnsi="仿宋_GB2312" w:eastAsia="仿宋_GB2312" w:cs="仿宋_GB2312"/>
          <w:color w:val="auto"/>
          <w:sz w:val="30"/>
          <w:szCs w:val="30"/>
          <w:highlight w:val="none"/>
        </w:rPr>
        <w:t>。</w:t>
      </w:r>
    </w:p>
    <w:p w14:paraId="24FC21F3">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因发包人原因，致使工程设计文件审查无法进行或无法按期进行，造成设计周期延长、窝工损失及设计人增加的费用，由发包人承担。</w:t>
      </w:r>
    </w:p>
    <w:p w14:paraId="13984D68">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sz w:val="30"/>
          <w:szCs w:val="30"/>
          <w:highlight w:val="none"/>
        </w:rPr>
        <w:t xml:space="preserve">8.6 </w:t>
      </w:r>
      <w:r>
        <w:rPr>
          <w:rFonts w:hint="eastAsia" w:ascii="仿宋_GB2312" w:hAnsi="仿宋_GB2312" w:eastAsia="仿宋_GB2312" w:cs="仿宋_GB2312"/>
          <w:color w:val="auto"/>
          <w:kern w:val="0"/>
          <w:sz w:val="30"/>
          <w:szCs w:val="30"/>
          <w:highlight w:val="none"/>
        </w:rPr>
        <w:t xml:space="preserve">因设计人原因造成工程设计文件不合格致使工程设计文件审查无法通过的，发包人有权要求设计人采取补救措施，直至达到合同要求的质量标准，并按第14.2款〔设计人违约责任〕的约定承担责任。 </w:t>
      </w:r>
    </w:p>
    <w:p w14:paraId="5079BB04">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因发包人原因造成工程设计文件不合格致使工程设计文件审查无法通过的，由此增加的设计费用和（或）延长的设计周期由发包人承担。</w:t>
      </w:r>
    </w:p>
    <w:p w14:paraId="7A65895C">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kern w:val="0"/>
          <w:sz w:val="30"/>
          <w:szCs w:val="30"/>
          <w:highlight w:val="none"/>
        </w:rPr>
        <w:t>8.7 工程设计文件的审查，不减轻或免除设计人依据法律应当承担的责任。</w:t>
      </w:r>
    </w:p>
    <w:p w14:paraId="6693F3E4">
      <w:pPr>
        <w:keepNext/>
        <w:keepLines/>
        <w:spacing w:line="360" w:lineRule="auto"/>
        <w:outlineLvl w:val="1"/>
        <w:rPr>
          <w:rFonts w:ascii="Arial" w:hAnsi="Arial" w:eastAsia="黑体"/>
          <w:b/>
          <w:bCs/>
          <w:color w:val="auto"/>
          <w:sz w:val="32"/>
          <w:szCs w:val="32"/>
          <w:highlight w:val="none"/>
        </w:rPr>
      </w:pPr>
      <w:bookmarkStart w:id="1247" w:name="_Toc31068"/>
      <w:bookmarkStart w:id="1248" w:name="_Toc3255"/>
      <w:bookmarkStart w:id="1249" w:name="_Toc1157"/>
      <w:bookmarkStart w:id="1250" w:name="_Toc19231"/>
      <w:r>
        <w:rPr>
          <w:rFonts w:hint="eastAsia" w:ascii="Arial" w:hAnsi="Arial" w:eastAsia="黑体"/>
          <w:b/>
          <w:bCs/>
          <w:color w:val="auto"/>
          <w:sz w:val="32"/>
          <w:szCs w:val="32"/>
          <w:highlight w:val="none"/>
        </w:rPr>
        <w:t>9. 施工现场配合服务</w:t>
      </w:r>
      <w:bookmarkEnd w:id="1247"/>
      <w:bookmarkEnd w:id="1248"/>
      <w:bookmarkEnd w:id="1249"/>
      <w:bookmarkEnd w:id="1250"/>
    </w:p>
    <w:p w14:paraId="45F2FCC9">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9.1 除专用合同条款另有约定外，发包人应为设计人派赴现场的工作人员提供工作、生活及交通等方面的便利条件。</w:t>
      </w:r>
    </w:p>
    <w:p w14:paraId="5C0D7B4B">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9.2 设计人应当提供设计技术交底、解决施工中设计技术问题和参加试车（试运行）考核和竣工验收服务。如果发包人在专用合同条款约定的施工现场服务时限外仍要求设计人负责上述工作的，发包人应按所需工作量向设计人另行支付服务费用。</w:t>
      </w:r>
    </w:p>
    <w:p w14:paraId="3EEAA72E">
      <w:pPr>
        <w:keepNext/>
        <w:keepLines/>
        <w:spacing w:line="360" w:lineRule="auto"/>
        <w:outlineLvl w:val="1"/>
        <w:rPr>
          <w:rFonts w:ascii="Arial" w:hAnsi="Arial" w:eastAsia="黑体"/>
          <w:b/>
          <w:bCs/>
          <w:color w:val="auto"/>
          <w:sz w:val="32"/>
          <w:szCs w:val="32"/>
          <w:highlight w:val="none"/>
        </w:rPr>
      </w:pPr>
      <w:bookmarkStart w:id="1251" w:name="_Toc7463"/>
      <w:bookmarkStart w:id="1252" w:name="_Toc18275"/>
      <w:bookmarkStart w:id="1253" w:name="_Toc9483"/>
      <w:bookmarkStart w:id="1254" w:name="_Toc11509"/>
      <w:r>
        <w:rPr>
          <w:rFonts w:hint="eastAsia" w:ascii="Arial" w:hAnsi="Arial" w:eastAsia="黑体"/>
          <w:b/>
          <w:bCs/>
          <w:color w:val="auto"/>
          <w:sz w:val="32"/>
          <w:szCs w:val="32"/>
          <w:highlight w:val="none"/>
        </w:rPr>
        <w:t>10. 合同价款与支付</w:t>
      </w:r>
      <w:bookmarkEnd w:id="1251"/>
      <w:bookmarkEnd w:id="1252"/>
      <w:bookmarkEnd w:id="1253"/>
      <w:bookmarkEnd w:id="1254"/>
    </w:p>
    <w:p w14:paraId="23880C97">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10.1 合同价款组成</w:t>
      </w:r>
    </w:p>
    <w:p w14:paraId="0283F09B">
      <w:pPr>
        <w:keepNext/>
        <w:keepLines/>
        <w:spacing w:before="120" w:after="120" w:line="360" w:lineRule="auto"/>
        <w:ind w:firstLine="600" w:firstLineChars="200"/>
        <w:outlineLvl w:val="4"/>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发包人和设计人应当在专用合同条款附件6中明确约定合同价款各组成部分的具体数额，主要包括：</w:t>
      </w:r>
    </w:p>
    <w:p w14:paraId="13E5E64A">
      <w:pPr>
        <w:keepNext/>
        <w:keepLines/>
        <w:spacing w:before="120" w:after="120" w:line="360" w:lineRule="auto"/>
        <w:ind w:firstLine="600" w:firstLineChars="200"/>
        <w:outlineLvl w:val="4"/>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（1）工程设计基本服务费用；</w:t>
      </w:r>
    </w:p>
    <w:p w14:paraId="01FF46DF">
      <w:pPr>
        <w:keepNext/>
        <w:keepLines/>
        <w:spacing w:before="120" w:after="120" w:line="360" w:lineRule="auto"/>
        <w:ind w:firstLine="600" w:firstLineChars="200"/>
        <w:outlineLvl w:val="4"/>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（2）工程设计其他服务费用；</w:t>
      </w:r>
    </w:p>
    <w:p w14:paraId="57F94141">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bCs/>
          <w:color w:val="auto"/>
          <w:kern w:val="0"/>
          <w:sz w:val="30"/>
          <w:szCs w:val="30"/>
          <w:highlight w:val="none"/>
        </w:rPr>
        <w:t>（3）</w:t>
      </w:r>
      <w:r>
        <w:rPr>
          <w:rFonts w:hint="eastAsia" w:ascii="仿宋_GB2312" w:hAnsi="仿宋_GB2312" w:eastAsia="仿宋_GB2312" w:cs="仿宋_GB2312"/>
          <w:color w:val="auto"/>
          <w:kern w:val="0"/>
          <w:sz w:val="30"/>
          <w:szCs w:val="30"/>
          <w:highlight w:val="none"/>
        </w:rPr>
        <w:t>在未签订合同前发包人已经同意或接受或已使用的设计人为发包人所做的各项工作的相应费用等。</w:t>
      </w:r>
    </w:p>
    <w:p w14:paraId="1559BF97">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10.2 合同价格形式</w:t>
      </w:r>
    </w:p>
    <w:p w14:paraId="36B354E7">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发包人和设计人应在合同协议书中选择下列一种合同价格形式： </w:t>
      </w:r>
    </w:p>
    <w:p w14:paraId="36D4595A">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（1）单价合同</w:t>
      </w:r>
    </w:p>
    <w:p w14:paraId="02B1508C">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单价合同是指合同当事人约定以建筑面积（包括地上建筑面积和地下建筑面积）每平方米单价或实际投资总额的一定比例等双方认可方式进行合同价格计算、调整和确认的建设工程设计合同，</w:t>
      </w:r>
      <w:r>
        <w:rPr>
          <w:rFonts w:hint="eastAsia" w:ascii="仿宋_GB2312" w:hAnsi="仿宋_GB2312" w:eastAsia="仿宋_GB2312" w:cs="仿宋_GB2312"/>
          <w:color w:val="auto"/>
          <w:sz w:val="30"/>
          <w:szCs w:val="30"/>
          <w:highlight w:val="none"/>
        </w:rPr>
        <w:t>在约定的范围内合同单价不作调整</w:t>
      </w:r>
      <w:r>
        <w:rPr>
          <w:rFonts w:hint="eastAsia" w:ascii="仿宋_GB2312" w:hAnsi="仿宋_GB2312" w:eastAsia="仿宋_GB2312" w:cs="仿宋_GB2312"/>
          <w:color w:val="auto"/>
          <w:kern w:val="0"/>
          <w:sz w:val="30"/>
          <w:szCs w:val="30"/>
          <w:highlight w:val="none"/>
        </w:rPr>
        <w:t>。合同当事人应在专用合同条款中约定单价包含的风险范围和风险费用的计算方法</w:t>
      </w:r>
      <w:r>
        <w:rPr>
          <w:rFonts w:hint="eastAsia" w:ascii="仿宋_GB2312" w:hAnsi="仿宋_GB2312" w:eastAsia="仿宋_GB2312" w:cs="仿宋_GB2312"/>
          <w:color w:val="auto"/>
          <w:sz w:val="30"/>
          <w:szCs w:val="30"/>
          <w:highlight w:val="none"/>
        </w:rPr>
        <w:t>，</w:t>
      </w:r>
      <w:r>
        <w:rPr>
          <w:rFonts w:hint="eastAsia" w:ascii="仿宋_GB2312" w:hAnsi="仿宋_GB2312" w:eastAsia="仿宋_GB2312" w:cs="仿宋_GB2312"/>
          <w:color w:val="auto"/>
          <w:kern w:val="0"/>
          <w:sz w:val="30"/>
          <w:szCs w:val="30"/>
          <w:highlight w:val="none"/>
        </w:rPr>
        <w:t>并约定风险范围以外的合同价格的调整方法。</w:t>
      </w:r>
    </w:p>
    <w:p w14:paraId="1A1074F5">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（2）总价合同</w:t>
      </w:r>
    </w:p>
    <w:p w14:paraId="42F41B11">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总价合同是指合同当事人约定以发包人提供的上一阶段工程设计文件及有关条件进行合同价格计算、调整和确认的建设工程设计合同，</w:t>
      </w:r>
      <w:r>
        <w:rPr>
          <w:rFonts w:hint="eastAsia" w:ascii="仿宋_GB2312" w:hAnsi="仿宋_GB2312" w:eastAsia="仿宋_GB2312" w:cs="仿宋_GB2312"/>
          <w:color w:val="auto"/>
          <w:sz w:val="30"/>
          <w:szCs w:val="30"/>
          <w:highlight w:val="none"/>
        </w:rPr>
        <w:t>在约定的范围内合同总价不作调整</w:t>
      </w:r>
      <w:r>
        <w:rPr>
          <w:rFonts w:hint="eastAsia" w:ascii="仿宋_GB2312" w:hAnsi="仿宋_GB2312" w:eastAsia="仿宋_GB2312" w:cs="仿宋_GB2312"/>
          <w:color w:val="auto"/>
          <w:kern w:val="0"/>
          <w:sz w:val="30"/>
          <w:szCs w:val="30"/>
          <w:highlight w:val="none"/>
        </w:rPr>
        <w:t>。合同当事人应在专用合同条款中约定总价包含的风险范围和风险费用的计算方法，并约定风险范围以外的合同价格的调整方法。</w:t>
      </w:r>
    </w:p>
    <w:p w14:paraId="590B905D">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（3）其它价格形式</w:t>
      </w:r>
    </w:p>
    <w:p w14:paraId="70895203">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合同当事人可在专用合同条款中约定其他合同价格形式。</w:t>
      </w:r>
    </w:p>
    <w:p w14:paraId="79A46E32">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10.3 定金或预付款</w:t>
      </w:r>
    </w:p>
    <w:p w14:paraId="4A498B4B">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sz w:val="30"/>
          <w:szCs w:val="30"/>
          <w:highlight w:val="none"/>
        </w:rPr>
        <w:t xml:space="preserve">10.3.1 </w:t>
      </w:r>
      <w:r>
        <w:rPr>
          <w:rFonts w:hint="eastAsia" w:ascii="仿宋_GB2312" w:hAnsi="仿宋_GB2312" w:eastAsia="仿宋_GB2312" w:cs="仿宋_GB2312"/>
          <w:color w:val="auto"/>
          <w:kern w:val="0"/>
          <w:sz w:val="30"/>
          <w:szCs w:val="30"/>
          <w:highlight w:val="none"/>
        </w:rPr>
        <w:t>定金或预付款的比例</w:t>
      </w:r>
    </w:p>
    <w:p w14:paraId="5EE8F8ED">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定金的比例不应超过合同总价款的20%。预付款的比例由发包人与设计人协商确定，一般不低于合同总价款的20%。</w:t>
      </w:r>
    </w:p>
    <w:p w14:paraId="22D537F7">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sz w:val="30"/>
          <w:szCs w:val="30"/>
          <w:highlight w:val="none"/>
        </w:rPr>
        <w:t>10.3.2 定金或预付款的支付</w:t>
      </w:r>
    </w:p>
    <w:p w14:paraId="779B7083">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定金或预付款的支付按照专用合同条款约定执行，但最迟应在开始设计通知载明的开始设计日期前专用合同条款约定的期限内支付。</w:t>
      </w:r>
    </w:p>
    <w:p w14:paraId="65F9C093">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发包人逾期支付定金或预付款超过专用合同条款约定的期限的，设计人有权向发包人发出要求支付定金或预付款的催告通知，发包人收到通知后7天内仍未支付的，设计人有权不开始设计工作或暂停设计工作。</w:t>
      </w:r>
    </w:p>
    <w:p w14:paraId="24F279D8">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10.4 进度款支付</w:t>
      </w:r>
    </w:p>
    <w:p w14:paraId="5652F64A">
      <w:pPr>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sz w:val="30"/>
          <w:szCs w:val="30"/>
          <w:highlight w:val="none"/>
        </w:rPr>
        <w:t>10.4.1 发包人应当按照专用合同条款附件6约定的付款条件及时向设计人支付进度款。</w:t>
      </w:r>
    </w:p>
    <w:p w14:paraId="2F57A9B5">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10.4.2 进度付款的修正</w:t>
      </w:r>
    </w:p>
    <w:p w14:paraId="21DE79D1">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在对已付进度款进行汇总和复核中发现错误、遗漏或重复的，发包人和设计人均有权提出修正申请。经发包人和设计人同意的修正，应在下期进度付款中支付或扣除。</w:t>
      </w:r>
    </w:p>
    <w:p w14:paraId="4D81758B">
      <w:pPr>
        <w:spacing w:before="120" w:after="120"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10.5 合同价款的结算与支付</w:t>
      </w:r>
    </w:p>
    <w:p w14:paraId="3FB1C407">
      <w:pPr>
        <w:spacing w:line="360" w:lineRule="auto"/>
        <w:ind w:firstLine="600" w:firstLineChars="200"/>
        <w:rPr>
          <w:rFonts w:ascii="仿宋_GB2312" w:hAnsi="仿宋_GB2312" w:eastAsia="仿宋_GB2312" w:cs="仿宋_GB2312"/>
          <w:bCs/>
          <w:color w:val="auto"/>
          <w:kern w:val="0"/>
          <w:sz w:val="30"/>
          <w:szCs w:val="30"/>
          <w:highlight w:val="none"/>
        </w:rPr>
      </w:pPr>
      <w:r>
        <w:rPr>
          <w:rFonts w:hint="eastAsia" w:ascii="仿宋_GB2312" w:hAnsi="仿宋_GB2312" w:eastAsia="仿宋_GB2312" w:cs="仿宋_GB2312"/>
          <w:bCs/>
          <w:color w:val="auto"/>
          <w:kern w:val="0"/>
          <w:sz w:val="30"/>
          <w:szCs w:val="30"/>
          <w:highlight w:val="none"/>
        </w:rPr>
        <w:t>10.5.1 对于采取固定总价形式的合同，发包人应当按照专用合同条款附件6的约定及时支付尾款。</w:t>
      </w:r>
    </w:p>
    <w:p w14:paraId="32578C3D">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10.5.2 对于采取固定单价形式的合同，发包人与设计人应当按照专用合同条款附件6约定的结算方式及时结清工程设计费，并将结清未支付的款项一次性支付给设计人。</w:t>
      </w:r>
    </w:p>
    <w:p w14:paraId="0E5BBD87">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10.5.3 对于采取其他价格形式的，也应按专用合同条款的约定及时结算和支付。</w:t>
      </w:r>
    </w:p>
    <w:p w14:paraId="2D995ED6">
      <w:pPr>
        <w:spacing w:before="120" w:after="120"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10.6支付账户</w:t>
      </w:r>
    </w:p>
    <w:p w14:paraId="6A2FDDC7">
      <w:pPr>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发包人应将合同价款支付至合同协议书中约定的设计人账户。</w:t>
      </w:r>
    </w:p>
    <w:p w14:paraId="7B088984">
      <w:pPr>
        <w:keepNext/>
        <w:keepLines/>
        <w:spacing w:line="360" w:lineRule="auto"/>
        <w:outlineLvl w:val="1"/>
        <w:rPr>
          <w:rFonts w:ascii="Arial" w:hAnsi="Arial" w:eastAsia="黑体"/>
          <w:b/>
          <w:bCs/>
          <w:color w:val="auto"/>
          <w:sz w:val="32"/>
          <w:szCs w:val="32"/>
          <w:highlight w:val="none"/>
        </w:rPr>
      </w:pPr>
      <w:bookmarkStart w:id="1255" w:name="_Toc5002"/>
      <w:bookmarkStart w:id="1256" w:name="_Toc32077"/>
      <w:bookmarkStart w:id="1257" w:name="_Toc25343"/>
      <w:bookmarkStart w:id="1258" w:name="_Toc22407"/>
      <w:r>
        <w:rPr>
          <w:rFonts w:hint="eastAsia" w:ascii="Arial" w:hAnsi="Arial" w:eastAsia="黑体"/>
          <w:b/>
          <w:bCs/>
          <w:color w:val="auto"/>
          <w:sz w:val="32"/>
          <w:szCs w:val="32"/>
          <w:highlight w:val="none"/>
        </w:rPr>
        <w:t>11. 工程设计变更与索赔</w:t>
      </w:r>
      <w:bookmarkEnd w:id="1255"/>
      <w:bookmarkEnd w:id="1256"/>
      <w:bookmarkEnd w:id="1257"/>
      <w:bookmarkEnd w:id="1258"/>
    </w:p>
    <w:p w14:paraId="28B4892E">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11.1 发包人变更工程设计的内容、规模、功能、条件等，应当向设计人提供书面要求，设计人在不违反法律规定以及技术标准强制性规定的前提下应当按照发包人要求变更工程设计。</w:t>
      </w:r>
    </w:p>
    <w:p w14:paraId="4F951A93">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11.2 发包人变更工程设计的内容、规模、功能、条件或因提交的设计资料存在错误或作较大修改时，发包人应按设计人所耗工作量向设计人增付设计费，设计人可按本条约定和专用合同条款附件7的约定，与发包人协商对合同价格和/或完工时间做可共同接受的修改。</w:t>
      </w:r>
    </w:p>
    <w:p w14:paraId="2D5AE627">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11.3 </w:t>
      </w:r>
      <w:r>
        <w:rPr>
          <w:rFonts w:hint="eastAsia" w:ascii="仿宋_GB2312" w:hAnsi="仿宋_GB2312" w:eastAsia="仿宋_GB2312" w:cs="仿宋_GB2312"/>
          <w:color w:val="auto"/>
          <w:sz w:val="30"/>
          <w:szCs w:val="30"/>
          <w:highlight w:val="none"/>
        </w:rPr>
        <w:t>如果由于发包人要求更改而造成的项目复杂性的变更或性质的变更使得设计人的设计工作减少，发包人</w:t>
      </w:r>
      <w:r>
        <w:rPr>
          <w:rFonts w:hint="eastAsia" w:ascii="仿宋_GB2312" w:hAnsi="仿宋_GB2312" w:eastAsia="仿宋_GB2312" w:cs="仿宋_GB2312"/>
          <w:color w:val="auto"/>
          <w:kern w:val="0"/>
          <w:sz w:val="30"/>
          <w:szCs w:val="30"/>
          <w:highlight w:val="none"/>
        </w:rPr>
        <w:t>可按本条约定和专用合同条款附件7的约定，与设计人协商对合同价格和/或完工时间做可共同接受的修改。</w:t>
      </w:r>
    </w:p>
    <w:p w14:paraId="0F6C4FC5">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11.4 基准日期后，与工程设计服务有关的法律、技术标准的强制性规定的颁布及修改，由此增加的设计费用和（或）延长的设计周期由发包人承担。</w:t>
      </w:r>
    </w:p>
    <w:p w14:paraId="5B6052A5">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11.5 如果发生设计人认为有理由提出增加合同价款或延长设计周期的要求事项，除专用合同条款对期限另有约定外，设计人应于该事项发生后5天内书面通知发包人。除专用合同条款对期限另有约定外，在该事项发生后10天内，设计人应向发包人提供证明设计人要求的书面声明，其中包括设计人关于因该事项引起的合同价款和设计周期的变化的详细计算。除专用合同条款对期限另有约定外，发包人应在接到设计人书面声明后的5天内，予以书面答复。逾期未答复的，视为发包人同意设计人关于增加合同价款或延长设计周期的要求。</w:t>
      </w:r>
    </w:p>
    <w:p w14:paraId="2C71A7AF">
      <w:pPr>
        <w:keepNext/>
        <w:keepLines/>
        <w:spacing w:line="360" w:lineRule="auto"/>
        <w:outlineLvl w:val="1"/>
        <w:rPr>
          <w:rFonts w:ascii="Arial" w:hAnsi="Arial" w:eastAsia="黑体"/>
          <w:b/>
          <w:bCs/>
          <w:color w:val="auto"/>
          <w:sz w:val="32"/>
          <w:szCs w:val="32"/>
          <w:highlight w:val="none"/>
        </w:rPr>
      </w:pPr>
      <w:bookmarkStart w:id="1259" w:name="_Toc24909"/>
      <w:bookmarkStart w:id="1260" w:name="_Toc7724"/>
      <w:bookmarkStart w:id="1261" w:name="_Toc19167"/>
      <w:bookmarkStart w:id="1262" w:name="_Toc7591"/>
      <w:r>
        <w:rPr>
          <w:rFonts w:hint="eastAsia" w:ascii="Arial" w:hAnsi="Arial" w:eastAsia="黑体"/>
          <w:b/>
          <w:bCs/>
          <w:color w:val="auto"/>
          <w:sz w:val="32"/>
          <w:szCs w:val="32"/>
          <w:highlight w:val="none"/>
        </w:rPr>
        <w:t>12. 专业责任与保险</w:t>
      </w:r>
      <w:bookmarkEnd w:id="1259"/>
      <w:bookmarkEnd w:id="1260"/>
      <w:bookmarkEnd w:id="1261"/>
      <w:bookmarkEnd w:id="1262"/>
    </w:p>
    <w:p w14:paraId="2DB9B1AC">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12.1 设计人应运用一切合理的专业技术和经验知识，按照公认的职业标准尽其全部职责和谨慎、勤勉地履行其在本合同项下的责任和义务。</w:t>
      </w:r>
    </w:p>
    <w:p w14:paraId="2EB669D3">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12.2 除专用合同条款另有约定外，设计人应具有发包人认可的、履行本合同所需要的工程设计责任保险并使其于合同责任期内保持有效。</w:t>
      </w:r>
    </w:p>
    <w:p w14:paraId="368714F9">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12.3 工程设计责任保险应承担由于设计人的疏忽或过失而引发的工程质量事故所造成的建设工程本身的物质损失以及第三者人身伤亡、财产损失或费用的赔偿责任。</w:t>
      </w:r>
    </w:p>
    <w:p w14:paraId="130BA6A8">
      <w:pPr>
        <w:keepNext/>
        <w:keepLines/>
        <w:spacing w:line="360" w:lineRule="auto"/>
        <w:outlineLvl w:val="1"/>
        <w:rPr>
          <w:rFonts w:ascii="Arial" w:hAnsi="Arial" w:eastAsia="黑体"/>
          <w:b/>
          <w:bCs/>
          <w:color w:val="auto"/>
          <w:sz w:val="32"/>
          <w:szCs w:val="32"/>
          <w:highlight w:val="none"/>
        </w:rPr>
      </w:pPr>
      <w:bookmarkStart w:id="1263" w:name="_Toc21174"/>
      <w:bookmarkStart w:id="1264" w:name="_Toc11565"/>
      <w:bookmarkStart w:id="1265" w:name="_Toc30720"/>
      <w:bookmarkStart w:id="1266" w:name="_Toc1512"/>
      <w:r>
        <w:rPr>
          <w:rFonts w:hint="eastAsia" w:ascii="Arial" w:hAnsi="Arial" w:eastAsia="黑体"/>
          <w:b/>
          <w:bCs/>
          <w:color w:val="auto"/>
          <w:sz w:val="32"/>
          <w:szCs w:val="32"/>
          <w:highlight w:val="none"/>
        </w:rPr>
        <w:t>13. 知识产权</w:t>
      </w:r>
      <w:bookmarkEnd w:id="1263"/>
      <w:bookmarkEnd w:id="1264"/>
      <w:bookmarkEnd w:id="1265"/>
      <w:bookmarkEnd w:id="1266"/>
    </w:p>
    <w:p w14:paraId="2D331FEB">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13.1 除专用合同条款另有约定外，发包人提供给设计人的图纸、发包人为实施工程自行编制或委托编制的技术规格书以及反映发包人要求的或其他类似性质的文件的著作权属于发包人，设计人可以为实现合同目的而复制、使用此类文件，但不能用于与合同无关的其他事项。未经发包人书面同意，设计人不得为了合同以外的目的而复制、使用上述文件或将之提供给任何第三方。</w:t>
      </w:r>
    </w:p>
    <w:p w14:paraId="3A1E1154">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13.2 除专用合同条款另有约定外，设计人为实施工程所编制的文件的著作权属于设计人，发包人可因实施工程的运行、调试、维修、改造等目的而复制、使用此类文件，但不能擅自修改或用于与合同无关的其他事项。未经设计人书面同意，发包人不得为了合同以外的目的而复制、使用上述文件或将之提供给任何第三方。</w:t>
      </w:r>
    </w:p>
    <w:p w14:paraId="04D05BF2">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13.3 合同当事人保证在履行合同过程中不侵犯对方及第三方的知识产权。设计人在工程设计时，因侵犯他人的专利权或其他知识产权所引起的责任，由设计人承担；因发包人提供的基础资料导致侵权的，由发包人承担责任。</w:t>
      </w:r>
    </w:p>
    <w:p w14:paraId="1B3EEEB7">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13.4 合同当事人双方均有权在不损害对方利益和保密约定的前提下，在自己宣传用的印刷品或其他出版物上，或申报奖项时等情形下公布有关项目的文字和图片材料。</w:t>
      </w:r>
    </w:p>
    <w:p w14:paraId="0D7EACCD">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13.5 除专用合同条款另有约定外，设计人在合同签订前和签订时已确定采用的专利、专有技术的使用费应包含在签约合同价中。</w:t>
      </w:r>
    </w:p>
    <w:p w14:paraId="4F3244F9">
      <w:pPr>
        <w:keepNext/>
        <w:keepLines/>
        <w:spacing w:line="360" w:lineRule="auto"/>
        <w:outlineLvl w:val="1"/>
        <w:rPr>
          <w:rFonts w:ascii="Arial" w:hAnsi="Arial" w:eastAsia="黑体"/>
          <w:b/>
          <w:bCs/>
          <w:color w:val="auto"/>
          <w:sz w:val="32"/>
          <w:szCs w:val="32"/>
          <w:highlight w:val="none"/>
        </w:rPr>
      </w:pPr>
      <w:bookmarkStart w:id="1267" w:name="_Toc7767"/>
      <w:bookmarkStart w:id="1268" w:name="_Toc15622"/>
      <w:bookmarkStart w:id="1269" w:name="_Toc21115"/>
      <w:bookmarkStart w:id="1270" w:name="_Toc21634"/>
      <w:r>
        <w:rPr>
          <w:rFonts w:hint="eastAsia" w:ascii="Arial" w:hAnsi="Arial" w:eastAsia="黑体"/>
          <w:b/>
          <w:bCs/>
          <w:color w:val="auto"/>
          <w:sz w:val="32"/>
          <w:szCs w:val="32"/>
          <w:highlight w:val="none"/>
        </w:rPr>
        <w:t>14. 违约责任</w:t>
      </w:r>
      <w:bookmarkEnd w:id="1267"/>
      <w:bookmarkEnd w:id="1268"/>
      <w:bookmarkEnd w:id="1269"/>
      <w:bookmarkEnd w:id="1270"/>
    </w:p>
    <w:p w14:paraId="048020E3">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14.1 发包人违约责任</w:t>
      </w:r>
    </w:p>
    <w:p w14:paraId="793EA750">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14.1.1 合同生效后，发包人因非设计人原因要求终止或解除合同，设计人未开始设计工作的，退还发包人已付的定金；已开始设计工作的，发包人应按照设计人已完成的实际工作量计算设计费。</w:t>
      </w:r>
    </w:p>
    <w:p w14:paraId="3D1320D2">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14.1.2 发包人未按专用合同条款附件6约定的金额和期限向设计人支付设计费的，应按专用合同条款约定向设计人支付违约金。逾期超过15天时，设计人有权书面通知发包人中止设计工作。自中止设计工作之日起15天内发包人A支付相应费用的，设计人应及时根据发包人要求恢复设计工作；自中止设计工作之日起超过15天后发包人支付相应费用的，设计人有权确定重新恢复设计工作的时间，且设计周期相应延长。</w:t>
      </w:r>
    </w:p>
    <w:p w14:paraId="03C5723E">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14.1.3 发包人的上级或设计审批部门对设计文件不进行审批或本合同工程停建、缓建，发包人应在事件发生之日起15天内按本合同第16条</w:t>
      </w:r>
      <w:r>
        <w:rPr>
          <w:rFonts w:hint="eastAsia" w:ascii="仿宋_GB2312" w:hAnsi="仿宋_GB2312" w:eastAsia="仿宋_GB2312" w:cs="仿宋_GB2312"/>
          <w:color w:val="auto"/>
          <w:sz w:val="30"/>
          <w:szCs w:val="30"/>
          <w:highlight w:val="none"/>
        </w:rPr>
        <w:t>〔合同解除〕</w:t>
      </w:r>
      <w:r>
        <w:rPr>
          <w:rFonts w:hint="eastAsia" w:ascii="仿宋_GB2312" w:hAnsi="仿宋_GB2312" w:eastAsia="仿宋_GB2312" w:cs="仿宋_GB2312"/>
          <w:color w:val="auto"/>
          <w:kern w:val="0"/>
          <w:sz w:val="30"/>
          <w:szCs w:val="30"/>
          <w:highlight w:val="none"/>
        </w:rPr>
        <w:t>的约定向设计人结算并支付设计费。</w:t>
      </w:r>
    </w:p>
    <w:p w14:paraId="512CA5C2">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14.1.4 发包人擅自将设计人的设计文件用于本工程以外的工程或交第三方使用时，应承担相应法律责任，并应赔偿设计人因此遭受的损失。</w:t>
      </w:r>
    </w:p>
    <w:p w14:paraId="0D89FAA4">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14.2 设计人违约责任</w:t>
      </w:r>
    </w:p>
    <w:p w14:paraId="4925C51A">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14.2.1 合同生效后，设计人因自身原因要求终止或解除合同，设计人应按发包人已支付的定金金额双倍返还给发包人或设计人按照专用合同条款的约定向发包人支付违约金。</w:t>
      </w:r>
    </w:p>
    <w:p w14:paraId="5EA235AE">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14.2.2 由于设计人原因，未按专用合同条款附件3约定的时间交付工程设计文件的，应按专用合同条款的约定向发包人支付违约金，前述违约金经双方确认后可在发包人应付设计费中扣减。</w:t>
      </w:r>
    </w:p>
    <w:p w14:paraId="33B71B0E">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14.2.3 设计人对工程设计文件出现的遗漏或错误负责修改或补充。由于设计人原因产生的设计问题造成工程质量事故或其他事故时，设计人除负责采取补救措施外，应当通过所投建设工程设计责任保险向发包人承担赔偿责任或者根据直接经济损失程度按专用合同条款约定向发包人支付赔偿金。</w:t>
      </w:r>
    </w:p>
    <w:p w14:paraId="481AD2DE">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14.2.4 设计人未经发包人同意擅自对工程设计进行分包的，发包人有权要求设计人解除未经发包人同意的设计分包合同，设计人应当按照专用合同条款的约定承担违约责任。</w:t>
      </w:r>
    </w:p>
    <w:p w14:paraId="21BFC4FF">
      <w:pPr>
        <w:keepNext/>
        <w:keepLines/>
        <w:spacing w:line="360" w:lineRule="auto"/>
        <w:outlineLvl w:val="1"/>
        <w:rPr>
          <w:rFonts w:ascii="Arial" w:hAnsi="Arial" w:eastAsia="黑体"/>
          <w:b/>
          <w:bCs/>
          <w:color w:val="auto"/>
          <w:sz w:val="32"/>
          <w:szCs w:val="32"/>
          <w:highlight w:val="none"/>
        </w:rPr>
      </w:pPr>
      <w:bookmarkStart w:id="1271" w:name="_Toc26819"/>
      <w:bookmarkStart w:id="1272" w:name="_Toc28004"/>
      <w:bookmarkStart w:id="1273" w:name="_Toc30563"/>
      <w:bookmarkStart w:id="1274" w:name="_Toc14914"/>
      <w:r>
        <w:rPr>
          <w:rFonts w:hint="eastAsia" w:ascii="Arial" w:hAnsi="Arial" w:eastAsia="黑体"/>
          <w:b/>
          <w:bCs/>
          <w:color w:val="auto"/>
          <w:sz w:val="32"/>
          <w:szCs w:val="32"/>
          <w:highlight w:val="none"/>
        </w:rPr>
        <w:t>15. 不可抗力</w:t>
      </w:r>
      <w:bookmarkEnd w:id="1271"/>
      <w:bookmarkEnd w:id="1272"/>
      <w:bookmarkEnd w:id="1273"/>
      <w:bookmarkEnd w:id="1274"/>
      <w:r>
        <w:rPr>
          <w:rFonts w:hint="eastAsia" w:ascii="Arial" w:hAnsi="Arial" w:eastAsia="黑体"/>
          <w:b/>
          <w:bCs/>
          <w:color w:val="auto"/>
          <w:sz w:val="32"/>
          <w:szCs w:val="32"/>
          <w:highlight w:val="none"/>
        </w:rPr>
        <w:t xml:space="preserve"> </w:t>
      </w:r>
    </w:p>
    <w:p w14:paraId="1CDC335D">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15.1 不可抗力的确认</w:t>
      </w:r>
    </w:p>
    <w:p w14:paraId="6C7C66B6">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14:paraId="19E65894">
      <w:pPr>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不可抗力发生后，发包人和设计人应收集证明不可抗力发生及不可抗力造成损失的证据，并及时认真统计所造成的损失。合同当事人对是否属于不可抗力或其损失发生争议时，按第17条〔争议解决〕的约定处理。</w:t>
      </w:r>
    </w:p>
    <w:p w14:paraId="5917C53C">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15.2 不可抗力的通知</w:t>
      </w:r>
    </w:p>
    <w:p w14:paraId="5A10F818">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合同一方当事人遇到不可抗力事件，使其履行合同义务受到阻碍时，应立即通知合同另一方当事人，书面说明不可抗力和受阻碍的详细情况，并在合理期限内提供必要的证明。</w:t>
      </w:r>
    </w:p>
    <w:p w14:paraId="0903F20E">
      <w:pPr>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不可抗力持续发生的，合同一方当事人应及时向合同另一方当事人提交中间报告，说明不可抗力和履行合同受阻的情况，并于不可抗力事件结束后28天内提交最终报告及有关资料。</w:t>
      </w:r>
    </w:p>
    <w:p w14:paraId="5529EDD2">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15.3 不可抗力后果的承担</w:t>
      </w:r>
    </w:p>
    <w:p w14:paraId="25FE335B">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不可抗力引起的后果及造成的损失由合同当事人按照法律规定及合同约定各自承担。不可抗力发生前已完成的工程设计应当按照合同约定进行支付。</w:t>
      </w:r>
    </w:p>
    <w:p w14:paraId="005D564D">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不可抗力发生后，合同当事人均应采取措施尽量避免和减少损失的扩大，任何一方当事人没有采取有效措施导致损失扩大的，应对扩大的损失承担责任。</w:t>
      </w:r>
    </w:p>
    <w:p w14:paraId="523F8E09">
      <w:pPr>
        <w:autoSpaceDE w:val="0"/>
        <w:autoSpaceDN w:val="0"/>
        <w:adjustRightInd w:val="0"/>
        <w:spacing w:line="360" w:lineRule="auto"/>
        <w:ind w:firstLine="600" w:firstLineChars="200"/>
        <w:jc w:val="left"/>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因合同一方迟延履行合同义务，在迟延履行期间遭遇不可抗力的，不免除其违约责任。</w:t>
      </w:r>
    </w:p>
    <w:p w14:paraId="651C9E52">
      <w:pPr>
        <w:keepNext/>
        <w:keepLines/>
        <w:spacing w:line="360" w:lineRule="auto"/>
        <w:outlineLvl w:val="1"/>
        <w:rPr>
          <w:rFonts w:ascii="Arial" w:hAnsi="Arial" w:eastAsia="黑体"/>
          <w:b/>
          <w:bCs/>
          <w:color w:val="auto"/>
          <w:sz w:val="32"/>
          <w:szCs w:val="32"/>
          <w:highlight w:val="none"/>
        </w:rPr>
      </w:pPr>
      <w:bookmarkStart w:id="1275" w:name="_Toc22736"/>
      <w:bookmarkStart w:id="1276" w:name="_Toc26280"/>
      <w:bookmarkStart w:id="1277" w:name="_Toc24923"/>
      <w:bookmarkStart w:id="1278" w:name="_Toc28230"/>
      <w:r>
        <w:rPr>
          <w:rFonts w:hint="eastAsia" w:ascii="Arial" w:hAnsi="Arial" w:eastAsia="黑体"/>
          <w:b/>
          <w:bCs/>
          <w:color w:val="auto"/>
          <w:sz w:val="32"/>
          <w:szCs w:val="32"/>
          <w:highlight w:val="none"/>
        </w:rPr>
        <w:t>16. 合同解除</w:t>
      </w:r>
      <w:bookmarkEnd w:id="1275"/>
      <w:bookmarkEnd w:id="1276"/>
      <w:bookmarkEnd w:id="1277"/>
      <w:bookmarkEnd w:id="1278"/>
    </w:p>
    <w:p w14:paraId="2DC5E1A1">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16.1 发包人与设计人协商一致，可以解除合同。</w:t>
      </w:r>
    </w:p>
    <w:p w14:paraId="257DFD25">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16.2 有下列情形之一的，合同当事人一方或双方可以解除合同：</w:t>
      </w:r>
    </w:p>
    <w:p w14:paraId="606920C2">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（1）设计人工程设计文件存在重大质量问题，经发包人催告后，在合理期限内修改后仍不能满足国家现行深度要求或不能达到合同约定的设计质量要求的，发包人可以解除合同；</w:t>
      </w:r>
    </w:p>
    <w:p w14:paraId="5C6E38BC">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（2）发包人未按合同约定支付设计费用，经设计人催告后，在30天内仍未支付的，设计人可以解除合同；</w:t>
      </w:r>
    </w:p>
    <w:p w14:paraId="3FB8058E">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（3）暂停设计期限已连续超过180天，专用合同条款另有约定的除外；</w:t>
      </w:r>
    </w:p>
    <w:p w14:paraId="7C3960A9">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（4）因不可抗力致使合同无法履行；</w:t>
      </w:r>
    </w:p>
    <w:p w14:paraId="2C200DC4">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（5）因一方违约致使合同无法实际履行或实际履行已无必要；</w:t>
      </w:r>
    </w:p>
    <w:p w14:paraId="7B13FA69">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（6）因本工程项目条件发生重大变化，使合同无法继续履行。</w:t>
      </w:r>
    </w:p>
    <w:p w14:paraId="689AD32C">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16.3 任何一方因故需解除合同时，应提前30天书面通知对方，对合同中的遗留问题应取得一致意见并形成书面协议。</w:t>
      </w:r>
    </w:p>
    <w:p w14:paraId="2AD3A95A">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16.4 合同解除后，发包人除应按第14.1.1项的约定及专用合同条款约定期限内向设计人支付已完工作的设计费外，应当向设计人支付由于非设计人原因合同解除导致设计人增加的设计费用，违约一方应当承担相应的违约责任。</w:t>
      </w:r>
    </w:p>
    <w:p w14:paraId="7EA9B14E">
      <w:pPr>
        <w:keepNext/>
        <w:keepLines/>
        <w:spacing w:line="360" w:lineRule="auto"/>
        <w:outlineLvl w:val="1"/>
        <w:rPr>
          <w:rFonts w:ascii="Arial" w:hAnsi="Arial" w:eastAsia="黑体"/>
          <w:b/>
          <w:bCs/>
          <w:color w:val="auto"/>
          <w:sz w:val="32"/>
          <w:szCs w:val="32"/>
          <w:highlight w:val="none"/>
        </w:rPr>
      </w:pPr>
      <w:bookmarkStart w:id="1279" w:name="_Toc15504"/>
      <w:bookmarkStart w:id="1280" w:name="_Toc13788"/>
      <w:bookmarkStart w:id="1281" w:name="_Toc3994"/>
      <w:bookmarkStart w:id="1282" w:name="_Toc15695"/>
      <w:r>
        <w:rPr>
          <w:rFonts w:hint="eastAsia" w:ascii="Arial" w:hAnsi="Arial" w:eastAsia="黑体"/>
          <w:b/>
          <w:bCs/>
          <w:color w:val="auto"/>
          <w:sz w:val="32"/>
          <w:szCs w:val="32"/>
          <w:highlight w:val="none"/>
        </w:rPr>
        <w:t>17. 争议解决</w:t>
      </w:r>
      <w:bookmarkEnd w:id="1279"/>
      <w:bookmarkEnd w:id="1280"/>
      <w:bookmarkEnd w:id="1281"/>
      <w:bookmarkEnd w:id="1282"/>
    </w:p>
    <w:p w14:paraId="770B2753">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17.1 和解</w:t>
      </w:r>
    </w:p>
    <w:p w14:paraId="5EA0985F">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合同当事人可以就争议自行和解，自行和解达成协议的经双方签字并盖章后作为合同补充文件，双方均应遵照执行。</w:t>
      </w:r>
    </w:p>
    <w:p w14:paraId="4B044E75">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17.2 调解</w:t>
      </w:r>
    </w:p>
    <w:p w14:paraId="4EFC38C6">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合同当事人可以就争议请求相关行政主管部门、行业协会或其他第三方进行调解，调解达成协议的，经双方签字并盖章后作为合同补充文件，双方均应遵照执行。</w:t>
      </w:r>
    </w:p>
    <w:p w14:paraId="0DDD0311">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17.3 争议评审</w:t>
      </w:r>
    </w:p>
    <w:p w14:paraId="0C4999EB">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合同当事人在专用合同条款中约定采取争议评审方式解决争议以及评审规则，并按下列约定执行： </w:t>
      </w:r>
    </w:p>
    <w:p w14:paraId="7DC245B0">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17.3.1 争议评审小组的确定</w:t>
      </w:r>
    </w:p>
    <w:p w14:paraId="6D23D928">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合同当事人可以共同选择一名或三名争议评审员，组成争议评审小组。除专用合同条款另有约定外，合同当事人应当自合同签订后28天内，或者争议发生后14天内，选定争议评审员。</w:t>
      </w:r>
    </w:p>
    <w:p w14:paraId="1CFE1E0B">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7E24672D">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除专用合同条款另有约定外，评审所发生的费用由发包人和设计人各承担一半。</w:t>
      </w:r>
    </w:p>
    <w:p w14:paraId="57BFCA18">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17.3.2 争议评审小组的决定</w:t>
      </w:r>
    </w:p>
    <w:p w14:paraId="0F763E41">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合同当事人可在任何时间将与合同有关的任何争议共同提请争议评审小组进行评审。争议评审小组应秉持客观、公正原则，充分听取合同当事人的意见，依据相关法律、技术标准、行业惯例等，自收到争议评审申请报告后14天内作出书面决定，并说明理由。合同当事人可以在专用合同条款中对本事项另行约定。</w:t>
      </w:r>
    </w:p>
    <w:p w14:paraId="7E0552D9">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17.3.3 争议评审小组决定的效力</w:t>
      </w:r>
    </w:p>
    <w:p w14:paraId="266AC20C">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争议评审小组作出的书面决定经合同当事人签字确认后，对双方具有约束力，双方应遵照执行。</w:t>
      </w:r>
    </w:p>
    <w:p w14:paraId="4CB8154D">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任何一方当事人不接受争议评审小组决定或不履行争议评审小组决定的，双方可选择采用其他争议解决方式。</w:t>
      </w:r>
    </w:p>
    <w:p w14:paraId="3888636E">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17.4 仲裁或诉讼</w:t>
      </w:r>
    </w:p>
    <w:p w14:paraId="4FCC64F5">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因合同及合同有关事项产生的争议，合同当事人可以在专用合同条款中约定以下一种方式解决争议：</w:t>
      </w:r>
    </w:p>
    <w:p w14:paraId="23B8EF80">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（1）向约定的仲裁委员会申请仲裁；</w:t>
      </w:r>
    </w:p>
    <w:p w14:paraId="28EC3335">
      <w:pPr>
        <w:spacing w:line="360" w:lineRule="auto"/>
        <w:ind w:firstLine="600" w:firstLineChars="200"/>
        <w:rPr>
          <w:rFonts w:ascii="仿宋_GB2312" w:hAnsi="仿宋_GB2312" w:eastAsia="仿宋_GB2312" w:cs="仿宋_GB2312"/>
          <w:color w:val="auto"/>
          <w:kern w:val="0"/>
          <w:sz w:val="30"/>
          <w:szCs w:val="30"/>
          <w:highlight w:val="none"/>
        </w:rPr>
      </w:pPr>
      <w:r>
        <w:rPr>
          <w:rFonts w:hint="eastAsia" w:ascii="仿宋_GB2312" w:hAnsi="仿宋_GB2312" w:eastAsia="仿宋_GB2312" w:cs="仿宋_GB2312"/>
          <w:color w:val="auto"/>
          <w:kern w:val="0"/>
          <w:sz w:val="30"/>
          <w:szCs w:val="30"/>
          <w:highlight w:val="none"/>
        </w:rPr>
        <w:t>（2）向有管辖权的人民法院起诉。</w:t>
      </w:r>
    </w:p>
    <w:p w14:paraId="165C2AA5">
      <w:pPr>
        <w:keepNext/>
        <w:keepLines/>
        <w:spacing w:before="120" w:after="120" w:line="360" w:lineRule="auto"/>
        <w:ind w:firstLine="602" w:firstLineChars="200"/>
        <w:jc w:val="left"/>
        <w:outlineLvl w:val="2"/>
        <w:rPr>
          <w:rFonts w:ascii="Times New Roman" w:hAnsi="Times New Roman" w:eastAsia="黑体"/>
          <w:b/>
          <w:bCs/>
          <w:color w:val="auto"/>
          <w:sz w:val="30"/>
          <w:szCs w:val="32"/>
          <w:highlight w:val="none"/>
        </w:rPr>
      </w:pPr>
      <w:r>
        <w:rPr>
          <w:rFonts w:hint="eastAsia" w:ascii="Times New Roman" w:hAnsi="Times New Roman" w:eastAsia="黑体"/>
          <w:b/>
          <w:bCs/>
          <w:color w:val="auto"/>
          <w:sz w:val="30"/>
          <w:szCs w:val="32"/>
          <w:highlight w:val="none"/>
        </w:rPr>
        <w:t>17.5 争议解决条款效力</w:t>
      </w:r>
    </w:p>
    <w:p w14:paraId="33907495">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kern w:val="0"/>
          <w:sz w:val="30"/>
          <w:szCs w:val="30"/>
          <w:highlight w:val="none"/>
        </w:rPr>
        <w:t>合同有关争议解决的条款独立存在，合同的变更、解除、终止、无效或者被撤销均不影响其效力。</w:t>
      </w:r>
    </w:p>
    <w:p w14:paraId="53856A95">
      <w:pPr>
        <w:outlineLvl w:val="9"/>
        <w:rPr>
          <w:rFonts w:ascii="Times New Roman" w:hAnsi="Times New Roman" w:eastAsia="黑体"/>
          <w:color w:val="auto"/>
          <w:sz w:val="32"/>
          <w:highlight w:val="none"/>
        </w:rPr>
      </w:pPr>
    </w:p>
    <w:p w14:paraId="26C45670">
      <w:pPr>
        <w:rPr>
          <w:rFonts w:ascii="Times New Roman" w:hAnsi="Times New Roman" w:eastAsia="黑体"/>
          <w:color w:val="auto"/>
          <w:sz w:val="32"/>
          <w:szCs w:val="32"/>
          <w:highlight w:val="none"/>
        </w:rPr>
      </w:pPr>
    </w:p>
    <w:p w14:paraId="782CCA45">
      <w:pPr>
        <w:pStyle w:val="2"/>
        <w:spacing w:after="0"/>
        <w:rPr>
          <w:rFonts w:ascii="Times New Roman" w:hAnsi="Times New Roman" w:eastAsia="黑体"/>
          <w:color w:val="auto"/>
          <w:sz w:val="32"/>
          <w:szCs w:val="32"/>
          <w:highlight w:val="none"/>
        </w:rPr>
      </w:pPr>
    </w:p>
    <w:p w14:paraId="4E688FF7">
      <w:pPr>
        <w:rPr>
          <w:rFonts w:ascii="Times New Roman" w:hAnsi="Times New Roman" w:eastAsia="黑体"/>
          <w:color w:val="auto"/>
          <w:sz w:val="32"/>
          <w:szCs w:val="32"/>
          <w:highlight w:val="none"/>
        </w:rPr>
      </w:pPr>
    </w:p>
    <w:p w14:paraId="530E8763">
      <w:pPr>
        <w:pStyle w:val="2"/>
        <w:spacing w:after="0"/>
        <w:rPr>
          <w:rFonts w:ascii="Times New Roman" w:hAnsi="Times New Roman" w:eastAsia="黑体"/>
          <w:color w:val="auto"/>
          <w:sz w:val="32"/>
          <w:szCs w:val="32"/>
          <w:highlight w:val="none"/>
        </w:rPr>
      </w:pPr>
    </w:p>
    <w:p w14:paraId="50C29372">
      <w:pPr>
        <w:rPr>
          <w:rFonts w:ascii="Times New Roman" w:hAnsi="Times New Roman" w:eastAsia="黑体"/>
          <w:color w:val="auto"/>
          <w:sz w:val="32"/>
          <w:szCs w:val="32"/>
          <w:highlight w:val="none"/>
        </w:rPr>
      </w:pPr>
    </w:p>
    <w:p w14:paraId="45505BC4">
      <w:pPr>
        <w:pStyle w:val="2"/>
        <w:spacing w:after="0"/>
        <w:rPr>
          <w:rFonts w:ascii="Times New Roman" w:hAnsi="Times New Roman" w:eastAsia="黑体"/>
          <w:color w:val="auto"/>
          <w:sz w:val="32"/>
          <w:szCs w:val="32"/>
          <w:highlight w:val="none"/>
        </w:rPr>
      </w:pPr>
    </w:p>
    <w:p w14:paraId="63895B99">
      <w:pPr>
        <w:rPr>
          <w:rFonts w:ascii="Times New Roman" w:hAnsi="Times New Roman" w:eastAsia="黑体"/>
          <w:color w:val="auto"/>
          <w:sz w:val="32"/>
          <w:szCs w:val="32"/>
          <w:highlight w:val="none"/>
        </w:rPr>
      </w:pPr>
    </w:p>
    <w:p w14:paraId="61CBE6EF">
      <w:pPr>
        <w:rPr>
          <w:rFonts w:ascii="Times New Roman" w:hAnsi="Times New Roman" w:eastAsia="黑体"/>
          <w:color w:val="auto"/>
          <w:sz w:val="32"/>
          <w:szCs w:val="32"/>
          <w:highlight w:val="none"/>
        </w:rPr>
      </w:pPr>
    </w:p>
    <w:p w14:paraId="3A652DF0">
      <w:pPr>
        <w:rPr>
          <w:rFonts w:ascii="Times New Roman" w:hAnsi="Times New Roman" w:eastAsia="黑体"/>
          <w:color w:val="auto"/>
          <w:sz w:val="32"/>
          <w:szCs w:val="32"/>
          <w:highlight w:val="none"/>
        </w:rPr>
      </w:pPr>
    </w:p>
    <w:p w14:paraId="2B79EE2F">
      <w:pPr>
        <w:rPr>
          <w:rFonts w:ascii="Times New Roman" w:hAnsi="Times New Roman" w:eastAsia="黑体"/>
          <w:color w:val="auto"/>
          <w:sz w:val="32"/>
          <w:szCs w:val="32"/>
          <w:highlight w:val="none"/>
        </w:rPr>
      </w:pPr>
    </w:p>
    <w:p w14:paraId="54FC2803">
      <w:pPr>
        <w:rPr>
          <w:rFonts w:ascii="Times New Roman" w:hAnsi="Times New Roman" w:eastAsia="黑体"/>
          <w:color w:val="auto"/>
          <w:sz w:val="32"/>
          <w:szCs w:val="32"/>
          <w:highlight w:val="none"/>
        </w:rPr>
      </w:pPr>
    </w:p>
    <w:p w14:paraId="2154DD3A">
      <w:pPr>
        <w:rPr>
          <w:rFonts w:ascii="Times New Roman" w:hAnsi="Times New Roman" w:eastAsia="黑体"/>
          <w:color w:val="auto"/>
          <w:sz w:val="32"/>
          <w:szCs w:val="32"/>
          <w:highlight w:val="none"/>
        </w:rPr>
      </w:pPr>
    </w:p>
    <w:p w14:paraId="36C45B5A">
      <w:pPr>
        <w:rPr>
          <w:rFonts w:ascii="Times New Roman" w:hAnsi="Times New Roman" w:eastAsia="黑体"/>
          <w:color w:val="auto"/>
          <w:sz w:val="32"/>
          <w:szCs w:val="32"/>
          <w:highlight w:val="none"/>
        </w:rPr>
      </w:pPr>
    </w:p>
    <w:p w14:paraId="5E6850F7">
      <w:pPr>
        <w:pStyle w:val="2"/>
        <w:spacing w:after="0"/>
        <w:rPr>
          <w:rFonts w:ascii="Times New Roman" w:hAnsi="Times New Roman" w:eastAsia="黑体"/>
          <w:color w:val="auto"/>
          <w:sz w:val="32"/>
          <w:szCs w:val="32"/>
          <w:highlight w:val="none"/>
        </w:rPr>
      </w:pPr>
    </w:p>
    <w:p w14:paraId="11D485C8">
      <w:pPr>
        <w:pStyle w:val="4"/>
        <w:rPr>
          <w:rFonts w:ascii="Times New Roman" w:hAnsi="Times New Roman" w:eastAsia="黑体"/>
          <w:color w:val="auto"/>
          <w:sz w:val="32"/>
          <w:szCs w:val="32"/>
          <w:highlight w:val="none"/>
        </w:rPr>
      </w:pPr>
    </w:p>
    <w:p w14:paraId="6690AFE7">
      <w:pPr>
        <w:pStyle w:val="5"/>
        <w:rPr>
          <w:rFonts w:ascii="Times New Roman" w:hAnsi="Times New Roman" w:eastAsia="黑体"/>
          <w:color w:val="auto"/>
          <w:sz w:val="32"/>
          <w:szCs w:val="32"/>
          <w:highlight w:val="none"/>
        </w:rPr>
      </w:pPr>
    </w:p>
    <w:p w14:paraId="277042B1">
      <w:pPr>
        <w:pStyle w:val="2"/>
        <w:rPr>
          <w:color w:val="auto"/>
          <w:highlight w:val="none"/>
        </w:rPr>
      </w:pPr>
    </w:p>
    <w:p w14:paraId="3243D03C">
      <w:pPr>
        <w:rPr>
          <w:rFonts w:ascii="Times New Roman" w:hAnsi="Times New Roman" w:eastAsia="黑体"/>
          <w:color w:val="auto"/>
          <w:sz w:val="32"/>
          <w:szCs w:val="32"/>
          <w:highlight w:val="none"/>
        </w:rPr>
      </w:pPr>
    </w:p>
    <w:bookmarkEnd w:id="1218"/>
    <w:p w14:paraId="6E5733EB">
      <w:pPr>
        <w:pStyle w:val="6"/>
        <w:rPr>
          <w:color w:val="auto"/>
          <w:highlight w:val="none"/>
        </w:rPr>
      </w:pPr>
      <w:bookmarkStart w:id="1283" w:name="_Toc22586"/>
      <w:bookmarkStart w:id="1284" w:name="_Toc18682"/>
      <w:bookmarkStart w:id="1285" w:name="_Toc20461"/>
      <w:bookmarkStart w:id="1286" w:name="_Toc26267"/>
      <w:bookmarkStart w:id="1287" w:name="_Toc14191"/>
      <w:r>
        <w:rPr>
          <w:rFonts w:hint="eastAsia"/>
          <w:color w:val="auto"/>
          <w:highlight w:val="none"/>
        </w:rPr>
        <w:t xml:space="preserve">第六部分 </w:t>
      </w:r>
      <w:bookmarkEnd w:id="1180"/>
      <w:bookmarkEnd w:id="1181"/>
      <w:bookmarkEnd w:id="1182"/>
      <w:bookmarkStart w:id="1288" w:name="_Toc23980"/>
      <w:bookmarkStart w:id="1289" w:name="_Toc256000294"/>
      <w:bookmarkStart w:id="1290" w:name="_Toc542063760"/>
      <w:r>
        <w:rPr>
          <w:rFonts w:hint="eastAsia"/>
          <w:color w:val="auto"/>
          <w:highlight w:val="none"/>
        </w:rPr>
        <w:t xml:space="preserve"> 专用合同条款</w:t>
      </w:r>
      <w:bookmarkEnd w:id="1283"/>
      <w:bookmarkEnd w:id="1284"/>
      <w:bookmarkEnd w:id="1285"/>
      <w:bookmarkEnd w:id="1286"/>
      <w:bookmarkEnd w:id="1287"/>
      <w:bookmarkEnd w:id="1288"/>
      <w:bookmarkEnd w:id="1289"/>
      <w:bookmarkEnd w:id="1290"/>
    </w:p>
    <w:p w14:paraId="42B813D6">
      <w:pPr>
        <w:pStyle w:val="7"/>
        <w:keepNext/>
        <w:keepLines/>
        <w:ind w:firstLine="0" w:firstLineChars="0"/>
        <w:jc w:val="both"/>
        <w:rPr>
          <w:rFonts w:eastAsia="黑体"/>
          <w:bCs/>
          <w:color w:val="auto"/>
          <w:sz w:val="32"/>
          <w:highlight w:val="none"/>
        </w:rPr>
      </w:pPr>
      <w:bookmarkStart w:id="1291" w:name="_Toc2630"/>
      <w:bookmarkStart w:id="1292" w:name="_Toc256000295"/>
      <w:bookmarkStart w:id="1293" w:name="_Toc5610"/>
      <w:bookmarkStart w:id="1294" w:name="_Toc21404"/>
      <w:bookmarkStart w:id="1295" w:name="_Toc493"/>
      <w:bookmarkStart w:id="1296" w:name="_Toc1674"/>
      <w:bookmarkStart w:id="1297" w:name="_Toc28286"/>
      <w:r>
        <w:rPr>
          <w:rFonts w:eastAsia="黑体"/>
          <w:bCs/>
          <w:color w:val="auto"/>
          <w:sz w:val="32"/>
          <w:highlight w:val="none"/>
        </w:rPr>
        <w:t>1.一般约定</w:t>
      </w:r>
      <w:bookmarkEnd w:id="1291"/>
      <w:bookmarkEnd w:id="1292"/>
      <w:bookmarkEnd w:id="1293"/>
      <w:bookmarkEnd w:id="1294"/>
      <w:bookmarkEnd w:id="1295"/>
      <w:bookmarkEnd w:id="1296"/>
      <w:bookmarkEnd w:id="1297"/>
    </w:p>
    <w:p w14:paraId="76052408">
      <w:pPr>
        <w:pStyle w:val="8"/>
        <w:spacing w:before="120" w:after="120"/>
        <w:ind w:firstLine="602"/>
        <w:rPr>
          <w:rFonts w:ascii="Times New Roman" w:hAnsi="Times New Roman" w:eastAsia="黑体"/>
          <w:color w:val="auto"/>
          <w:sz w:val="30"/>
          <w:highlight w:val="none"/>
        </w:rPr>
      </w:pPr>
      <w:bookmarkStart w:id="1298" w:name="_Toc31515"/>
      <w:bookmarkStart w:id="1299" w:name="_Toc256000296"/>
      <w:r>
        <w:rPr>
          <w:rFonts w:ascii="Times New Roman" w:hAnsi="Times New Roman" w:eastAsia="黑体"/>
          <w:color w:val="auto"/>
          <w:sz w:val="30"/>
          <w:highlight w:val="none"/>
        </w:rPr>
        <w:t>1.1 词语定义与解释</w:t>
      </w:r>
      <w:bookmarkEnd w:id="1298"/>
      <w:bookmarkEnd w:id="1299"/>
    </w:p>
    <w:p w14:paraId="6505288B">
      <w:pPr>
        <w:pStyle w:val="79"/>
        <w:spacing w:after="0" w:line="360" w:lineRule="auto"/>
        <w:ind w:firstLine="584"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4"/>
          <w:sz w:val="30"/>
          <w:szCs w:val="30"/>
          <w:highlight w:val="none"/>
        </w:rPr>
        <w:t>1.1.1合同</w:t>
      </w:r>
    </w:p>
    <w:p w14:paraId="28904D30">
      <w:pPr>
        <w:pStyle w:val="79"/>
        <w:spacing w:after="0"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"1.1.1.8" </w:instrText>
      </w:r>
      <w:r>
        <w:rPr>
          <w:color w:val="auto"/>
          <w:highlight w:val="none"/>
        </w:rPr>
        <w:fldChar w:fldCharType="separate"/>
      </w:r>
      <w:r>
        <w:rPr>
          <w:rFonts w:hint="eastAsia" w:ascii="仿宋_GB2312" w:hAnsi="仿宋_GB2312" w:eastAsia="仿宋_GB2312" w:cs="仿宋_GB2312"/>
          <w:color w:val="auto"/>
          <w:sz w:val="30"/>
          <w:szCs w:val="30"/>
          <w:highlight w:val="none"/>
        </w:rPr>
        <w:t>1.1.1.8</w:t>
      </w:r>
      <w:r>
        <w:rPr>
          <w:rFonts w:hint="eastAsia" w:ascii="仿宋_GB2312" w:hAnsi="仿宋_GB2312" w:eastAsia="仿宋_GB2312" w:cs="仿宋_GB2312"/>
          <w:color w:val="auto"/>
          <w:sz w:val="30"/>
          <w:szCs w:val="30"/>
          <w:highlight w:val="none"/>
        </w:rPr>
        <w:fldChar w:fldCharType="end"/>
      </w:r>
      <w:r>
        <w:rPr>
          <w:rFonts w:hint="eastAsia" w:ascii="仿宋_GB2312" w:hAnsi="仿宋_GB2312" w:eastAsia="仿宋_GB2312" w:cs="仿宋_GB2312"/>
          <w:color w:val="auto"/>
          <w:sz w:val="30"/>
          <w:szCs w:val="30"/>
          <w:highlight w:val="none"/>
        </w:rPr>
        <w:t xml:space="preserve"> 其他合同文件包括：</w:t>
      </w:r>
      <w:r>
        <w:rPr>
          <w:rFonts w:hint="eastAsia" w:ascii="仿宋_GB2312" w:hAnsi="仿宋_GB2312" w:eastAsia="仿宋_GB2312" w:cs="仿宋_GB2312"/>
          <w:b/>
          <w:bCs/>
          <w:color w:val="auto"/>
          <w:sz w:val="30"/>
          <w:szCs w:val="30"/>
          <w:highlight w:val="none"/>
          <w:u w:val="single"/>
        </w:rPr>
        <w:t>经合同双</w:t>
      </w:r>
      <w:r>
        <w:rPr>
          <w:rFonts w:hint="eastAsia" w:ascii="仿宋_GB2312" w:hAnsi="仿宋_GB2312" w:eastAsia="仿宋_GB2312" w:cs="仿宋_GB2312"/>
          <w:b/>
          <w:bCs/>
          <w:color w:val="auto"/>
          <w:spacing w:val="-1"/>
          <w:sz w:val="30"/>
          <w:szCs w:val="30"/>
          <w:highlight w:val="none"/>
          <w:u w:val="single"/>
        </w:rPr>
        <w:t>方当事人确认构成合同文件的其他文件：如双方认可的来往函件、会议纪要等，招标文件、招标文件澄清变更、设计人相关承诺、设计人投标文</w:t>
      </w:r>
      <w:r>
        <w:rPr>
          <w:rFonts w:hint="eastAsia" w:ascii="仿宋_GB2312" w:hAnsi="仿宋_GB2312" w:eastAsia="仿宋_GB2312" w:cs="仿宋_GB2312"/>
          <w:b/>
          <w:bCs/>
          <w:color w:val="auto"/>
          <w:spacing w:val="-2"/>
          <w:sz w:val="30"/>
          <w:szCs w:val="30"/>
          <w:highlight w:val="none"/>
          <w:u w:val="single"/>
        </w:rPr>
        <w:t>件、投标文件澄清等</w:t>
      </w:r>
      <w:r>
        <w:rPr>
          <w:rFonts w:hint="eastAsia" w:ascii="仿宋_GB2312" w:hAnsi="仿宋_GB2312" w:eastAsia="仿宋_GB2312" w:cs="仿宋_GB2312"/>
          <w:color w:val="auto"/>
          <w:spacing w:val="-2"/>
          <w:sz w:val="30"/>
          <w:szCs w:val="30"/>
          <w:highlight w:val="none"/>
        </w:rPr>
        <w:t>。</w:t>
      </w:r>
    </w:p>
    <w:p w14:paraId="4080F63B">
      <w:pPr>
        <w:pStyle w:val="8"/>
        <w:spacing w:before="120" w:after="120"/>
        <w:ind w:firstLine="602"/>
        <w:rPr>
          <w:rFonts w:ascii="Times New Roman" w:hAnsi="Times New Roman" w:eastAsia="黑体"/>
          <w:color w:val="auto"/>
          <w:sz w:val="30"/>
          <w:highlight w:val="none"/>
        </w:rPr>
      </w:pPr>
      <w:bookmarkStart w:id="1300" w:name="_Toc256000297"/>
      <w:r>
        <w:rPr>
          <w:rFonts w:ascii="Times New Roman" w:hAnsi="Times New Roman" w:eastAsia="黑体"/>
          <w:color w:val="auto"/>
          <w:sz w:val="30"/>
          <w:highlight w:val="none"/>
        </w:rPr>
        <w:t>1.3法律</w:t>
      </w:r>
      <w:bookmarkEnd w:id="1300"/>
    </w:p>
    <w:p w14:paraId="06C4EE97">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适用于合同的其他规范性文件：</w:t>
      </w:r>
      <w:r>
        <w:rPr>
          <w:rFonts w:hint="eastAsia" w:ascii="仿宋_GB2312" w:hAnsi="仿宋_GB2312" w:eastAsia="仿宋_GB2312" w:cs="仿宋_GB2312"/>
          <w:color w:val="auto"/>
          <w:spacing w:val="-8"/>
          <w:sz w:val="30"/>
          <w:szCs w:val="30"/>
          <w:highlight w:val="none"/>
          <w:u w:val="single"/>
        </w:rPr>
        <w:t>《中华人民共和国民法典</w:t>
      </w:r>
      <w:r>
        <w:rPr>
          <w:rFonts w:hint="eastAsia" w:ascii="仿宋_GB2312" w:hAnsi="仿宋_GB2312" w:eastAsia="仿宋_GB2312" w:cs="仿宋_GB2312"/>
          <w:color w:val="auto"/>
          <w:spacing w:val="-9"/>
          <w:sz w:val="30"/>
          <w:szCs w:val="30"/>
          <w:highlight w:val="none"/>
          <w:u w:val="single"/>
        </w:rPr>
        <w:t>》、《中华人民共和国建筑法》和《建设</w:t>
      </w:r>
      <w:r>
        <w:rPr>
          <w:rFonts w:hint="eastAsia" w:ascii="仿宋_GB2312" w:hAnsi="仿宋_GB2312" w:eastAsia="仿宋_GB2312" w:cs="仿宋_GB2312"/>
          <w:color w:val="auto"/>
          <w:spacing w:val="-4"/>
          <w:sz w:val="30"/>
          <w:szCs w:val="30"/>
          <w:highlight w:val="none"/>
          <w:u w:val="single"/>
        </w:rPr>
        <w:t>工程勘察设计市场管理规定》；国家及地方有关建设工程勘察设计管理法规和规章；建设工程批</w:t>
      </w:r>
      <w:r>
        <w:rPr>
          <w:rFonts w:hint="eastAsia" w:ascii="仿宋_GB2312" w:hAnsi="仿宋_GB2312" w:eastAsia="仿宋_GB2312" w:cs="仿宋_GB2312"/>
          <w:color w:val="auto"/>
          <w:spacing w:val="-5"/>
          <w:sz w:val="30"/>
          <w:szCs w:val="30"/>
          <w:highlight w:val="none"/>
          <w:u w:val="single"/>
        </w:rPr>
        <w:t>准文件；</w:t>
      </w:r>
      <w:r>
        <w:rPr>
          <w:rFonts w:hint="eastAsia" w:ascii="仿宋_GB2312" w:hAnsi="仿宋_GB2312" w:eastAsia="仿宋_GB2312" w:cs="仿宋_GB2312"/>
          <w:color w:val="auto"/>
          <w:spacing w:val="-6"/>
          <w:sz w:val="30"/>
          <w:szCs w:val="30"/>
          <w:highlight w:val="none"/>
          <w:u w:val="single"/>
        </w:rPr>
        <w:t>《广西壮</w:t>
      </w:r>
      <w:r>
        <w:rPr>
          <w:rFonts w:hint="eastAsia" w:ascii="仿宋_GB2312" w:hAnsi="仿宋_GB2312" w:eastAsia="仿宋_GB2312" w:cs="仿宋_GB2312"/>
          <w:color w:val="auto"/>
          <w:spacing w:val="-4"/>
          <w:sz w:val="30"/>
          <w:szCs w:val="30"/>
          <w:highlight w:val="none"/>
          <w:u w:val="single"/>
        </w:rPr>
        <w:t>族自治区工程建设其他费用定额》（桂建标〔2018〕37</w:t>
      </w:r>
      <w:r>
        <w:rPr>
          <w:rFonts w:hint="eastAsia" w:ascii="仿宋_GB2312" w:hAnsi="仿宋_GB2312" w:eastAsia="仿宋_GB2312" w:cs="仿宋_GB2312"/>
          <w:color w:val="auto"/>
          <w:spacing w:val="-5"/>
          <w:sz w:val="30"/>
          <w:szCs w:val="30"/>
          <w:highlight w:val="none"/>
          <w:u w:val="single"/>
        </w:rPr>
        <w:t>号)等。</w:t>
      </w:r>
      <w:r>
        <w:rPr>
          <w:rFonts w:hint="eastAsia" w:ascii="仿宋_GB2312" w:hAnsi="仿宋_GB2312" w:eastAsia="仿宋_GB2312" w:cs="仿宋_GB2312"/>
          <w:color w:val="auto"/>
          <w:sz w:val="30"/>
          <w:szCs w:val="30"/>
          <w:highlight w:val="none"/>
          <w:u w:val="single"/>
        </w:rPr>
        <w:t>如有最新的规范性文件按最新的执行</w:t>
      </w:r>
      <w:r>
        <w:rPr>
          <w:rFonts w:hint="eastAsia" w:ascii="仿宋_GB2312" w:hAnsi="仿宋_GB2312" w:eastAsia="仿宋_GB2312" w:cs="仿宋_GB2312"/>
          <w:color w:val="auto"/>
          <w:sz w:val="30"/>
          <w:szCs w:val="30"/>
          <w:highlight w:val="none"/>
        </w:rPr>
        <w:t>。</w:t>
      </w:r>
    </w:p>
    <w:p w14:paraId="28B6ED47">
      <w:pPr>
        <w:pStyle w:val="8"/>
        <w:spacing w:before="120" w:after="120"/>
        <w:ind w:firstLine="602"/>
        <w:rPr>
          <w:rFonts w:ascii="Times New Roman" w:hAnsi="Times New Roman" w:eastAsia="黑体"/>
          <w:color w:val="auto"/>
          <w:sz w:val="30"/>
          <w:highlight w:val="none"/>
        </w:rPr>
      </w:pPr>
      <w:bookmarkStart w:id="1301" w:name="_Toc256000298"/>
      <w:bookmarkStart w:id="1302" w:name="_Toc4045"/>
      <w:r>
        <w:rPr>
          <w:rFonts w:ascii="Times New Roman" w:hAnsi="Times New Roman" w:eastAsia="黑体"/>
          <w:color w:val="auto"/>
          <w:sz w:val="30"/>
          <w:highlight w:val="none"/>
        </w:rPr>
        <w:t>1.4 技术标准</w:t>
      </w:r>
      <w:bookmarkEnd w:id="1301"/>
      <w:bookmarkEnd w:id="1302"/>
    </w:p>
    <w:p w14:paraId="0EFE164D">
      <w:pPr>
        <w:pStyle w:val="79"/>
        <w:spacing w:after="0" w:line="360" w:lineRule="auto"/>
        <w:ind w:firstLine="584" w:firstLineChars="200"/>
        <w:rPr>
          <w:rFonts w:ascii="仿宋_GB2312" w:hAnsi="仿宋_GB2312" w:eastAsia="仿宋_GB2312" w:cs="仿宋_GB2312"/>
          <w:color w:val="auto"/>
          <w:spacing w:val="-4"/>
          <w:sz w:val="30"/>
          <w:szCs w:val="30"/>
          <w:highlight w:val="none"/>
        </w:rPr>
      </w:pPr>
      <w:bookmarkStart w:id="1303" w:name="_Toc256000299"/>
      <w:r>
        <w:rPr>
          <w:rFonts w:hint="eastAsia" w:ascii="仿宋_GB2312" w:hAnsi="仿宋_GB2312" w:eastAsia="仿宋_GB2312" w:cs="仿宋_GB2312"/>
          <w:color w:val="auto"/>
          <w:spacing w:val="-4"/>
          <w:sz w:val="30"/>
          <w:szCs w:val="30"/>
          <w:highlight w:val="none"/>
        </w:rPr>
        <w:t>1.4.1  适用于工程的技术标准包括：</w:t>
      </w:r>
      <w:r>
        <w:rPr>
          <w:rFonts w:hint="eastAsia" w:ascii="仿宋_GB2312" w:hAnsi="仿宋_GB2312" w:eastAsia="仿宋_GB2312" w:cs="仿宋_GB2312"/>
          <w:color w:val="auto"/>
          <w:spacing w:val="-4"/>
          <w:sz w:val="30"/>
          <w:szCs w:val="30"/>
          <w:highlight w:val="none"/>
          <w:u w:val="single"/>
        </w:rPr>
        <w:t>国家、地方及行业现行有关规范及设计标准。</w:t>
      </w:r>
      <w:bookmarkEnd w:id="1303"/>
    </w:p>
    <w:p w14:paraId="1147E6B7">
      <w:pPr>
        <w:pStyle w:val="79"/>
        <w:spacing w:after="0" w:line="360" w:lineRule="auto"/>
        <w:ind w:firstLine="584" w:firstLineChars="200"/>
        <w:rPr>
          <w:rFonts w:ascii="仿宋_GB2312" w:hAnsi="仿宋_GB2312" w:eastAsia="仿宋_GB2312" w:cs="仿宋_GB2312"/>
          <w:color w:val="auto"/>
          <w:spacing w:val="-2"/>
          <w:sz w:val="30"/>
          <w:szCs w:val="30"/>
          <w:highlight w:val="none"/>
        </w:rPr>
      </w:pPr>
      <w:bookmarkStart w:id="1304" w:name="_Toc23749"/>
      <w:bookmarkStart w:id="1305" w:name="_Toc256000300"/>
      <w:r>
        <w:rPr>
          <w:rFonts w:hint="eastAsia" w:ascii="仿宋_GB2312" w:hAnsi="仿宋_GB2312" w:eastAsia="仿宋_GB2312" w:cs="仿宋_GB2312"/>
          <w:color w:val="auto"/>
          <w:spacing w:val="-4"/>
          <w:sz w:val="30"/>
          <w:szCs w:val="30"/>
          <w:highlight w:val="none"/>
        </w:rPr>
        <w:t>1.4.2国外技术标准原文版本</w:t>
      </w:r>
      <w:r>
        <w:rPr>
          <w:rFonts w:hint="eastAsia" w:ascii="仿宋_GB2312" w:hAnsi="仿宋_GB2312" w:eastAsia="仿宋_GB2312" w:cs="仿宋_GB2312"/>
          <w:color w:val="auto"/>
          <w:spacing w:val="-1"/>
          <w:sz w:val="30"/>
          <w:szCs w:val="30"/>
          <w:highlight w:val="none"/>
        </w:rPr>
        <w:t>和</w:t>
      </w:r>
      <w:r>
        <w:rPr>
          <w:rFonts w:hint="eastAsia" w:ascii="仿宋_GB2312" w:hAnsi="仿宋_GB2312" w:eastAsia="仿宋_GB2312" w:cs="仿宋_GB2312"/>
          <w:color w:val="auto"/>
          <w:spacing w:val="-4"/>
          <w:sz w:val="30"/>
          <w:szCs w:val="30"/>
          <w:highlight w:val="none"/>
        </w:rPr>
        <w:t>中文</w:t>
      </w:r>
      <w:r>
        <w:rPr>
          <w:rFonts w:hint="eastAsia" w:ascii="仿宋_GB2312" w:hAnsi="仿宋_GB2312" w:eastAsia="仿宋_GB2312" w:cs="仿宋_GB2312"/>
          <w:color w:val="auto"/>
          <w:spacing w:val="-1"/>
          <w:sz w:val="30"/>
          <w:szCs w:val="30"/>
          <w:highlight w:val="none"/>
        </w:rPr>
        <w:t>译本的提供方：</w:t>
      </w:r>
      <w:r>
        <w:rPr>
          <w:rFonts w:hint="eastAsia" w:ascii="仿宋_GB2312" w:hAnsi="仿宋_GB2312" w:eastAsia="仿宋_GB2312" w:cs="仿宋_GB2312"/>
          <w:color w:val="auto"/>
          <w:spacing w:val="-2"/>
          <w:sz w:val="30"/>
          <w:szCs w:val="30"/>
          <w:highlight w:val="none"/>
          <w:u w:val="single"/>
        </w:rPr>
        <w:t xml:space="preserve">         </w:t>
      </w:r>
      <w:r>
        <w:rPr>
          <w:rFonts w:hint="eastAsia" w:ascii="仿宋_GB2312" w:hAnsi="仿宋_GB2312" w:eastAsia="仿宋_GB2312" w:cs="仿宋_GB2312"/>
          <w:color w:val="auto"/>
          <w:spacing w:val="-2"/>
          <w:sz w:val="30"/>
          <w:szCs w:val="30"/>
          <w:highlight w:val="none"/>
        </w:rPr>
        <w:t>；</w:t>
      </w:r>
      <w:bookmarkEnd w:id="1304"/>
      <w:bookmarkEnd w:id="1305"/>
    </w:p>
    <w:p w14:paraId="79CCAD3D">
      <w:pPr>
        <w:spacing w:line="360" w:lineRule="auto"/>
        <w:ind w:firstLine="600" w:firstLineChars="200"/>
        <w:rPr>
          <w:rFonts w:ascii="仿宋_GB2312" w:hAnsi="仿宋_GB2312" w:eastAsia="仿宋_GB2312" w:cs="仿宋_GB2312"/>
          <w:color w:val="auto"/>
          <w:sz w:val="30"/>
          <w:szCs w:val="30"/>
          <w:highlight w:val="none"/>
        </w:rPr>
      </w:pPr>
      <w:bookmarkStart w:id="1306" w:name="_Toc256000301"/>
      <w:bookmarkStart w:id="1307" w:name="_Toc30665"/>
      <w:r>
        <w:rPr>
          <w:rFonts w:hint="eastAsia" w:ascii="仿宋_GB2312" w:hAnsi="仿宋_GB2312" w:eastAsia="仿宋_GB2312" w:cs="仿宋_GB2312"/>
          <w:color w:val="auto"/>
          <w:sz w:val="30"/>
          <w:szCs w:val="30"/>
          <w:highlight w:val="none"/>
        </w:rPr>
        <w:t>提供国外技术标准的名称：</w:t>
      </w:r>
      <w:r>
        <w:rPr>
          <w:rFonts w:hint="eastAsia" w:ascii="仿宋_GB2312" w:hAnsi="仿宋_GB2312" w:eastAsia="仿宋_GB2312" w:cs="仿宋_GB2312"/>
          <w:color w:val="auto"/>
          <w:spacing w:val="-2"/>
          <w:sz w:val="30"/>
          <w:szCs w:val="30"/>
          <w:highlight w:val="none"/>
          <w:u w:val="single"/>
        </w:rPr>
        <w:t xml:space="preserve">               </w:t>
      </w:r>
      <w:r>
        <w:rPr>
          <w:rFonts w:hint="eastAsia" w:ascii="仿宋_GB2312" w:hAnsi="仿宋_GB2312" w:eastAsia="仿宋_GB2312" w:cs="仿宋_GB2312"/>
          <w:color w:val="auto"/>
          <w:sz w:val="30"/>
          <w:szCs w:val="30"/>
          <w:highlight w:val="none"/>
        </w:rPr>
        <w:t>；</w:t>
      </w:r>
      <w:bookmarkEnd w:id="1306"/>
      <w:bookmarkEnd w:id="1307"/>
    </w:p>
    <w:p w14:paraId="341FBC8B">
      <w:pPr>
        <w:spacing w:line="360" w:lineRule="auto"/>
        <w:ind w:firstLine="600" w:firstLineChars="200"/>
        <w:rPr>
          <w:rFonts w:ascii="仿宋_GB2312" w:hAnsi="仿宋_GB2312" w:eastAsia="仿宋_GB2312" w:cs="仿宋_GB2312"/>
          <w:color w:val="auto"/>
          <w:sz w:val="30"/>
          <w:szCs w:val="30"/>
          <w:highlight w:val="none"/>
        </w:rPr>
      </w:pPr>
      <w:bookmarkStart w:id="1308" w:name="_Toc256000302"/>
      <w:bookmarkStart w:id="1309" w:name="_Toc9844"/>
      <w:r>
        <w:rPr>
          <w:rFonts w:hint="eastAsia" w:ascii="仿宋_GB2312" w:hAnsi="仿宋_GB2312" w:eastAsia="仿宋_GB2312" w:cs="仿宋_GB2312"/>
          <w:color w:val="auto"/>
          <w:sz w:val="30"/>
          <w:szCs w:val="30"/>
          <w:highlight w:val="none"/>
        </w:rPr>
        <w:t>提供国外技术标准的份数：</w:t>
      </w:r>
      <w:r>
        <w:rPr>
          <w:rFonts w:hint="eastAsia" w:ascii="仿宋_GB2312" w:hAnsi="仿宋_GB2312" w:eastAsia="仿宋_GB2312" w:cs="仿宋_GB2312"/>
          <w:color w:val="auto"/>
          <w:spacing w:val="-2"/>
          <w:sz w:val="30"/>
          <w:szCs w:val="30"/>
          <w:highlight w:val="none"/>
          <w:u w:val="single"/>
        </w:rPr>
        <w:t xml:space="preserve">               </w:t>
      </w:r>
      <w:r>
        <w:rPr>
          <w:rFonts w:hint="eastAsia" w:ascii="仿宋_GB2312" w:hAnsi="仿宋_GB2312" w:eastAsia="仿宋_GB2312" w:cs="仿宋_GB2312"/>
          <w:color w:val="auto"/>
          <w:sz w:val="30"/>
          <w:szCs w:val="30"/>
          <w:highlight w:val="none"/>
        </w:rPr>
        <w:t>；</w:t>
      </w:r>
      <w:bookmarkEnd w:id="1308"/>
      <w:bookmarkEnd w:id="1309"/>
    </w:p>
    <w:p w14:paraId="71E0BC6E">
      <w:pPr>
        <w:spacing w:line="360" w:lineRule="auto"/>
        <w:ind w:firstLine="600" w:firstLineChars="200"/>
        <w:rPr>
          <w:rFonts w:ascii="仿宋_GB2312" w:hAnsi="仿宋_GB2312" w:eastAsia="仿宋_GB2312" w:cs="仿宋_GB2312"/>
          <w:color w:val="auto"/>
          <w:sz w:val="30"/>
          <w:szCs w:val="30"/>
          <w:highlight w:val="none"/>
        </w:rPr>
      </w:pPr>
      <w:bookmarkStart w:id="1310" w:name="_Toc256000303"/>
      <w:bookmarkStart w:id="1311" w:name="_Toc24890"/>
      <w:r>
        <w:rPr>
          <w:rFonts w:hint="eastAsia" w:ascii="仿宋_GB2312" w:hAnsi="仿宋_GB2312" w:eastAsia="仿宋_GB2312" w:cs="仿宋_GB2312"/>
          <w:color w:val="auto"/>
          <w:sz w:val="30"/>
          <w:szCs w:val="30"/>
          <w:highlight w:val="none"/>
        </w:rPr>
        <w:t>提供国外技术标准的时间：</w:t>
      </w:r>
      <w:r>
        <w:rPr>
          <w:rFonts w:hint="eastAsia" w:ascii="仿宋_GB2312" w:hAnsi="仿宋_GB2312" w:eastAsia="仿宋_GB2312" w:cs="仿宋_GB2312"/>
          <w:color w:val="auto"/>
          <w:spacing w:val="-2"/>
          <w:sz w:val="30"/>
          <w:szCs w:val="30"/>
          <w:highlight w:val="none"/>
          <w:u w:val="single"/>
        </w:rPr>
        <w:t xml:space="preserve">               </w:t>
      </w:r>
      <w:r>
        <w:rPr>
          <w:rFonts w:hint="eastAsia" w:ascii="仿宋_GB2312" w:hAnsi="仿宋_GB2312" w:eastAsia="仿宋_GB2312" w:cs="仿宋_GB2312"/>
          <w:color w:val="auto"/>
          <w:sz w:val="30"/>
          <w:szCs w:val="30"/>
          <w:highlight w:val="none"/>
        </w:rPr>
        <w:t>；</w:t>
      </w:r>
      <w:bookmarkEnd w:id="1310"/>
      <w:bookmarkEnd w:id="1311"/>
    </w:p>
    <w:p w14:paraId="43924278">
      <w:pPr>
        <w:spacing w:line="360" w:lineRule="auto"/>
        <w:ind w:firstLine="600" w:firstLineChars="200"/>
        <w:rPr>
          <w:rFonts w:ascii="仿宋_GB2312" w:hAnsi="仿宋_GB2312" w:eastAsia="仿宋_GB2312" w:cs="仿宋_GB2312"/>
          <w:color w:val="auto"/>
          <w:sz w:val="30"/>
          <w:szCs w:val="30"/>
          <w:highlight w:val="none"/>
        </w:rPr>
      </w:pPr>
      <w:bookmarkStart w:id="1312" w:name="_Toc19142"/>
      <w:bookmarkStart w:id="1313" w:name="_Toc256000304"/>
      <w:r>
        <w:rPr>
          <w:rFonts w:hint="eastAsia" w:ascii="仿宋_GB2312" w:hAnsi="仿宋_GB2312" w:eastAsia="仿宋_GB2312" w:cs="仿宋_GB2312"/>
          <w:color w:val="auto"/>
          <w:sz w:val="30"/>
          <w:szCs w:val="30"/>
          <w:highlight w:val="none"/>
        </w:rPr>
        <w:t>提供国外技术标准的费用承担：</w:t>
      </w:r>
      <w:r>
        <w:rPr>
          <w:rFonts w:hint="eastAsia" w:ascii="仿宋_GB2312" w:hAnsi="仿宋_GB2312" w:eastAsia="仿宋_GB2312" w:cs="仿宋_GB2312"/>
          <w:color w:val="auto"/>
          <w:spacing w:val="-2"/>
          <w:sz w:val="30"/>
          <w:szCs w:val="30"/>
          <w:highlight w:val="none"/>
          <w:u w:val="single"/>
        </w:rPr>
        <w:t xml:space="preserve">           </w:t>
      </w:r>
      <w:r>
        <w:rPr>
          <w:rFonts w:hint="eastAsia" w:ascii="仿宋_GB2312" w:hAnsi="仿宋_GB2312" w:eastAsia="仿宋_GB2312" w:cs="仿宋_GB2312"/>
          <w:color w:val="auto"/>
          <w:sz w:val="30"/>
          <w:szCs w:val="30"/>
          <w:highlight w:val="none"/>
        </w:rPr>
        <w:t>。</w:t>
      </w:r>
      <w:bookmarkEnd w:id="1312"/>
      <w:bookmarkEnd w:id="1313"/>
    </w:p>
    <w:p w14:paraId="09E46CF8">
      <w:pPr>
        <w:pStyle w:val="81"/>
        <w:spacing w:line="360" w:lineRule="auto"/>
        <w:ind w:firstLine="616" w:firstLineChars="200"/>
        <w:rPr>
          <w:rFonts w:ascii="仿宋_GB2312" w:hAnsi="仿宋_GB2312" w:eastAsia="仿宋_GB2312" w:cs="仿宋_GB2312"/>
          <w:color w:val="auto"/>
          <w:spacing w:val="4"/>
          <w:sz w:val="30"/>
          <w:szCs w:val="30"/>
          <w:highlight w:val="none"/>
        </w:rPr>
      </w:pPr>
      <w:bookmarkStart w:id="1314" w:name="_Toc13815"/>
      <w:bookmarkStart w:id="1315" w:name="_Toc256000305"/>
      <w:r>
        <w:rPr>
          <w:rFonts w:hint="eastAsia" w:ascii="仿宋_GB2312" w:hAnsi="仿宋_GB2312" w:eastAsia="仿宋_GB2312" w:cs="仿宋_GB2312"/>
          <w:color w:val="auto"/>
          <w:spacing w:val="4"/>
          <w:sz w:val="30"/>
          <w:szCs w:val="30"/>
          <w:highlight w:val="none"/>
        </w:rPr>
        <w:t>1.4.3  发包人对工程的技术标准和功能要求的特殊要求：</w:t>
      </w:r>
      <w:r>
        <w:rPr>
          <w:rFonts w:hint="eastAsia" w:ascii="仿宋_GB2312" w:hAnsi="仿宋_GB2312" w:eastAsia="仿宋_GB2312" w:cs="仿宋_GB2312"/>
          <w:color w:val="auto"/>
          <w:spacing w:val="4"/>
          <w:sz w:val="30"/>
          <w:szCs w:val="30"/>
          <w:highlight w:val="none"/>
          <w:u w:val="single"/>
        </w:rPr>
        <w:t>符合国家规定的工程设计质量标准、深度要求和现行技术规范、规程要求，并通过国家相关部门组织的审查。</w:t>
      </w:r>
      <w:bookmarkEnd w:id="1314"/>
      <w:bookmarkEnd w:id="1315"/>
    </w:p>
    <w:p w14:paraId="703ACDCC">
      <w:pPr>
        <w:pStyle w:val="8"/>
        <w:spacing w:before="120" w:after="120"/>
        <w:ind w:firstLine="602"/>
        <w:rPr>
          <w:rFonts w:ascii="Times New Roman" w:hAnsi="Times New Roman" w:eastAsia="黑体"/>
          <w:color w:val="auto"/>
          <w:sz w:val="30"/>
          <w:highlight w:val="none"/>
        </w:rPr>
      </w:pPr>
      <w:bookmarkStart w:id="1316" w:name="_Toc256000306"/>
      <w:bookmarkStart w:id="1317" w:name="_Toc23703"/>
      <w:r>
        <w:rPr>
          <w:rFonts w:ascii="Times New Roman" w:hAnsi="Times New Roman" w:eastAsia="黑体"/>
          <w:color w:val="auto"/>
          <w:sz w:val="30"/>
          <w:highlight w:val="none"/>
        </w:rPr>
        <w:t>1.5 合同文件的优先顺序</w:t>
      </w:r>
      <w:bookmarkEnd w:id="1316"/>
      <w:bookmarkEnd w:id="1317"/>
    </w:p>
    <w:p w14:paraId="11A33DBB">
      <w:pPr>
        <w:pStyle w:val="78"/>
        <w:spacing w:line="360" w:lineRule="auto"/>
        <w:ind w:firstLine="616" w:firstLineChars="200"/>
        <w:jc w:val="left"/>
        <w:rPr>
          <w:rFonts w:ascii="仿宋_GB2312" w:hAnsi="仿宋_GB2312" w:eastAsia="仿宋_GB2312" w:cs="仿宋_GB2312"/>
          <w:color w:val="auto"/>
          <w:spacing w:val="4"/>
          <w:sz w:val="30"/>
          <w:szCs w:val="30"/>
          <w:highlight w:val="none"/>
        </w:rPr>
      </w:pPr>
      <w:bookmarkStart w:id="1318" w:name="_Toc256000307"/>
      <w:bookmarkStart w:id="1319" w:name="_Toc20748"/>
      <w:r>
        <w:rPr>
          <w:rFonts w:hint="eastAsia" w:ascii="仿宋_GB2312" w:hAnsi="仿宋_GB2312" w:eastAsia="仿宋_GB2312" w:cs="仿宋_GB2312"/>
          <w:color w:val="auto"/>
          <w:spacing w:val="4"/>
          <w:sz w:val="30"/>
          <w:szCs w:val="30"/>
          <w:highlight w:val="none"/>
        </w:rPr>
        <w:t>1.5.1合同文件组成及优先顺序为：</w:t>
      </w:r>
    </w:p>
    <w:p w14:paraId="2083A39D">
      <w:pPr>
        <w:pStyle w:val="78"/>
        <w:spacing w:line="360" w:lineRule="auto"/>
        <w:ind w:firstLine="600" w:firstLineChars="200"/>
        <w:jc w:val="left"/>
        <w:rPr>
          <w:rFonts w:hint="eastAsia" w:ascii="仿宋_GB2312" w:hAnsi="仿宋_GB2312" w:eastAsia="仿宋_GB2312" w:cs="仿宋_GB2312"/>
          <w:color w:val="auto"/>
          <w:sz w:val="30"/>
          <w:szCs w:val="30"/>
          <w:highlight w:val="none"/>
          <w:lang w:eastAsia="zh-CN"/>
        </w:rPr>
      </w:pPr>
      <w:r>
        <w:rPr>
          <w:rFonts w:hint="eastAsia" w:ascii="仿宋_GB2312" w:hAnsi="仿宋_GB2312" w:eastAsia="仿宋_GB2312" w:cs="仿宋_GB2312"/>
          <w:color w:val="auto"/>
          <w:sz w:val="30"/>
          <w:szCs w:val="30"/>
          <w:highlight w:val="none"/>
        </w:rPr>
        <w:t>（1）合同协议书</w:t>
      </w:r>
      <w:r>
        <w:rPr>
          <w:rFonts w:hint="eastAsia" w:ascii="仿宋_GB2312" w:hAnsi="仿宋_GB2312" w:eastAsia="仿宋_GB2312" w:cs="仿宋_GB2312"/>
          <w:color w:val="auto"/>
          <w:sz w:val="30"/>
          <w:szCs w:val="30"/>
          <w:highlight w:val="none"/>
          <w:lang w:eastAsia="zh-CN"/>
        </w:rPr>
        <w:t>；</w:t>
      </w:r>
    </w:p>
    <w:p w14:paraId="0C5708C5">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（2）合同澄清文件（如有）；</w:t>
      </w:r>
    </w:p>
    <w:p w14:paraId="7E7917E5">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（3）中标（选）通知书或委托书（如有）；</w:t>
      </w:r>
    </w:p>
    <w:p w14:paraId="1888D586">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（4）投标函及其附录（如有）；</w:t>
      </w:r>
    </w:p>
    <w:p w14:paraId="48A9AEB2">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（5）专用合同条款及其附件；</w:t>
      </w:r>
    </w:p>
    <w:p w14:paraId="3A33C981">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（6）发包人（甲方）要求（如有）；</w:t>
      </w:r>
    </w:p>
    <w:p w14:paraId="11728F4D">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（7）通用合同条款；</w:t>
      </w:r>
    </w:p>
    <w:p w14:paraId="75D1B8F8">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（8）技术标准；</w:t>
      </w:r>
    </w:p>
    <w:p w14:paraId="2631D993">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（9）设计费用清单；</w:t>
      </w:r>
    </w:p>
    <w:p w14:paraId="5BE51EAC">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（10）发包人提供的上一阶段图纸（如有）；</w:t>
      </w:r>
    </w:p>
    <w:p w14:paraId="426F238C">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（11）招标文件及附件（如有）；</w:t>
      </w:r>
    </w:p>
    <w:p w14:paraId="5036DE12">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（12）投标文件（如有）；</w:t>
      </w:r>
    </w:p>
    <w:p w14:paraId="5032EF13">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（13）其他合同文件。</w:t>
      </w:r>
    </w:p>
    <w:p w14:paraId="6F2C7150">
      <w:pPr>
        <w:pStyle w:val="82"/>
        <w:autoSpaceDE w:val="0"/>
        <w:autoSpaceDN w:val="0"/>
        <w:adjustRightInd w:val="0"/>
        <w:spacing w:line="360" w:lineRule="auto"/>
        <w:ind w:firstLine="600" w:firstLineChars="200"/>
        <w:jc w:val="left"/>
        <w:rPr>
          <w:rFonts w:ascii="仿宋_GB2312" w:hAnsi="仿宋_GB2312" w:eastAsia="仿宋_GB2312" w:cs="仿宋_GB2312"/>
          <w:color w:val="auto"/>
          <w:kern w:val="2"/>
          <w:sz w:val="30"/>
          <w:szCs w:val="30"/>
          <w:highlight w:val="none"/>
        </w:rPr>
      </w:pPr>
      <w:r>
        <w:rPr>
          <w:rFonts w:hint="eastAsia" w:ascii="仿宋_GB2312" w:hAnsi="仿宋_GB2312" w:eastAsia="仿宋_GB2312" w:cs="仿宋_GB2312"/>
          <w:color w:val="auto"/>
          <w:kern w:val="2"/>
          <w:sz w:val="30"/>
          <w:szCs w:val="30"/>
          <w:highlight w:val="none"/>
        </w:rPr>
        <w:t>1.5.2 上述合同文件互相补充和解释。如果合同文件之间存在矛盾或不一致之处，以上述文件的排列顺序在先者为准。</w:t>
      </w:r>
    </w:p>
    <w:p w14:paraId="0F36332F">
      <w:pPr>
        <w:pStyle w:val="82"/>
        <w:autoSpaceDE w:val="0"/>
        <w:autoSpaceDN w:val="0"/>
        <w:adjustRightInd w:val="0"/>
        <w:spacing w:line="360" w:lineRule="auto"/>
        <w:ind w:firstLine="600" w:firstLineChars="200"/>
        <w:jc w:val="left"/>
        <w:rPr>
          <w:rFonts w:ascii="仿宋_GB2312" w:hAnsi="仿宋_GB2312" w:eastAsia="仿宋_GB2312" w:cs="仿宋_GB2312"/>
          <w:color w:val="auto"/>
          <w:kern w:val="2"/>
          <w:sz w:val="30"/>
          <w:szCs w:val="30"/>
          <w:highlight w:val="none"/>
        </w:rPr>
      </w:pPr>
      <w:r>
        <w:rPr>
          <w:rFonts w:hint="eastAsia" w:ascii="仿宋_GB2312" w:hAnsi="仿宋_GB2312" w:eastAsia="仿宋_GB2312" w:cs="仿宋_GB2312"/>
          <w:color w:val="auto"/>
          <w:kern w:val="2"/>
          <w:sz w:val="30"/>
          <w:szCs w:val="30"/>
          <w:highlight w:val="none"/>
        </w:rPr>
        <w:t>1.5.3 上述各项合同文件包括合同当事人就该项合同文件所作出的补充和修改，属于同一类内容的文件，应以最新签署的为准。</w:t>
      </w:r>
    </w:p>
    <w:bookmarkEnd w:id="1318"/>
    <w:bookmarkEnd w:id="1319"/>
    <w:p w14:paraId="331DD2AB">
      <w:pPr>
        <w:pStyle w:val="8"/>
        <w:spacing w:before="120"/>
        <w:ind w:firstLine="602"/>
        <w:rPr>
          <w:rFonts w:ascii="Times New Roman" w:hAnsi="Times New Roman" w:eastAsia="黑体"/>
          <w:color w:val="auto"/>
          <w:sz w:val="30"/>
          <w:highlight w:val="none"/>
        </w:rPr>
      </w:pPr>
      <w:bookmarkStart w:id="1320" w:name="_Toc256000308"/>
      <w:bookmarkStart w:id="1321" w:name="_Toc6108"/>
      <w:r>
        <w:rPr>
          <w:rFonts w:ascii="Times New Roman" w:hAnsi="Times New Roman" w:eastAsia="黑体"/>
          <w:color w:val="auto"/>
          <w:sz w:val="30"/>
          <w:highlight w:val="none"/>
        </w:rPr>
        <w:t>1.6联络</w:t>
      </w:r>
      <w:bookmarkEnd w:id="1320"/>
      <w:bookmarkEnd w:id="1321"/>
    </w:p>
    <w:p w14:paraId="72C0C9BC">
      <w:pPr>
        <w:spacing w:line="360" w:lineRule="auto"/>
        <w:ind w:firstLine="600" w:firstLineChars="200"/>
        <w:rPr>
          <w:rFonts w:ascii="仿宋_GB2312" w:hAnsi="仿宋_GB2312" w:eastAsia="仿宋_GB2312" w:cs="仿宋_GB2312"/>
          <w:color w:val="auto"/>
          <w:sz w:val="30"/>
          <w:szCs w:val="30"/>
          <w:highlight w:val="none"/>
        </w:rPr>
      </w:pPr>
      <w:bookmarkStart w:id="1322" w:name="_Toc32591"/>
      <w:bookmarkStart w:id="1323" w:name="_Toc256000309"/>
      <w:r>
        <w:rPr>
          <w:rFonts w:hint="eastAsia" w:ascii="仿宋_GB2312" w:hAnsi="仿宋_GB2312" w:eastAsia="仿宋_GB2312" w:cs="仿宋_GB2312"/>
          <w:color w:val="auto"/>
          <w:sz w:val="30"/>
          <w:szCs w:val="30"/>
          <w:highlight w:val="none"/>
        </w:rPr>
        <w:t>1.6.1  发包人和设计人应当在</w:t>
      </w:r>
      <w:r>
        <w:rPr>
          <w:rFonts w:hint="eastAsia" w:ascii="仿宋_GB2312" w:hAnsi="仿宋_GB2312" w:eastAsia="仿宋_GB2312" w:cs="仿宋_GB2312"/>
          <w:color w:val="auto"/>
          <w:sz w:val="30"/>
          <w:szCs w:val="30"/>
          <w:highlight w:val="none"/>
          <w:u w:val="single"/>
        </w:rPr>
        <w:t xml:space="preserve"> 5 </w:t>
      </w:r>
      <w:r>
        <w:rPr>
          <w:rFonts w:hint="eastAsia" w:ascii="仿宋_GB2312" w:hAnsi="仿宋_GB2312" w:eastAsia="仿宋_GB2312" w:cs="仿宋_GB2312"/>
          <w:color w:val="auto"/>
          <w:sz w:val="30"/>
          <w:szCs w:val="30"/>
          <w:highlight w:val="none"/>
        </w:rPr>
        <w:t>天内将与合同有关的通知、批准、证明、证书、指示、指令、要求、请求、同意、确定和决定等书面函件通过当面送交、邮政快递、电子邮件等方式按下列指定的联系信息送达对方当事人。</w:t>
      </w:r>
      <w:bookmarkEnd w:id="1322"/>
      <w:bookmarkEnd w:id="1323"/>
    </w:p>
    <w:p w14:paraId="65AC61FD">
      <w:pPr>
        <w:pStyle w:val="8"/>
        <w:spacing w:before="120"/>
        <w:ind w:firstLine="602"/>
        <w:rPr>
          <w:rFonts w:ascii="Times New Roman" w:hAnsi="Times New Roman" w:eastAsia="黑体"/>
          <w:color w:val="auto"/>
          <w:sz w:val="30"/>
          <w:highlight w:val="none"/>
        </w:rPr>
      </w:pPr>
      <w:bookmarkStart w:id="1324" w:name="_Toc30906"/>
      <w:bookmarkStart w:id="1325" w:name="_Toc256000311"/>
      <w:r>
        <w:rPr>
          <w:rFonts w:ascii="Times New Roman" w:hAnsi="Times New Roman" w:eastAsia="黑体"/>
          <w:color w:val="auto"/>
          <w:sz w:val="30"/>
          <w:highlight w:val="none"/>
        </w:rPr>
        <w:t>1.8保密</w:t>
      </w:r>
      <w:bookmarkEnd w:id="1324"/>
      <w:bookmarkEnd w:id="1325"/>
    </w:p>
    <w:p w14:paraId="08C1936E">
      <w:pPr>
        <w:pStyle w:val="79"/>
        <w:spacing w:after="0" w:line="360" w:lineRule="auto"/>
        <w:ind w:firstLine="616" w:firstLineChars="200"/>
        <w:rPr>
          <w:rFonts w:ascii="仿宋_GB2312" w:hAnsi="仿宋_GB2312" w:eastAsia="仿宋_GB2312" w:cs="仿宋_GB2312"/>
          <w:color w:val="auto"/>
          <w:spacing w:val="4"/>
          <w:sz w:val="30"/>
          <w:szCs w:val="30"/>
          <w:highlight w:val="none"/>
        </w:rPr>
      </w:pPr>
      <w:r>
        <w:rPr>
          <w:rFonts w:hint="eastAsia" w:ascii="仿宋_GB2312" w:hAnsi="仿宋_GB2312" w:eastAsia="仿宋_GB2312" w:cs="仿宋_GB2312"/>
          <w:color w:val="auto"/>
          <w:spacing w:val="4"/>
          <w:sz w:val="30"/>
          <w:szCs w:val="30"/>
          <w:highlight w:val="none"/>
        </w:rPr>
        <w:t>保密义务：双方均应保护对方的知识产权，未经对方同意，任何一方均不得对对方的资料及文件擅自修改、复制或向第三方转让或用于本合同项目外的项目。如发生以上情况，泄密方承担一切由此引起的后果并承担赔偿责任。</w:t>
      </w:r>
    </w:p>
    <w:p w14:paraId="4D0820A1">
      <w:pPr>
        <w:pStyle w:val="79"/>
        <w:spacing w:after="0" w:line="360" w:lineRule="auto"/>
        <w:ind w:firstLine="616" w:firstLineChars="200"/>
        <w:rPr>
          <w:rFonts w:ascii="仿宋_GB2312" w:hAnsi="仿宋_GB2312" w:eastAsia="仿宋_GB2312" w:cs="仿宋_GB2312"/>
          <w:color w:val="auto"/>
          <w:spacing w:val="4"/>
          <w:sz w:val="30"/>
          <w:szCs w:val="30"/>
          <w:highlight w:val="none"/>
        </w:rPr>
      </w:pPr>
      <w:r>
        <w:rPr>
          <w:rFonts w:hint="eastAsia" w:ascii="仿宋_GB2312" w:hAnsi="仿宋_GB2312" w:eastAsia="仿宋_GB2312" w:cs="仿宋_GB2312"/>
          <w:color w:val="auto"/>
          <w:spacing w:val="4"/>
          <w:sz w:val="30"/>
          <w:szCs w:val="30"/>
          <w:highlight w:val="none"/>
        </w:rPr>
        <w:t>本保密条款为持续性条款，无论本合同变更、中止、解除、终止或无效，均不影响保密条款的有效性。</w:t>
      </w:r>
    </w:p>
    <w:p w14:paraId="4FD5AB4D">
      <w:pPr>
        <w:pStyle w:val="7"/>
        <w:keepNext/>
        <w:keepLines/>
        <w:ind w:firstLine="0" w:firstLineChars="0"/>
        <w:jc w:val="both"/>
        <w:rPr>
          <w:rFonts w:eastAsia="黑体"/>
          <w:bCs/>
          <w:color w:val="auto"/>
          <w:sz w:val="32"/>
          <w:highlight w:val="none"/>
        </w:rPr>
      </w:pPr>
      <w:bookmarkStart w:id="1326" w:name="_Toc1519"/>
      <w:bookmarkStart w:id="1327" w:name="_Toc21809"/>
      <w:bookmarkStart w:id="1328" w:name="_Toc9426"/>
      <w:bookmarkStart w:id="1329" w:name="_Toc256000312"/>
      <w:bookmarkStart w:id="1330" w:name="_Toc20452"/>
      <w:bookmarkStart w:id="1331" w:name="_Toc1613"/>
      <w:r>
        <w:rPr>
          <w:rFonts w:eastAsia="黑体"/>
          <w:bCs/>
          <w:color w:val="auto"/>
          <w:sz w:val="32"/>
          <w:highlight w:val="none"/>
        </w:rPr>
        <w:t>2.发包人</w:t>
      </w:r>
      <w:bookmarkEnd w:id="1326"/>
      <w:bookmarkEnd w:id="1327"/>
      <w:bookmarkEnd w:id="1328"/>
      <w:bookmarkEnd w:id="1329"/>
      <w:bookmarkEnd w:id="1330"/>
      <w:bookmarkEnd w:id="1331"/>
    </w:p>
    <w:p w14:paraId="25AB22B7">
      <w:pPr>
        <w:pStyle w:val="8"/>
        <w:spacing w:before="120"/>
        <w:ind w:firstLine="602"/>
        <w:rPr>
          <w:rFonts w:ascii="Times New Roman" w:hAnsi="Times New Roman" w:eastAsia="黑体"/>
          <w:color w:val="auto"/>
          <w:sz w:val="30"/>
          <w:highlight w:val="none"/>
        </w:rPr>
      </w:pPr>
      <w:bookmarkStart w:id="1332" w:name="_Toc32206"/>
      <w:bookmarkStart w:id="1333" w:name="_Toc256000313"/>
      <w:r>
        <w:rPr>
          <w:rFonts w:ascii="Times New Roman" w:hAnsi="Times New Roman" w:eastAsia="黑体"/>
          <w:color w:val="auto"/>
          <w:sz w:val="30"/>
          <w:highlight w:val="none"/>
        </w:rPr>
        <w:t>2.1 发包人一般义务</w:t>
      </w:r>
      <w:bookmarkEnd w:id="1332"/>
      <w:bookmarkEnd w:id="1333"/>
    </w:p>
    <w:p w14:paraId="4101C80B">
      <w:pPr>
        <w:pStyle w:val="79"/>
        <w:spacing w:after="0" w:line="360" w:lineRule="auto"/>
        <w:ind w:firstLine="616" w:firstLineChars="200"/>
        <w:rPr>
          <w:rFonts w:ascii="仿宋_GB2312" w:hAnsi="仿宋_GB2312" w:eastAsia="仿宋_GB2312" w:cs="仿宋_GB2312"/>
          <w:color w:val="auto"/>
          <w:spacing w:val="4"/>
          <w:sz w:val="30"/>
          <w:szCs w:val="30"/>
          <w:highlight w:val="none"/>
        </w:rPr>
      </w:pPr>
      <w:r>
        <w:rPr>
          <w:rFonts w:hint="eastAsia" w:ascii="仿宋_GB2312" w:hAnsi="仿宋_GB2312" w:eastAsia="仿宋_GB2312" w:cs="仿宋_GB2312"/>
          <w:color w:val="auto"/>
          <w:spacing w:val="4"/>
          <w:sz w:val="30"/>
          <w:szCs w:val="30"/>
          <w:highlight w:val="none"/>
        </w:rPr>
        <w:t>2.1.3  发包人其他义务：</w:t>
      </w:r>
    </w:p>
    <w:p w14:paraId="4D240ADE">
      <w:pPr>
        <w:pStyle w:val="79"/>
        <w:spacing w:after="0" w:line="360" w:lineRule="auto"/>
        <w:ind w:firstLine="616" w:firstLineChars="200"/>
        <w:rPr>
          <w:rFonts w:ascii="仿宋_GB2312" w:hAnsi="仿宋_GB2312" w:eastAsia="仿宋_GB2312" w:cs="仿宋_GB2312"/>
          <w:color w:val="auto"/>
          <w:spacing w:val="4"/>
          <w:sz w:val="30"/>
          <w:szCs w:val="30"/>
          <w:highlight w:val="none"/>
        </w:rPr>
      </w:pPr>
      <w:r>
        <w:rPr>
          <w:rFonts w:hint="eastAsia" w:ascii="仿宋_GB2312" w:hAnsi="仿宋_GB2312" w:eastAsia="仿宋_GB2312" w:cs="仿宋_GB2312"/>
          <w:color w:val="auto"/>
          <w:spacing w:val="4"/>
          <w:sz w:val="30"/>
          <w:szCs w:val="30"/>
          <w:highlight w:val="none"/>
        </w:rPr>
        <w:t>2.1.3.1  发包人应在规定的时间内向设计人提交基础资料及文件，并对其完整性、正确性及时限性负责。发包人不得要求设计人违反国家有关标准进行设计。发包人提交上述资料及文件超过规定期限</w:t>
      </w:r>
      <w:r>
        <w:rPr>
          <w:rFonts w:hint="eastAsia" w:ascii="仿宋_GB2312" w:hAnsi="仿宋_GB2312" w:eastAsia="仿宋_GB2312" w:cs="仿宋_GB2312"/>
          <w:color w:val="auto"/>
          <w:spacing w:val="4"/>
          <w:sz w:val="30"/>
          <w:szCs w:val="30"/>
          <w:highlight w:val="none"/>
          <w:u w:val="single"/>
        </w:rPr>
        <w:t xml:space="preserve"> 15 </w:t>
      </w:r>
      <w:r>
        <w:rPr>
          <w:rFonts w:hint="eastAsia" w:ascii="仿宋_GB2312" w:hAnsi="仿宋_GB2312" w:eastAsia="仿宋_GB2312" w:cs="仿宋_GB2312"/>
          <w:color w:val="auto"/>
          <w:spacing w:val="4"/>
          <w:sz w:val="30"/>
          <w:szCs w:val="30"/>
          <w:highlight w:val="none"/>
        </w:rPr>
        <w:t>天以内，设计人按本合同第七条规定的交付设计文件时间顺延。</w:t>
      </w:r>
    </w:p>
    <w:p w14:paraId="7CDD9087">
      <w:pPr>
        <w:pStyle w:val="79"/>
        <w:spacing w:after="0" w:line="360" w:lineRule="auto"/>
        <w:ind w:firstLine="616" w:firstLineChars="200"/>
        <w:rPr>
          <w:rFonts w:ascii="仿宋_GB2312" w:hAnsi="仿宋_GB2312" w:eastAsia="仿宋_GB2312" w:cs="仿宋_GB2312"/>
          <w:color w:val="auto"/>
          <w:spacing w:val="4"/>
          <w:sz w:val="30"/>
          <w:szCs w:val="30"/>
          <w:highlight w:val="none"/>
        </w:rPr>
      </w:pPr>
      <w:r>
        <w:rPr>
          <w:rFonts w:hint="eastAsia" w:ascii="仿宋_GB2312" w:hAnsi="仿宋_GB2312" w:eastAsia="仿宋_GB2312" w:cs="仿宋_GB2312"/>
          <w:color w:val="auto"/>
          <w:spacing w:val="4"/>
          <w:sz w:val="30"/>
          <w:szCs w:val="30"/>
          <w:highlight w:val="none"/>
        </w:rPr>
        <w:t>2.1.3.2 发包人变更委托设计项目、规模、条件或因提交的资料错误，或所提交资料作较大修改，以致造成设计人设计返工时，双方需另行协商签订补充协议（或另订合同）重新明确有关条款。</w:t>
      </w:r>
    </w:p>
    <w:p w14:paraId="3EDAF1C1">
      <w:pPr>
        <w:pStyle w:val="79"/>
        <w:spacing w:after="0" w:line="360" w:lineRule="auto"/>
        <w:ind w:firstLine="616" w:firstLineChars="200"/>
        <w:rPr>
          <w:rFonts w:ascii="仿宋_GB2312" w:hAnsi="仿宋_GB2312" w:eastAsia="仿宋_GB2312" w:cs="仿宋_GB2312"/>
          <w:color w:val="auto"/>
          <w:spacing w:val="4"/>
          <w:sz w:val="30"/>
          <w:szCs w:val="30"/>
          <w:highlight w:val="none"/>
        </w:rPr>
      </w:pPr>
      <w:r>
        <w:rPr>
          <w:rFonts w:hint="eastAsia" w:ascii="仿宋_GB2312" w:hAnsi="仿宋_GB2312" w:eastAsia="仿宋_GB2312" w:cs="仿宋_GB2312"/>
          <w:color w:val="auto"/>
          <w:spacing w:val="4"/>
          <w:sz w:val="30"/>
          <w:szCs w:val="30"/>
          <w:highlight w:val="none"/>
        </w:rPr>
        <w:t xml:space="preserve"> 2.1.3.3  在合同履行期间，发包人无故要求解除合同时，已开始设计工作的，按经甲乙双方确认实际完成的工作量结算设计费。</w:t>
      </w:r>
    </w:p>
    <w:p w14:paraId="24381B67">
      <w:pPr>
        <w:pStyle w:val="79"/>
        <w:spacing w:after="0" w:line="360" w:lineRule="auto"/>
        <w:ind w:firstLine="616" w:firstLineChars="200"/>
        <w:rPr>
          <w:rFonts w:ascii="仿宋_GB2312" w:hAnsi="仿宋_GB2312" w:eastAsia="仿宋_GB2312" w:cs="仿宋_GB2312"/>
          <w:color w:val="auto"/>
          <w:spacing w:val="4"/>
          <w:sz w:val="30"/>
          <w:szCs w:val="30"/>
          <w:highlight w:val="none"/>
        </w:rPr>
      </w:pPr>
      <w:r>
        <w:rPr>
          <w:rFonts w:hint="eastAsia" w:ascii="仿宋_GB2312" w:hAnsi="仿宋_GB2312" w:eastAsia="仿宋_GB2312" w:cs="仿宋_GB2312"/>
          <w:color w:val="auto"/>
          <w:spacing w:val="4"/>
          <w:sz w:val="30"/>
          <w:szCs w:val="30"/>
          <w:highlight w:val="none"/>
        </w:rPr>
        <w:t>2.1.3.4 发包人应按本合同规定的金额和日期向设计人支付设计费。</w:t>
      </w:r>
    </w:p>
    <w:p w14:paraId="69937729">
      <w:pPr>
        <w:pStyle w:val="79"/>
        <w:spacing w:after="0" w:line="360" w:lineRule="auto"/>
        <w:ind w:firstLine="616" w:firstLineChars="200"/>
        <w:rPr>
          <w:rFonts w:ascii="仿宋_GB2312" w:hAnsi="仿宋_GB2312" w:eastAsia="仿宋_GB2312" w:cs="仿宋_GB2312"/>
          <w:color w:val="auto"/>
          <w:spacing w:val="4"/>
          <w:sz w:val="30"/>
          <w:szCs w:val="30"/>
          <w:highlight w:val="none"/>
        </w:rPr>
      </w:pPr>
      <w:r>
        <w:rPr>
          <w:rFonts w:hint="eastAsia" w:ascii="仿宋_GB2312" w:hAnsi="仿宋_GB2312" w:eastAsia="仿宋_GB2312" w:cs="仿宋_GB2312"/>
          <w:color w:val="auto"/>
          <w:spacing w:val="4"/>
          <w:sz w:val="30"/>
          <w:szCs w:val="30"/>
          <w:highlight w:val="none"/>
        </w:rPr>
        <w:t>2.1.3.5  发包人要求设计人比合同规定时间提前交付设计文件时，须征得设计人同意，不得严重背离合理设计周期。</w:t>
      </w:r>
    </w:p>
    <w:p w14:paraId="494BA3E9">
      <w:pPr>
        <w:pStyle w:val="8"/>
        <w:spacing w:before="120"/>
        <w:ind w:firstLine="602"/>
        <w:rPr>
          <w:rFonts w:ascii="Times New Roman" w:hAnsi="Times New Roman" w:eastAsia="黑体"/>
          <w:color w:val="auto"/>
          <w:sz w:val="30"/>
          <w:highlight w:val="none"/>
        </w:rPr>
      </w:pPr>
      <w:bookmarkStart w:id="1334" w:name="_Toc5193"/>
      <w:bookmarkStart w:id="1335" w:name="_Toc256000314"/>
      <w:r>
        <w:rPr>
          <w:rFonts w:ascii="Times New Roman" w:hAnsi="Times New Roman" w:eastAsia="黑体"/>
          <w:color w:val="auto"/>
          <w:sz w:val="30"/>
          <w:highlight w:val="none"/>
        </w:rPr>
        <w:t>2.2 发包人代表</w:t>
      </w:r>
      <w:bookmarkEnd w:id="1334"/>
      <w:bookmarkEnd w:id="1335"/>
    </w:p>
    <w:p w14:paraId="5B4C7692">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发包人代表：</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p>
    <w:p w14:paraId="0A7DBCA9">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姓    名：</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p>
    <w:p w14:paraId="765CBB77">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身份证号：</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p>
    <w:p w14:paraId="5A1391DB">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职    务：</w:t>
      </w:r>
      <w:r>
        <w:rPr>
          <w:rFonts w:hint="eastAsia" w:ascii="仿宋_GB2312" w:hAnsi="仿宋_GB2312" w:eastAsia="仿宋_GB2312" w:cs="仿宋_GB2312"/>
          <w:color w:val="auto"/>
          <w:sz w:val="30"/>
          <w:szCs w:val="30"/>
          <w:highlight w:val="none"/>
          <w:u w:val="single"/>
        </w:rPr>
        <w:t xml:space="preserve">                     </w:t>
      </w:r>
      <w:r>
        <w:rPr>
          <w:rFonts w:hint="eastAsia" w:ascii="仿宋_GB2312" w:hAnsi="仿宋_GB2312" w:eastAsia="仿宋_GB2312" w:cs="仿宋_GB2312"/>
          <w:color w:val="auto"/>
          <w:sz w:val="30"/>
          <w:szCs w:val="30"/>
          <w:highlight w:val="none"/>
        </w:rPr>
        <w:t>；</w:t>
      </w:r>
    </w:p>
    <w:p w14:paraId="3919B4DE">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联系电话：</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p>
    <w:p w14:paraId="4737AE05">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电子信箱：</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p>
    <w:p w14:paraId="1B484AF4">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通信地址：</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p>
    <w:p w14:paraId="66A15E39">
      <w:pPr>
        <w:pStyle w:val="79"/>
        <w:spacing w:after="0" w:line="360" w:lineRule="auto"/>
        <w:ind w:firstLine="42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发包人对发包人代表的授权范围如下：</w:t>
      </w:r>
      <w:r>
        <w:rPr>
          <w:rFonts w:hint="eastAsia" w:ascii="仿宋_GB2312" w:hAnsi="仿宋_GB2312" w:eastAsia="仿宋_GB2312" w:cs="仿宋_GB2312"/>
          <w:color w:val="auto"/>
          <w:spacing w:val="1"/>
          <w:sz w:val="30"/>
          <w:szCs w:val="30"/>
          <w:highlight w:val="none"/>
          <w:u w:val="single"/>
        </w:rPr>
        <w:t>发包人代表在发包人的授权范围内，负责处理合同履行过程中与发包人有关的具体事宜</w:t>
      </w:r>
      <w:r>
        <w:rPr>
          <w:rFonts w:hint="eastAsia" w:ascii="仿宋_GB2312" w:hAnsi="仿宋_GB2312" w:eastAsia="仿宋_GB2312" w:cs="仿宋_GB2312"/>
          <w:color w:val="auto"/>
          <w:spacing w:val="-1"/>
          <w:sz w:val="30"/>
          <w:szCs w:val="30"/>
          <w:highlight w:val="none"/>
        </w:rPr>
        <w:t>。</w:t>
      </w:r>
    </w:p>
    <w:p w14:paraId="6483031E">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发包人更换发包人代表的，应当提前</w:t>
      </w:r>
      <w:r>
        <w:rPr>
          <w:rFonts w:hint="eastAsia" w:ascii="仿宋_GB2312" w:hAnsi="仿宋_GB2312" w:eastAsia="仿宋_GB2312" w:cs="仿宋_GB2312"/>
          <w:color w:val="auto"/>
          <w:sz w:val="30"/>
          <w:szCs w:val="30"/>
          <w:highlight w:val="none"/>
          <w:u w:val="single"/>
        </w:rPr>
        <w:t xml:space="preserve"> 7 </w:t>
      </w:r>
      <w:r>
        <w:rPr>
          <w:rFonts w:hint="eastAsia" w:ascii="仿宋_GB2312" w:hAnsi="仿宋_GB2312" w:eastAsia="仿宋_GB2312" w:cs="仿宋_GB2312"/>
          <w:color w:val="auto"/>
          <w:sz w:val="30"/>
          <w:szCs w:val="30"/>
          <w:highlight w:val="none"/>
        </w:rPr>
        <w:t>天</w:t>
      </w:r>
      <w:r>
        <w:rPr>
          <w:rFonts w:hint="eastAsia" w:ascii="仿宋_GB2312" w:hAnsi="仿宋_GB2312" w:eastAsia="仿宋_GB2312" w:cs="仿宋_GB2312"/>
          <w:color w:val="auto"/>
          <w:spacing w:val="-1"/>
          <w:sz w:val="30"/>
          <w:szCs w:val="30"/>
          <w:highlight w:val="none"/>
        </w:rPr>
        <w:t>书面</w:t>
      </w:r>
      <w:r>
        <w:rPr>
          <w:rFonts w:hint="eastAsia" w:ascii="仿宋_GB2312" w:hAnsi="仿宋_GB2312" w:eastAsia="仿宋_GB2312" w:cs="仿宋_GB2312"/>
          <w:color w:val="auto"/>
          <w:sz w:val="30"/>
          <w:szCs w:val="30"/>
          <w:highlight w:val="none"/>
        </w:rPr>
        <w:t>通知设计人。</w:t>
      </w:r>
    </w:p>
    <w:p w14:paraId="362298EF">
      <w:pPr>
        <w:pStyle w:val="8"/>
        <w:spacing w:before="120"/>
        <w:ind w:firstLine="602"/>
        <w:rPr>
          <w:rFonts w:ascii="Times New Roman" w:hAnsi="Times New Roman" w:eastAsia="黑体"/>
          <w:color w:val="auto"/>
          <w:sz w:val="30"/>
          <w:highlight w:val="none"/>
        </w:rPr>
      </w:pPr>
      <w:bookmarkStart w:id="1336" w:name="_Toc256000315"/>
      <w:bookmarkStart w:id="1337" w:name="_Toc210"/>
      <w:r>
        <w:rPr>
          <w:rFonts w:ascii="Times New Roman" w:hAnsi="Times New Roman" w:eastAsia="黑体"/>
          <w:color w:val="auto"/>
          <w:sz w:val="30"/>
          <w:highlight w:val="none"/>
        </w:rPr>
        <w:t>2.3 发包人决定</w:t>
      </w:r>
      <w:bookmarkEnd w:id="1336"/>
      <w:bookmarkEnd w:id="1337"/>
    </w:p>
    <w:p w14:paraId="177C2704">
      <w:pPr>
        <w:pStyle w:val="79"/>
        <w:spacing w:after="0"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2.3.2  发包人应在</w:t>
      </w:r>
      <w:r>
        <w:rPr>
          <w:rFonts w:hint="eastAsia" w:ascii="仿宋_GB2312" w:hAnsi="仿宋_GB2312" w:eastAsia="仿宋_GB2312" w:cs="仿宋_GB2312"/>
          <w:color w:val="auto"/>
          <w:spacing w:val="-1"/>
          <w:sz w:val="30"/>
          <w:szCs w:val="30"/>
          <w:highlight w:val="none"/>
          <w:u w:val="single"/>
        </w:rPr>
        <w:t>15</w:t>
      </w:r>
      <w:r>
        <w:rPr>
          <w:rFonts w:hint="eastAsia" w:ascii="仿宋_GB2312" w:hAnsi="仿宋_GB2312" w:eastAsia="仿宋_GB2312" w:cs="仿宋_GB2312"/>
          <w:color w:val="auto"/>
          <w:spacing w:val="-1"/>
          <w:sz w:val="30"/>
          <w:szCs w:val="30"/>
          <w:highlight w:val="none"/>
        </w:rPr>
        <w:t>天内对设计人书</w:t>
      </w:r>
      <w:r>
        <w:rPr>
          <w:rFonts w:hint="eastAsia" w:ascii="仿宋_GB2312" w:hAnsi="仿宋_GB2312" w:eastAsia="仿宋_GB2312" w:cs="仿宋_GB2312"/>
          <w:color w:val="auto"/>
          <w:spacing w:val="-2"/>
          <w:sz w:val="30"/>
          <w:szCs w:val="30"/>
          <w:highlight w:val="none"/>
        </w:rPr>
        <w:t>面提出的事项作出书面决定。</w:t>
      </w:r>
    </w:p>
    <w:p w14:paraId="2C319C5F">
      <w:pPr>
        <w:pStyle w:val="7"/>
        <w:keepNext/>
        <w:keepLines/>
        <w:ind w:firstLine="0" w:firstLineChars="0"/>
        <w:jc w:val="both"/>
        <w:rPr>
          <w:rFonts w:eastAsia="黑体"/>
          <w:bCs/>
          <w:color w:val="auto"/>
          <w:sz w:val="32"/>
          <w:highlight w:val="none"/>
        </w:rPr>
      </w:pPr>
      <w:bookmarkStart w:id="1338" w:name="_Toc12524"/>
      <w:bookmarkStart w:id="1339" w:name="_Toc17235"/>
      <w:bookmarkStart w:id="1340" w:name="_Toc25525"/>
      <w:bookmarkStart w:id="1341" w:name="_Toc26816"/>
      <w:bookmarkStart w:id="1342" w:name="_Toc6127"/>
      <w:r>
        <w:rPr>
          <w:rFonts w:eastAsia="黑体"/>
          <w:bCs/>
          <w:color w:val="auto"/>
          <w:sz w:val="32"/>
          <w:highlight w:val="none"/>
        </w:rPr>
        <w:t>3.设计人</w:t>
      </w:r>
      <w:bookmarkEnd w:id="1338"/>
      <w:bookmarkEnd w:id="1339"/>
      <w:bookmarkEnd w:id="1340"/>
      <w:bookmarkEnd w:id="1341"/>
      <w:bookmarkEnd w:id="1342"/>
    </w:p>
    <w:p w14:paraId="681F525F">
      <w:pPr>
        <w:pStyle w:val="8"/>
        <w:spacing w:before="120"/>
        <w:ind w:firstLine="602"/>
        <w:rPr>
          <w:rFonts w:ascii="Times New Roman" w:hAnsi="Times New Roman" w:eastAsia="黑体"/>
          <w:color w:val="auto"/>
          <w:sz w:val="30"/>
          <w:highlight w:val="none"/>
        </w:rPr>
      </w:pPr>
      <w:r>
        <w:rPr>
          <w:rFonts w:ascii="Times New Roman" w:hAnsi="Times New Roman" w:eastAsia="黑体"/>
          <w:color w:val="auto"/>
          <w:sz w:val="30"/>
          <w:highlight w:val="none"/>
        </w:rPr>
        <w:t>3.1设计人一般义务</w:t>
      </w:r>
    </w:p>
    <w:p w14:paraId="1819C2A9">
      <w:pPr>
        <w:pStyle w:val="79"/>
        <w:spacing w:after="0" w:line="360" w:lineRule="auto"/>
        <w:ind w:firstLine="596" w:firstLineChars="200"/>
        <w:rPr>
          <w:rFonts w:ascii="仿宋_GB2312" w:hAnsi="仿宋_GB2312" w:eastAsia="仿宋_GB2312" w:cs="仿宋_GB2312"/>
          <w:color w:val="auto"/>
          <w:spacing w:val="-1"/>
          <w:sz w:val="30"/>
          <w:szCs w:val="30"/>
          <w:highlight w:val="none"/>
        </w:rPr>
      </w:pPr>
      <w:r>
        <w:rPr>
          <w:rFonts w:hint="eastAsia" w:ascii="仿宋_GB2312" w:hAnsi="仿宋_GB2312" w:eastAsia="仿宋_GB2312" w:cs="仿宋_GB2312"/>
          <w:color w:val="auto"/>
          <w:spacing w:val="-1"/>
          <w:sz w:val="30"/>
          <w:szCs w:val="30"/>
          <w:highlight w:val="none"/>
        </w:rPr>
        <w:t>3.1.1  设计人</w:t>
      </w:r>
      <w:r>
        <w:rPr>
          <w:rFonts w:hint="eastAsia" w:ascii="仿宋_GB2312" w:hAnsi="仿宋_GB2312" w:eastAsia="仿宋_GB2312" w:cs="仿宋_GB2312"/>
          <w:color w:val="auto"/>
          <w:spacing w:val="-1"/>
          <w:sz w:val="30"/>
          <w:szCs w:val="30"/>
          <w:highlight w:val="none"/>
          <w:u w:val="single"/>
        </w:rPr>
        <w:t xml:space="preserve">        </w:t>
      </w:r>
      <w:r>
        <w:rPr>
          <w:rFonts w:hint="eastAsia" w:ascii="仿宋_GB2312" w:hAnsi="仿宋_GB2312" w:eastAsia="仿宋_GB2312" w:cs="仿宋_GB2312"/>
          <w:i/>
          <w:iCs/>
          <w:color w:val="auto"/>
          <w:spacing w:val="-1"/>
          <w:sz w:val="30"/>
          <w:szCs w:val="30"/>
          <w:highlight w:val="none"/>
        </w:rPr>
        <w:t>（需/不需）</w:t>
      </w:r>
      <w:r>
        <w:rPr>
          <w:rFonts w:hint="eastAsia" w:ascii="仿宋_GB2312" w:hAnsi="仿宋_GB2312" w:eastAsia="仿宋_GB2312" w:cs="仿宋_GB2312"/>
          <w:color w:val="auto"/>
          <w:spacing w:val="-1"/>
          <w:sz w:val="30"/>
          <w:szCs w:val="30"/>
          <w:highlight w:val="none"/>
        </w:rPr>
        <w:t>配合发包人办理有关许可、批准或备案手续。</w:t>
      </w:r>
    </w:p>
    <w:p w14:paraId="1B4D9764">
      <w:pPr>
        <w:pStyle w:val="79"/>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3.1.2设计人其他义务：</w:t>
      </w:r>
    </w:p>
    <w:p w14:paraId="55184CCB">
      <w:pPr>
        <w:pStyle w:val="79"/>
        <w:spacing w:after="0"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"3.1.2.1" </w:instrText>
      </w:r>
      <w:r>
        <w:rPr>
          <w:color w:val="auto"/>
          <w:highlight w:val="none"/>
        </w:rPr>
        <w:fldChar w:fldCharType="separate"/>
      </w:r>
      <w:r>
        <w:rPr>
          <w:rFonts w:hint="eastAsia" w:ascii="仿宋_GB2312" w:hAnsi="仿宋_GB2312" w:eastAsia="仿宋_GB2312" w:cs="仿宋_GB2312"/>
          <w:color w:val="auto"/>
          <w:sz w:val="30"/>
          <w:szCs w:val="30"/>
          <w:highlight w:val="none"/>
        </w:rPr>
        <w:t>3.1.2.1</w:t>
      </w:r>
      <w:r>
        <w:rPr>
          <w:rFonts w:hint="eastAsia" w:ascii="仿宋_GB2312" w:hAnsi="仿宋_GB2312" w:eastAsia="仿宋_GB2312" w:cs="仿宋_GB2312"/>
          <w:color w:val="auto"/>
          <w:sz w:val="30"/>
          <w:szCs w:val="30"/>
          <w:highlight w:val="none"/>
        </w:rPr>
        <w:fldChar w:fldCharType="end"/>
      </w:r>
      <w:r>
        <w:rPr>
          <w:rFonts w:hint="eastAsia" w:ascii="仿宋_GB2312" w:hAnsi="仿宋_GB2312" w:eastAsia="仿宋_GB2312" w:cs="仿宋_GB2312"/>
          <w:color w:val="auto"/>
          <w:sz w:val="30"/>
          <w:szCs w:val="30"/>
          <w:highlight w:val="none"/>
        </w:rPr>
        <w:t>设计人应按国家规定和合同约定的技术规范、标准进行设计，按本合同规定的内容、时</w:t>
      </w:r>
      <w:r>
        <w:rPr>
          <w:rFonts w:hint="eastAsia" w:ascii="仿宋_GB2312" w:hAnsi="仿宋_GB2312" w:eastAsia="仿宋_GB2312" w:cs="仿宋_GB2312"/>
          <w:color w:val="auto"/>
          <w:spacing w:val="-2"/>
          <w:sz w:val="30"/>
          <w:szCs w:val="30"/>
          <w:highlight w:val="none"/>
        </w:rPr>
        <w:t>间及份数向发包人交付设计文件（出现</w:t>
      </w:r>
      <w:r>
        <w:rPr>
          <w:color w:val="auto"/>
          <w:highlight w:val="none"/>
        </w:rPr>
        <w:fldChar w:fldCharType="begin"/>
      </w:r>
      <w:r>
        <w:rPr>
          <w:color w:val="auto"/>
          <w:highlight w:val="none"/>
        </w:rPr>
        <w:instrText xml:space="preserve"> HYPERLINK "2.1.1.1" </w:instrText>
      </w:r>
      <w:r>
        <w:rPr>
          <w:color w:val="auto"/>
          <w:highlight w:val="none"/>
        </w:rPr>
        <w:fldChar w:fldCharType="separate"/>
      </w:r>
      <w:r>
        <w:rPr>
          <w:rFonts w:hint="eastAsia" w:ascii="仿宋_GB2312" w:hAnsi="仿宋_GB2312" w:eastAsia="仿宋_GB2312" w:cs="仿宋_GB2312"/>
          <w:color w:val="auto"/>
          <w:spacing w:val="-2"/>
          <w:sz w:val="30"/>
          <w:szCs w:val="30"/>
          <w:highlight w:val="none"/>
        </w:rPr>
        <w:t>2.1.3.1</w:t>
      </w:r>
      <w:r>
        <w:rPr>
          <w:rFonts w:hint="eastAsia" w:ascii="仿宋_GB2312" w:hAnsi="仿宋_GB2312" w:eastAsia="仿宋_GB2312" w:cs="仿宋_GB2312"/>
          <w:color w:val="auto"/>
          <w:spacing w:val="-2"/>
          <w:sz w:val="30"/>
          <w:szCs w:val="30"/>
          <w:highlight w:val="none"/>
        </w:rPr>
        <w:fldChar w:fldCharType="end"/>
      </w:r>
      <w:r>
        <w:rPr>
          <w:rFonts w:hint="eastAsia" w:ascii="仿宋_GB2312" w:hAnsi="仿宋_GB2312" w:eastAsia="仿宋_GB2312" w:cs="仿宋_GB2312"/>
          <w:color w:val="auto"/>
          <w:spacing w:val="-2"/>
          <w:sz w:val="30"/>
          <w:szCs w:val="30"/>
          <w:highlight w:val="none"/>
        </w:rPr>
        <w:t>、</w:t>
      </w:r>
      <w:r>
        <w:rPr>
          <w:color w:val="auto"/>
          <w:highlight w:val="none"/>
        </w:rPr>
        <w:fldChar w:fldCharType="begin"/>
      </w:r>
      <w:r>
        <w:rPr>
          <w:color w:val="auto"/>
          <w:highlight w:val="none"/>
        </w:rPr>
        <w:instrText xml:space="preserve"> HYPERLINK "2.1.1.4" </w:instrText>
      </w:r>
      <w:r>
        <w:rPr>
          <w:color w:val="auto"/>
          <w:highlight w:val="none"/>
        </w:rPr>
        <w:fldChar w:fldCharType="separate"/>
      </w:r>
      <w:r>
        <w:rPr>
          <w:rFonts w:hint="eastAsia" w:ascii="仿宋_GB2312" w:hAnsi="仿宋_GB2312" w:eastAsia="仿宋_GB2312" w:cs="仿宋_GB2312"/>
          <w:color w:val="auto"/>
          <w:spacing w:val="-2"/>
          <w:sz w:val="30"/>
          <w:szCs w:val="30"/>
          <w:highlight w:val="none"/>
        </w:rPr>
        <w:t>2.1.3.4</w:t>
      </w:r>
      <w:r>
        <w:rPr>
          <w:rFonts w:hint="eastAsia" w:ascii="仿宋_GB2312" w:hAnsi="仿宋_GB2312" w:eastAsia="仿宋_GB2312" w:cs="仿宋_GB2312"/>
          <w:color w:val="auto"/>
          <w:spacing w:val="-2"/>
          <w:sz w:val="30"/>
          <w:szCs w:val="30"/>
          <w:highlight w:val="none"/>
        </w:rPr>
        <w:fldChar w:fldCharType="end"/>
      </w:r>
      <w:r>
        <w:rPr>
          <w:rFonts w:hint="eastAsia" w:ascii="仿宋_GB2312" w:hAnsi="仿宋_GB2312" w:eastAsia="仿宋_GB2312" w:cs="仿宋_GB2312"/>
          <w:color w:val="auto"/>
          <w:spacing w:val="-2"/>
          <w:sz w:val="30"/>
          <w:szCs w:val="30"/>
          <w:highlight w:val="none"/>
        </w:rPr>
        <w:t>、</w:t>
      </w:r>
      <w:r>
        <w:rPr>
          <w:color w:val="auto"/>
          <w:highlight w:val="none"/>
        </w:rPr>
        <w:fldChar w:fldCharType="begin"/>
      </w:r>
      <w:r>
        <w:rPr>
          <w:color w:val="auto"/>
          <w:highlight w:val="none"/>
        </w:rPr>
        <w:instrText xml:space="preserve"> HYPERLINK "2.1.1.5" </w:instrText>
      </w:r>
      <w:r>
        <w:rPr>
          <w:color w:val="auto"/>
          <w:highlight w:val="none"/>
        </w:rPr>
        <w:fldChar w:fldCharType="separate"/>
      </w:r>
      <w:r>
        <w:rPr>
          <w:rFonts w:hint="eastAsia" w:ascii="仿宋_GB2312" w:hAnsi="仿宋_GB2312" w:eastAsia="仿宋_GB2312" w:cs="仿宋_GB2312"/>
          <w:color w:val="auto"/>
          <w:spacing w:val="-2"/>
          <w:sz w:val="30"/>
          <w:szCs w:val="30"/>
          <w:highlight w:val="none"/>
        </w:rPr>
        <w:t>2.1.3.5</w:t>
      </w:r>
      <w:r>
        <w:rPr>
          <w:rFonts w:hint="eastAsia" w:ascii="仿宋_GB2312" w:hAnsi="仿宋_GB2312" w:eastAsia="仿宋_GB2312" w:cs="仿宋_GB2312"/>
          <w:color w:val="auto"/>
          <w:spacing w:val="-2"/>
          <w:sz w:val="30"/>
          <w:szCs w:val="30"/>
          <w:highlight w:val="none"/>
        </w:rPr>
        <w:fldChar w:fldCharType="end"/>
      </w:r>
      <w:r>
        <w:rPr>
          <w:rFonts w:hint="eastAsia" w:ascii="仿宋_GB2312" w:hAnsi="仿宋_GB2312" w:eastAsia="仿宋_GB2312" w:cs="仿宋_GB2312"/>
          <w:color w:val="auto"/>
          <w:spacing w:val="-2"/>
          <w:sz w:val="30"/>
          <w:szCs w:val="30"/>
          <w:highlight w:val="none"/>
        </w:rPr>
        <w:t>规定有关交付设计文件</w:t>
      </w:r>
      <w:r>
        <w:rPr>
          <w:rFonts w:hint="eastAsia" w:ascii="仿宋_GB2312" w:hAnsi="仿宋_GB2312" w:eastAsia="仿宋_GB2312" w:cs="仿宋_GB2312"/>
          <w:color w:val="auto"/>
          <w:spacing w:val="-5"/>
          <w:sz w:val="30"/>
          <w:szCs w:val="30"/>
          <w:highlight w:val="none"/>
        </w:rPr>
        <w:t>顺延的情况除外）。并对提交的设计文件的质量负责。</w:t>
      </w:r>
    </w:p>
    <w:p w14:paraId="39613A75">
      <w:pPr>
        <w:pStyle w:val="79"/>
        <w:spacing w:after="0"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"3.1.2.2" </w:instrText>
      </w:r>
      <w:r>
        <w:rPr>
          <w:color w:val="auto"/>
          <w:highlight w:val="none"/>
        </w:rPr>
        <w:fldChar w:fldCharType="separate"/>
      </w:r>
      <w:r>
        <w:rPr>
          <w:rFonts w:hint="eastAsia" w:ascii="仿宋_GB2312" w:hAnsi="仿宋_GB2312" w:eastAsia="仿宋_GB2312" w:cs="仿宋_GB2312"/>
          <w:color w:val="auto"/>
          <w:spacing w:val="-2"/>
          <w:sz w:val="30"/>
          <w:szCs w:val="30"/>
          <w:highlight w:val="none"/>
        </w:rPr>
        <w:t>3.1.2.2</w:t>
      </w:r>
      <w:r>
        <w:rPr>
          <w:rFonts w:hint="eastAsia" w:ascii="仿宋_GB2312" w:hAnsi="仿宋_GB2312" w:eastAsia="仿宋_GB2312" w:cs="仿宋_GB2312"/>
          <w:color w:val="auto"/>
          <w:spacing w:val="-2"/>
          <w:sz w:val="30"/>
          <w:szCs w:val="30"/>
          <w:highlight w:val="none"/>
        </w:rPr>
        <w:fldChar w:fldCharType="end"/>
      </w:r>
      <w:r>
        <w:rPr>
          <w:rFonts w:hint="eastAsia" w:ascii="仿宋_GB2312" w:hAnsi="仿宋_GB2312" w:eastAsia="仿宋_GB2312" w:cs="仿宋_GB2312"/>
          <w:color w:val="auto"/>
          <w:spacing w:val="-2"/>
          <w:sz w:val="30"/>
          <w:szCs w:val="30"/>
          <w:highlight w:val="none"/>
        </w:rPr>
        <w:t>设计人应对其设计的准确度负责</w:t>
      </w:r>
      <w:r>
        <w:rPr>
          <w:rFonts w:hint="eastAsia" w:ascii="仿宋_GB2312" w:hAnsi="仿宋_GB2312" w:eastAsia="仿宋_GB2312" w:cs="仿宋_GB2312"/>
          <w:color w:val="auto"/>
          <w:spacing w:val="-3"/>
          <w:sz w:val="30"/>
          <w:szCs w:val="30"/>
          <w:highlight w:val="none"/>
        </w:rPr>
        <w:t>，在设计的基本条件、工艺、工法、规模不变的情况下，</w:t>
      </w:r>
      <w:r>
        <w:rPr>
          <w:rFonts w:hint="eastAsia" w:ascii="仿宋_GB2312" w:hAnsi="仿宋_GB2312" w:eastAsia="仿宋_GB2312" w:cs="仿宋_GB2312"/>
          <w:color w:val="auto"/>
          <w:spacing w:val="1"/>
          <w:sz w:val="30"/>
          <w:szCs w:val="30"/>
          <w:highlight w:val="none"/>
        </w:rPr>
        <w:t>原则上上一阶段的设计工程量应涵盖下一阶段的设计工程量，</w:t>
      </w:r>
      <w:r>
        <w:rPr>
          <w:rFonts w:ascii="仿宋_GB2312" w:hAnsi="仿宋_GB2312" w:eastAsia="仿宋_GB2312" w:cs="仿宋_GB2312"/>
          <w:color w:val="auto"/>
          <w:spacing w:val="1"/>
          <w:sz w:val="30"/>
          <w:szCs w:val="30"/>
          <w:highlight w:val="none"/>
        </w:rPr>
        <w:t>不应超过发包人提供的设计限额</w:t>
      </w:r>
      <w:r>
        <w:rPr>
          <w:rFonts w:hint="eastAsia" w:ascii="仿宋_GB2312" w:hAnsi="仿宋_GB2312" w:eastAsia="仿宋_GB2312" w:cs="仿宋_GB2312"/>
          <w:color w:val="auto"/>
          <w:sz w:val="30"/>
          <w:szCs w:val="30"/>
          <w:highlight w:val="none"/>
        </w:rPr>
        <w:t>。</w:t>
      </w:r>
    </w:p>
    <w:p w14:paraId="77A0C8F7">
      <w:pPr>
        <w:pStyle w:val="79"/>
        <w:spacing w:after="0" w:line="360" w:lineRule="auto"/>
        <w:ind w:firstLine="420" w:firstLineChars="200"/>
        <w:rPr>
          <w:rFonts w:ascii="仿宋_GB2312" w:hAnsi="仿宋_GB2312" w:eastAsia="仿宋_GB2312" w:cs="仿宋_GB2312"/>
          <w:color w:val="auto"/>
          <w:spacing w:val="-2"/>
          <w:sz w:val="30"/>
          <w:szCs w:val="30"/>
          <w:highlight w:val="none"/>
        </w:rPr>
      </w:pPr>
      <w:r>
        <w:rPr>
          <w:color w:val="auto"/>
          <w:highlight w:val="none"/>
        </w:rPr>
        <w:fldChar w:fldCharType="begin"/>
      </w:r>
      <w:r>
        <w:rPr>
          <w:color w:val="auto"/>
          <w:highlight w:val="none"/>
        </w:rPr>
        <w:instrText xml:space="preserve"> HYPERLINK "3.1.2.3" </w:instrText>
      </w:r>
      <w:r>
        <w:rPr>
          <w:color w:val="auto"/>
          <w:highlight w:val="none"/>
        </w:rPr>
        <w:fldChar w:fldCharType="separate"/>
      </w:r>
      <w:r>
        <w:rPr>
          <w:rFonts w:hint="eastAsia" w:ascii="仿宋_GB2312" w:hAnsi="仿宋_GB2312" w:eastAsia="仿宋_GB2312" w:cs="仿宋_GB2312"/>
          <w:color w:val="auto"/>
          <w:spacing w:val="-2"/>
          <w:sz w:val="30"/>
          <w:szCs w:val="30"/>
          <w:highlight w:val="none"/>
        </w:rPr>
        <w:t>3.1.2.3</w:t>
      </w:r>
      <w:r>
        <w:rPr>
          <w:rFonts w:hint="eastAsia" w:ascii="仿宋_GB2312" w:hAnsi="仿宋_GB2312" w:eastAsia="仿宋_GB2312" w:cs="仿宋_GB2312"/>
          <w:color w:val="auto"/>
          <w:spacing w:val="-2"/>
          <w:sz w:val="30"/>
          <w:szCs w:val="30"/>
          <w:highlight w:val="none"/>
        </w:rPr>
        <w:fldChar w:fldCharType="end"/>
      </w:r>
      <w:r>
        <w:rPr>
          <w:rFonts w:hint="eastAsia" w:ascii="仿宋_GB2312" w:hAnsi="仿宋_GB2312" w:eastAsia="仿宋_GB2312" w:cs="仿宋_GB2312"/>
          <w:color w:val="auto"/>
          <w:spacing w:val="-2"/>
          <w:sz w:val="30"/>
          <w:szCs w:val="30"/>
          <w:highlight w:val="none"/>
        </w:rPr>
        <w:t>设计合理使用年限为按当前国家规范规定的使用年限。</w:t>
      </w:r>
    </w:p>
    <w:p w14:paraId="7FD32BFC">
      <w:pPr>
        <w:pStyle w:val="79"/>
        <w:spacing w:after="0" w:line="360" w:lineRule="auto"/>
        <w:ind w:firstLine="420" w:firstLineChars="200"/>
        <w:rPr>
          <w:rFonts w:ascii="仿宋_GB2312" w:hAnsi="仿宋_GB2312" w:eastAsia="仿宋_GB2312" w:cs="仿宋_GB2312"/>
          <w:color w:val="auto"/>
          <w:spacing w:val="-2"/>
          <w:sz w:val="30"/>
          <w:szCs w:val="30"/>
          <w:highlight w:val="none"/>
        </w:rPr>
      </w:pPr>
      <w:r>
        <w:rPr>
          <w:color w:val="auto"/>
          <w:highlight w:val="none"/>
        </w:rPr>
        <w:fldChar w:fldCharType="begin"/>
      </w:r>
      <w:r>
        <w:rPr>
          <w:color w:val="auto"/>
          <w:highlight w:val="none"/>
        </w:rPr>
        <w:instrText xml:space="preserve"> HYPERLINK "3.1.2.4" </w:instrText>
      </w:r>
      <w:r>
        <w:rPr>
          <w:color w:val="auto"/>
          <w:highlight w:val="none"/>
        </w:rPr>
        <w:fldChar w:fldCharType="separate"/>
      </w:r>
      <w:r>
        <w:rPr>
          <w:rFonts w:hint="eastAsia" w:ascii="仿宋_GB2312" w:hAnsi="仿宋_GB2312" w:eastAsia="仿宋_GB2312" w:cs="仿宋_GB2312"/>
          <w:color w:val="auto"/>
          <w:spacing w:val="-2"/>
          <w:sz w:val="30"/>
          <w:szCs w:val="30"/>
          <w:highlight w:val="none"/>
        </w:rPr>
        <w:t>3.1.2.4</w:t>
      </w:r>
      <w:r>
        <w:rPr>
          <w:rFonts w:hint="eastAsia" w:ascii="仿宋_GB2312" w:hAnsi="仿宋_GB2312" w:eastAsia="仿宋_GB2312" w:cs="仿宋_GB2312"/>
          <w:color w:val="auto"/>
          <w:spacing w:val="-2"/>
          <w:sz w:val="30"/>
          <w:szCs w:val="30"/>
          <w:highlight w:val="none"/>
        </w:rPr>
        <w:fldChar w:fldCharType="end"/>
      </w:r>
      <w:r>
        <w:rPr>
          <w:rFonts w:hint="eastAsia" w:ascii="仿宋_GB2312" w:hAnsi="仿宋_GB2312" w:eastAsia="仿宋_GB2312" w:cs="仿宋_GB2312"/>
          <w:color w:val="auto"/>
          <w:spacing w:val="-2"/>
          <w:sz w:val="30"/>
          <w:szCs w:val="30"/>
          <w:highlight w:val="none"/>
        </w:rPr>
        <w:t>设计人对设计文件出现的遗漏或错误负责修改或补充。</w:t>
      </w:r>
    </w:p>
    <w:p w14:paraId="7B1D87FD">
      <w:pPr>
        <w:pStyle w:val="79"/>
        <w:spacing w:after="0"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"3.1.2.5" </w:instrText>
      </w:r>
      <w:r>
        <w:rPr>
          <w:color w:val="auto"/>
          <w:highlight w:val="none"/>
        </w:rPr>
        <w:fldChar w:fldCharType="separate"/>
      </w:r>
      <w:r>
        <w:rPr>
          <w:rFonts w:hint="eastAsia" w:ascii="仿宋_GB2312" w:hAnsi="仿宋_GB2312" w:eastAsia="仿宋_GB2312" w:cs="仿宋_GB2312"/>
          <w:color w:val="auto"/>
          <w:spacing w:val="-1"/>
          <w:sz w:val="30"/>
          <w:szCs w:val="30"/>
          <w:highlight w:val="none"/>
        </w:rPr>
        <w:t>3.1.2.5</w:t>
      </w:r>
      <w:r>
        <w:rPr>
          <w:rFonts w:hint="eastAsia" w:ascii="仿宋_GB2312" w:hAnsi="仿宋_GB2312" w:eastAsia="仿宋_GB2312" w:cs="仿宋_GB2312"/>
          <w:color w:val="auto"/>
          <w:spacing w:val="-1"/>
          <w:sz w:val="30"/>
          <w:szCs w:val="30"/>
          <w:highlight w:val="none"/>
        </w:rPr>
        <w:fldChar w:fldCharType="end"/>
      </w:r>
      <w:r>
        <w:rPr>
          <w:rFonts w:hint="eastAsia" w:ascii="仿宋_GB2312" w:hAnsi="仿宋_GB2312" w:eastAsia="仿宋_GB2312" w:cs="仿宋_GB2312"/>
          <w:color w:val="auto"/>
          <w:spacing w:val="-1"/>
          <w:sz w:val="30"/>
          <w:szCs w:val="30"/>
          <w:highlight w:val="none"/>
        </w:rPr>
        <w:t>设计人应按合同约定时间交付设计资料及设计文件。</w:t>
      </w:r>
    </w:p>
    <w:p w14:paraId="342DBAB6">
      <w:pPr>
        <w:pStyle w:val="79"/>
        <w:spacing w:after="0"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"3.1.2.6" </w:instrText>
      </w:r>
      <w:r>
        <w:rPr>
          <w:color w:val="auto"/>
          <w:highlight w:val="none"/>
        </w:rPr>
        <w:fldChar w:fldCharType="separate"/>
      </w:r>
      <w:r>
        <w:rPr>
          <w:rFonts w:hint="eastAsia" w:ascii="仿宋_GB2312" w:hAnsi="仿宋_GB2312" w:eastAsia="仿宋_GB2312" w:cs="仿宋_GB2312"/>
          <w:color w:val="auto"/>
          <w:spacing w:val="-2"/>
          <w:sz w:val="30"/>
          <w:szCs w:val="30"/>
          <w:highlight w:val="none"/>
        </w:rPr>
        <w:t>3.1.2.6</w:t>
      </w:r>
      <w:r>
        <w:rPr>
          <w:rFonts w:hint="eastAsia" w:ascii="仿宋_GB2312" w:hAnsi="仿宋_GB2312" w:eastAsia="仿宋_GB2312" w:cs="仿宋_GB2312"/>
          <w:color w:val="auto"/>
          <w:spacing w:val="-2"/>
          <w:sz w:val="30"/>
          <w:szCs w:val="30"/>
          <w:highlight w:val="none"/>
        </w:rPr>
        <w:fldChar w:fldCharType="end"/>
      </w:r>
      <w:r>
        <w:rPr>
          <w:rFonts w:hint="eastAsia" w:ascii="仿宋_GB2312" w:hAnsi="仿宋_GB2312" w:eastAsia="仿宋_GB2312" w:cs="仿宋_GB2312"/>
          <w:color w:val="auto"/>
          <w:spacing w:val="-2"/>
          <w:sz w:val="30"/>
          <w:szCs w:val="30"/>
          <w:highlight w:val="none"/>
        </w:rPr>
        <w:t>设计人交付设计文件后，按规定参加</w:t>
      </w:r>
      <w:r>
        <w:rPr>
          <w:rFonts w:hint="eastAsia" w:ascii="仿宋_GB2312" w:hAnsi="仿宋_GB2312" w:eastAsia="仿宋_GB2312" w:cs="仿宋_GB2312"/>
          <w:color w:val="auto"/>
          <w:spacing w:val="-3"/>
          <w:sz w:val="30"/>
          <w:szCs w:val="30"/>
          <w:highlight w:val="none"/>
        </w:rPr>
        <w:t>有关上级的设计审查，并根据审查结论做调整补充，</w:t>
      </w:r>
      <w:r>
        <w:rPr>
          <w:rFonts w:hint="eastAsia" w:ascii="仿宋_GB2312" w:hAnsi="仿宋_GB2312" w:eastAsia="仿宋_GB2312" w:cs="仿宋_GB2312"/>
          <w:color w:val="auto"/>
          <w:spacing w:val="-1"/>
          <w:sz w:val="30"/>
          <w:szCs w:val="30"/>
          <w:highlight w:val="none"/>
        </w:rPr>
        <w:t>向发包人及施工单位进行设计交底、处理有关设计问题和参加竣工验收。</w:t>
      </w:r>
    </w:p>
    <w:p w14:paraId="03ADA7CF">
      <w:pPr>
        <w:pStyle w:val="79"/>
        <w:spacing w:after="0"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"3.1.2.7" </w:instrText>
      </w:r>
      <w:r>
        <w:rPr>
          <w:color w:val="auto"/>
          <w:highlight w:val="none"/>
        </w:rPr>
        <w:fldChar w:fldCharType="separate"/>
      </w:r>
      <w:r>
        <w:rPr>
          <w:rFonts w:hint="eastAsia" w:ascii="仿宋_GB2312" w:hAnsi="仿宋_GB2312" w:eastAsia="仿宋_GB2312" w:cs="仿宋_GB2312"/>
          <w:color w:val="auto"/>
          <w:sz w:val="30"/>
          <w:szCs w:val="30"/>
          <w:highlight w:val="none"/>
        </w:rPr>
        <w:t>3.1.2.7</w:t>
      </w:r>
      <w:r>
        <w:rPr>
          <w:rFonts w:hint="eastAsia" w:ascii="仿宋_GB2312" w:hAnsi="仿宋_GB2312" w:eastAsia="仿宋_GB2312" w:cs="仿宋_GB2312"/>
          <w:color w:val="auto"/>
          <w:sz w:val="30"/>
          <w:szCs w:val="30"/>
          <w:highlight w:val="none"/>
        </w:rPr>
        <w:fldChar w:fldCharType="end"/>
      </w:r>
      <w:r>
        <w:rPr>
          <w:rFonts w:hint="eastAsia" w:ascii="仿宋_GB2312" w:hAnsi="仿宋_GB2312" w:eastAsia="仿宋_GB2312" w:cs="仿宋_GB2312"/>
          <w:color w:val="auto"/>
          <w:sz w:val="30"/>
          <w:szCs w:val="30"/>
          <w:highlight w:val="none"/>
        </w:rPr>
        <w:t>设计人应按发包人及主管单位的要求积极组织各项与设计文件相关的评审或审查会，并</w:t>
      </w:r>
      <w:r>
        <w:rPr>
          <w:rFonts w:hint="eastAsia" w:ascii="仿宋_GB2312" w:hAnsi="仿宋_GB2312" w:eastAsia="仿宋_GB2312" w:cs="仿宋_GB2312"/>
          <w:color w:val="auto"/>
          <w:spacing w:val="-2"/>
          <w:sz w:val="30"/>
          <w:szCs w:val="30"/>
          <w:highlight w:val="none"/>
        </w:rPr>
        <w:t>承担全过程的相关费用。</w:t>
      </w:r>
    </w:p>
    <w:p w14:paraId="7E2317A2">
      <w:pPr>
        <w:pStyle w:val="79"/>
        <w:spacing w:after="0"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"3.1.2.8" </w:instrText>
      </w:r>
      <w:r>
        <w:rPr>
          <w:color w:val="auto"/>
          <w:highlight w:val="none"/>
        </w:rPr>
        <w:fldChar w:fldCharType="separate"/>
      </w:r>
      <w:r>
        <w:rPr>
          <w:rFonts w:hint="eastAsia" w:ascii="仿宋_GB2312" w:hAnsi="仿宋_GB2312" w:eastAsia="仿宋_GB2312" w:cs="仿宋_GB2312"/>
          <w:color w:val="auto"/>
          <w:spacing w:val="-1"/>
          <w:sz w:val="30"/>
          <w:szCs w:val="30"/>
          <w:highlight w:val="none"/>
        </w:rPr>
        <w:t>3.1.2.8</w:t>
      </w:r>
      <w:r>
        <w:rPr>
          <w:rFonts w:hint="eastAsia" w:ascii="仿宋_GB2312" w:hAnsi="仿宋_GB2312" w:eastAsia="仿宋_GB2312" w:cs="仿宋_GB2312"/>
          <w:color w:val="auto"/>
          <w:spacing w:val="-1"/>
          <w:sz w:val="30"/>
          <w:szCs w:val="30"/>
          <w:highlight w:val="none"/>
        </w:rPr>
        <w:fldChar w:fldCharType="end"/>
      </w:r>
      <w:r>
        <w:rPr>
          <w:rFonts w:hint="eastAsia" w:ascii="仿宋_GB2312" w:hAnsi="仿宋_GB2312" w:eastAsia="仿宋_GB2312" w:cs="仿宋_GB2312"/>
          <w:color w:val="auto"/>
          <w:spacing w:val="-1"/>
          <w:sz w:val="30"/>
          <w:szCs w:val="30"/>
          <w:highlight w:val="none"/>
        </w:rPr>
        <w:t>设计人员需配合发包人共同完成工程招标及工程量清单编制等相关工作。</w:t>
      </w:r>
    </w:p>
    <w:p w14:paraId="5F9AEC66">
      <w:pPr>
        <w:pStyle w:val="79"/>
        <w:spacing w:after="0"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"3.1.2.9" </w:instrText>
      </w:r>
      <w:r>
        <w:rPr>
          <w:color w:val="auto"/>
          <w:highlight w:val="none"/>
        </w:rPr>
        <w:fldChar w:fldCharType="separate"/>
      </w:r>
      <w:r>
        <w:rPr>
          <w:rFonts w:hint="eastAsia" w:ascii="仿宋_GB2312" w:hAnsi="仿宋_GB2312" w:eastAsia="仿宋_GB2312" w:cs="仿宋_GB2312"/>
          <w:color w:val="auto"/>
          <w:sz w:val="30"/>
          <w:szCs w:val="30"/>
          <w:highlight w:val="none"/>
        </w:rPr>
        <w:t>3.1.2.9</w:t>
      </w:r>
      <w:r>
        <w:rPr>
          <w:rFonts w:hint="eastAsia" w:ascii="仿宋_GB2312" w:hAnsi="仿宋_GB2312" w:eastAsia="仿宋_GB2312" w:cs="仿宋_GB2312"/>
          <w:color w:val="auto"/>
          <w:sz w:val="30"/>
          <w:szCs w:val="30"/>
          <w:highlight w:val="none"/>
        </w:rPr>
        <w:fldChar w:fldCharType="end"/>
      </w:r>
      <w:r>
        <w:rPr>
          <w:rFonts w:hint="eastAsia" w:ascii="仿宋_GB2312" w:hAnsi="仿宋_GB2312" w:eastAsia="仿宋_GB2312" w:cs="仿宋_GB2312"/>
          <w:color w:val="auto"/>
          <w:sz w:val="30"/>
          <w:szCs w:val="30"/>
          <w:highlight w:val="none"/>
        </w:rPr>
        <w:t>项目在开展方案、施工图阶段时，设计人员配合发包人对专家、咨询</w:t>
      </w:r>
      <w:r>
        <w:rPr>
          <w:rFonts w:hint="eastAsia" w:ascii="仿宋_GB2312" w:hAnsi="仿宋_GB2312" w:eastAsia="仿宋_GB2312" w:cs="仿宋_GB2312"/>
          <w:color w:val="auto"/>
          <w:spacing w:val="-1"/>
          <w:sz w:val="30"/>
          <w:szCs w:val="30"/>
          <w:highlight w:val="none"/>
        </w:rPr>
        <w:t>事务所、施工图审查单位及市城建委完成图纸交接工作。</w:t>
      </w:r>
    </w:p>
    <w:p w14:paraId="0C24207E">
      <w:pPr>
        <w:pStyle w:val="79"/>
        <w:spacing w:after="0"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"3.1.2.10" </w:instrText>
      </w:r>
      <w:r>
        <w:rPr>
          <w:color w:val="auto"/>
          <w:highlight w:val="none"/>
        </w:rPr>
        <w:fldChar w:fldCharType="separate"/>
      </w:r>
      <w:r>
        <w:rPr>
          <w:rFonts w:hint="eastAsia" w:ascii="仿宋_GB2312" w:hAnsi="仿宋_GB2312" w:eastAsia="仿宋_GB2312" w:cs="仿宋_GB2312"/>
          <w:color w:val="auto"/>
          <w:spacing w:val="-2"/>
          <w:sz w:val="30"/>
          <w:szCs w:val="30"/>
          <w:highlight w:val="none"/>
        </w:rPr>
        <w:t>3.1.2.10</w:t>
      </w:r>
      <w:r>
        <w:rPr>
          <w:rFonts w:hint="eastAsia" w:ascii="仿宋_GB2312" w:hAnsi="仿宋_GB2312" w:eastAsia="仿宋_GB2312" w:cs="仿宋_GB2312"/>
          <w:color w:val="auto"/>
          <w:spacing w:val="-2"/>
          <w:sz w:val="30"/>
          <w:szCs w:val="30"/>
          <w:highlight w:val="none"/>
        </w:rPr>
        <w:fldChar w:fldCharType="end"/>
      </w:r>
      <w:r>
        <w:rPr>
          <w:rFonts w:hint="eastAsia" w:ascii="仿宋_GB2312" w:hAnsi="仿宋_GB2312" w:eastAsia="仿宋_GB2312" w:cs="仿宋_GB2312"/>
          <w:color w:val="auto"/>
          <w:spacing w:val="-2"/>
          <w:sz w:val="30"/>
          <w:szCs w:val="30"/>
          <w:highlight w:val="none"/>
        </w:rPr>
        <w:t>设计人应按照发包人要求，编制合理的总进度计划及周密、细致的详细工作计划供发包</w:t>
      </w:r>
      <w:r>
        <w:rPr>
          <w:rFonts w:hint="eastAsia" w:ascii="仿宋_GB2312" w:hAnsi="仿宋_GB2312" w:eastAsia="仿宋_GB2312" w:cs="仿宋_GB2312"/>
          <w:color w:val="auto"/>
          <w:sz w:val="30"/>
          <w:szCs w:val="30"/>
          <w:highlight w:val="none"/>
        </w:rPr>
        <w:t xml:space="preserve"> 人审核，严格执行并接受发包人监督，确保有计划，</w:t>
      </w:r>
      <w:r>
        <w:rPr>
          <w:rFonts w:hint="eastAsia" w:ascii="仿宋_GB2312" w:hAnsi="仿宋_GB2312" w:eastAsia="仿宋_GB2312" w:cs="仿宋_GB2312"/>
          <w:color w:val="auto"/>
          <w:spacing w:val="-1"/>
          <w:sz w:val="30"/>
          <w:szCs w:val="30"/>
          <w:highlight w:val="none"/>
        </w:rPr>
        <w:t>更有实施。</w:t>
      </w:r>
    </w:p>
    <w:p w14:paraId="13F32E16">
      <w:pPr>
        <w:pStyle w:val="79"/>
        <w:spacing w:after="0"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"3.1.2.11" </w:instrText>
      </w:r>
      <w:r>
        <w:rPr>
          <w:color w:val="auto"/>
          <w:highlight w:val="none"/>
        </w:rPr>
        <w:fldChar w:fldCharType="separate"/>
      </w:r>
      <w:r>
        <w:rPr>
          <w:rFonts w:hint="eastAsia" w:ascii="仿宋_GB2312" w:hAnsi="仿宋_GB2312" w:eastAsia="仿宋_GB2312" w:cs="仿宋_GB2312"/>
          <w:color w:val="auto"/>
          <w:spacing w:val="-1"/>
          <w:sz w:val="30"/>
          <w:szCs w:val="30"/>
          <w:highlight w:val="none"/>
        </w:rPr>
        <w:t>3.1.2.11</w:t>
      </w:r>
      <w:r>
        <w:rPr>
          <w:rFonts w:hint="eastAsia" w:ascii="仿宋_GB2312" w:hAnsi="仿宋_GB2312" w:eastAsia="仿宋_GB2312" w:cs="仿宋_GB2312"/>
          <w:color w:val="auto"/>
          <w:spacing w:val="-1"/>
          <w:sz w:val="30"/>
          <w:szCs w:val="30"/>
          <w:highlight w:val="none"/>
        </w:rPr>
        <w:fldChar w:fldCharType="end"/>
      </w:r>
      <w:r>
        <w:rPr>
          <w:rFonts w:hint="eastAsia" w:ascii="仿宋_GB2312" w:hAnsi="仿宋_GB2312" w:eastAsia="仿宋_GB2312" w:cs="仿宋_GB2312"/>
          <w:color w:val="auto"/>
          <w:spacing w:val="-1"/>
          <w:sz w:val="30"/>
          <w:szCs w:val="30"/>
          <w:highlight w:val="none"/>
        </w:rPr>
        <w:t>设计人应从施工组织、重大</w:t>
      </w:r>
      <w:r>
        <w:rPr>
          <w:rFonts w:hint="eastAsia" w:ascii="仿宋_GB2312" w:hAnsi="仿宋_GB2312" w:eastAsia="仿宋_GB2312" w:cs="仿宋_GB2312"/>
          <w:color w:val="auto"/>
          <w:spacing w:val="-2"/>
          <w:sz w:val="30"/>
          <w:szCs w:val="30"/>
          <w:highlight w:val="none"/>
        </w:rPr>
        <w:t>施工方案的审查以及现场技术问题处理等方面，为业主提供</w:t>
      </w:r>
      <w:r>
        <w:rPr>
          <w:rFonts w:hint="eastAsia" w:ascii="仿宋_GB2312" w:hAnsi="仿宋_GB2312" w:eastAsia="仿宋_GB2312" w:cs="仿宋_GB2312"/>
          <w:color w:val="auto"/>
          <w:spacing w:val="-5"/>
          <w:sz w:val="30"/>
          <w:szCs w:val="30"/>
          <w:highlight w:val="none"/>
        </w:rPr>
        <w:t>技术支持。</w:t>
      </w:r>
    </w:p>
    <w:p w14:paraId="216658FA">
      <w:pPr>
        <w:pStyle w:val="79"/>
        <w:spacing w:after="0"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"3.1.2.12" </w:instrText>
      </w:r>
      <w:r>
        <w:rPr>
          <w:color w:val="auto"/>
          <w:highlight w:val="none"/>
        </w:rPr>
        <w:fldChar w:fldCharType="separate"/>
      </w:r>
      <w:r>
        <w:rPr>
          <w:rFonts w:hint="eastAsia" w:ascii="仿宋_GB2312" w:hAnsi="仿宋_GB2312" w:eastAsia="仿宋_GB2312" w:cs="仿宋_GB2312"/>
          <w:color w:val="auto"/>
          <w:spacing w:val="-1"/>
          <w:sz w:val="30"/>
          <w:szCs w:val="30"/>
          <w:highlight w:val="none"/>
        </w:rPr>
        <w:t>3.1.2.12</w:t>
      </w:r>
      <w:r>
        <w:rPr>
          <w:rFonts w:hint="eastAsia" w:ascii="仿宋_GB2312" w:hAnsi="仿宋_GB2312" w:eastAsia="仿宋_GB2312" w:cs="仿宋_GB2312"/>
          <w:color w:val="auto"/>
          <w:spacing w:val="-1"/>
          <w:sz w:val="30"/>
          <w:szCs w:val="30"/>
          <w:highlight w:val="none"/>
        </w:rPr>
        <w:fldChar w:fldCharType="end"/>
      </w:r>
      <w:r>
        <w:rPr>
          <w:rFonts w:hint="eastAsia" w:ascii="仿宋_GB2312" w:hAnsi="仿宋_GB2312" w:eastAsia="仿宋_GB2312" w:cs="仿宋_GB2312"/>
          <w:color w:val="auto"/>
          <w:spacing w:val="-1"/>
          <w:sz w:val="30"/>
          <w:szCs w:val="30"/>
          <w:highlight w:val="none"/>
        </w:rPr>
        <w:t>施工过程中，设计人应有责任和义务及时到</w:t>
      </w:r>
      <w:r>
        <w:rPr>
          <w:rFonts w:hint="eastAsia" w:ascii="仿宋_GB2312" w:hAnsi="仿宋_GB2312" w:eastAsia="仿宋_GB2312" w:cs="仿宋_GB2312"/>
          <w:color w:val="auto"/>
          <w:spacing w:val="-2"/>
          <w:sz w:val="30"/>
          <w:szCs w:val="30"/>
          <w:highlight w:val="none"/>
        </w:rPr>
        <w:t>现场解决施工中出现的问题。设计人须按投</w:t>
      </w:r>
      <w:r>
        <w:rPr>
          <w:rFonts w:hint="eastAsia" w:ascii="仿宋_GB2312" w:hAnsi="仿宋_GB2312" w:eastAsia="仿宋_GB2312" w:cs="仿宋_GB2312"/>
          <w:color w:val="auto"/>
          <w:sz w:val="30"/>
          <w:szCs w:val="30"/>
          <w:highlight w:val="none"/>
        </w:rPr>
        <w:t>标承诺在处理工程存在问题时，在收到通知后</w:t>
      </w:r>
      <w:r>
        <w:rPr>
          <w:rFonts w:ascii="仿宋_GB2312" w:hAnsi="仿宋_GB2312" w:eastAsia="仿宋_GB2312" w:cs="仿宋_GB2312"/>
          <w:color w:val="auto"/>
          <w:sz w:val="30"/>
          <w:szCs w:val="30"/>
          <w:highlight w:val="none"/>
        </w:rPr>
        <w:t>尽快</w:t>
      </w:r>
      <w:r>
        <w:rPr>
          <w:rFonts w:hint="eastAsia" w:ascii="仿宋_GB2312" w:hAnsi="仿宋_GB2312" w:eastAsia="仿宋_GB2312" w:cs="仿宋_GB2312"/>
          <w:color w:val="auto"/>
          <w:sz w:val="30"/>
          <w:szCs w:val="30"/>
          <w:highlight w:val="none"/>
        </w:rPr>
        <w:t>到达现场并主动解决问题。</w:t>
      </w:r>
    </w:p>
    <w:p w14:paraId="41B27ABE">
      <w:pPr>
        <w:pStyle w:val="79"/>
        <w:spacing w:after="0"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"3.1.2.13" </w:instrText>
      </w:r>
      <w:r>
        <w:rPr>
          <w:color w:val="auto"/>
          <w:highlight w:val="none"/>
        </w:rPr>
        <w:fldChar w:fldCharType="separate"/>
      </w:r>
      <w:r>
        <w:rPr>
          <w:rFonts w:hint="eastAsia" w:ascii="仿宋_GB2312" w:hAnsi="仿宋_GB2312" w:eastAsia="仿宋_GB2312" w:cs="仿宋_GB2312"/>
          <w:color w:val="auto"/>
          <w:spacing w:val="-1"/>
          <w:sz w:val="30"/>
          <w:szCs w:val="30"/>
          <w:highlight w:val="none"/>
        </w:rPr>
        <w:t>3.1.2.13</w:t>
      </w:r>
      <w:r>
        <w:rPr>
          <w:rFonts w:hint="eastAsia" w:ascii="仿宋_GB2312" w:hAnsi="仿宋_GB2312" w:eastAsia="仿宋_GB2312" w:cs="仿宋_GB2312"/>
          <w:color w:val="auto"/>
          <w:spacing w:val="-1"/>
          <w:sz w:val="30"/>
          <w:szCs w:val="30"/>
          <w:highlight w:val="none"/>
        </w:rPr>
        <w:fldChar w:fldCharType="end"/>
      </w:r>
      <w:r>
        <w:rPr>
          <w:rFonts w:hint="eastAsia" w:ascii="仿宋_GB2312" w:hAnsi="仿宋_GB2312" w:eastAsia="仿宋_GB2312" w:cs="仿宋_GB2312"/>
          <w:color w:val="auto"/>
          <w:spacing w:val="-1"/>
          <w:sz w:val="30"/>
          <w:szCs w:val="30"/>
          <w:highlight w:val="none"/>
        </w:rPr>
        <w:t>协助发包人确定相关建材的</w:t>
      </w:r>
      <w:r>
        <w:rPr>
          <w:rFonts w:hint="eastAsia" w:ascii="仿宋_GB2312" w:hAnsi="仿宋_GB2312" w:eastAsia="仿宋_GB2312" w:cs="仿宋_GB2312"/>
          <w:color w:val="auto"/>
          <w:spacing w:val="-2"/>
          <w:sz w:val="30"/>
          <w:szCs w:val="30"/>
          <w:highlight w:val="none"/>
        </w:rPr>
        <w:t>颜色、规格、样板；并对相关的设计图纸进行复核，对需要</w:t>
      </w:r>
      <w:r>
        <w:rPr>
          <w:rFonts w:hint="eastAsia" w:ascii="仿宋_GB2312" w:hAnsi="仿宋_GB2312" w:eastAsia="仿宋_GB2312" w:cs="仿宋_GB2312"/>
          <w:color w:val="auto"/>
          <w:spacing w:val="-1"/>
          <w:sz w:val="30"/>
          <w:szCs w:val="30"/>
          <w:highlight w:val="none"/>
        </w:rPr>
        <w:t>盖章的资料给予配合，确保项目整体实施顺利。</w:t>
      </w:r>
    </w:p>
    <w:p w14:paraId="0CACAF6B">
      <w:pPr>
        <w:pStyle w:val="78"/>
        <w:spacing w:line="360" w:lineRule="auto"/>
        <w:ind w:firstLine="420" w:firstLineChars="200"/>
        <w:rPr>
          <w:rFonts w:ascii="仿宋_GB2312" w:hAnsi="仿宋_GB2312" w:eastAsia="仿宋_GB2312" w:cs="仿宋_GB2312"/>
          <w:color w:val="auto"/>
          <w:spacing w:val="-1"/>
          <w:sz w:val="30"/>
          <w:szCs w:val="30"/>
          <w:highlight w:val="none"/>
        </w:rPr>
      </w:pPr>
      <w:r>
        <w:rPr>
          <w:color w:val="auto"/>
          <w:highlight w:val="none"/>
        </w:rPr>
        <w:fldChar w:fldCharType="begin"/>
      </w:r>
      <w:r>
        <w:rPr>
          <w:color w:val="auto"/>
          <w:highlight w:val="none"/>
        </w:rPr>
        <w:instrText xml:space="preserve"> HYPERLINK "3.1.2.14" </w:instrText>
      </w:r>
      <w:r>
        <w:rPr>
          <w:color w:val="auto"/>
          <w:highlight w:val="none"/>
        </w:rPr>
        <w:fldChar w:fldCharType="separate"/>
      </w:r>
      <w:r>
        <w:rPr>
          <w:rFonts w:hint="eastAsia" w:ascii="仿宋_GB2312" w:hAnsi="仿宋_GB2312" w:eastAsia="仿宋_GB2312" w:cs="仿宋_GB2312"/>
          <w:color w:val="auto"/>
          <w:sz w:val="30"/>
          <w:szCs w:val="30"/>
          <w:highlight w:val="none"/>
        </w:rPr>
        <w:t>3.1.2.14</w:t>
      </w:r>
      <w:r>
        <w:rPr>
          <w:rFonts w:hint="eastAsia" w:ascii="仿宋_GB2312" w:hAnsi="仿宋_GB2312" w:eastAsia="仿宋_GB2312" w:cs="仿宋_GB2312"/>
          <w:color w:val="auto"/>
          <w:sz w:val="30"/>
          <w:szCs w:val="30"/>
          <w:highlight w:val="none"/>
        </w:rPr>
        <w:fldChar w:fldCharType="end"/>
      </w:r>
      <w:r>
        <w:rPr>
          <w:rFonts w:hint="eastAsia" w:ascii="仿宋_GB2312" w:hAnsi="仿宋_GB2312" w:eastAsia="仿宋_GB2312" w:cs="仿宋_GB2312"/>
          <w:color w:val="auto"/>
          <w:sz w:val="30"/>
          <w:szCs w:val="30"/>
          <w:highlight w:val="none"/>
        </w:rPr>
        <w:t>积极配合发包人进行项目的竣工验</w:t>
      </w:r>
      <w:r>
        <w:rPr>
          <w:rFonts w:hint="eastAsia" w:ascii="仿宋_GB2312" w:hAnsi="仿宋_GB2312" w:eastAsia="仿宋_GB2312" w:cs="仿宋_GB2312"/>
          <w:color w:val="auto"/>
          <w:spacing w:val="-1"/>
          <w:sz w:val="30"/>
          <w:szCs w:val="30"/>
          <w:highlight w:val="none"/>
        </w:rPr>
        <w:t>收结算和设计资料完善等工作。</w:t>
      </w:r>
    </w:p>
    <w:p w14:paraId="2851C54F">
      <w:pPr>
        <w:pStyle w:val="78"/>
        <w:spacing w:line="360" w:lineRule="auto"/>
        <w:ind w:firstLine="420" w:firstLineChars="200"/>
        <w:rPr>
          <w:rFonts w:ascii="仿宋_GB2312" w:hAnsi="仿宋_GB2312" w:eastAsia="仿宋_GB2312" w:cs="仿宋_GB2312"/>
          <w:color w:val="auto"/>
          <w:spacing w:val="-1"/>
          <w:sz w:val="30"/>
          <w:szCs w:val="30"/>
          <w:highlight w:val="none"/>
        </w:rPr>
      </w:pPr>
      <w:r>
        <w:rPr>
          <w:color w:val="auto"/>
          <w:highlight w:val="none"/>
        </w:rPr>
        <w:fldChar w:fldCharType="begin"/>
      </w:r>
      <w:r>
        <w:rPr>
          <w:color w:val="auto"/>
          <w:highlight w:val="none"/>
        </w:rPr>
        <w:instrText xml:space="preserve"> HYPERLINK "3.1.2.15" </w:instrText>
      </w:r>
      <w:r>
        <w:rPr>
          <w:color w:val="auto"/>
          <w:highlight w:val="none"/>
        </w:rPr>
        <w:fldChar w:fldCharType="separate"/>
      </w:r>
      <w:r>
        <w:rPr>
          <w:rFonts w:hint="eastAsia" w:ascii="仿宋_GB2312" w:hAnsi="仿宋_GB2312" w:eastAsia="仿宋_GB2312" w:cs="仿宋_GB2312"/>
          <w:color w:val="auto"/>
          <w:spacing w:val="-1"/>
          <w:sz w:val="30"/>
          <w:szCs w:val="30"/>
          <w:highlight w:val="none"/>
        </w:rPr>
        <w:t>3.1.2.15</w:t>
      </w:r>
      <w:r>
        <w:rPr>
          <w:rFonts w:hint="eastAsia" w:ascii="仿宋_GB2312" w:hAnsi="仿宋_GB2312" w:eastAsia="仿宋_GB2312" w:cs="仿宋_GB2312"/>
          <w:color w:val="auto"/>
          <w:spacing w:val="-1"/>
          <w:sz w:val="30"/>
          <w:szCs w:val="30"/>
          <w:highlight w:val="none"/>
        </w:rPr>
        <w:fldChar w:fldCharType="end"/>
      </w:r>
      <w:r>
        <w:rPr>
          <w:rFonts w:hint="eastAsia" w:ascii="仿宋_GB2312" w:hAnsi="仿宋_GB2312" w:eastAsia="仿宋_GB2312" w:cs="仿宋_GB2312"/>
          <w:color w:val="auto"/>
          <w:spacing w:val="-1"/>
          <w:sz w:val="30"/>
          <w:szCs w:val="30"/>
          <w:highlight w:val="none"/>
        </w:rPr>
        <w:t>设计人在方案设计及施工图设计过程中，在不</w:t>
      </w:r>
      <w:r>
        <w:rPr>
          <w:rFonts w:hint="eastAsia" w:ascii="仿宋_GB2312" w:hAnsi="仿宋_GB2312" w:eastAsia="仿宋_GB2312" w:cs="仿宋_GB2312"/>
          <w:color w:val="auto"/>
          <w:spacing w:val="-2"/>
          <w:sz w:val="30"/>
          <w:szCs w:val="30"/>
          <w:highlight w:val="none"/>
        </w:rPr>
        <w:t>违反国家规定的设计标准和规程范围内，</w:t>
      </w:r>
      <w:r>
        <w:rPr>
          <w:rFonts w:hint="eastAsia" w:ascii="仿宋_GB2312" w:hAnsi="仿宋_GB2312" w:eastAsia="仿宋_GB2312" w:cs="仿宋_GB2312"/>
          <w:color w:val="auto"/>
          <w:spacing w:val="-1"/>
          <w:sz w:val="30"/>
          <w:szCs w:val="30"/>
          <w:highlight w:val="none"/>
        </w:rPr>
        <w:t>尽可能地为发包人降低工程成本。</w:t>
      </w:r>
    </w:p>
    <w:p w14:paraId="590E06EC">
      <w:pPr>
        <w:pStyle w:val="78"/>
        <w:spacing w:line="360" w:lineRule="auto"/>
        <w:ind w:firstLine="420" w:firstLineChars="200"/>
        <w:rPr>
          <w:rFonts w:ascii="仿宋_GB2312" w:hAnsi="仿宋_GB2312" w:eastAsia="仿宋_GB2312" w:cs="仿宋_GB2312"/>
          <w:color w:val="auto"/>
          <w:sz w:val="30"/>
          <w:szCs w:val="30"/>
          <w:highlight w:val="none"/>
        </w:rPr>
      </w:pPr>
      <w:r>
        <w:rPr>
          <w:color w:val="auto"/>
          <w:highlight w:val="none"/>
        </w:rPr>
        <w:fldChar w:fldCharType="begin"/>
      </w:r>
      <w:r>
        <w:rPr>
          <w:color w:val="auto"/>
          <w:highlight w:val="none"/>
        </w:rPr>
        <w:instrText xml:space="preserve"> HYPERLINK "3.1.2.16" </w:instrText>
      </w:r>
      <w:r>
        <w:rPr>
          <w:color w:val="auto"/>
          <w:highlight w:val="none"/>
        </w:rPr>
        <w:fldChar w:fldCharType="separate"/>
      </w:r>
      <w:r>
        <w:rPr>
          <w:rFonts w:hint="eastAsia" w:ascii="仿宋_GB2312" w:hAnsi="仿宋_GB2312" w:eastAsia="仿宋_GB2312" w:cs="仿宋_GB2312"/>
          <w:color w:val="auto"/>
          <w:spacing w:val="-1"/>
          <w:sz w:val="30"/>
          <w:szCs w:val="30"/>
          <w:highlight w:val="none"/>
        </w:rPr>
        <w:t>3.1.2.16</w:t>
      </w:r>
      <w:r>
        <w:rPr>
          <w:rFonts w:hint="eastAsia" w:ascii="仿宋_GB2312" w:hAnsi="仿宋_GB2312" w:eastAsia="仿宋_GB2312" w:cs="仿宋_GB2312"/>
          <w:color w:val="auto"/>
          <w:spacing w:val="-1"/>
          <w:sz w:val="30"/>
          <w:szCs w:val="30"/>
          <w:highlight w:val="none"/>
        </w:rPr>
        <w:fldChar w:fldCharType="end"/>
      </w:r>
      <w:r>
        <w:rPr>
          <w:rFonts w:hint="eastAsia" w:ascii="仿宋_GB2312" w:hAnsi="仿宋_GB2312" w:eastAsia="仿宋_GB2312" w:cs="仿宋_GB2312"/>
          <w:color w:val="auto"/>
          <w:spacing w:val="-1"/>
          <w:sz w:val="30"/>
          <w:szCs w:val="30"/>
          <w:highlight w:val="none"/>
        </w:rPr>
        <w:t>设计人应按投标文件承诺提供配备本</w:t>
      </w:r>
      <w:r>
        <w:rPr>
          <w:rFonts w:hint="eastAsia" w:ascii="仿宋_GB2312" w:hAnsi="仿宋_GB2312" w:eastAsia="仿宋_GB2312" w:cs="仿宋_GB2312"/>
          <w:color w:val="auto"/>
          <w:spacing w:val="-2"/>
          <w:sz w:val="30"/>
          <w:szCs w:val="30"/>
          <w:highlight w:val="none"/>
        </w:rPr>
        <w:t>项目设计人员。</w:t>
      </w:r>
    </w:p>
    <w:p w14:paraId="42827E35">
      <w:pPr>
        <w:pStyle w:val="8"/>
        <w:spacing w:before="120"/>
        <w:ind w:firstLine="602"/>
        <w:rPr>
          <w:rFonts w:ascii="Times New Roman" w:hAnsi="Times New Roman" w:eastAsia="黑体"/>
          <w:color w:val="auto"/>
          <w:sz w:val="30"/>
          <w:highlight w:val="none"/>
        </w:rPr>
      </w:pPr>
      <w:r>
        <w:rPr>
          <w:rFonts w:ascii="Times New Roman" w:hAnsi="Times New Roman" w:eastAsia="黑体"/>
          <w:color w:val="auto"/>
          <w:sz w:val="30"/>
          <w:highlight w:val="none"/>
        </w:rPr>
        <w:t>3.2项目负责人</w:t>
      </w:r>
    </w:p>
    <w:p w14:paraId="322A1615">
      <w:pPr>
        <w:pStyle w:val="79"/>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3.2.1项目负责人</w:t>
      </w:r>
    </w:p>
    <w:p w14:paraId="2A1FAF03">
      <w:pPr>
        <w:pStyle w:val="79"/>
        <w:spacing w:after="0" w:line="360" w:lineRule="auto"/>
        <w:ind w:firstLine="572" w:firstLineChars="200"/>
        <w:rPr>
          <w:rFonts w:ascii="仿宋_GB2312" w:hAnsi="仿宋_GB2312" w:eastAsia="仿宋_GB2312" w:cs="仿宋_GB2312"/>
          <w:color w:val="auto"/>
          <w:spacing w:val="-27"/>
          <w:sz w:val="30"/>
          <w:szCs w:val="30"/>
          <w:highlight w:val="none"/>
        </w:rPr>
      </w:pPr>
      <w:r>
        <w:rPr>
          <w:rFonts w:hint="eastAsia" w:ascii="仿宋_GB2312" w:hAnsi="仿宋_GB2312" w:eastAsia="仿宋_GB2312" w:cs="仿宋_GB2312"/>
          <w:color w:val="auto"/>
          <w:spacing w:val="-7"/>
          <w:sz w:val="30"/>
          <w:szCs w:val="30"/>
          <w:highlight w:val="none"/>
        </w:rPr>
        <w:t>姓名</w:t>
      </w:r>
      <w:r>
        <w:rPr>
          <w:rFonts w:hint="eastAsia" w:ascii="仿宋_GB2312" w:hAnsi="仿宋_GB2312" w:eastAsia="仿宋_GB2312" w:cs="仿宋_GB2312"/>
          <w:color w:val="auto"/>
          <w:spacing w:val="-27"/>
          <w:sz w:val="30"/>
          <w:szCs w:val="30"/>
          <w:highlight w:val="none"/>
        </w:rPr>
        <w:t>：</w:t>
      </w:r>
      <w:r>
        <w:rPr>
          <w:rFonts w:hint="eastAsia" w:ascii="仿宋_GB2312" w:hAnsi="仿宋_GB2312" w:eastAsia="仿宋_GB2312" w:cs="仿宋_GB2312"/>
          <w:color w:val="auto"/>
          <w:spacing w:val="1"/>
          <w:sz w:val="30"/>
          <w:szCs w:val="30"/>
          <w:highlight w:val="none"/>
          <w:u w:val="single"/>
        </w:rPr>
        <w:t xml:space="preserve">                          </w:t>
      </w:r>
      <w:r>
        <w:rPr>
          <w:rFonts w:hint="eastAsia" w:ascii="仿宋_GB2312" w:hAnsi="仿宋_GB2312" w:eastAsia="仿宋_GB2312" w:cs="仿宋_GB2312"/>
          <w:color w:val="auto"/>
          <w:spacing w:val="-27"/>
          <w:sz w:val="30"/>
          <w:szCs w:val="30"/>
          <w:highlight w:val="none"/>
        </w:rPr>
        <w:t>；</w:t>
      </w:r>
    </w:p>
    <w:p w14:paraId="6A9DE410">
      <w:pPr>
        <w:pStyle w:val="79"/>
        <w:spacing w:after="0" w:line="360" w:lineRule="auto"/>
        <w:ind w:firstLine="596" w:firstLineChars="200"/>
        <w:rPr>
          <w:rFonts w:ascii="仿宋_GB2312" w:hAnsi="仿宋_GB2312" w:eastAsia="仿宋_GB2312" w:cs="仿宋_GB2312"/>
          <w:color w:val="auto"/>
          <w:spacing w:val="-25"/>
          <w:sz w:val="30"/>
          <w:szCs w:val="30"/>
          <w:highlight w:val="none"/>
        </w:rPr>
      </w:pPr>
      <w:r>
        <w:rPr>
          <w:rFonts w:hint="eastAsia" w:ascii="仿宋_GB2312" w:hAnsi="仿宋_GB2312" w:eastAsia="仿宋_GB2312" w:cs="仿宋_GB2312"/>
          <w:color w:val="auto"/>
          <w:spacing w:val="-1"/>
          <w:sz w:val="30"/>
          <w:szCs w:val="30"/>
          <w:highlight w:val="none"/>
        </w:rPr>
        <w:t>执业资格及等级</w:t>
      </w:r>
      <w:r>
        <w:rPr>
          <w:rFonts w:hint="eastAsia" w:ascii="仿宋_GB2312" w:hAnsi="仿宋_GB2312" w:eastAsia="仿宋_GB2312" w:cs="仿宋_GB2312"/>
          <w:color w:val="auto"/>
          <w:spacing w:val="-25"/>
          <w:sz w:val="30"/>
          <w:szCs w:val="30"/>
          <w:highlight w:val="none"/>
        </w:rPr>
        <w:t>：</w:t>
      </w:r>
      <w:r>
        <w:rPr>
          <w:rFonts w:hint="eastAsia" w:ascii="仿宋_GB2312" w:hAnsi="仿宋_GB2312" w:eastAsia="仿宋_GB2312" w:cs="仿宋_GB2312"/>
          <w:color w:val="auto"/>
          <w:spacing w:val="1"/>
          <w:sz w:val="30"/>
          <w:szCs w:val="30"/>
          <w:highlight w:val="none"/>
          <w:u w:val="single"/>
        </w:rPr>
        <w:t xml:space="preserve">                </w:t>
      </w:r>
      <w:r>
        <w:rPr>
          <w:rFonts w:hint="eastAsia" w:ascii="仿宋_GB2312" w:hAnsi="仿宋_GB2312" w:eastAsia="仿宋_GB2312" w:cs="仿宋_GB2312"/>
          <w:color w:val="auto"/>
          <w:spacing w:val="-27"/>
          <w:sz w:val="30"/>
          <w:szCs w:val="30"/>
          <w:highlight w:val="none"/>
        </w:rPr>
        <w:t>；</w:t>
      </w:r>
    </w:p>
    <w:p w14:paraId="0CC3FBB3">
      <w:pPr>
        <w:pStyle w:val="79"/>
        <w:spacing w:after="0" w:line="360" w:lineRule="auto"/>
        <w:ind w:firstLine="596" w:firstLineChars="200"/>
        <w:rPr>
          <w:rFonts w:ascii="仿宋_GB2312" w:hAnsi="仿宋_GB2312" w:eastAsia="仿宋_GB2312" w:cs="仿宋_GB2312"/>
          <w:color w:val="auto"/>
          <w:spacing w:val="-26"/>
          <w:sz w:val="30"/>
          <w:szCs w:val="30"/>
          <w:highlight w:val="none"/>
        </w:rPr>
      </w:pPr>
      <w:r>
        <w:rPr>
          <w:rFonts w:hint="eastAsia" w:ascii="仿宋_GB2312" w:hAnsi="仿宋_GB2312" w:eastAsia="仿宋_GB2312" w:cs="仿宋_GB2312"/>
          <w:color w:val="auto"/>
          <w:spacing w:val="-1"/>
          <w:sz w:val="30"/>
          <w:szCs w:val="30"/>
          <w:highlight w:val="none"/>
        </w:rPr>
        <w:t>注册证书号</w:t>
      </w:r>
      <w:r>
        <w:rPr>
          <w:rFonts w:hint="eastAsia" w:ascii="仿宋_GB2312" w:hAnsi="仿宋_GB2312" w:eastAsia="仿宋_GB2312" w:cs="仿宋_GB2312"/>
          <w:color w:val="auto"/>
          <w:spacing w:val="-26"/>
          <w:sz w:val="30"/>
          <w:szCs w:val="30"/>
          <w:highlight w:val="none"/>
        </w:rPr>
        <w:t>：</w:t>
      </w:r>
      <w:r>
        <w:rPr>
          <w:rFonts w:hint="eastAsia" w:ascii="仿宋_GB2312" w:hAnsi="仿宋_GB2312" w:eastAsia="仿宋_GB2312" w:cs="仿宋_GB2312"/>
          <w:color w:val="auto"/>
          <w:spacing w:val="1"/>
          <w:sz w:val="30"/>
          <w:szCs w:val="30"/>
          <w:highlight w:val="none"/>
          <w:u w:val="single"/>
        </w:rPr>
        <w:t xml:space="preserve">                    </w:t>
      </w:r>
      <w:r>
        <w:rPr>
          <w:rFonts w:hint="eastAsia" w:ascii="仿宋_GB2312" w:hAnsi="仿宋_GB2312" w:eastAsia="仿宋_GB2312" w:cs="仿宋_GB2312"/>
          <w:color w:val="auto"/>
          <w:spacing w:val="-27"/>
          <w:sz w:val="30"/>
          <w:szCs w:val="30"/>
          <w:highlight w:val="none"/>
          <w:u w:val="single"/>
        </w:rPr>
        <w:t xml:space="preserve"> </w:t>
      </w:r>
      <w:r>
        <w:rPr>
          <w:rFonts w:hint="eastAsia" w:ascii="仿宋_GB2312" w:hAnsi="仿宋_GB2312" w:eastAsia="仿宋_GB2312" w:cs="仿宋_GB2312"/>
          <w:color w:val="auto"/>
          <w:spacing w:val="-27"/>
          <w:sz w:val="30"/>
          <w:szCs w:val="30"/>
          <w:highlight w:val="none"/>
        </w:rPr>
        <w:t>；</w:t>
      </w:r>
    </w:p>
    <w:p w14:paraId="58E9A5E4">
      <w:pPr>
        <w:pStyle w:val="79"/>
        <w:spacing w:after="0" w:line="360" w:lineRule="auto"/>
        <w:ind w:firstLine="592" w:firstLineChars="200"/>
        <w:rPr>
          <w:rFonts w:ascii="仿宋_GB2312" w:hAnsi="仿宋_GB2312" w:eastAsia="仿宋_GB2312" w:cs="仿宋_GB2312"/>
          <w:color w:val="auto"/>
          <w:spacing w:val="-25"/>
          <w:sz w:val="30"/>
          <w:szCs w:val="30"/>
          <w:highlight w:val="none"/>
        </w:rPr>
      </w:pPr>
      <w:r>
        <w:rPr>
          <w:rFonts w:hint="eastAsia" w:ascii="仿宋_GB2312" w:hAnsi="仿宋_GB2312" w:eastAsia="仿宋_GB2312" w:cs="仿宋_GB2312"/>
          <w:color w:val="auto"/>
          <w:spacing w:val="-2"/>
          <w:sz w:val="30"/>
          <w:szCs w:val="30"/>
          <w:highlight w:val="none"/>
        </w:rPr>
        <w:t>联系电话</w:t>
      </w:r>
      <w:r>
        <w:rPr>
          <w:rFonts w:hint="eastAsia" w:ascii="仿宋_GB2312" w:hAnsi="仿宋_GB2312" w:eastAsia="仿宋_GB2312" w:cs="仿宋_GB2312"/>
          <w:color w:val="auto"/>
          <w:spacing w:val="-25"/>
          <w:sz w:val="30"/>
          <w:szCs w:val="30"/>
          <w:highlight w:val="none"/>
        </w:rPr>
        <w:t>：</w:t>
      </w:r>
      <w:r>
        <w:rPr>
          <w:rFonts w:hint="eastAsia" w:ascii="仿宋_GB2312" w:hAnsi="仿宋_GB2312" w:eastAsia="仿宋_GB2312" w:cs="仿宋_GB2312"/>
          <w:color w:val="auto"/>
          <w:spacing w:val="1"/>
          <w:sz w:val="30"/>
          <w:szCs w:val="30"/>
          <w:highlight w:val="none"/>
          <w:u w:val="single"/>
        </w:rPr>
        <w:t xml:space="preserve">                      </w:t>
      </w:r>
      <w:r>
        <w:rPr>
          <w:rFonts w:hint="eastAsia" w:ascii="仿宋_GB2312" w:hAnsi="仿宋_GB2312" w:eastAsia="仿宋_GB2312" w:cs="仿宋_GB2312"/>
          <w:color w:val="auto"/>
          <w:spacing w:val="-27"/>
          <w:sz w:val="30"/>
          <w:szCs w:val="30"/>
          <w:highlight w:val="none"/>
          <w:u w:val="single"/>
        </w:rPr>
        <w:t xml:space="preserve"> </w:t>
      </w:r>
      <w:r>
        <w:rPr>
          <w:rFonts w:hint="eastAsia" w:ascii="仿宋_GB2312" w:hAnsi="仿宋_GB2312" w:eastAsia="仿宋_GB2312" w:cs="仿宋_GB2312"/>
          <w:color w:val="auto"/>
          <w:spacing w:val="-27"/>
          <w:sz w:val="30"/>
          <w:szCs w:val="30"/>
          <w:highlight w:val="none"/>
        </w:rPr>
        <w:t>；</w:t>
      </w:r>
    </w:p>
    <w:p w14:paraId="3F5CD76A">
      <w:pPr>
        <w:pStyle w:val="79"/>
        <w:spacing w:after="0" w:line="360" w:lineRule="auto"/>
        <w:ind w:firstLine="592" w:firstLineChars="200"/>
        <w:rPr>
          <w:rFonts w:ascii="仿宋_GB2312" w:hAnsi="仿宋_GB2312" w:eastAsia="仿宋_GB2312" w:cs="仿宋_GB2312"/>
          <w:color w:val="auto"/>
          <w:spacing w:val="-25"/>
          <w:sz w:val="30"/>
          <w:szCs w:val="30"/>
          <w:highlight w:val="none"/>
        </w:rPr>
      </w:pPr>
      <w:r>
        <w:rPr>
          <w:rFonts w:hint="eastAsia" w:ascii="仿宋_GB2312" w:hAnsi="仿宋_GB2312" w:eastAsia="仿宋_GB2312" w:cs="仿宋_GB2312"/>
          <w:color w:val="auto"/>
          <w:spacing w:val="-2"/>
          <w:sz w:val="30"/>
          <w:szCs w:val="30"/>
          <w:highlight w:val="none"/>
        </w:rPr>
        <w:t>电子信箱</w:t>
      </w:r>
      <w:r>
        <w:rPr>
          <w:rFonts w:hint="eastAsia" w:ascii="仿宋_GB2312" w:hAnsi="仿宋_GB2312" w:eastAsia="仿宋_GB2312" w:cs="仿宋_GB2312"/>
          <w:color w:val="auto"/>
          <w:spacing w:val="-25"/>
          <w:sz w:val="30"/>
          <w:szCs w:val="30"/>
          <w:highlight w:val="none"/>
        </w:rPr>
        <w:t>：</w:t>
      </w:r>
      <w:r>
        <w:rPr>
          <w:rFonts w:hint="eastAsia" w:ascii="仿宋_GB2312" w:hAnsi="仿宋_GB2312" w:eastAsia="仿宋_GB2312" w:cs="仿宋_GB2312"/>
          <w:color w:val="auto"/>
          <w:spacing w:val="-27"/>
          <w:sz w:val="30"/>
          <w:szCs w:val="30"/>
          <w:highlight w:val="none"/>
          <w:u w:val="single"/>
        </w:rPr>
        <w:t xml:space="preserve"> </w:t>
      </w:r>
      <w:r>
        <w:rPr>
          <w:rFonts w:hint="eastAsia" w:ascii="仿宋_GB2312" w:hAnsi="仿宋_GB2312" w:eastAsia="仿宋_GB2312" w:cs="仿宋_GB2312"/>
          <w:color w:val="auto"/>
          <w:spacing w:val="1"/>
          <w:sz w:val="30"/>
          <w:szCs w:val="30"/>
          <w:highlight w:val="none"/>
          <w:u w:val="single"/>
        </w:rPr>
        <w:t xml:space="preserve">                      </w:t>
      </w:r>
      <w:r>
        <w:rPr>
          <w:rFonts w:hint="eastAsia" w:ascii="仿宋_GB2312" w:hAnsi="仿宋_GB2312" w:eastAsia="仿宋_GB2312" w:cs="仿宋_GB2312"/>
          <w:color w:val="auto"/>
          <w:spacing w:val="-27"/>
          <w:sz w:val="30"/>
          <w:szCs w:val="30"/>
          <w:highlight w:val="none"/>
        </w:rPr>
        <w:t>；</w:t>
      </w:r>
    </w:p>
    <w:p w14:paraId="2EADCC24">
      <w:pPr>
        <w:pStyle w:val="79"/>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通信地址</w:t>
      </w:r>
      <w:r>
        <w:rPr>
          <w:rFonts w:hint="eastAsia" w:ascii="仿宋_GB2312" w:hAnsi="仿宋_GB2312" w:eastAsia="仿宋_GB2312" w:cs="仿宋_GB2312"/>
          <w:color w:val="auto"/>
          <w:spacing w:val="-25"/>
          <w:sz w:val="30"/>
          <w:szCs w:val="30"/>
          <w:highlight w:val="none"/>
        </w:rPr>
        <w:t>：</w:t>
      </w:r>
      <w:r>
        <w:rPr>
          <w:rFonts w:hint="eastAsia" w:ascii="仿宋_GB2312" w:hAnsi="仿宋_GB2312" w:eastAsia="仿宋_GB2312" w:cs="仿宋_GB2312"/>
          <w:color w:val="auto"/>
          <w:spacing w:val="-27"/>
          <w:sz w:val="30"/>
          <w:szCs w:val="30"/>
          <w:highlight w:val="none"/>
          <w:u w:val="single"/>
        </w:rPr>
        <w:t xml:space="preserve"> </w:t>
      </w:r>
      <w:r>
        <w:rPr>
          <w:rFonts w:hint="eastAsia" w:ascii="仿宋_GB2312" w:hAnsi="仿宋_GB2312" w:eastAsia="仿宋_GB2312" w:cs="仿宋_GB2312"/>
          <w:color w:val="auto"/>
          <w:spacing w:val="1"/>
          <w:sz w:val="30"/>
          <w:szCs w:val="30"/>
          <w:highlight w:val="none"/>
          <w:u w:val="single"/>
        </w:rPr>
        <w:t xml:space="preserve">                      </w:t>
      </w:r>
      <w:r>
        <w:rPr>
          <w:rFonts w:hint="eastAsia" w:ascii="仿宋_GB2312" w:hAnsi="仿宋_GB2312" w:eastAsia="仿宋_GB2312" w:cs="仿宋_GB2312"/>
          <w:color w:val="auto"/>
          <w:spacing w:val="-27"/>
          <w:sz w:val="30"/>
          <w:szCs w:val="30"/>
          <w:highlight w:val="none"/>
        </w:rPr>
        <w:t>；</w:t>
      </w:r>
    </w:p>
    <w:p w14:paraId="76D83327">
      <w:pPr>
        <w:pStyle w:val="79"/>
        <w:spacing w:after="0" w:line="360" w:lineRule="auto"/>
        <w:ind w:firstLine="604"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设计人对项目负责人的授权范围如下：</w:t>
      </w:r>
      <w:r>
        <w:rPr>
          <w:rFonts w:hint="eastAsia" w:ascii="仿宋_GB2312" w:hAnsi="仿宋_GB2312" w:eastAsia="仿宋_GB2312" w:cs="仿宋_GB2312"/>
          <w:color w:val="auto"/>
          <w:spacing w:val="1"/>
          <w:sz w:val="30"/>
          <w:szCs w:val="30"/>
          <w:highlight w:val="none"/>
          <w:u w:val="single"/>
        </w:rPr>
        <w:t>按合同要求负责与本项目设计有关的一切事务，包</w:t>
      </w:r>
      <w:r>
        <w:rPr>
          <w:rFonts w:hint="eastAsia" w:ascii="仿宋_GB2312" w:hAnsi="仿宋_GB2312" w:eastAsia="仿宋_GB2312" w:cs="仿宋_GB2312"/>
          <w:color w:val="auto"/>
          <w:spacing w:val="-1"/>
          <w:sz w:val="30"/>
          <w:szCs w:val="30"/>
          <w:highlight w:val="none"/>
          <w:u w:val="single"/>
        </w:rPr>
        <w:t xml:space="preserve">括项目的组织、协调相关工作 </w:t>
      </w:r>
      <w:r>
        <w:rPr>
          <w:rFonts w:hint="eastAsia" w:ascii="仿宋_GB2312" w:hAnsi="仿宋_GB2312" w:eastAsia="仿宋_GB2312" w:cs="仿宋_GB2312"/>
          <w:color w:val="auto"/>
          <w:spacing w:val="-1"/>
          <w:sz w:val="30"/>
          <w:szCs w:val="30"/>
          <w:highlight w:val="none"/>
        </w:rPr>
        <w:t>。</w:t>
      </w:r>
    </w:p>
    <w:p w14:paraId="0DD7AC0A">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3.2.2  设计人更换项目负责人的，应提前</w:t>
      </w:r>
      <w:r>
        <w:rPr>
          <w:rFonts w:hint="eastAsia" w:ascii="仿宋_GB2312" w:hAnsi="仿宋_GB2312" w:eastAsia="仿宋_GB2312" w:cs="仿宋_GB2312"/>
          <w:color w:val="auto"/>
          <w:sz w:val="30"/>
          <w:szCs w:val="30"/>
          <w:highlight w:val="none"/>
          <w:u w:val="single"/>
        </w:rPr>
        <w:t xml:space="preserve">  7  </w:t>
      </w:r>
      <w:r>
        <w:rPr>
          <w:rFonts w:hint="eastAsia" w:ascii="仿宋_GB2312" w:hAnsi="仿宋_GB2312" w:eastAsia="仿宋_GB2312" w:cs="仿宋_GB2312"/>
          <w:color w:val="auto"/>
          <w:sz w:val="30"/>
          <w:szCs w:val="30"/>
          <w:highlight w:val="none"/>
        </w:rPr>
        <w:t>天书面通知发包人。</w:t>
      </w:r>
    </w:p>
    <w:p w14:paraId="7B24CA90">
      <w:pPr>
        <w:pStyle w:val="79"/>
        <w:spacing w:after="0" w:line="360" w:lineRule="auto"/>
        <w:ind w:firstLine="600" w:firstLineChars="200"/>
        <w:rPr>
          <w:rFonts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rPr>
        <w:t>设计人擅自更换项目负责人的违约责任：</w:t>
      </w:r>
      <w:r>
        <w:rPr>
          <w:rFonts w:hint="eastAsia" w:ascii="仿宋_GB2312" w:hAnsi="仿宋_GB2312" w:eastAsia="仿宋_GB2312" w:cs="仿宋_GB2312"/>
          <w:color w:val="auto"/>
          <w:sz w:val="30"/>
          <w:szCs w:val="30"/>
          <w:highlight w:val="none"/>
          <w:u w:val="single"/>
        </w:rPr>
        <w:t>设计人擅自更换项目负责人的违约责任：设计人擅自更换项目设计负责人</w:t>
      </w:r>
      <w:r>
        <w:rPr>
          <w:rFonts w:ascii="仿宋_GB2312" w:hAnsi="仿宋_GB2312" w:eastAsia="仿宋_GB2312" w:cs="仿宋_GB2312"/>
          <w:color w:val="auto"/>
          <w:sz w:val="30"/>
          <w:szCs w:val="30"/>
          <w:highlight w:val="none"/>
          <w:u w:val="single"/>
        </w:rPr>
        <w:t>或关键人员</w:t>
      </w:r>
      <w:r>
        <w:rPr>
          <w:rFonts w:hint="eastAsia" w:ascii="仿宋_GB2312" w:hAnsi="仿宋_GB2312" w:eastAsia="仿宋_GB2312" w:cs="仿宋_GB2312"/>
          <w:color w:val="auto"/>
          <w:sz w:val="30"/>
          <w:szCs w:val="30"/>
          <w:highlight w:val="none"/>
          <w:u w:val="single"/>
        </w:rPr>
        <w:t>（</w:t>
      </w:r>
      <w:r>
        <w:rPr>
          <w:rFonts w:hint="eastAsia" w:ascii="仿宋_GB2312" w:hAnsi="仿宋_GB2312" w:eastAsia="仿宋_GB2312" w:cs="仿宋_GB2312"/>
          <w:i/>
          <w:iCs/>
          <w:color w:val="auto"/>
          <w:sz w:val="30"/>
          <w:szCs w:val="30"/>
          <w:highlight w:val="none"/>
          <w:u w:val="single"/>
        </w:rPr>
        <w:t>填写具体名称</w:t>
      </w:r>
      <w:r>
        <w:rPr>
          <w:rFonts w:hint="eastAsia" w:ascii="仿宋_GB2312" w:hAnsi="仿宋_GB2312" w:eastAsia="仿宋_GB2312" w:cs="仿宋_GB2312"/>
          <w:color w:val="auto"/>
          <w:sz w:val="30"/>
          <w:szCs w:val="30"/>
          <w:highlight w:val="none"/>
          <w:u w:val="single"/>
        </w:rPr>
        <w:t>），发包人按每人每次向设计人处以设计费的 5%（百分之五）的违约金。若因此给发包人造成损失的，还应当赔偿损失</w:t>
      </w:r>
      <w:r>
        <w:rPr>
          <w:rFonts w:hint="eastAsia" w:ascii="仿宋_GB2312" w:hAnsi="仿宋_GB2312" w:eastAsia="仿宋_GB2312" w:cs="仿宋_GB2312"/>
          <w:color w:val="auto"/>
          <w:sz w:val="30"/>
          <w:szCs w:val="30"/>
          <w:highlight w:val="none"/>
        </w:rPr>
        <w:t>。</w:t>
      </w:r>
    </w:p>
    <w:p w14:paraId="79A9DA15">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3.2.3  发包人有权书面通知设计人更换其认为不称职的项目负责人，设计人应在收到书面更换通知后</w:t>
      </w:r>
      <w:r>
        <w:rPr>
          <w:rFonts w:hint="eastAsia" w:ascii="仿宋_GB2312" w:hAnsi="仿宋_GB2312" w:eastAsia="仿宋_GB2312" w:cs="仿宋_GB2312"/>
          <w:color w:val="auto"/>
          <w:sz w:val="30"/>
          <w:szCs w:val="30"/>
          <w:highlight w:val="none"/>
          <w:u w:val="single"/>
        </w:rPr>
        <w:t>7</w:t>
      </w:r>
      <w:r>
        <w:rPr>
          <w:rFonts w:hint="eastAsia" w:ascii="仿宋_GB2312" w:hAnsi="仿宋_GB2312" w:eastAsia="仿宋_GB2312" w:cs="仿宋_GB2312"/>
          <w:color w:val="auto"/>
          <w:sz w:val="30"/>
          <w:szCs w:val="30"/>
          <w:highlight w:val="none"/>
        </w:rPr>
        <w:t xml:space="preserve">天内更换项目负责人。更换的项目负责人不得低于投标时承诺投入项目负责人的标准。 </w:t>
      </w:r>
    </w:p>
    <w:p w14:paraId="5446E838">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设计人无正当理由拒绝更换项目负责人的违约责任：</w:t>
      </w:r>
      <w:r>
        <w:rPr>
          <w:rFonts w:ascii="仿宋_GB2312" w:hAnsi="仿宋_GB2312" w:eastAsia="仿宋_GB2312" w:cs="仿宋_GB2312"/>
          <w:color w:val="auto"/>
          <w:sz w:val="30"/>
          <w:szCs w:val="30"/>
          <w:highlight w:val="none"/>
          <w:u w:val="single"/>
        </w:rPr>
        <w:t>设计人的项目负责人或关键人员不能很好地履行合同服务或服务质量达不到发包人要求，发包人有权要求设计人限时更换人员如设计人无正当理由拒绝更换的，发包人按每人每次向设计人索赔设计费的 5%（百分之五）。</w:t>
      </w:r>
      <w:r>
        <w:rPr>
          <w:rFonts w:hint="eastAsia" w:ascii="仿宋_GB2312" w:hAnsi="仿宋_GB2312" w:eastAsia="仿宋_GB2312" w:cs="仿宋_GB2312"/>
          <w:color w:val="auto"/>
          <w:sz w:val="30"/>
          <w:szCs w:val="30"/>
          <w:highlight w:val="none"/>
          <w:u w:val="single"/>
        </w:rPr>
        <w:t>若因此给发包人造成损失的，还应当赔偿损失。</w:t>
      </w:r>
    </w:p>
    <w:p w14:paraId="01B52011">
      <w:pPr>
        <w:pStyle w:val="8"/>
        <w:spacing w:before="120"/>
        <w:ind w:firstLine="602"/>
        <w:rPr>
          <w:rFonts w:ascii="Times New Roman" w:hAnsi="Times New Roman" w:eastAsia="黑体"/>
          <w:b w:val="0"/>
          <w:bCs w:val="0"/>
          <w:color w:val="auto"/>
          <w:sz w:val="30"/>
          <w:highlight w:val="none"/>
        </w:rPr>
      </w:pPr>
      <w:r>
        <w:rPr>
          <w:rFonts w:ascii="Times New Roman" w:hAnsi="Times New Roman" w:eastAsia="黑体"/>
          <w:color w:val="auto"/>
          <w:sz w:val="30"/>
          <w:highlight w:val="none"/>
        </w:rPr>
        <w:t>3.3设计人人员</w:t>
      </w:r>
    </w:p>
    <w:p w14:paraId="2C168A00">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3.3.1  设计人提交项目管理机构及人员安排报告的期限：</w:t>
      </w:r>
      <w:r>
        <w:rPr>
          <w:rFonts w:hint="eastAsia" w:ascii="仿宋_GB2312" w:hAnsi="仿宋_GB2312" w:eastAsia="仿宋_GB2312" w:cs="仿宋_GB2312"/>
          <w:color w:val="auto"/>
          <w:sz w:val="30"/>
          <w:szCs w:val="30"/>
          <w:highlight w:val="none"/>
          <w:u w:val="single"/>
        </w:rPr>
        <w:t>合同签订后5个日历日内。</w:t>
      </w:r>
    </w:p>
    <w:p w14:paraId="4E19F576">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3.3.3  设计人无正当理由拒绝撤换</w:t>
      </w:r>
      <w:r>
        <w:rPr>
          <w:rFonts w:hint="eastAsia" w:ascii="仿宋_GB2312" w:hAnsi="仿宋_GB2312" w:eastAsia="仿宋_GB2312" w:cs="仿宋_GB2312"/>
          <w:color w:val="auto"/>
          <w:sz w:val="30"/>
          <w:szCs w:val="30"/>
          <w:highlight w:val="none"/>
          <w:u w:val="single"/>
        </w:rPr>
        <w:t>主要设计人员（</w:t>
      </w:r>
      <w:r>
        <w:rPr>
          <w:rFonts w:hint="eastAsia" w:ascii="仿宋_GB2312" w:hAnsi="仿宋_GB2312" w:eastAsia="仿宋_GB2312" w:cs="仿宋_GB2312"/>
          <w:i/>
          <w:iCs/>
          <w:color w:val="auto"/>
          <w:sz w:val="30"/>
          <w:szCs w:val="30"/>
          <w:highlight w:val="none"/>
          <w:u w:val="single"/>
        </w:rPr>
        <w:t>填写具体名称</w:t>
      </w:r>
      <w:r>
        <w:rPr>
          <w:rFonts w:hint="eastAsia" w:ascii="仿宋_GB2312" w:hAnsi="仿宋_GB2312" w:eastAsia="仿宋_GB2312" w:cs="仿宋_GB2312"/>
          <w:color w:val="auto"/>
          <w:sz w:val="30"/>
          <w:szCs w:val="30"/>
          <w:highlight w:val="none"/>
          <w:u w:val="single"/>
        </w:rPr>
        <w:t>）</w:t>
      </w:r>
      <w:r>
        <w:rPr>
          <w:rFonts w:hint="eastAsia" w:ascii="仿宋_GB2312" w:hAnsi="仿宋_GB2312" w:eastAsia="仿宋_GB2312" w:cs="仿宋_GB2312"/>
          <w:color w:val="auto"/>
          <w:sz w:val="30"/>
          <w:szCs w:val="30"/>
          <w:highlight w:val="none"/>
        </w:rPr>
        <w:t>的违约责任：</w:t>
      </w:r>
      <w:r>
        <w:rPr>
          <w:rFonts w:hint="eastAsia" w:ascii="仿宋_GB2312" w:hAnsi="仿宋_GB2312" w:eastAsia="仿宋_GB2312" w:cs="仿宋_GB2312"/>
          <w:color w:val="auto"/>
          <w:sz w:val="30"/>
          <w:szCs w:val="30"/>
          <w:highlight w:val="none"/>
          <w:u w:val="single"/>
        </w:rPr>
        <w:t>发包人有权向设计人收取</w:t>
      </w:r>
      <w:r>
        <w:rPr>
          <w:rFonts w:ascii="仿宋_GB2312" w:hAnsi="仿宋_GB2312" w:eastAsia="仿宋_GB2312" w:cs="仿宋_GB2312"/>
          <w:color w:val="auto"/>
          <w:sz w:val="30"/>
          <w:szCs w:val="30"/>
          <w:highlight w:val="none"/>
          <w:u w:val="single"/>
        </w:rPr>
        <w:t>10000元违约金/人/天，</w:t>
      </w:r>
      <w:r>
        <w:rPr>
          <w:rFonts w:hint="eastAsia" w:ascii="仿宋_GB2312" w:hAnsi="仿宋_GB2312" w:eastAsia="仿宋_GB2312" w:cs="仿宋_GB2312"/>
          <w:color w:val="auto"/>
          <w:sz w:val="30"/>
          <w:szCs w:val="30"/>
          <w:highlight w:val="none"/>
          <w:u w:val="single"/>
        </w:rPr>
        <w:t>设计人需承担违约给发包人造成的一切损失及责任。</w:t>
      </w:r>
    </w:p>
    <w:p w14:paraId="6FE5D0E9">
      <w:pPr>
        <w:pStyle w:val="79"/>
        <w:spacing w:after="0"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以上（专用条款的3.2.2、3.2.3、3.3.3）有关违约赔偿，所有违约金全部从设计费中扣除。在本合同期内，履约保证金因设计人违约而扣除罚金后，设计人应在接收到发包人通知后5个工作日内补足履约保证金。</w:t>
      </w:r>
    </w:p>
    <w:p w14:paraId="60A029C7">
      <w:pPr>
        <w:pStyle w:val="8"/>
        <w:spacing w:before="120"/>
        <w:ind w:firstLine="602"/>
        <w:rPr>
          <w:rFonts w:ascii="Times New Roman" w:hAnsi="Times New Roman" w:eastAsia="黑体"/>
          <w:color w:val="auto"/>
          <w:sz w:val="30"/>
          <w:highlight w:val="none"/>
        </w:rPr>
      </w:pPr>
      <w:r>
        <w:rPr>
          <w:rFonts w:ascii="Times New Roman" w:hAnsi="Times New Roman" w:eastAsia="黑体"/>
          <w:color w:val="auto"/>
          <w:sz w:val="30"/>
          <w:highlight w:val="none"/>
        </w:rPr>
        <w:t>3.4设计分包</w:t>
      </w:r>
    </w:p>
    <w:p w14:paraId="24D317A1">
      <w:pPr>
        <w:pStyle w:val="79"/>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3.4.1设计分包的一般约定</w:t>
      </w:r>
    </w:p>
    <w:p w14:paraId="62880435">
      <w:pPr>
        <w:pStyle w:val="79"/>
        <w:spacing w:after="0" w:line="360" w:lineRule="auto"/>
        <w:ind w:firstLine="596" w:firstLineChars="200"/>
        <w:rPr>
          <w:rFonts w:ascii="仿宋_GB2312" w:hAnsi="仿宋_GB2312" w:eastAsia="仿宋_GB2312" w:cs="仿宋_GB2312"/>
          <w:color w:val="auto"/>
          <w:spacing w:val="-2"/>
          <w:sz w:val="30"/>
          <w:szCs w:val="30"/>
          <w:highlight w:val="none"/>
        </w:rPr>
      </w:pPr>
      <w:r>
        <w:rPr>
          <w:rFonts w:hint="eastAsia" w:ascii="仿宋_GB2312" w:hAnsi="仿宋_GB2312" w:eastAsia="仿宋_GB2312" w:cs="仿宋_GB2312"/>
          <w:color w:val="auto"/>
          <w:spacing w:val="-1"/>
          <w:sz w:val="30"/>
          <w:szCs w:val="30"/>
          <w:highlight w:val="none"/>
        </w:rPr>
        <w:t>禁止设计分包的工程包括：</w:t>
      </w:r>
      <w:r>
        <w:rPr>
          <w:rFonts w:hint="eastAsia" w:ascii="仿宋_GB2312" w:hAnsi="仿宋_GB2312" w:eastAsia="仿宋_GB2312" w:cs="仿宋_GB2312"/>
          <w:color w:val="auto"/>
          <w:spacing w:val="-1"/>
          <w:sz w:val="30"/>
          <w:szCs w:val="30"/>
          <w:highlight w:val="none"/>
          <w:u w:val="single"/>
        </w:rPr>
        <w:t xml:space="preserve"> 主体建筑设计与结构设计</w:t>
      </w:r>
      <w:r>
        <w:rPr>
          <w:rFonts w:hint="eastAsia" w:ascii="仿宋_GB2312" w:hAnsi="仿宋_GB2312" w:eastAsia="仿宋_GB2312" w:cs="仿宋_GB2312"/>
          <w:color w:val="auto"/>
          <w:spacing w:val="-2"/>
          <w:sz w:val="30"/>
          <w:szCs w:val="30"/>
          <w:highlight w:val="none"/>
          <w:u w:val="single"/>
        </w:rPr>
        <w:t xml:space="preserve"> </w:t>
      </w:r>
      <w:r>
        <w:rPr>
          <w:rFonts w:hint="eastAsia" w:ascii="仿宋_GB2312" w:hAnsi="仿宋_GB2312" w:eastAsia="仿宋_GB2312" w:cs="仿宋_GB2312"/>
          <w:color w:val="auto"/>
          <w:spacing w:val="-2"/>
          <w:sz w:val="30"/>
          <w:szCs w:val="30"/>
          <w:highlight w:val="none"/>
        </w:rPr>
        <w:t>。</w:t>
      </w:r>
    </w:p>
    <w:p w14:paraId="21F50C70">
      <w:pPr>
        <w:pStyle w:val="79"/>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3.4.2设计分包的确定</w:t>
      </w:r>
    </w:p>
    <w:p w14:paraId="2CCE3AF0">
      <w:pPr>
        <w:pStyle w:val="79"/>
        <w:spacing w:after="0" w:line="360" w:lineRule="auto"/>
        <w:ind w:firstLine="592" w:firstLineChars="200"/>
        <w:rPr>
          <w:rFonts w:ascii="仿宋_GB2312" w:hAnsi="仿宋_GB2312" w:eastAsia="仿宋_GB2312" w:cs="仿宋_GB2312"/>
          <w:color w:val="auto"/>
          <w:spacing w:val="1"/>
          <w:sz w:val="30"/>
          <w:szCs w:val="30"/>
          <w:highlight w:val="none"/>
        </w:rPr>
      </w:pPr>
      <w:r>
        <w:rPr>
          <w:rFonts w:hint="eastAsia" w:ascii="仿宋_GB2312" w:hAnsi="仿宋_GB2312" w:eastAsia="仿宋_GB2312" w:cs="仿宋_GB2312"/>
          <w:color w:val="auto"/>
          <w:spacing w:val="-2"/>
          <w:sz w:val="30"/>
          <w:szCs w:val="30"/>
          <w:highlight w:val="none"/>
        </w:rPr>
        <w:t>允许分包的专业工程包括：</w:t>
      </w:r>
      <w:r>
        <w:rPr>
          <w:rFonts w:hint="eastAsia" w:ascii="仿宋_GB2312" w:hAnsi="仿宋_GB2312" w:eastAsia="仿宋_GB2312" w:cs="仿宋_GB2312"/>
          <w:color w:val="auto"/>
          <w:spacing w:val="1"/>
          <w:sz w:val="30"/>
          <w:szCs w:val="30"/>
          <w:highlight w:val="none"/>
        </w:rPr>
        <w:t>（</w:t>
      </w:r>
      <w:r>
        <w:rPr>
          <w:rFonts w:ascii="仿宋_GB2312" w:hAnsi="仿宋_GB2312" w:eastAsia="仿宋_GB2312" w:cs="仿宋_GB2312"/>
          <w:color w:val="auto"/>
          <w:spacing w:val="1"/>
          <w:sz w:val="30"/>
          <w:szCs w:val="30"/>
          <w:highlight w:val="none"/>
        </w:rPr>
        <w:t>1</w:t>
      </w:r>
      <w:r>
        <w:rPr>
          <w:rFonts w:hint="eastAsia" w:ascii="仿宋_GB2312" w:hAnsi="仿宋_GB2312" w:eastAsia="仿宋_GB2312" w:cs="仿宋_GB2312"/>
          <w:color w:val="auto"/>
          <w:spacing w:val="1"/>
          <w:sz w:val="30"/>
          <w:szCs w:val="30"/>
          <w:highlight w:val="none"/>
        </w:rPr>
        <w:t>）发包人对专业分包有要求的（如建筑方案设计等，发包人可以根据实际情况进行调整），设计人应当选择满足合同要求、规模适当、信誉良好的分包人报发包人确认，否则发包人有权拒绝设计人的分包请求和设计人选择的分包人。（</w:t>
      </w:r>
      <w:r>
        <w:rPr>
          <w:rFonts w:ascii="仿宋_GB2312" w:hAnsi="仿宋_GB2312" w:eastAsia="仿宋_GB2312" w:cs="仿宋_GB2312"/>
          <w:color w:val="auto"/>
          <w:spacing w:val="1"/>
          <w:sz w:val="30"/>
          <w:szCs w:val="30"/>
          <w:highlight w:val="none"/>
        </w:rPr>
        <w:t>2</w:t>
      </w:r>
      <w:r>
        <w:rPr>
          <w:rFonts w:hint="eastAsia" w:ascii="仿宋_GB2312" w:hAnsi="仿宋_GB2312" w:eastAsia="仿宋_GB2312" w:cs="仿宋_GB2312"/>
          <w:color w:val="auto"/>
          <w:spacing w:val="1"/>
          <w:sz w:val="30"/>
          <w:szCs w:val="30"/>
          <w:highlight w:val="none"/>
        </w:rPr>
        <w:t>）在分包合同签订后，设计人应当提交一份合同给发包人，设计人应保证分包工作不得再次分包。（</w:t>
      </w:r>
      <w:r>
        <w:rPr>
          <w:rFonts w:ascii="仿宋_GB2312" w:hAnsi="仿宋_GB2312" w:eastAsia="仿宋_GB2312" w:cs="仿宋_GB2312"/>
          <w:color w:val="auto"/>
          <w:spacing w:val="1"/>
          <w:sz w:val="30"/>
          <w:szCs w:val="30"/>
          <w:highlight w:val="none"/>
        </w:rPr>
        <w:t>3</w:t>
      </w:r>
      <w:r>
        <w:rPr>
          <w:rFonts w:hint="eastAsia" w:ascii="仿宋_GB2312" w:hAnsi="仿宋_GB2312" w:eastAsia="仿宋_GB2312" w:cs="仿宋_GB2312"/>
          <w:color w:val="auto"/>
          <w:spacing w:val="1"/>
          <w:sz w:val="30"/>
          <w:szCs w:val="30"/>
          <w:highlight w:val="none"/>
        </w:rPr>
        <w:t>）未经发包人审批同意的分包工程和分包人，发包人有权拒绝接收分包设计文件和支付相应设计费，由此引起的后果和责任由设计人承担。</w:t>
      </w:r>
    </w:p>
    <w:p w14:paraId="79E7FCF1">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其他关于分包的约定：</w:t>
      </w:r>
      <w:r>
        <w:rPr>
          <w:rFonts w:hint="eastAsia" w:ascii="仿宋_GB2312" w:hAnsi="仿宋_GB2312" w:eastAsia="仿宋_GB2312" w:cs="仿宋_GB2312"/>
          <w:color w:val="auto"/>
          <w:sz w:val="30"/>
          <w:szCs w:val="30"/>
          <w:highlight w:val="none"/>
          <w:u w:val="single"/>
        </w:rPr>
        <w:t xml:space="preserve"> 设计人所委托的设计单位要有相应的资质、能力和相关业绩，并经发包人书面同意</w:t>
      </w:r>
      <w:r>
        <w:rPr>
          <w:rFonts w:hint="eastAsia" w:ascii="仿宋_GB2312" w:hAnsi="仿宋_GB2312" w:eastAsia="仿宋_GB2312" w:cs="仿宋_GB2312"/>
          <w:color w:val="auto"/>
          <w:sz w:val="30"/>
          <w:szCs w:val="30"/>
          <w:highlight w:val="none"/>
        </w:rPr>
        <w:t xml:space="preserve">。 </w:t>
      </w:r>
    </w:p>
    <w:p w14:paraId="41F47A4C">
      <w:pPr>
        <w:pStyle w:val="79"/>
        <w:spacing w:after="0" w:line="360" w:lineRule="auto"/>
        <w:ind w:firstLine="596" w:firstLineChars="200"/>
        <w:rPr>
          <w:rFonts w:ascii="仿宋_GB2312" w:hAnsi="仿宋_GB2312" w:eastAsia="仿宋_GB2312" w:cs="仿宋_GB2312"/>
          <w:color w:val="auto"/>
          <w:spacing w:val="-1"/>
          <w:sz w:val="30"/>
          <w:szCs w:val="30"/>
          <w:highlight w:val="none"/>
        </w:rPr>
      </w:pPr>
      <w:r>
        <w:rPr>
          <w:rFonts w:hint="eastAsia" w:ascii="仿宋_GB2312" w:hAnsi="仿宋_GB2312" w:eastAsia="仿宋_GB2312" w:cs="仿宋_GB2312"/>
          <w:color w:val="auto"/>
          <w:spacing w:val="-1"/>
          <w:sz w:val="30"/>
          <w:szCs w:val="30"/>
          <w:highlight w:val="none"/>
        </w:rPr>
        <w:t>3.4.3  设计人向发包人提交有关分包人资料包括：</w:t>
      </w:r>
      <w:r>
        <w:rPr>
          <w:rFonts w:hint="eastAsia" w:ascii="仿宋_GB2312" w:hAnsi="仿宋_GB2312" w:eastAsia="仿宋_GB2312" w:cs="仿宋_GB2312"/>
          <w:color w:val="auto"/>
          <w:spacing w:val="-1"/>
          <w:sz w:val="30"/>
          <w:szCs w:val="30"/>
          <w:highlight w:val="none"/>
          <w:u w:val="single"/>
        </w:rPr>
        <w:t xml:space="preserve"> 分包人营业执照、资质、主要工</w:t>
      </w:r>
      <w:r>
        <w:rPr>
          <w:rFonts w:hint="eastAsia" w:ascii="仿宋_GB2312" w:hAnsi="仿宋_GB2312" w:eastAsia="仿宋_GB2312" w:cs="仿宋_GB2312"/>
          <w:color w:val="auto"/>
          <w:sz w:val="30"/>
          <w:szCs w:val="30"/>
          <w:highlight w:val="none"/>
          <w:u w:val="single"/>
        </w:rPr>
        <w:t>程设计人员名单</w:t>
      </w:r>
      <w:r>
        <w:rPr>
          <w:rFonts w:hint="eastAsia" w:ascii="仿宋_GB2312" w:hAnsi="仿宋_GB2312" w:eastAsia="仿宋_GB2312" w:cs="仿宋_GB2312"/>
          <w:color w:val="auto"/>
          <w:spacing w:val="-1"/>
          <w:sz w:val="30"/>
          <w:szCs w:val="30"/>
          <w:highlight w:val="none"/>
          <w:u w:val="single"/>
        </w:rPr>
        <w:t>、相关业绩等</w:t>
      </w:r>
      <w:r>
        <w:rPr>
          <w:rFonts w:hint="eastAsia" w:ascii="仿宋_GB2312" w:hAnsi="仿宋_GB2312" w:eastAsia="仿宋_GB2312" w:cs="仿宋_GB2312"/>
          <w:color w:val="auto"/>
          <w:spacing w:val="-1"/>
          <w:sz w:val="30"/>
          <w:szCs w:val="30"/>
          <w:highlight w:val="none"/>
        </w:rPr>
        <w:t>。</w:t>
      </w:r>
    </w:p>
    <w:p w14:paraId="1D9B3950">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3.4.4  分包工程设计费支付方式：</w:t>
      </w:r>
      <w:r>
        <w:rPr>
          <w:rFonts w:ascii="仿宋_GB2312" w:hAnsi="仿宋_GB2312" w:eastAsia="仿宋_GB2312" w:cs="仿宋_GB2312"/>
          <w:color w:val="auto"/>
          <w:sz w:val="30"/>
          <w:szCs w:val="30"/>
          <w:highlight w:val="none"/>
          <w:u w:val="single"/>
        </w:rPr>
        <w:t>按通用条款</w:t>
      </w:r>
      <w:r>
        <w:rPr>
          <w:rFonts w:hint="eastAsia" w:ascii="仿宋_GB2312" w:hAnsi="仿宋_GB2312" w:eastAsia="仿宋_GB2312" w:cs="仿宋_GB2312"/>
          <w:color w:val="auto"/>
          <w:sz w:val="30"/>
          <w:szCs w:val="30"/>
          <w:highlight w:val="none"/>
          <w:u w:val="single"/>
        </w:rPr>
        <w:t>3.4.4</w:t>
      </w:r>
      <w:r>
        <w:rPr>
          <w:rFonts w:ascii="仿宋_GB2312" w:hAnsi="仿宋_GB2312" w:eastAsia="仿宋_GB2312" w:cs="仿宋_GB2312"/>
          <w:color w:val="auto"/>
          <w:sz w:val="30"/>
          <w:szCs w:val="30"/>
          <w:highlight w:val="none"/>
          <w:u w:val="single"/>
        </w:rPr>
        <w:t>执行</w:t>
      </w:r>
      <w:r>
        <w:rPr>
          <w:rFonts w:hint="eastAsia" w:ascii="仿宋_GB2312" w:hAnsi="仿宋_GB2312" w:eastAsia="仿宋_GB2312" w:cs="仿宋_GB2312"/>
          <w:color w:val="auto"/>
          <w:sz w:val="30"/>
          <w:szCs w:val="30"/>
          <w:highlight w:val="none"/>
        </w:rPr>
        <w:t>。</w:t>
      </w:r>
    </w:p>
    <w:p w14:paraId="4432B345">
      <w:pPr>
        <w:pStyle w:val="8"/>
        <w:spacing w:before="120"/>
        <w:ind w:firstLine="602"/>
        <w:rPr>
          <w:rFonts w:ascii="Times New Roman" w:hAnsi="Times New Roman" w:eastAsia="黑体"/>
          <w:color w:val="auto"/>
          <w:sz w:val="30"/>
          <w:highlight w:val="none"/>
        </w:rPr>
      </w:pPr>
      <w:r>
        <w:rPr>
          <w:rFonts w:ascii="Times New Roman" w:hAnsi="Times New Roman" w:eastAsia="黑体"/>
          <w:color w:val="auto"/>
          <w:sz w:val="30"/>
          <w:highlight w:val="none"/>
        </w:rPr>
        <w:t>3.5联合体</w:t>
      </w:r>
    </w:p>
    <w:p w14:paraId="192EDF19">
      <w:pPr>
        <w:pStyle w:val="79"/>
        <w:spacing w:after="0" w:line="360" w:lineRule="auto"/>
        <w:ind w:firstLine="596"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3.5.4  发包人向联合体支付设计费用的方式：按照联合体协议书约定的联合体双方承接设计内容</w:t>
      </w:r>
      <w:r>
        <w:rPr>
          <w:rFonts w:hint="eastAsia" w:ascii="仿宋_GB2312" w:hAnsi="仿宋_GB2312" w:eastAsia="仿宋_GB2312" w:cs="仿宋_GB2312"/>
          <w:color w:val="auto"/>
          <w:spacing w:val="-7"/>
          <w:sz w:val="30"/>
          <w:szCs w:val="30"/>
          <w:highlight w:val="none"/>
        </w:rPr>
        <w:t>比例进行支付。</w:t>
      </w:r>
    </w:p>
    <w:p w14:paraId="47149464">
      <w:pPr>
        <w:pStyle w:val="8"/>
        <w:spacing w:before="120"/>
        <w:ind w:firstLine="602"/>
        <w:rPr>
          <w:rFonts w:ascii="Times New Roman" w:hAnsi="Times New Roman" w:eastAsia="黑体"/>
          <w:color w:val="auto"/>
          <w:sz w:val="30"/>
          <w:highlight w:val="none"/>
        </w:rPr>
      </w:pPr>
      <w:r>
        <w:rPr>
          <w:rFonts w:ascii="Times New Roman" w:hAnsi="Times New Roman" w:eastAsia="黑体"/>
          <w:color w:val="auto"/>
          <w:sz w:val="30"/>
          <w:highlight w:val="none"/>
        </w:rPr>
        <w:t>3.6履约担保</w:t>
      </w:r>
    </w:p>
    <w:p w14:paraId="44C38199">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设计人是否提供履约担保：</w:t>
      </w:r>
      <w:r>
        <w:rPr>
          <w:rFonts w:hint="eastAsia" w:ascii="仿宋_GB2312" w:hAnsi="仿宋_GB2312" w:eastAsia="仿宋_GB2312" w:cs="仿宋_GB2312"/>
          <w:color w:val="auto"/>
          <w:sz w:val="30"/>
          <w:szCs w:val="30"/>
          <w:highlight w:val="none"/>
          <w:u w:val="single"/>
        </w:rPr>
        <w:sym w:font="Wingdings" w:char="00A8"/>
      </w:r>
      <w:r>
        <w:rPr>
          <w:rFonts w:hint="eastAsia" w:ascii="仿宋_GB2312" w:hAnsi="仿宋_GB2312" w:eastAsia="仿宋_GB2312" w:cs="仿宋_GB2312"/>
          <w:color w:val="auto"/>
          <w:sz w:val="30"/>
          <w:szCs w:val="30"/>
          <w:highlight w:val="none"/>
          <w:u w:val="single"/>
        </w:rPr>
        <w:t>是</w:t>
      </w:r>
      <w:r>
        <w:rPr>
          <w:rStyle w:val="45"/>
          <w:rFonts w:hint="eastAsia" w:ascii="仿宋_GB2312" w:hAnsi="仿宋_GB2312" w:eastAsia="仿宋_GB2312" w:cs="仿宋_GB2312"/>
          <w:color w:val="auto"/>
          <w:sz w:val="30"/>
          <w:szCs w:val="30"/>
          <w:highlight w:val="none"/>
          <w:u w:val="single"/>
        </w:rPr>
        <w:t>；</w:t>
      </w:r>
      <w:r>
        <w:rPr>
          <w:rStyle w:val="45"/>
          <w:rFonts w:hint="eastAsia" w:ascii="仿宋_GB2312" w:hAnsi="仿宋_GB2312" w:eastAsia="仿宋_GB2312" w:cs="仿宋_GB2312"/>
          <w:color w:val="auto"/>
          <w:sz w:val="30"/>
          <w:szCs w:val="30"/>
          <w:highlight w:val="none"/>
          <w:u w:val="single"/>
        </w:rPr>
        <w:sym w:font="Wingdings" w:char="00A8"/>
      </w:r>
      <w:r>
        <w:rPr>
          <w:rStyle w:val="45"/>
          <w:rFonts w:hint="eastAsia" w:ascii="仿宋_GB2312" w:hAnsi="仿宋_GB2312" w:eastAsia="仿宋_GB2312" w:cs="仿宋_GB2312"/>
          <w:color w:val="auto"/>
          <w:sz w:val="30"/>
          <w:szCs w:val="30"/>
          <w:highlight w:val="none"/>
          <w:u w:val="single"/>
        </w:rPr>
        <w:t>否</w:t>
      </w:r>
      <w:r>
        <w:rPr>
          <w:rFonts w:hint="eastAsia" w:ascii="仿宋_GB2312" w:hAnsi="仿宋_GB2312" w:eastAsia="仿宋_GB2312" w:cs="仿宋_GB2312"/>
          <w:color w:val="auto"/>
          <w:sz w:val="30"/>
          <w:szCs w:val="30"/>
          <w:highlight w:val="none"/>
        </w:rPr>
        <w:t>。</w:t>
      </w:r>
    </w:p>
    <w:p w14:paraId="7D7DA3B7">
      <w:pPr>
        <w:pStyle w:val="79"/>
        <w:spacing w:after="0" w:line="360" w:lineRule="auto"/>
        <w:ind w:firstLine="600" w:firstLineChars="200"/>
        <w:rPr>
          <w:rFonts w:ascii="仿宋_GB2312" w:hAnsi="仿宋_GB2312" w:eastAsia="仿宋_GB2312" w:cs="仿宋_GB2312"/>
          <w:color w:val="auto"/>
          <w:spacing w:val="-1"/>
          <w:sz w:val="30"/>
          <w:szCs w:val="30"/>
          <w:highlight w:val="none"/>
        </w:rPr>
      </w:pPr>
      <w:r>
        <w:rPr>
          <w:rFonts w:hint="eastAsia" w:ascii="仿宋_GB2312" w:hAnsi="仿宋_GB2312" w:eastAsia="仿宋_GB2312" w:cs="仿宋_GB2312"/>
          <w:color w:val="auto"/>
          <w:sz w:val="30"/>
          <w:szCs w:val="30"/>
          <w:highlight w:val="none"/>
        </w:rPr>
        <w:t>设计人在收到中标通知书后，须在</w:t>
      </w:r>
      <w:r>
        <w:rPr>
          <w:rFonts w:hint="eastAsia" w:ascii="仿宋_GB2312" w:hAnsi="仿宋_GB2312" w:eastAsia="仿宋_GB2312" w:cs="仿宋_GB2312"/>
          <w:color w:val="auto"/>
          <w:sz w:val="30"/>
          <w:szCs w:val="30"/>
          <w:highlight w:val="none"/>
          <w:u w:val="single"/>
        </w:rPr>
        <w:t>30</w:t>
      </w:r>
      <w:r>
        <w:rPr>
          <w:rFonts w:hint="eastAsia" w:ascii="仿宋_GB2312" w:hAnsi="仿宋_GB2312" w:eastAsia="仿宋_GB2312" w:cs="仿宋_GB2312"/>
          <w:color w:val="auto"/>
          <w:sz w:val="30"/>
          <w:szCs w:val="30"/>
          <w:highlight w:val="none"/>
        </w:rPr>
        <w:t>日内向发包人提交履约担保。</w:t>
      </w:r>
    </w:p>
    <w:p w14:paraId="3932A406">
      <w:pPr>
        <w:pStyle w:val="81"/>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设计人提供履约担保的形式、金额、期限及退回：</w:t>
      </w:r>
    </w:p>
    <w:p w14:paraId="333822B5">
      <w:pPr>
        <w:pStyle w:val="81"/>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形式：</w:t>
      </w:r>
      <w:r>
        <w:rPr>
          <w:rFonts w:hint="eastAsia" w:ascii="仿宋_GB2312" w:hAnsi="仿宋_GB2312" w:eastAsia="仿宋_GB2312" w:cs="仿宋_GB2312"/>
          <w:color w:val="auto"/>
          <w:sz w:val="30"/>
          <w:szCs w:val="30"/>
          <w:highlight w:val="none"/>
          <w:u w:val="single"/>
        </w:rPr>
        <w:t>可以采用现金、银行保函、工程担保、电子保函或保证保险等形式</w:t>
      </w:r>
      <w:r>
        <w:rPr>
          <w:rFonts w:hint="eastAsia" w:ascii="仿宋_GB2312" w:hAnsi="仿宋_GB2312" w:eastAsia="仿宋_GB2312" w:cs="仿宋_GB2312"/>
          <w:color w:val="auto"/>
          <w:sz w:val="30"/>
          <w:szCs w:val="30"/>
          <w:highlight w:val="none"/>
        </w:rPr>
        <w:t>。</w:t>
      </w:r>
    </w:p>
    <w:p w14:paraId="57AED140">
      <w:pPr>
        <w:pStyle w:val="81"/>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金额：履约担保为合同价款的</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，即人民币（大写）</w:t>
      </w:r>
      <w:r>
        <w:rPr>
          <w:rFonts w:hint="eastAsia" w:ascii="仿宋_GB2312" w:hAnsi="仿宋_GB2312" w:eastAsia="仿宋_GB2312" w:cs="仿宋_GB2312"/>
          <w:color w:val="auto"/>
          <w:sz w:val="30"/>
          <w:szCs w:val="30"/>
          <w:highlight w:val="none"/>
          <w:u w:val="single"/>
        </w:rPr>
        <w:t xml:space="preserve">       （¥      ）</w:t>
      </w:r>
      <w:r>
        <w:rPr>
          <w:rFonts w:hint="eastAsia" w:ascii="仿宋_GB2312" w:hAnsi="仿宋_GB2312" w:eastAsia="仿宋_GB2312" w:cs="仿宋_GB2312"/>
          <w:color w:val="auto"/>
          <w:sz w:val="30"/>
          <w:szCs w:val="30"/>
          <w:highlight w:val="none"/>
        </w:rPr>
        <w:t>。</w:t>
      </w:r>
    </w:p>
    <w:p w14:paraId="2F8F8E34">
      <w:pPr>
        <w:pStyle w:val="81"/>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期限：履约担保的有效期应当自本合同生效之日起至设计人设计阶段完成之日止。但采用履约保函时，如果设计人无法获得一份不带具体截止日期的担保，履约担保中应当有“变更设计阶段完成日期的，保证期间按照变更后的设计阶段完成日期做相应调整”或类似约定的条款。</w:t>
      </w:r>
    </w:p>
    <w:p w14:paraId="32DB6A50">
      <w:pPr>
        <w:pStyle w:val="79"/>
        <w:spacing w:after="0" w:line="360" w:lineRule="auto"/>
        <w:ind w:firstLine="600" w:firstLineChars="200"/>
        <w:rPr>
          <w:rFonts w:ascii="仿宋_GB2312" w:hAnsi="仿宋_GB2312" w:eastAsia="仿宋_GB2312" w:cs="仿宋_GB2312"/>
          <w:color w:val="auto"/>
          <w:spacing w:val="-1"/>
          <w:sz w:val="30"/>
          <w:szCs w:val="30"/>
          <w:highlight w:val="none"/>
        </w:rPr>
      </w:pPr>
      <w:r>
        <w:rPr>
          <w:rFonts w:hint="eastAsia" w:ascii="仿宋_GB2312" w:hAnsi="仿宋_GB2312" w:eastAsia="仿宋_GB2312" w:cs="仿宋_GB2312"/>
          <w:color w:val="auto"/>
          <w:sz w:val="30"/>
          <w:szCs w:val="30"/>
          <w:highlight w:val="none"/>
        </w:rPr>
        <w:t>退回：履约保证金在设计阶段完成7日后可向发包人提出退回履约保证金的申请，发包人应在收到申请之日起28个日历天内扣减设计人赔偿金和其他应从设计人扣回的款项后，将履约金的余额退还给设计人（无息）。</w:t>
      </w:r>
    </w:p>
    <w:p w14:paraId="1DAB7E62">
      <w:pPr>
        <w:pStyle w:val="7"/>
        <w:keepNext/>
        <w:keepLines/>
        <w:numPr>
          <w:ilvl w:val="255"/>
          <w:numId w:val="0"/>
        </w:numPr>
        <w:jc w:val="both"/>
        <w:rPr>
          <w:rFonts w:eastAsia="黑体"/>
          <w:bCs/>
          <w:color w:val="auto"/>
          <w:sz w:val="32"/>
          <w:highlight w:val="none"/>
        </w:rPr>
      </w:pPr>
      <w:bookmarkStart w:id="1343" w:name="_Toc22357"/>
      <w:bookmarkStart w:id="1344" w:name="_Toc15406"/>
      <w:bookmarkStart w:id="1345" w:name="_Toc5114"/>
      <w:bookmarkStart w:id="1346" w:name="_Toc10391"/>
      <w:bookmarkStart w:id="1347" w:name="_Toc9846"/>
      <w:r>
        <w:rPr>
          <w:rFonts w:eastAsia="黑体"/>
          <w:bCs/>
          <w:color w:val="auto"/>
          <w:sz w:val="32"/>
          <w:highlight w:val="none"/>
        </w:rPr>
        <w:t>4.工程设计资料</w:t>
      </w:r>
      <w:bookmarkEnd w:id="1343"/>
      <w:bookmarkEnd w:id="1344"/>
      <w:bookmarkEnd w:id="1345"/>
      <w:bookmarkEnd w:id="1346"/>
      <w:bookmarkEnd w:id="1347"/>
    </w:p>
    <w:p w14:paraId="7206F591">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4.1 发包人向设计人提交有关资料：</w:t>
      </w:r>
      <w:r>
        <w:rPr>
          <w:rFonts w:hint="eastAsia" w:ascii="仿宋_GB2312" w:hAnsi="仿宋_GB2312" w:eastAsia="仿宋_GB2312" w:cs="仿宋_GB2312"/>
          <w:color w:val="auto"/>
          <w:spacing w:val="1"/>
          <w:sz w:val="30"/>
          <w:szCs w:val="30"/>
          <w:highlight w:val="none"/>
          <w:u w:val="single"/>
        </w:rPr>
        <w:t xml:space="preserve"> </w:t>
      </w:r>
      <w:r>
        <w:rPr>
          <w:rFonts w:ascii="仿宋_GB2312" w:hAnsi="仿宋_GB2312" w:eastAsia="仿宋_GB2312" w:cs="仿宋_GB2312"/>
          <w:color w:val="auto"/>
          <w:spacing w:val="1"/>
          <w:sz w:val="30"/>
          <w:szCs w:val="30"/>
          <w:highlight w:val="none"/>
          <w:u w:val="single"/>
        </w:rPr>
        <w:t>详见附件2</w:t>
      </w:r>
      <w:r>
        <w:rPr>
          <w:rFonts w:hint="eastAsia" w:ascii="仿宋_GB2312" w:hAnsi="仿宋_GB2312" w:eastAsia="仿宋_GB2312" w:cs="仿宋_GB2312"/>
          <w:color w:val="auto"/>
          <w:spacing w:val="1"/>
          <w:sz w:val="30"/>
          <w:szCs w:val="30"/>
          <w:highlight w:val="none"/>
          <w:u w:val="single"/>
        </w:rPr>
        <w:t xml:space="preserve"> </w:t>
      </w:r>
      <w:r>
        <w:rPr>
          <w:rFonts w:hint="eastAsia" w:ascii="仿宋_GB2312" w:hAnsi="仿宋_GB2312" w:eastAsia="仿宋_GB2312" w:cs="仿宋_GB2312"/>
          <w:color w:val="auto"/>
          <w:spacing w:val="1"/>
          <w:sz w:val="30"/>
          <w:szCs w:val="30"/>
          <w:highlight w:val="none"/>
          <w:u w:val="none"/>
        </w:rPr>
        <w:t>。</w:t>
      </w:r>
    </w:p>
    <w:p w14:paraId="2E7B63EB">
      <w:pPr>
        <w:pStyle w:val="7"/>
        <w:keepNext/>
        <w:keepLines/>
        <w:ind w:firstLine="0" w:firstLineChars="0"/>
        <w:jc w:val="both"/>
        <w:rPr>
          <w:rFonts w:eastAsia="黑体"/>
          <w:bCs/>
          <w:color w:val="auto"/>
          <w:sz w:val="32"/>
          <w:highlight w:val="none"/>
        </w:rPr>
      </w:pPr>
      <w:bookmarkStart w:id="1348" w:name="_Toc22560"/>
      <w:bookmarkStart w:id="1349" w:name="_Toc21538"/>
      <w:bookmarkStart w:id="1350" w:name="_Toc11395"/>
      <w:bookmarkStart w:id="1351" w:name="_Toc24669"/>
      <w:bookmarkStart w:id="1352" w:name="_Toc17160"/>
      <w:r>
        <w:rPr>
          <w:rFonts w:eastAsia="黑体"/>
          <w:bCs/>
          <w:color w:val="auto"/>
          <w:sz w:val="32"/>
          <w:highlight w:val="none"/>
        </w:rPr>
        <w:t>5.工程设计要求</w:t>
      </w:r>
      <w:bookmarkEnd w:id="1348"/>
      <w:bookmarkEnd w:id="1349"/>
      <w:bookmarkEnd w:id="1350"/>
      <w:bookmarkEnd w:id="1351"/>
      <w:bookmarkEnd w:id="1352"/>
    </w:p>
    <w:p w14:paraId="28310571">
      <w:pPr>
        <w:pStyle w:val="8"/>
        <w:spacing w:before="120"/>
        <w:ind w:firstLine="602"/>
        <w:rPr>
          <w:rFonts w:ascii="Times New Roman" w:hAnsi="Times New Roman" w:eastAsia="黑体"/>
          <w:color w:val="auto"/>
          <w:sz w:val="30"/>
          <w:highlight w:val="none"/>
        </w:rPr>
      </w:pPr>
      <w:r>
        <w:rPr>
          <w:rFonts w:ascii="Times New Roman" w:hAnsi="Times New Roman" w:eastAsia="黑体"/>
          <w:color w:val="auto"/>
          <w:sz w:val="30"/>
          <w:highlight w:val="none"/>
        </w:rPr>
        <w:t>5.1工程设计一般要求</w:t>
      </w:r>
    </w:p>
    <w:p w14:paraId="2F84F22E">
      <w:pPr>
        <w:pStyle w:val="79"/>
        <w:spacing w:after="0" w:line="360" w:lineRule="auto"/>
        <w:ind w:firstLine="420" w:firstLineChars="200"/>
        <w:rPr>
          <w:rFonts w:ascii="仿宋_GB2312" w:hAnsi="仿宋_GB2312" w:eastAsia="仿宋_GB2312" w:cs="仿宋_GB2312"/>
          <w:color w:val="auto"/>
          <w:spacing w:val="1"/>
          <w:sz w:val="30"/>
          <w:szCs w:val="30"/>
          <w:highlight w:val="none"/>
          <w:u w:val="single"/>
        </w:rPr>
      </w:pPr>
      <w:r>
        <w:rPr>
          <w:color w:val="auto"/>
          <w:highlight w:val="none"/>
        </w:rPr>
        <w:fldChar w:fldCharType="begin"/>
      </w:r>
      <w:r>
        <w:rPr>
          <w:color w:val="auto"/>
          <w:highlight w:val="none"/>
        </w:rPr>
        <w:instrText xml:space="preserve"> HYPERLINK "5.1.2.1" </w:instrText>
      </w:r>
      <w:r>
        <w:rPr>
          <w:color w:val="auto"/>
          <w:highlight w:val="none"/>
        </w:rPr>
        <w:fldChar w:fldCharType="separate"/>
      </w:r>
      <w:r>
        <w:rPr>
          <w:rFonts w:ascii="仿宋_GB2312" w:hAnsi="仿宋_GB2312" w:eastAsia="仿宋_GB2312" w:cs="仿宋_GB2312"/>
          <w:color w:val="auto"/>
          <w:spacing w:val="1"/>
          <w:sz w:val="30"/>
          <w:szCs w:val="30"/>
          <w:highlight w:val="none"/>
        </w:rPr>
        <w:t>5.1.2.1</w:t>
      </w:r>
      <w:r>
        <w:rPr>
          <w:rFonts w:ascii="仿宋_GB2312" w:hAnsi="仿宋_GB2312" w:eastAsia="仿宋_GB2312" w:cs="仿宋_GB2312"/>
          <w:color w:val="auto"/>
          <w:spacing w:val="1"/>
          <w:sz w:val="30"/>
          <w:szCs w:val="30"/>
          <w:highlight w:val="none"/>
        </w:rPr>
        <w:fldChar w:fldCharType="end"/>
      </w:r>
      <w:r>
        <w:rPr>
          <w:rFonts w:ascii="仿宋_GB2312" w:hAnsi="仿宋_GB2312" w:eastAsia="仿宋_GB2312" w:cs="仿宋_GB2312"/>
          <w:color w:val="auto"/>
          <w:spacing w:val="1"/>
          <w:sz w:val="30"/>
          <w:szCs w:val="30"/>
          <w:highlight w:val="none"/>
        </w:rPr>
        <w:t>工程设计的特殊标准或要求：</w:t>
      </w:r>
      <w:r>
        <w:rPr>
          <w:rFonts w:ascii="仿宋_GB2312" w:hAnsi="仿宋_GB2312" w:eastAsia="仿宋_GB2312" w:cs="仿宋_GB2312"/>
          <w:color w:val="auto"/>
          <w:spacing w:val="1"/>
          <w:sz w:val="30"/>
          <w:szCs w:val="30"/>
          <w:highlight w:val="none"/>
          <w:u w:val="single"/>
        </w:rPr>
        <w:t xml:space="preserve"> </w:t>
      </w:r>
      <w:r>
        <w:rPr>
          <w:rFonts w:hint="eastAsia" w:ascii="仿宋_GB2312" w:hAnsi="仿宋_GB2312" w:eastAsia="仿宋_GB2312" w:cs="仿宋_GB2312"/>
          <w:color w:val="auto"/>
          <w:spacing w:val="1"/>
          <w:sz w:val="30"/>
          <w:szCs w:val="30"/>
          <w:highlight w:val="none"/>
          <w:u w:val="single"/>
        </w:rPr>
        <w:t>按通用条款 5.1.2.1 执行</w:t>
      </w:r>
      <w:r>
        <w:rPr>
          <w:rFonts w:ascii="仿宋_GB2312" w:hAnsi="仿宋_GB2312" w:eastAsia="仿宋_GB2312" w:cs="仿宋_GB2312"/>
          <w:color w:val="auto"/>
          <w:spacing w:val="1"/>
          <w:sz w:val="30"/>
          <w:szCs w:val="30"/>
          <w:highlight w:val="none"/>
        </w:rPr>
        <w:t>。</w:t>
      </w:r>
    </w:p>
    <w:p w14:paraId="7E88E427">
      <w:pPr>
        <w:pStyle w:val="79"/>
        <w:spacing w:after="0" w:line="360" w:lineRule="auto"/>
        <w:ind w:firstLine="420" w:firstLineChars="200"/>
        <w:rPr>
          <w:rFonts w:ascii="仿宋_GB2312" w:hAnsi="仿宋_GB2312" w:eastAsia="仿宋_GB2312" w:cs="仿宋_GB2312"/>
          <w:color w:val="auto"/>
          <w:spacing w:val="1"/>
          <w:sz w:val="30"/>
          <w:szCs w:val="30"/>
          <w:highlight w:val="none"/>
        </w:rPr>
      </w:pPr>
      <w:r>
        <w:rPr>
          <w:color w:val="auto"/>
          <w:highlight w:val="none"/>
        </w:rPr>
        <w:fldChar w:fldCharType="begin"/>
      </w:r>
      <w:r>
        <w:rPr>
          <w:color w:val="auto"/>
          <w:highlight w:val="none"/>
        </w:rPr>
        <w:instrText xml:space="preserve"> HYPERLINK "5.1.2.2" </w:instrText>
      </w:r>
      <w:r>
        <w:rPr>
          <w:color w:val="auto"/>
          <w:highlight w:val="none"/>
        </w:rPr>
        <w:fldChar w:fldCharType="separate"/>
      </w:r>
      <w:r>
        <w:rPr>
          <w:rFonts w:ascii="仿宋_GB2312" w:hAnsi="仿宋_GB2312" w:eastAsia="仿宋_GB2312" w:cs="仿宋_GB2312"/>
          <w:color w:val="auto"/>
          <w:spacing w:val="1"/>
          <w:sz w:val="30"/>
          <w:szCs w:val="30"/>
          <w:highlight w:val="none"/>
        </w:rPr>
        <w:t>5.1.2.2</w:t>
      </w:r>
      <w:r>
        <w:rPr>
          <w:rFonts w:ascii="仿宋_GB2312" w:hAnsi="仿宋_GB2312" w:eastAsia="仿宋_GB2312" w:cs="仿宋_GB2312"/>
          <w:color w:val="auto"/>
          <w:spacing w:val="1"/>
          <w:sz w:val="30"/>
          <w:szCs w:val="30"/>
          <w:highlight w:val="none"/>
        </w:rPr>
        <w:fldChar w:fldCharType="end"/>
      </w:r>
      <w:r>
        <w:rPr>
          <w:rFonts w:ascii="仿宋_GB2312" w:hAnsi="仿宋_GB2312" w:eastAsia="仿宋_GB2312" w:cs="仿宋_GB2312"/>
          <w:color w:val="auto"/>
          <w:spacing w:val="1"/>
          <w:sz w:val="30"/>
          <w:szCs w:val="30"/>
          <w:highlight w:val="none"/>
        </w:rPr>
        <w:t>工程设计适用的技术标准：</w:t>
      </w:r>
      <w:r>
        <w:rPr>
          <w:rFonts w:ascii="仿宋_GB2312" w:hAnsi="仿宋_GB2312" w:eastAsia="仿宋_GB2312" w:cs="仿宋_GB2312"/>
          <w:color w:val="auto"/>
          <w:spacing w:val="1"/>
          <w:sz w:val="30"/>
          <w:szCs w:val="30"/>
          <w:highlight w:val="none"/>
          <w:u w:val="single"/>
        </w:rPr>
        <w:t xml:space="preserve"> </w:t>
      </w:r>
      <w:r>
        <w:rPr>
          <w:rFonts w:hint="eastAsia" w:ascii="仿宋_GB2312" w:hAnsi="仿宋_GB2312" w:eastAsia="仿宋_GB2312" w:cs="仿宋_GB2312"/>
          <w:color w:val="auto"/>
          <w:spacing w:val="1"/>
          <w:sz w:val="30"/>
          <w:szCs w:val="30"/>
          <w:highlight w:val="none"/>
          <w:u w:val="single"/>
        </w:rPr>
        <w:t>按通用条款 5.1.2.2 执行</w:t>
      </w:r>
      <w:r>
        <w:rPr>
          <w:rFonts w:ascii="仿宋_GB2312" w:hAnsi="仿宋_GB2312" w:eastAsia="仿宋_GB2312" w:cs="仿宋_GB2312"/>
          <w:color w:val="auto"/>
          <w:spacing w:val="1"/>
          <w:sz w:val="30"/>
          <w:szCs w:val="30"/>
          <w:highlight w:val="none"/>
          <w:u w:val="single"/>
        </w:rPr>
        <w:t xml:space="preserve"> 。</w:t>
      </w:r>
    </w:p>
    <w:p w14:paraId="10697D8A">
      <w:pPr>
        <w:pStyle w:val="79"/>
        <w:spacing w:after="0" w:line="360" w:lineRule="auto"/>
        <w:ind w:firstLine="420" w:firstLineChars="200"/>
        <w:rPr>
          <w:rFonts w:ascii="仿宋_GB2312" w:hAnsi="仿宋_GB2312" w:eastAsia="仿宋_GB2312" w:cs="仿宋_GB2312"/>
          <w:color w:val="auto"/>
          <w:spacing w:val="1"/>
          <w:sz w:val="30"/>
          <w:szCs w:val="30"/>
          <w:highlight w:val="none"/>
        </w:rPr>
      </w:pPr>
      <w:r>
        <w:rPr>
          <w:color w:val="auto"/>
          <w:highlight w:val="none"/>
        </w:rPr>
        <w:fldChar w:fldCharType="begin"/>
      </w:r>
      <w:r>
        <w:rPr>
          <w:color w:val="auto"/>
          <w:highlight w:val="none"/>
        </w:rPr>
        <w:instrText xml:space="preserve"> HYPERLINK "5.1.2.4" </w:instrText>
      </w:r>
      <w:r>
        <w:rPr>
          <w:color w:val="auto"/>
          <w:highlight w:val="none"/>
        </w:rPr>
        <w:fldChar w:fldCharType="separate"/>
      </w:r>
      <w:r>
        <w:rPr>
          <w:rFonts w:ascii="仿宋_GB2312" w:hAnsi="仿宋_GB2312" w:eastAsia="仿宋_GB2312" w:cs="仿宋_GB2312"/>
          <w:color w:val="auto"/>
          <w:spacing w:val="1"/>
          <w:sz w:val="30"/>
          <w:szCs w:val="30"/>
          <w:highlight w:val="none"/>
        </w:rPr>
        <w:t>5.1.2.4</w:t>
      </w:r>
      <w:r>
        <w:rPr>
          <w:rFonts w:ascii="仿宋_GB2312" w:hAnsi="仿宋_GB2312" w:eastAsia="仿宋_GB2312" w:cs="仿宋_GB2312"/>
          <w:color w:val="auto"/>
          <w:spacing w:val="1"/>
          <w:sz w:val="30"/>
          <w:szCs w:val="30"/>
          <w:highlight w:val="none"/>
        </w:rPr>
        <w:fldChar w:fldCharType="end"/>
      </w:r>
      <w:r>
        <w:rPr>
          <w:rFonts w:ascii="仿宋_GB2312" w:hAnsi="仿宋_GB2312" w:eastAsia="仿宋_GB2312" w:cs="仿宋_GB2312"/>
          <w:color w:val="auto"/>
          <w:spacing w:val="1"/>
          <w:sz w:val="30"/>
          <w:szCs w:val="30"/>
          <w:highlight w:val="none"/>
        </w:rPr>
        <w:t>工程设计文件的主要技术指标控制值及比例：</w:t>
      </w:r>
      <w:r>
        <w:rPr>
          <w:rFonts w:ascii="仿宋_GB2312" w:hAnsi="仿宋_GB2312" w:eastAsia="仿宋_GB2312" w:cs="仿宋_GB2312"/>
          <w:color w:val="auto"/>
          <w:spacing w:val="1"/>
          <w:sz w:val="30"/>
          <w:szCs w:val="30"/>
          <w:highlight w:val="none"/>
          <w:u w:val="single"/>
        </w:rPr>
        <w:t xml:space="preserve"> </w:t>
      </w:r>
      <w:r>
        <w:rPr>
          <w:rFonts w:hint="eastAsia" w:ascii="仿宋_GB2312" w:hAnsi="仿宋_GB2312" w:eastAsia="仿宋_GB2312" w:cs="仿宋_GB2312"/>
          <w:color w:val="auto"/>
          <w:spacing w:val="1"/>
          <w:sz w:val="30"/>
          <w:szCs w:val="30"/>
          <w:highlight w:val="none"/>
          <w:u w:val="single"/>
        </w:rPr>
        <w:t>设计人应当严格执行其双方书面确认的主要技术指标控制值，由于设计人的原因导致工程设计文件超出在专用合同条款中约定的主要技术指标控制值比例的，设计人应当承担相应的违约责任</w:t>
      </w:r>
      <w:r>
        <w:rPr>
          <w:rFonts w:ascii="仿宋_GB2312" w:hAnsi="仿宋_GB2312" w:eastAsia="仿宋_GB2312" w:cs="仿宋_GB2312"/>
          <w:color w:val="auto"/>
          <w:spacing w:val="1"/>
          <w:sz w:val="30"/>
          <w:szCs w:val="30"/>
          <w:highlight w:val="none"/>
        </w:rPr>
        <w:t>。</w:t>
      </w:r>
    </w:p>
    <w:p w14:paraId="0A742EB0">
      <w:pPr>
        <w:pStyle w:val="8"/>
        <w:spacing w:before="120"/>
        <w:ind w:firstLine="602"/>
        <w:rPr>
          <w:rFonts w:ascii="Times New Roman" w:hAnsi="Times New Roman" w:eastAsia="黑体"/>
          <w:b w:val="0"/>
          <w:bCs w:val="0"/>
          <w:color w:val="auto"/>
          <w:sz w:val="30"/>
          <w:highlight w:val="none"/>
        </w:rPr>
      </w:pPr>
      <w:r>
        <w:rPr>
          <w:rFonts w:ascii="Times New Roman" w:hAnsi="Times New Roman" w:eastAsia="黑体"/>
          <w:color w:val="auto"/>
          <w:sz w:val="30"/>
          <w:highlight w:val="none"/>
        </w:rPr>
        <w:t>5.3工程设计文件的要求</w:t>
      </w:r>
    </w:p>
    <w:p w14:paraId="5807BD06">
      <w:pPr>
        <w:pStyle w:val="79"/>
        <w:spacing w:after="0" w:line="360" w:lineRule="auto"/>
        <w:ind w:firstLine="600"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5.3.3  工程设计文件深度规定：</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u w:val="single"/>
        </w:rPr>
        <w:t>按通用条款 5.3.3 执行</w:t>
      </w:r>
      <w:r>
        <w:rPr>
          <w:rFonts w:ascii="仿宋_GB2312" w:hAnsi="仿宋_GB2312" w:eastAsia="仿宋_GB2312" w:cs="仿宋_GB2312"/>
          <w:color w:val="auto"/>
          <w:sz w:val="30"/>
          <w:szCs w:val="30"/>
          <w:highlight w:val="none"/>
          <w:u w:val="single"/>
        </w:rPr>
        <w:t xml:space="preserve">  </w:t>
      </w:r>
      <w:r>
        <w:rPr>
          <w:rFonts w:ascii="仿宋_GB2312" w:hAnsi="仿宋_GB2312" w:eastAsia="仿宋_GB2312" w:cs="仿宋_GB2312"/>
          <w:color w:val="auto"/>
          <w:sz w:val="30"/>
          <w:szCs w:val="30"/>
          <w:highlight w:val="none"/>
        </w:rPr>
        <w:t>。</w:t>
      </w:r>
    </w:p>
    <w:p w14:paraId="478188AE">
      <w:pPr>
        <w:pStyle w:val="79"/>
        <w:spacing w:after="0" w:line="360" w:lineRule="auto"/>
        <w:ind w:firstLine="600"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5.3.5  建筑物及其功能设施的合理使用寿命年限：</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u w:val="single"/>
        </w:rPr>
        <w:t>按通用条款 5.3.5 执行</w:t>
      </w:r>
      <w:r>
        <w:rPr>
          <w:rFonts w:ascii="仿宋_GB2312" w:hAnsi="仿宋_GB2312" w:eastAsia="仿宋_GB2312" w:cs="仿宋_GB2312"/>
          <w:color w:val="auto"/>
          <w:sz w:val="30"/>
          <w:szCs w:val="30"/>
          <w:highlight w:val="none"/>
          <w:u w:val="single"/>
        </w:rPr>
        <w:t>。</w:t>
      </w:r>
    </w:p>
    <w:p w14:paraId="4AAF12A8">
      <w:pPr>
        <w:pStyle w:val="7"/>
        <w:keepNext/>
        <w:keepLines/>
        <w:ind w:firstLine="0" w:firstLineChars="0"/>
        <w:jc w:val="both"/>
        <w:rPr>
          <w:rFonts w:eastAsia="黑体"/>
          <w:bCs/>
          <w:color w:val="auto"/>
          <w:sz w:val="32"/>
          <w:highlight w:val="none"/>
        </w:rPr>
      </w:pPr>
      <w:bookmarkStart w:id="1353" w:name="_Toc5046"/>
      <w:bookmarkStart w:id="1354" w:name="_Toc25596"/>
      <w:bookmarkStart w:id="1355" w:name="_Toc13318"/>
      <w:bookmarkStart w:id="1356" w:name="_Toc30497"/>
      <w:bookmarkStart w:id="1357" w:name="_Toc26016"/>
      <w:r>
        <w:rPr>
          <w:rFonts w:eastAsia="黑体"/>
          <w:bCs/>
          <w:color w:val="auto"/>
          <w:sz w:val="32"/>
          <w:highlight w:val="none"/>
        </w:rPr>
        <w:t>6.工程设计进度与周期</w:t>
      </w:r>
      <w:bookmarkEnd w:id="1353"/>
      <w:bookmarkEnd w:id="1354"/>
      <w:bookmarkEnd w:id="1355"/>
      <w:bookmarkEnd w:id="1356"/>
      <w:bookmarkEnd w:id="1357"/>
    </w:p>
    <w:p w14:paraId="09D1A10A">
      <w:pPr>
        <w:pStyle w:val="8"/>
        <w:spacing w:before="120"/>
        <w:ind w:firstLine="602"/>
        <w:rPr>
          <w:rFonts w:ascii="Times New Roman" w:hAnsi="Times New Roman" w:eastAsia="黑体"/>
          <w:b w:val="0"/>
          <w:bCs w:val="0"/>
          <w:color w:val="auto"/>
          <w:sz w:val="30"/>
          <w:highlight w:val="none"/>
        </w:rPr>
      </w:pPr>
      <w:r>
        <w:rPr>
          <w:rFonts w:ascii="Times New Roman" w:hAnsi="Times New Roman" w:eastAsia="黑体"/>
          <w:color w:val="auto"/>
          <w:sz w:val="30"/>
          <w:highlight w:val="none"/>
        </w:rPr>
        <w:t>6.1工程设计进度计划</w:t>
      </w:r>
    </w:p>
    <w:p w14:paraId="031FD03E">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6.1.1  工程设计进度计划的编制</w:t>
      </w:r>
    </w:p>
    <w:p w14:paraId="621E4594">
      <w:pPr>
        <w:pStyle w:val="79"/>
        <w:spacing w:after="0" w:line="360" w:lineRule="auto"/>
        <w:ind w:firstLine="596"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合同当事人约定的工程设计进度计划提交的时间：</w:t>
      </w:r>
      <w:r>
        <w:rPr>
          <w:rFonts w:hint="eastAsia" w:ascii="仿宋_GB2312" w:hAnsi="仿宋_GB2312" w:eastAsia="仿宋_GB2312" w:cs="仿宋_GB2312"/>
          <w:color w:val="auto"/>
          <w:spacing w:val="-1"/>
          <w:sz w:val="30"/>
          <w:szCs w:val="30"/>
          <w:highlight w:val="none"/>
          <w:u w:val="single"/>
        </w:rPr>
        <w:t xml:space="preserve">   合同签订后5个日历天内  </w:t>
      </w:r>
      <w:r>
        <w:rPr>
          <w:rFonts w:hint="eastAsia" w:ascii="仿宋_GB2312" w:hAnsi="仿宋_GB2312" w:eastAsia="仿宋_GB2312" w:cs="仿宋_GB2312"/>
          <w:color w:val="auto"/>
          <w:spacing w:val="-1"/>
          <w:sz w:val="30"/>
          <w:szCs w:val="30"/>
          <w:highlight w:val="none"/>
        </w:rPr>
        <w:t>。</w:t>
      </w:r>
    </w:p>
    <w:p w14:paraId="08FB7C2A">
      <w:pPr>
        <w:pStyle w:val="79"/>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合同当事人约定的工程设计进度计划应包括的内容：</w:t>
      </w:r>
      <w:r>
        <w:rPr>
          <w:rFonts w:hint="eastAsia" w:ascii="仿宋_GB2312" w:hAnsi="仿宋_GB2312" w:eastAsia="仿宋_GB2312" w:cs="仿宋_GB2312"/>
          <w:color w:val="auto"/>
          <w:spacing w:val="-2"/>
          <w:sz w:val="30"/>
          <w:szCs w:val="30"/>
          <w:highlight w:val="none"/>
          <w:u w:val="single"/>
        </w:rPr>
        <w:t xml:space="preserve">  包含但不限于工程设计关键性控制节点、</w:t>
      </w:r>
      <w:r>
        <w:rPr>
          <w:rFonts w:hint="eastAsia" w:ascii="仿宋_GB2312" w:hAnsi="仿宋_GB2312" w:eastAsia="仿宋_GB2312" w:cs="仿宋_GB2312"/>
          <w:color w:val="auto"/>
          <w:spacing w:val="-1"/>
          <w:sz w:val="30"/>
          <w:szCs w:val="30"/>
          <w:highlight w:val="none"/>
          <w:u w:val="single"/>
        </w:rPr>
        <w:t>为确保完成工程设计进度的赶工措施等内容</w:t>
      </w:r>
      <w:r>
        <w:rPr>
          <w:rFonts w:hint="eastAsia" w:ascii="仿宋_GB2312" w:hAnsi="仿宋_GB2312" w:eastAsia="仿宋_GB2312" w:cs="仿宋_GB2312"/>
          <w:color w:val="auto"/>
          <w:spacing w:val="-1"/>
          <w:sz w:val="30"/>
          <w:szCs w:val="30"/>
          <w:highlight w:val="none"/>
        </w:rPr>
        <w:t>。</w:t>
      </w:r>
    </w:p>
    <w:p w14:paraId="765729AE">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6.1.2  工程设计进度计划的修订</w:t>
      </w:r>
    </w:p>
    <w:p w14:paraId="0DE7AEF3">
      <w:pPr>
        <w:pStyle w:val="81"/>
        <w:autoSpaceDE w:val="0"/>
        <w:autoSpaceDN w:val="0"/>
        <w:adjustRightInd w:val="0"/>
        <w:spacing w:line="360" w:lineRule="auto"/>
        <w:ind w:firstLine="600" w:firstLineChars="200"/>
        <w:jc w:val="left"/>
        <w:rPr>
          <w:rFonts w:ascii="Times New Roman" w:hAnsi="Times New Roman"/>
          <w:color w:val="auto"/>
          <w:kern w:val="0"/>
          <w:szCs w:val="21"/>
          <w:highlight w:val="none"/>
        </w:rPr>
      </w:pPr>
      <w:r>
        <w:rPr>
          <w:rFonts w:hint="eastAsia" w:ascii="仿宋_GB2312" w:hAnsi="仿宋_GB2312" w:eastAsia="仿宋_GB2312" w:cs="仿宋_GB2312"/>
          <w:color w:val="auto"/>
          <w:sz w:val="30"/>
          <w:szCs w:val="30"/>
          <w:highlight w:val="none"/>
        </w:rPr>
        <w:t>发包人在收到工程设计进度计划后确认或提出修改意见的期限：</w:t>
      </w:r>
      <w:r>
        <w:rPr>
          <w:rFonts w:hint="eastAsia" w:ascii="仿宋_GB2312" w:hAnsi="仿宋_GB2312" w:eastAsia="仿宋_GB2312" w:cs="仿宋_GB2312"/>
          <w:color w:val="auto"/>
          <w:spacing w:val="-1"/>
          <w:sz w:val="30"/>
          <w:szCs w:val="30"/>
          <w:highlight w:val="none"/>
          <w:u w:val="single"/>
        </w:rPr>
        <w:t xml:space="preserve"> </w:t>
      </w:r>
    </w:p>
    <w:p w14:paraId="4F5CA94D">
      <w:pPr>
        <w:pStyle w:val="81"/>
        <w:autoSpaceDE w:val="0"/>
        <w:autoSpaceDN w:val="0"/>
        <w:adjustRightInd w:val="0"/>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发包人在收到工程设计进度计划后确认或提出修改意见的期限：</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u w:val="single"/>
        </w:rPr>
        <w:t>重大变更应在</w:t>
      </w:r>
      <w:r>
        <w:rPr>
          <w:rFonts w:ascii="仿宋_GB2312" w:hAnsi="仿宋_GB2312" w:eastAsia="仿宋_GB2312" w:cs="仿宋_GB2312"/>
          <w:color w:val="auto"/>
          <w:sz w:val="30"/>
          <w:szCs w:val="30"/>
          <w:highlight w:val="none"/>
          <w:u w:val="single"/>
        </w:rPr>
        <w:t>10</w:t>
      </w:r>
      <w:r>
        <w:rPr>
          <w:rFonts w:hint="eastAsia" w:ascii="仿宋_GB2312" w:hAnsi="仿宋_GB2312" w:eastAsia="仿宋_GB2312" w:cs="仿宋_GB2312"/>
          <w:color w:val="auto"/>
          <w:sz w:val="30"/>
          <w:szCs w:val="30"/>
          <w:highlight w:val="none"/>
          <w:u w:val="single"/>
        </w:rPr>
        <w:t>天内完成审核和批准或提出修改意见，重要变更应在</w:t>
      </w:r>
      <w:r>
        <w:rPr>
          <w:rFonts w:ascii="仿宋_GB2312" w:hAnsi="仿宋_GB2312" w:eastAsia="仿宋_GB2312" w:cs="仿宋_GB2312"/>
          <w:color w:val="auto"/>
          <w:sz w:val="30"/>
          <w:szCs w:val="30"/>
          <w:highlight w:val="none"/>
          <w:u w:val="single"/>
        </w:rPr>
        <w:t>5</w:t>
      </w:r>
      <w:r>
        <w:rPr>
          <w:rFonts w:hint="eastAsia" w:ascii="仿宋_GB2312" w:hAnsi="仿宋_GB2312" w:eastAsia="仿宋_GB2312" w:cs="仿宋_GB2312"/>
          <w:color w:val="auto"/>
          <w:sz w:val="30"/>
          <w:szCs w:val="30"/>
          <w:highlight w:val="none"/>
          <w:u w:val="single"/>
        </w:rPr>
        <w:t>天内完成审核和批准或提出修改意见，一般设计变更图纸</w:t>
      </w:r>
      <w:r>
        <w:rPr>
          <w:rFonts w:ascii="仿宋_GB2312" w:hAnsi="仿宋_GB2312" w:eastAsia="仿宋_GB2312" w:cs="仿宋_GB2312"/>
          <w:color w:val="auto"/>
          <w:sz w:val="30"/>
          <w:szCs w:val="30"/>
          <w:highlight w:val="none"/>
          <w:u w:val="single"/>
        </w:rPr>
        <w:t>3</w:t>
      </w:r>
      <w:r>
        <w:rPr>
          <w:rFonts w:hint="eastAsia" w:ascii="仿宋_GB2312" w:hAnsi="仿宋_GB2312" w:eastAsia="仿宋_GB2312" w:cs="仿宋_GB2312"/>
          <w:color w:val="auto"/>
          <w:sz w:val="30"/>
          <w:szCs w:val="30"/>
          <w:highlight w:val="none"/>
          <w:u w:val="single"/>
        </w:rPr>
        <w:t>天内完成审核和批准或提出修改意见；工地重大事件处理</w:t>
      </w:r>
      <w:r>
        <w:rPr>
          <w:rFonts w:ascii="仿宋_GB2312" w:hAnsi="仿宋_GB2312" w:eastAsia="仿宋_GB2312" w:cs="仿宋_GB2312"/>
          <w:color w:val="auto"/>
          <w:sz w:val="30"/>
          <w:szCs w:val="30"/>
          <w:highlight w:val="none"/>
          <w:u w:val="single"/>
        </w:rPr>
        <w:t>24</w:t>
      </w:r>
      <w:r>
        <w:rPr>
          <w:rFonts w:hint="eastAsia" w:ascii="仿宋_GB2312" w:hAnsi="仿宋_GB2312" w:eastAsia="仿宋_GB2312" w:cs="仿宋_GB2312"/>
          <w:color w:val="auto"/>
          <w:sz w:val="30"/>
          <w:szCs w:val="30"/>
          <w:highlight w:val="none"/>
          <w:u w:val="single"/>
        </w:rPr>
        <w:t>小时内到达现场</w:t>
      </w:r>
      <w:r>
        <w:rPr>
          <w:rFonts w:ascii="仿宋_GB2312" w:hAnsi="仿宋_GB2312" w:eastAsia="仿宋_GB2312" w:cs="仿宋_GB2312"/>
          <w:color w:val="auto"/>
          <w:spacing w:val="-1"/>
          <w:sz w:val="30"/>
          <w:szCs w:val="30"/>
          <w:highlight w:val="none"/>
        </w:rPr>
        <w:t>。</w:t>
      </w:r>
    </w:p>
    <w:p w14:paraId="4C4B6DB6">
      <w:pPr>
        <w:pStyle w:val="8"/>
        <w:spacing w:before="120"/>
        <w:ind w:firstLine="602"/>
        <w:rPr>
          <w:rFonts w:ascii="Times New Roman" w:hAnsi="Times New Roman" w:eastAsia="黑体"/>
          <w:b w:val="0"/>
          <w:bCs w:val="0"/>
          <w:color w:val="auto"/>
          <w:sz w:val="30"/>
          <w:highlight w:val="none"/>
        </w:rPr>
      </w:pPr>
      <w:r>
        <w:rPr>
          <w:rFonts w:ascii="Times New Roman" w:hAnsi="Times New Roman" w:eastAsia="黑体"/>
          <w:color w:val="auto"/>
          <w:sz w:val="30"/>
          <w:highlight w:val="none"/>
        </w:rPr>
        <w:t>6.3工程设计进度延误</w:t>
      </w:r>
    </w:p>
    <w:p w14:paraId="52AF0D74">
      <w:pPr>
        <w:pStyle w:val="79"/>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6.3.1因发包人原因导致工程设计进度延误</w:t>
      </w:r>
    </w:p>
    <w:p w14:paraId="1CC9F6E3">
      <w:pPr>
        <w:pStyle w:val="79"/>
        <w:spacing w:after="0" w:line="360" w:lineRule="auto"/>
        <w:ind w:firstLine="604"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（4）因发包人原因导致工程设计进度延误</w:t>
      </w:r>
      <w:r>
        <w:rPr>
          <w:rFonts w:hint="eastAsia" w:ascii="仿宋_GB2312" w:hAnsi="仿宋_GB2312" w:eastAsia="仿宋_GB2312" w:cs="仿宋_GB2312"/>
          <w:color w:val="auto"/>
          <w:sz w:val="30"/>
          <w:szCs w:val="30"/>
          <w:highlight w:val="none"/>
        </w:rPr>
        <w:t>的其他情形：</w:t>
      </w:r>
      <w:r>
        <w:rPr>
          <w:rFonts w:hint="eastAsia" w:ascii="仿宋_GB2312" w:hAnsi="仿宋_GB2312" w:eastAsia="仿宋_GB2312" w:cs="仿宋_GB2312"/>
          <w:color w:val="auto"/>
          <w:sz w:val="30"/>
          <w:szCs w:val="30"/>
          <w:highlight w:val="none"/>
          <w:u w:val="single"/>
        </w:rPr>
        <w:t xml:space="preserve">  /  </w:t>
      </w:r>
      <w:r>
        <w:rPr>
          <w:rFonts w:hint="eastAsia" w:ascii="仿宋_GB2312" w:hAnsi="仿宋_GB2312" w:eastAsia="仿宋_GB2312" w:cs="仿宋_GB2312"/>
          <w:color w:val="auto"/>
          <w:sz w:val="30"/>
          <w:szCs w:val="30"/>
          <w:highlight w:val="none"/>
        </w:rPr>
        <w:t>。</w:t>
      </w:r>
    </w:p>
    <w:p w14:paraId="739EB1A6">
      <w:pPr>
        <w:pStyle w:val="79"/>
        <w:spacing w:after="0" w:line="360" w:lineRule="auto"/>
        <w:ind w:firstLine="604"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设计人应在发生进度延误的情形后</w:t>
      </w:r>
      <w:r>
        <w:rPr>
          <w:rFonts w:hint="eastAsia" w:ascii="仿宋_GB2312" w:hAnsi="仿宋_GB2312" w:eastAsia="仿宋_GB2312" w:cs="仿宋_GB2312"/>
          <w:color w:val="auto"/>
          <w:spacing w:val="1"/>
          <w:sz w:val="30"/>
          <w:szCs w:val="30"/>
          <w:highlight w:val="none"/>
          <w:u w:val="single"/>
        </w:rPr>
        <w:t xml:space="preserve">  5  </w:t>
      </w:r>
      <w:r>
        <w:rPr>
          <w:rFonts w:hint="eastAsia" w:ascii="仿宋_GB2312" w:hAnsi="仿宋_GB2312" w:eastAsia="仿宋_GB2312" w:cs="仿宋_GB2312"/>
          <w:color w:val="auto"/>
          <w:spacing w:val="1"/>
          <w:sz w:val="30"/>
          <w:szCs w:val="30"/>
          <w:highlight w:val="none"/>
        </w:rPr>
        <w:t>天内向发包人发出要求延期的书面通知，在发生该情形</w:t>
      </w:r>
      <w:r>
        <w:rPr>
          <w:rFonts w:hint="eastAsia" w:ascii="仿宋_GB2312" w:hAnsi="仿宋_GB2312" w:eastAsia="仿宋_GB2312" w:cs="仿宋_GB2312"/>
          <w:color w:val="auto"/>
          <w:spacing w:val="-1"/>
          <w:sz w:val="30"/>
          <w:szCs w:val="30"/>
          <w:highlight w:val="none"/>
        </w:rPr>
        <w:t>后</w:t>
      </w:r>
      <w:r>
        <w:rPr>
          <w:rFonts w:hint="eastAsia" w:ascii="仿宋_GB2312" w:hAnsi="仿宋_GB2312" w:eastAsia="仿宋_GB2312" w:cs="仿宋_GB2312"/>
          <w:color w:val="auto"/>
          <w:spacing w:val="-1"/>
          <w:sz w:val="30"/>
          <w:szCs w:val="30"/>
          <w:highlight w:val="none"/>
          <w:u w:val="single"/>
        </w:rPr>
        <w:t xml:space="preserve"> 7 </w:t>
      </w:r>
      <w:r>
        <w:rPr>
          <w:rFonts w:hint="eastAsia" w:ascii="仿宋_GB2312" w:hAnsi="仿宋_GB2312" w:eastAsia="仿宋_GB2312" w:cs="仿宋_GB2312"/>
          <w:color w:val="auto"/>
          <w:spacing w:val="-1"/>
          <w:sz w:val="30"/>
          <w:szCs w:val="30"/>
          <w:highlight w:val="none"/>
        </w:rPr>
        <w:t>天内提交要求延期的详细说明。</w:t>
      </w:r>
    </w:p>
    <w:p w14:paraId="517520EB">
      <w:pPr>
        <w:pStyle w:val="79"/>
        <w:spacing w:after="0" w:line="360" w:lineRule="auto"/>
        <w:ind w:firstLine="596" w:firstLineChars="200"/>
        <w:rPr>
          <w:rFonts w:ascii="仿宋_GB2312" w:hAnsi="仿宋_GB2312" w:eastAsia="仿宋_GB2312" w:cs="仿宋_GB2312"/>
          <w:color w:val="auto"/>
          <w:spacing w:val="-1"/>
          <w:sz w:val="30"/>
          <w:szCs w:val="30"/>
          <w:highlight w:val="none"/>
        </w:rPr>
      </w:pPr>
      <w:r>
        <w:rPr>
          <w:rFonts w:hint="eastAsia" w:ascii="仿宋_GB2312" w:hAnsi="仿宋_GB2312" w:eastAsia="仿宋_GB2312" w:cs="仿宋_GB2312"/>
          <w:color w:val="auto"/>
          <w:spacing w:val="-1"/>
          <w:sz w:val="30"/>
          <w:szCs w:val="30"/>
          <w:highlight w:val="none"/>
        </w:rPr>
        <w:t>发包人收到设计人要求延期的详细说明后，应在</w:t>
      </w:r>
      <w:r>
        <w:rPr>
          <w:rFonts w:hint="eastAsia" w:ascii="仿宋_GB2312" w:hAnsi="仿宋_GB2312" w:eastAsia="仿宋_GB2312" w:cs="仿宋_GB2312"/>
          <w:color w:val="auto"/>
          <w:spacing w:val="-1"/>
          <w:sz w:val="30"/>
          <w:szCs w:val="30"/>
          <w:highlight w:val="none"/>
          <w:u w:val="single"/>
        </w:rPr>
        <w:t xml:space="preserve">  7  </w:t>
      </w:r>
      <w:r>
        <w:rPr>
          <w:rFonts w:hint="eastAsia" w:ascii="仿宋_GB2312" w:hAnsi="仿宋_GB2312" w:eastAsia="仿宋_GB2312" w:cs="仿宋_GB2312"/>
          <w:color w:val="auto"/>
          <w:spacing w:val="-1"/>
          <w:sz w:val="30"/>
          <w:szCs w:val="30"/>
          <w:highlight w:val="none"/>
        </w:rPr>
        <w:t>天内进行审查并书面答复。</w:t>
      </w:r>
    </w:p>
    <w:p w14:paraId="531E8F83">
      <w:pPr>
        <w:pStyle w:val="8"/>
        <w:spacing w:before="120"/>
        <w:ind w:firstLine="602"/>
        <w:rPr>
          <w:rFonts w:ascii="Times New Roman" w:hAnsi="Times New Roman" w:eastAsia="黑体"/>
          <w:b w:val="0"/>
          <w:bCs w:val="0"/>
          <w:color w:val="auto"/>
          <w:sz w:val="30"/>
          <w:highlight w:val="none"/>
        </w:rPr>
      </w:pPr>
      <w:r>
        <w:rPr>
          <w:rFonts w:ascii="Times New Roman" w:hAnsi="Times New Roman" w:eastAsia="黑体"/>
          <w:color w:val="auto"/>
          <w:sz w:val="30"/>
          <w:highlight w:val="none"/>
        </w:rPr>
        <w:t>6.5  提前交付工程设计文件</w:t>
      </w:r>
    </w:p>
    <w:p w14:paraId="4296C126">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6.5.2  提前交付工程设计文件的奖励：</w:t>
      </w:r>
      <w:r>
        <w:rPr>
          <w:rFonts w:hint="eastAsia" w:ascii="仿宋_GB2312" w:hAnsi="仿宋_GB2312" w:eastAsia="仿宋_GB2312" w:cs="仿宋_GB2312"/>
          <w:color w:val="auto"/>
          <w:sz w:val="30"/>
          <w:szCs w:val="30"/>
          <w:highlight w:val="none"/>
          <w:u w:val="single"/>
        </w:rPr>
        <w:t xml:space="preserve">  无  </w:t>
      </w:r>
      <w:r>
        <w:rPr>
          <w:rFonts w:hint="eastAsia" w:ascii="仿宋_GB2312" w:hAnsi="仿宋_GB2312" w:eastAsia="仿宋_GB2312" w:cs="仿宋_GB2312"/>
          <w:color w:val="auto"/>
          <w:sz w:val="30"/>
          <w:szCs w:val="30"/>
          <w:highlight w:val="none"/>
        </w:rPr>
        <w:t>。</w:t>
      </w:r>
    </w:p>
    <w:p w14:paraId="0BFA04CD">
      <w:pPr>
        <w:pStyle w:val="7"/>
        <w:keepNext/>
        <w:keepLines/>
        <w:ind w:firstLine="0" w:firstLineChars="0"/>
        <w:jc w:val="both"/>
        <w:rPr>
          <w:rFonts w:eastAsia="黑体"/>
          <w:bCs/>
          <w:color w:val="auto"/>
          <w:sz w:val="32"/>
          <w:highlight w:val="none"/>
        </w:rPr>
      </w:pPr>
      <w:bookmarkStart w:id="1358" w:name="_Toc8348"/>
      <w:bookmarkStart w:id="1359" w:name="_Toc6236"/>
      <w:bookmarkStart w:id="1360" w:name="_Toc27894"/>
      <w:bookmarkStart w:id="1361" w:name="_Toc5295"/>
      <w:bookmarkStart w:id="1362" w:name="_Toc24524"/>
      <w:r>
        <w:rPr>
          <w:rFonts w:eastAsia="黑体"/>
          <w:bCs/>
          <w:color w:val="auto"/>
          <w:sz w:val="32"/>
          <w:highlight w:val="none"/>
        </w:rPr>
        <w:t>7.工程设计文件交付</w:t>
      </w:r>
      <w:bookmarkEnd w:id="1358"/>
      <w:bookmarkEnd w:id="1359"/>
      <w:bookmarkEnd w:id="1360"/>
      <w:bookmarkEnd w:id="1361"/>
      <w:bookmarkEnd w:id="1362"/>
    </w:p>
    <w:p w14:paraId="370E66DD">
      <w:pPr>
        <w:pStyle w:val="8"/>
        <w:spacing w:before="120"/>
        <w:ind w:firstLine="596"/>
        <w:rPr>
          <w:rFonts w:ascii="仿宋_GB2312" w:hAnsi="仿宋_GB2312" w:eastAsia="仿宋_GB2312" w:cs="仿宋_GB2312"/>
          <w:color w:val="auto"/>
          <w:spacing w:val="-1"/>
          <w:sz w:val="30"/>
          <w:szCs w:val="30"/>
          <w:highlight w:val="none"/>
        </w:rPr>
      </w:pPr>
      <w:r>
        <w:rPr>
          <w:rFonts w:ascii="仿宋_GB2312" w:hAnsi="仿宋_GB2312" w:eastAsia="仿宋_GB2312" w:cs="仿宋_GB2312"/>
          <w:b w:val="0"/>
          <w:bCs w:val="0"/>
          <w:color w:val="auto"/>
          <w:spacing w:val="-1"/>
          <w:sz w:val="30"/>
          <w:szCs w:val="30"/>
          <w:highlight w:val="none"/>
        </w:rPr>
        <w:t>7.1  工程设计文件交付的内容</w:t>
      </w:r>
    </w:p>
    <w:p w14:paraId="1A513AE4">
      <w:pPr>
        <w:pStyle w:val="79"/>
        <w:spacing w:after="0" w:line="360" w:lineRule="auto"/>
        <w:ind w:firstLine="596"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7.1.2  发包人要求设计人提交电子版设计文件的具体形式为：光盘、电子邮件、网盘（有其他约定的从其约定）</w:t>
      </w:r>
      <w:r>
        <w:rPr>
          <w:rFonts w:ascii="仿宋_GB2312" w:hAnsi="仿宋_GB2312" w:eastAsia="仿宋_GB2312" w:cs="仿宋_GB2312"/>
          <w:color w:val="auto"/>
          <w:spacing w:val="-1"/>
          <w:sz w:val="30"/>
          <w:szCs w:val="30"/>
          <w:highlight w:val="none"/>
        </w:rPr>
        <w:t xml:space="preserve"> </w:t>
      </w:r>
      <w:r>
        <w:rPr>
          <w:rFonts w:hint="eastAsia" w:ascii="仿宋_GB2312" w:hAnsi="仿宋_GB2312" w:eastAsia="仿宋_GB2312" w:cs="仿宋_GB2312"/>
          <w:color w:val="auto"/>
          <w:spacing w:val="-4"/>
          <w:sz w:val="30"/>
          <w:szCs w:val="30"/>
          <w:highlight w:val="none"/>
        </w:rPr>
        <w:t>。</w:t>
      </w:r>
    </w:p>
    <w:p w14:paraId="10BAECFC">
      <w:pPr>
        <w:pStyle w:val="79"/>
        <w:spacing w:after="0" w:line="360" w:lineRule="auto"/>
        <w:ind w:firstLine="596"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pacing w:val="-1"/>
          <w:sz w:val="30"/>
          <w:szCs w:val="30"/>
          <w:highlight w:val="none"/>
        </w:rPr>
        <w:t>7.3工程设计文件交付的名称、时间和份数</w:t>
      </w:r>
      <w:r>
        <w:rPr>
          <w:rFonts w:hint="eastAsia" w:ascii="仿宋_GB2312" w:hAnsi="仿宋_GB2312" w:eastAsia="仿宋_GB2312" w:cs="仿宋_GB2312"/>
          <w:color w:val="auto"/>
          <w:spacing w:val="-50"/>
          <w:w w:val="90"/>
          <w:sz w:val="30"/>
          <w:szCs w:val="30"/>
          <w:highlight w:val="none"/>
        </w:rPr>
        <w:t>：</w:t>
      </w:r>
      <w:r>
        <w:rPr>
          <w:rFonts w:ascii="仿宋_GB2312" w:hAnsi="仿宋_GB2312" w:eastAsia="仿宋_GB2312" w:cs="仿宋_GB2312"/>
          <w:color w:val="auto"/>
          <w:sz w:val="30"/>
          <w:szCs w:val="30"/>
          <w:highlight w:val="none"/>
          <w:u w:val="single"/>
        </w:rPr>
        <w:t>详见附件3</w:t>
      </w:r>
      <w:r>
        <w:rPr>
          <w:rFonts w:hint="eastAsia" w:ascii="仿宋_GB2312" w:hAnsi="仿宋_GB2312" w:eastAsia="仿宋_GB2312" w:cs="仿宋_GB2312"/>
          <w:color w:val="auto"/>
          <w:sz w:val="30"/>
          <w:szCs w:val="30"/>
          <w:highlight w:val="none"/>
          <w:u w:val="single"/>
        </w:rPr>
        <w:t>。</w:t>
      </w:r>
    </w:p>
    <w:p w14:paraId="3274E71E">
      <w:pPr>
        <w:pStyle w:val="79"/>
        <w:spacing w:after="0" w:line="360" w:lineRule="auto"/>
        <w:ind w:firstLine="596"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设计人完成设计成果文件并通过相关部门审查，且按专用合同条款的7.1、7.2款交付给发包人</w:t>
      </w:r>
      <w:r>
        <w:rPr>
          <w:rFonts w:hint="eastAsia" w:ascii="仿宋_GB2312" w:hAnsi="仿宋_GB2312" w:eastAsia="仿宋_GB2312" w:cs="仿宋_GB2312"/>
          <w:color w:val="auto"/>
          <w:spacing w:val="-2"/>
          <w:sz w:val="30"/>
          <w:szCs w:val="30"/>
          <w:highlight w:val="none"/>
        </w:rPr>
        <w:t>之日为设计阶段完成日。发包人签收设计文件后的 7日内，发包人应出具设计阶段完成证明；</w:t>
      </w:r>
      <w:r>
        <w:rPr>
          <w:rFonts w:hint="eastAsia" w:ascii="仿宋_GB2312" w:hAnsi="仿宋_GB2312" w:eastAsia="仿宋_GB2312" w:cs="仿宋_GB2312"/>
          <w:color w:val="auto"/>
          <w:spacing w:val="-1"/>
          <w:sz w:val="30"/>
          <w:szCs w:val="30"/>
          <w:highlight w:val="none"/>
        </w:rPr>
        <w:t>如发包人未在约定的期限内出具证明，视为发包人认可该设计阶段完成的日期。</w:t>
      </w:r>
    </w:p>
    <w:p w14:paraId="66A38290">
      <w:pPr>
        <w:pStyle w:val="79"/>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工程竣工验收日为设计服务完成日。工程竣工验收后的 7日内，发包人应出具设计服务完成证</w:t>
      </w:r>
      <w:r>
        <w:rPr>
          <w:rFonts w:hint="eastAsia" w:ascii="仿宋_GB2312" w:hAnsi="仿宋_GB2312" w:eastAsia="仿宋_GB2312" w:cs="仿宋_GB2312"/>
          <w:color w:val="auto"/>
          <w:spacing w:val="-1"/>
          <w:sz w:val="30"/>
          <w:szCs w:val="30"/>
          <w:highlight w:val="none"/>
        </w:rPr>
        <w:t>明。如发包人未在约定的期限内出具证明，视为发包人认可该设计服务阶段完成的日期。</w:t>
      </w:r>
    </w:p>
    <w:p w14:paraId="72C5FA08">
      <w:pPr>
        <w:pStyle w:val="7"/>
        <w:keepNext/>
        <w:keepLines/>
        <w:ind w:firstLine="0" w:firstLineChars="0"/>
        <w:jc w:val="both"/>
        <w:rPr>
          <w:rFonts w:eastAsia="黑体"/>
          <w:bCs/>
          <w:color w:val="auto"/>
          <w:sz w:val="32"/>
          <w:highlight w:val="none"/>
        </w:rPr>
      </w:pPr>
      <w:bookmarkStart w:id="1363" w:name="_Toc20069"/>
      <w:bookmarkStart w:id="1364" w:name="_Toc4277"/>
      <w:bookmarkStart w:id="1365" w:name="_Toc4808"/>
      <w:bookmarkStart w:id="1366" w:name="_Toc17957"/>
      <w:r>
        <w:rPr>
          <w:rFonts w:eastAsia="黑体"/>
          <w:bCs/>
          <w:color w:val="auto"/>
          <w:sz w:val="32"/>
          <w:highlight w:val="none"/>
        </w:rPr>
        <w:t>8.工程设计文件审查</w:t>
      </w:r>
      <w:bookmarkEnd w:id="1363"/>
      <w:bookmarkEnd w:id="1364"/>
      <w:bookmarkEnd w:id="1365"/>
      <w:bookmarkEnd w:id="1366"/>
    </w:p>
    <w:p w14:paraId="1406CA32">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8.1  发包人对设计人的设计文件审查期限</w:t>
      </w:r>
      <w:r>
        <w:rPr>
          <w:rFonts w:hint="eastAsia" w:ascii="仿宋_GB2312" w:hAnsi="仿宋_GB2312" w:eastAsia="仿宋_GB2312" w:cs="仿宋_GB2312"/>
          <w:color w:val="auto"/>
          <w:spacing w:val="-1"/>
          <w:sz w:val="30"/>
          <w:szCs w:val="30"/>
          <w:highlight w:val="none"/>
        </w:rPr>
        <w:t>不超过</w:t>
      </w:r>
      <w:r>
        <w:rPr>
          <w:rFonts w:hint="eastAsia" w:ascii="仿宋_GB2312" w:hAnsi="仿宋_GB2312" w:eastAsia="仿宋_GB2312" w:cs="仿宋_GB2312"/>
          <w:color w:val="auto"/>
          <w:spacing w:val="-1"/>
          <w:sz w:val="30"/>
          <w:szCs w:val="30"/>
          <w:highlight w:val="none"/>
          <w:u w:val="single"/>
        </w:rPr>
        <w:t xml:space="preserve">  20</w:t>
      </w:r>
      <w:r>
        <w:rPr>
          <w:rFonts w:hint="eastAsia" w:ascii="仿宋_GB2312" w:hAnsi="仿宋_GB2312" w:eastAsia="仿宋_GB2312" w:cs="仿宋_GB2312"/>
          <w:color w:val="auto"/>
          <w:spacing w:val="-1"/>
          <w:sz w:val="30"/>
          <w:szCs w:val="30"/>
          <w:highlight w:val="none"/>
        </w:rPr>
        <w:t>天。</w:t>
      </w:r>
    </w:p>
    <w:p w14:paraId="0AC01599">
      <w:pPr>
        <w:pStyle w:val="79"/>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8.2  发包人应在审查同意设计人的工程设计文件后在</w:t>
      </w:r>
      <w:r>
        <w:rPr>
          <w:rFonts w:hint="eastAsia" w:ascii="仿宋_GB2312" w:hAnsi="仿宋_GB2312" w:eastAsia="仿宋_GB2312" w:cs="仿宋_GB2312"/>
          <w:color w:val="auto"/>
          <w:spacing w:val="-2"/>
          <w:sz w:val="30"/>
          <w:szCs w:val="30"/>
          <w:highlight w:val="none"/>
          <w:u w:val="single"/>
        </w:rPr>
        <w:t xml:space="preserve">  20</w:t>
      </w:r>
      <w:r>
        <w:rPr>
          <w:rFonts w:hint="eastAsia" w:ascii="仿宋_GB2312" w:hAnsi="仿宋_GB2312" w:eastAsia="仿宋_GB2312" w:cs="仿宋_GB2312"/>
          <w:color w:val="auto"/>
          <w:spacing w:val="-2"/>
          <w:sz w:val="30"/>
          <w:szCs w:val="30"/>
          <w:highlight w:val="none"/>
        </w:rPr>
        <w:t>天内，向政府有关部门报</w:t>
      </w:r>
      <w:r>
        <w:rPr>
          <w:rFonts w:hint="eastAsia" w:ascii="仿宋_GB2312" w:hAnsi="仿宋_GB2312" w:eastAsia="仿宋_GB2312" w:cs="仿宋_GB2312"/>
          <w:color w:val="auto"/>
          <w:spacing w:val="-3"/>
          <w:sz w:val="30"/>
          <w:szCs w:val="30"/>
          <w:highlight w:val="none"/>
        </w:rPr>
        <w:t>送工程设计文</w:t>
      </w:r>
      <w:r>
        <w:rPr>
          <w:rFonts w:hint="eastAsia" w:ascii="仿宋_GB2312" w:hAnsi="仿宋_GB2312" w:eastAsia="仿宋_GB2312" w:cs="仿宋_GB2312"/>
          <w:color w:val="auto"/>
          <w:spacing w:val="-10"/>
          <w:sz w:val="30"/>
          <w:szCs w:val="30"/>
          <w:highlight w:val="none"/>
        </w:rPr>
        <w:t>件。</w:t>
      </w:r>
    </w:p>
    <w:p w14:paraId="3BC81D31">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8.3  工程设计审查形式及时间安排：</w:t>
      </w:r>
      <w:r>
        <w:rPr>
          <w:rFonts w:hint="eastAsia" w:ascii="仿宋_GB2312" w:hAnsi="仿宋_GB2312" w:eastAsia="仿宋_GB2312" w:cs="仿宋_GB2312"/>
          <w:color w:val="auto"/>
          <w:sz w:val="30"/>
          <w:szCs w:val="30"/>
          <w:highlight w:val="none"/>
          <w:u w:val="single"/>
        </w:rPr>
        <w:t xml:space="preserve"> 发包人负责组织工程设计文件审查会议</w:t>
      </w:r>
      <w:r>
        <w:rPr>
          <w:rFonts w:hint="eastAsia" w:ascii="仿宋_GB2312" w:hAnsi="仿宋_GB2312" w:eastAsia="仿宋_GB2312" w:cs="仿宋_GB2312"/>
          <w:color w:val="auto"/>
          <w:sz w:val="30"/>
          <w:szCs w:val="30"/>
          <w:highlight w:val="none"/>
          <w:u w:val="none"/>
        </w:rPr>
        <w:t>。</w:t>
      </w:r>
    </w:p>
    <w:p w14:paraId="0E1A162F">
      <w:pPr>
        <w:pStyle w:val="7"/>
        <w:keepNext/>
        <w:keepLines/>
        <w:ind w:firstLine="0" w:firstLineChars="0"/>
        <w:jc w:val="both"/>
        <w:rPr>
          <w:rFonts w:eastAsia="黑体"/>
          <w:bCs/>
          <w:color w:val="auto"/>
          <w:sz w:val="32"/>
          <w:highlight w:val="none"/>
        </w:rPr>
      </w:pPr>
      <w:bookmarkStart w:id="1367" w:name="_Toc22010"/>
      <w:bookmarkStart w:id="1368" w:name="_Toc20227"/>
      <w:bookmarkStart w:id="1369" w:name="_Toc28406"/>
      <w:bookmarkStart w:id="1370" w:name="_Toc11341"/>
      <w:bookmarkStart w:id="1371" w:name="_Toc5949"/>
      <w:r>
        <w:rPr>
          <w:rFonts w:eastAsia="黑体"/>
          <w:bCs/>
          <w:color w:val="auto"/>
          <w:sz w:val="32"/>
          <w:highlight w:val="none"/>
        </w:rPr>
        <w:t>9. 施工现场配合服务</w:t>
      </w:r>
      <w:bookmarkEnd w:id="1367"/>
      <w:bookmarkEnd w:id="1368"/>
      <w:bookmarkEnd w:id="1369"/>
      <w:bookmarkEnd w:id="1370"/>
      <w:bookmarkEnd w:id="1371"/>
    </w:p>
    <w:p w14:paraId="11B88233">
      <w:pPr>
        <w:pStyle w:val="78"/>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9.1  发包人为设计人派赴现场的工作人员提供便利条件的内容包括：</w:t>
      </w:r>
      <w:r>
        <w:rPr>
          <w:rFonts w:hint="eastAsia" w:ascii="仿宋_GB2312" w:hAnsi="仿宋_GB2312" w:eastAsia="仿宋_GB2312" w:cs="仿宋_GB2312"/>
          <w:color w:val="auto"/>
          <w:sz w:val="30"/>
          <w:szCs w:val="30"/>
          <w:highlight w:val="none"/>
          <w:u w:val="single"/>
        </w:rPr>
        <w:t xml:space="preserve">   无   </w:t>
      </w:r>
      <w:r>
        <w:rPr>
          <w:rFonts w:hint="eastAsia" w:ascii="仿宋_GB2312" w:hAnsi="仿宋_GB2312" w:eastAsia="仿宋_GB2312" w:cs="仿宋_GB2312"/>
          <w:color w:val="auto"/>
          <w:sz w:val="30"/>
          <w:szCs w:val="30"/>
          <w:highlight w:val="none"/>
        </w:rPr>
        <w:t>。</w:t>
      </w:r>
    </w:p>
    <w:p w14:paraId="189D292A">
      <w:pPr>
        <w:pStyle w:val="79"/>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9.2  设计人应当在施工阶段提供施工现场配合服务</w:t>
      </w:r>
      <w:r>
        <w:rPr>
          <w:rFonts w:ascii="仿宋_GB2312" w:hAnsi="仿宋_GB2312" w:eastAsia="仿宋_GB2312" w:cs="仿宋_GB2312"/>
          <w:color w:val="auto"/>
          <w:spacing w:val="-2"/>
          <w:sz w:val="30"/>
          <w:szCs w:val="30"/>
          <w:highlight w:val="none"/>
        </w:rPr>
        <w:t>，并按发包人的要求对项目进行巡查，出具巡查报告</w:t>
      </w:r>
      <w:r>
        <w:rPr>
          <w:rFonts w:hint="eastAsia" w:ascii="仿宋_GB2312" w:hAnsi="仿宋_GB2312" w:eastAsia="仿宋_GB2312" w:cs="仿宋_GB2312"/>
          <w:color w:val="auto"/>
          <w:spacing w:val="-2"/>
          <w:sz w:val="30"/>
          <w:szCs w:val="30"/>
          <w:highlight w:val="none"/>
        </w:rPr>
        <w:t>。设计人应当在工程施工开始至</w:t>
      </w:r>
      <w:r>
        <w:rPr>
          <w:rFonts w:hint="eastAsia" w:ascii="仿宋_GB2312" w:hAnsi="仿宋_GB2312" w:eastAsia="仿宋_GB2312" w:cs="仿宋_GB2312"/>
          <w:color w:val="auto"/>
          <w:spacing w:val="-3"/>
          <w:sz w:val="30"/>
          <w:szCs w:val="30"/>
          <w:highlight w:val="none"/>
        </w:rPr>
        <w:t>工程竣工验收</w:t>
      </w:r>
      <w:r>
        <w:rPr>
          <w:rFonts w:hint="eastAsia" w:ascii="仿宋_GB2312" w:hAnsi="仿宋_GB2312" w:eastAsia="仿宋_GB2312" w:cs="仿宋_GB2312"/>
          <w:color w:val="auto"/>
          <w:spacing w:val="1"/>
          <w:sz w:val="30"/>
          <w:szCs w:val="30"/>
          <w:highlight w:val="none"/>
        </w:rPr>
        <w:t>合格期间派出项目负责人或专业负责人根据发包人要求提供相应变更的设计文件，服务内容包括但不限于提供设计技术交底、及时解决施工中设计技术问题、签字确认施工过程中的相关文</w:t>
      </w:r>
      <w:r>
        <w:rPr>
          <w:rFonts w:hint="eastAsia" w:ascii="仿宋_GB2312" w:hAnsi="仿宋_GB2312" w:eastAsia="仿宋_GB2312" w:cs="仿宋_GB2312"/>
          <w:color w:val="auto"/>
          <w:spacing w:val="-1"/>
          <w:sz w:val="30"/>
          <w:szCs w:val="30"/>
          <w:highlight w:val="none"/>
        </w:rPr>
        <w:t>件、配合发包人进行外部协调、参加竣工验收等工作。</w:t>
      </w:r>
    </w:p>
    <w:p w14:paraId="7BD541A4">
      <w:pPr>
        <w:pStyle w:val="7"/>
        <w:keepNext/>
        <w:keepLines/>
        <w:ind w:firstLine="0" w:firstLineChars="0"/>
        <w:jc w:val="both"/>
        <w:rPr>
          <w:rFonts w:eastAsia="黑体"/>
          <w:bCs/>
          <w:color w:val="auto"/>
          <w:sz w:val="32"/>
          <w:highlight w:val="none"/>
        </w:rPr>
      </w:pPr>
      <w:bookmarkStart w:id="1372" w:name="_Toc32027"/>
      <w:bookmarkStart w:id="1373" w:name="_Toc16270"/>
      <w:bookmarkStart w:id="1374" w:name="_Toc2247"/>
      <w:bookmarkStart w:id="1375" w:name="_Toc808"/>
      <w:bookmarkStart w:id="1376" w:name="_Toc11194"/>
      <w:r>
        <w:rPr>
          <w:rFonts w:eastAsia="黑体"/>
          <w:bCs/>
          <w:color w:val="auto"/>
          <w:sz w:val="32"/>
          <w:highlight w:val="none"/>
        </w:rPr>
        <w:t>10.合同价款与支付</w:t>
      </w:r>
      <w:bookmarkEnd w:id="1372"/>
      <w:bookmarkEnd w:id="1373"/>
      <w:bookmarkEnd w:id="1374"/>
      <w:bookmarkEnd w:id="1375"/>
      <w:bookmarkEnd w:id="1376"/>
    </w:p>
    <w:p w14:paraId="309EA975">
      <w:pPr>
        <w:pStyle w:val="8"/>
        <w:ind w:firstLine="602"/>
        <w:rPr>
          <w:rFonts w:ascii="Times New Roman" w:hAnsi="Times New Roman" w:eastAsia="黑体"/>
          <w:color w:val="auto"/>
          <w:sz w:val="30"/>
          <w:highlight w:val="none"/>
        </w:rPr>
      </w:pPr>
      <w:r>
        <w:rPr>
          <w:rFonts w:ascii="Times New Roman" w:hAnsi="Times New Roman" w:eastAsia="黑体"/>
          <w:color w:val="auto"/>
          <w:sz w:val="30"/>
          <w:highlight w:val="none"/>
        </w:rPr>
        <w:t>10.1合同价款组成</w:t>
      </w:r>
    </w:p>
    <w:p w14:paraId="746C813A">
      <w:pPr>
        <w:spacing w:line="360" w:lineRule="auto"/>
        <w:rPr>
          <w:rFonts w:ascii="仿宋_GB2312" w:hAnsi="仿宋_GB2312" w:eastAsia="仿宋_GB2312" w:cs="仿宋_GB2312"/>
          <w:bCs/>
          <w:color w:val="auto"/>
          <w:sz w:val="30"/>
          <w:szCs w:val="30"/>
          <w:highlight w:val="none"/>
        </w:rPr>
      </w:pPr>
      <w:r>
        <w:rPr>
          <w:rFonts w:hint="eastAsia" w:ascii="仿宋_GB2312" w:hAnsi="仿宋_GB2312" w:eastAsia="仿宋_GB2312" w:cs="仿宋_GB2312"/>
          <w:color w:val="auto"/>
          <w:highlight w:val="none"/>
        </w:rPr>
        <w:t xml:space="preserve">    </w:t>
      </w:r>
      <w:r>
        <w:rPr>
          <w:rFonts w:hint="eastAsia" w:ascii="仿宋_GB2312" w:hAnsi="仿宋_GB2312" w:eastAsia="仿宋_GB2312" w:cs="仿宋_GB2312"/>
          <w:color w:val="auto"/>
          <w:sz w:val="30"/>
          <w:szCs w:val="30"/>
          <w:highlight w:val="none"/>
        </w:rPr>
        <w:t xml:space="preserve"> 10.1.1本合同价为提供本合同所列服务而发生的人工费、成果文件制作费、办公通讯费、交通费、差旅费、管理费、风险（包括由发包人原因引起的重复工作等）、利润和税金等。</w:t>
      </w:r>
    </w:p>
    <w:p w14:paraId="71025F4F">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10.1.2 其他约定：</w:t>
      </w:r>
      <w:r>
        <w:rPr>
          <w:rFonts w:hint="eastAsia" w:ascii="仿宋_GB2312" w:hAnsi="仿宋_GB2312" w:eastAsia="仿宋_GB2312" w:cs="仿宋_GB2312"/>
          <w:color w:val="auto"/>
          <w:sz w:val="30"/>
          <w:szCs w:val="30"/>
          <w:highlight w:val="none"/>
          <w:u w:val="single"/>
        </w:rPr>
        <w:t>详见第七部分发包人要求。</w:t>
      </w:r>
    </w:p>
    <w:p w14:paraId="4B6CC496">
      <w:pPr>
        <w:widowControl/>
        <w:adjustRightInd w:val="0"/>
        <w:snapToGrid w:val="0"/>
        <w:spacing w:line="360" w:lineRule="auto"/>
        <w:ind w:firstLine="602" w:firstLineChars="200"/>
        <w:rPr>
          <w:rFonts w:ascii="仿宋_GB2312" w:hAnsi="仿宋_GB2312" w:eastAsia="仿宋_GB2312" w:cs="仿宋_GB2312"/>
          <w:color w:val="auto"/>
          <w:sz w:val="30"/>
          <w:szCs w:val="30"/>
          <w:highlight w:val="none"/>
        </w:rPr>
      </w:pPr>
      <w:r>
        <w:rPr>
          <w:rFonts w:ascii="Times New Roman" w:hAnsi="Times New Roman" w:eastAsia="黑体"/>
          <w:b/>
          <w:bCs/>
          <w:color w:val="auto"/>
          <w:sz w:val="30"/>
          <w:szCs w:val="32"/>
          <w:highlight w:val="none"/>
        </w:rPr>
        <w:t xml:space="preserve">10.2 </w:t>
      </w:r>
      <w:r>
        <w:rPr>
          <w:rFonts w:hint="eastAsia" w:ascii="Times New Roman" w:hAnsi="Times New Roman" w:eastAsia="黑体"/>
          <w:b/>
          <w:bCs/>
          <w:color w:val="auto"/>
          <w:sz w:val="30"/>
          <w:szCs w:val="32"/>
          <w:highlight w:val="none"/>
        </w:rPr>
        <w:t>合同价格形式</w:t>
      </w:r>
    </w:p>
    <w:p w14:paraId="58469EC7">
      <w:pPr>
        <w:spacing w:line="360" w:lineRule="auto"/>
        <w:ind w:firstLine="580" w:firstLineChars="200"/>
        <w:jc w:val="left"/>
        <w:rPr>
          <w:rFonts w:ascii="仿宋_GB2312" w:hAnsi="仿宋_GB2312" w:eastAsia="仿宋_GB2312" w:cs="仿宋_GB2312"/>
          <w:color w:val="auto"/>
          <w:sz w:val="30"/>
          <w:szCs w:val="30"/>
          <w:highlight w:val="none"/>
        </w:rPr>
      </w:pPr>
      <w:r>
        <w:rPr>
          <w:rFonts w:ascii="仿宋_GB2312" w:hAnsi="仿宋_GB2312" w:eastAsia="仿宋_GB2312" w:cs="仿宋_GB2312"/>
          <w:color w:val="auto"/>
          <w:spacing w:val="-5"/>
          <w:sz w:val="30"/>
          <w:szCs w:val="30"/>
          <w:highlight w:val="none"/>
        </w:rPr>
        <w:sym w:font="Wingdings" w:char="00FE"/>
      </w:r>
      <w:r>
        <w:rPr>
          <w:rFonts w:hint="eastAsia" w:ascii="仿宋_GB2312" w:hAnsi="仿宋_GB2312" w:eastAsia="仿宋_GB2312" w:cs="仿宋_GB2312"/>
          <w:color w:val="auto"/>
          <w:sz w:val="30"/>
          <w:szCs w:val="30"/>
          <w:highlight w:val="none"/>
        </w:rPr>
        <w:t>单价合同</w:t>
      </w:r>
    </w:p>
    <w:p w14:paraId="396AEDC5">
      <w:pPr>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价格计算：每平方米单价：</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元/㎡，根据精装实际设计面积每平方米报价</w:t>
      </w:r>
    </w:p>
    <w:p w14:paraId="0443293E">
      <w:pPr>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设计费＝精装实际设计面积（㎡）×单价（元／㎡）。</w:t>
      </w:r>
    </w:p>
    <w:p w14:paraId="0A019EE5">
      <w:pPr>
        <w:spacing w:line="360" w:lineRule="auto"/>
        <w:ind w:firstLine="600" w:firstLineChars="200"/>
        <w:jc w:val="left"/>
        <w:rPr>
          <w:rFonts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rPr>
        <w:t>单价包含的风险范围：</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u w:val="single"/>
          <w:lang w:val="en-US" w:eastAsia="zh-CN"/>
        </w:rPr>
        <w:t>/</w:t>
      </w:r>
      <w:r>
        <w:rPr>
          <w:rFonts w:ascii="仿宋_GB2312" w:hAnsi="仿宋_GB2312" w:eastAsia="仿宋_GB2312" w:cs="仿宋_GB2312"/>
          <w:color w:val="auto"/>
          <w:sz w:val="30"/>
          <w:szCs w:val="30"/>
          <w:highlight w:val="none"/>
          <w:u w:val="single"/>
        </w:rPr>
        <w:t xml:space="preserve">         </w:t>
      </w:r>
      <w:r>
        <w:rPr>
          <w:rFonts w:ascii="仿宋_GB2312" w:hAnsi="仿宋_GB2312" w:eastAsia="仿宋_GB2312" w:cs="仿宋_GB2312"/>
          <w:color w:val="auto"/>
          <w:sz w:val="30"/>
          <w:szCs w:val="30"/>
          <w:highlight w:val="none"/>
        </w:rPr>
        <w:t xml:space="preserve"> </w:t>
      </w:r>
      <w:r>
        <w:rPr>
          <w:rFonts w:hint="eastAsia" w:ascii="仿宋_GB2312" w:hAnsi="仿宋_GB2312" w:eastAsia="仿宋_GB2312" w:cs="仿宋_GB2312"/>
          <w:color w:val="auto"/>
          <w:sz w:val="30"/>
          <w:szCs w:val="30"/>
          <w:highlight w:val="none"/>
        </w:rPr>
        <w:t>。</w:t>
      </w:r>
    </w:p>
    <w:p w14:paraId="0A2486F7">
      <w:pPr>
        <w:spacing w:line="360" w:lineRule="auto"/>
        <w:ind w:firstLine="600" w:firstLineChars="200"/>
        <w:jc w:val="left"/>
        <w:rPr>
          <w:rFonts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rPr>
        <w:t>风险费用的计算方法：</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u w:val="single"/>
          <w:lang w:val="en-US" w:eastAsia="zh-CN"/>
        </w:rPr>
        <w:t>/</w:t>
      </w:r>
      <w:r>
        <w:rPr>
          <w:rFonts w:ascii="仿宋_GB2312" w:hAnsi="仿宋_GB2312" w:eastAsia="仿宋_GB2312" w:cs="仿宋_GB2312"/>
          <w:color w:val="auto"/>
          <w:sz w:val="30"/>
          <w:szCs w:val="30"/>
          <w:highlight w:val="none"/>
          <w:u w:val="single"/>
        </w:rPr>
        <w:t xml:space="preserve">            </w:t>
      </w:r>
      <w:r>
        <w:rPr>
          <w:rFonts w:ascii="仿宋_GB2312" w:hAnsi="仿宋_GB2312" w:eastAsia="仿宋_GB2312" w:cs="仿宋_GB2312"/>
          <w:color w:val="auto"/>
          <w:sz w:val="30"/>
          <w:szCs w:val="30"/>
          <w:highlight w:val="none"/>
        </w:rPr>
        <w:t xml:space="preserve"> </w:t>
      </w:r>
      <w:r>
        <w:rPr>
          <w:rFonts w:hint="eastAsia" w:ascii="仿宋_GB2312" w:hAnsi="仿宋_GB2312" w:eastAsia="仿宋_GB2312" w:cs="仿宋_GB2312"/>
          <w:color w:val="auto"/>
          <w:sz w:val="30"/>
          <w:szCs w:val="30"/>
          <w:highlight w:val="none"/>
        </w:rPr>
        <w:t>。</w:t>
      </w:r>
    </w:p>
    <w:p w14:paraId="105061FE">
      <w:pPr>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风险范围以外合同价格的调整方法：</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u w:val="single"/>
          <w:lang w:val="en-US" w:eastAsia="zh-CN"/>
        </w:rPr>
        <w:t>/</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r>
        <w:rPr>
          <w:rFonts w:ascii="仿宋_GB2312" w:hAnsi="仿宋_GB2312" w:eastAsia="仿宋_GB2312" w:cs="仿宋_GB2312"/>
          <w:color w:val="auto"/>
          <w:sz w:val="30"/>
          <w:szCs w:val="30"/>
          <w:highlight w:val="none"/>
        </w:rPr>
        <w:t xml:space="preserve">     </w:t>
      </w:r>
    </w:p>
    <w:p w14:paraId="1306D3A8">
      <w:pPr>
        <w:spacing w:line="360" w:lineRule="auto"/>
        <w:ind w:firstLine="580" w:firstLineChars="200"/>
        <w:jc w:val="left"/>
        <w:rPr>
          <w:rFonts w:ascii="仿宋_GB2312" w:hAnsi="仿宋_GB2312" w:eastAsia="仿宋_GB2312" w:cs="仿宋_GB2312"/>
          <w:color w:val="auto"/>
          <w:sz w:val="30"/>
          <w:szCs w:val="30"/>
          <w:highlight w:val="none"/>
        </w:rPr>
      </w:pPr>
      <w:r>
        <w:rPr>
          <w:rFonts w:ascii="仿宋_GB2312" w:hAnsi="仿宋_GB2312" w:eastAsia="仿宋_GB2312" w:cs="仿宋_GB2312"/>
          <w:color w:val="auto"/>
          <w:spacing w:val="-5"/>
          <w:sz w:val="30"/>
          <w:szCs w:val="30"/>
          <w:highlight w:val="none"/>
        </w:rPr>
        <w:sym w:font="Wingdings" w:char="00A8"/>
      </w:r>
      <w:r>
        <w:rPr>
          <w:rFonts w:hint="eastAsia" w:ascii="仿宋_GB2312" w:hAnsi="仿宋_GB2312" w:eastAsia="仿宋_GB2312" w:cs="仿宋_GB2312"/>
          <w:color w:val="auto"/>
          <w:sz w:val="30"/>
          <w:szCs w:val="30"/>
          <w:highlight w:val="none"/>
        </w:rPr>
        <w:t>总价合同</w:t>
      </w:r>
    </w:p>
    <w:p w14:paraId="1E6CC903">
      <w:pPr>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总价：</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元。</w:t>
      </w:r>
    </w:p>
    <w:p w14:paraId="5A53058A">
      <w:pPr>
        <w:spacing w:line="360" w:lineRule="auto"/>
        <w:ind w:firstLine="600" w:firstLineChars="200"/>
        <w:jc w:val="left"/>
        <w:rPr>
          <w:rFonts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rPr>
        <w:t>总价包含的风险范围：</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p>
    <w:p w14:paraId="16835D8A">
      <w:pPr>
        <w:spacing w:line="360" w:lineRule="auto"/>
        <w:ind w:firstLine="600" w:firstLineChars="200"/>
        <w:jc w:val="left"/>
        <w:rPr>
          <w:rFonts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rPr>
        <w:t>风险费用的计算方法：</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p>
    <w:p w14:paraId="0306143F">
      <w:pPr>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风险范围以外合同价格的调整方法：</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r>
        <w:rPr>
          <w:rFonts w:ascii="仿宋_GB2312" w:hAnsi="仿宋_GB2312" w:eastAsia="仿宋_GB2312" w:cs="仿宋_GB2312"/>
          <w:color w:val="auto"/>
          <w:sz w:val="30"/>
          <w:szCs w:val="30"/>
          <w:highlight w:val="none"/>
        </w:rPr>
        <w:t xml:space="preserve">       </w:t>
      </w:r>
    </w:p>
    <w:p w14:paraId="0CD1ADBF">
      <w:pPr>
        <w:pStyle w:val="79"/>
        <w:spacing w:after="0" w:line="360" w:lineRule="auto"/>
        <w:ind w:firstLine="580" w:firstLineChars="200"/>
        <w:rPr>
          <w:rFonts w:ascii="仿宋_GB2312" w:hAnsi="仿宋_GB2312" w:eastAsia="仿宋_GB2312" w:cs="仿宋_GB2312"/>
          <w:color w:val="auto"/>
          <w:spacing w:val="-3"/>
          <w:sz w:val="30"/>
          <w:szCs w:val="30"/>
          <w:highlight w:val="none"/>
        </w:rPr>
      </w:pPr>
      <w:r>
        <w:rPr>
          <w:rFonts w:ascii="仿宋_GB2312" w:hAnsi="仿宋_GB2312" w:eastAsia="仿宋_GB2312" w:cs="仿宋_GB2312"/>
          <w:color w:val="auto"/>
          <w:spacing w:val="-5"/>
          <w:sz w:val="30"/>
          <w:szCs w:val="30"/>
          <w:highlight w:val="none"/>
        </w:rPr>
        <w:sym w:font="Wingdings" w:char="00A8"/>
      </w:r>
      <w:r>
        <w:rPr>
          <w:rFonts w:hint="eastAsia" w:ascii="仿宋_GB2312" w:hAnsi="仿宋_GB2312" w:eastAsia="仿宋_GB2312" w:cs="仿宋_GB2312"/>
          <w:color w:val="auto"/>
          <w:sz w:val="30"/>
          <w:szCs w:val="30"/>
          <w:highlight w:val="none"/>
        </w:rPr>
        <w:t>其他价格形式：</w:t>
      </w:r>
      <w:r>
        <w:rPr>
          <w:color w:val="auto"/>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p>
    <w:p w14:paraId="55653686">
      <w:pPr>
        <w:pStyle w:val="79"/>
        <w:spacing w:after="0" w:line="360" w:lineRule="auto"/>
        <w:ind w:firstLine="588"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3"/>
          <w:sz w:val="30"/>
          <w:szCs w:val="30"/>
          <w:highlight w:val="none"/>
        </w:rPr>
        <w:t>10.3定金或预付款</w:t>
      </w:r>
    </w:p>
    <w:p w14:paraId="69059E47">
      <w:pPr>
        <w:pStyle w:val="79"/>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本项目无定金或预付款。</w:t>
      </w:r>
    </w:p>
    <w:p w14:paraId="16E20481">
      <w:pPr>
        <w:pStyle w:val="79"/>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10.5合同价款的结算与支付</w:t>
      </w:r>
      <w:r>
        <w:rPr>
          <w:rStyle w:val="45"/>
          <w:rFonts w:hint="eastAsia" w:ascii="仿宋_GB2312" w:hAnsi="仿宋_GB2312" w:eastAsia="仿宋_GB2312" w:cs="仿宋_GB2312"/>
          <w:color w:val="auto"/>
          <w:sz w:val="30"/>
          <w:szCs w:val="30"/>
          <w:highlight w:val="none"/>
          <w:u w:val="single"/>
        </w:rPr>
        <w:t>详见附件6</w:t>
      </w:r>
      <w:r>
        <w:rPr>
          <w:rStyle w:val="45"/>
          <w:rFonts w:hint="eastAsia" w:ascii="仿宋_GB2312" w:hAnsi="仿宋_GB2312" w:eastAsia="仿宋_GB2312" w:cs="仿宋_GB2312"/>
          <w:color w:val="auto"/>
          <w:sz w:val="30"/>
          <w:szCs w:val="30"/>
          <w:highlight w:val="none"/>
        </w:rPr>
        <w:t>。</w:t>
      </w:r>
    </w:p>
    <w:p w14:paraId="7CC3FD2C">
      <w:pPr>
        <w:pStyle w:val="79"/>
        <w:spacing w:after="0" w:line="360" w:lineRule="auto"/>
        <w:ind w:firstLine="588" w:firstLineChars="200"/>
        <w:rPr>
          <w:rFonts w:ascii="仿宋_GB2312" w:hAnsi="仿宋_GB2312" w:eastAsia="仿宋_GB2312" w:cs="仿宋_GB2312"/>
          <w:color w:val="auto"/>
          <w:spacing w:val="-3"/>
          <w:sz w:val="30"/>
          <w:szCs w:val="30"/>
          <w:highlight w:val="none"/>
        </w:rPr>
      </w:pPr>
      <w:r>
        <w:rPr>
          <w:rFonts w:hint="eastAsia" w:ascii="仿宋_GB2312" w:hAnsi="仿宋_GB2312" w:eastAsia="仿宋_GB2312" w:cs="仿宋_GB2312"/>
          <w:color w:val="auto"/>
          <w:spacing w:val="-3"/>
          <w:sz w:val="30"/>
          <w:szCs w:val="30"/>
          <w:highlight w:val="none"/>
        </w:rPr>
        <w:t>10.5.1合同费用由发包人分次支付设计人。申请各阶段费用时，设计人应开具合格的发票给发包人或发包人指定的部门（单位/组织），具体通过相关纪要或往来函件明确。各阶段费用支付方式详见附件6。</w:t>
      </w:r>
    </w:p>
    <w:p w14:paraId="61789A2E">
      <w:pPr>
        <w:pStyle w:val="79"/>
        <w:widowControl/>
        <w:spacing w:line="360" w:lineRule="auto"/>
        <w:ind w:firstLine="588" w:firstLineChars="200"/>
        <w:rPr>
          <w:rFonts w:ascii="仿宋_GB2312" w:hAnsi="仿宋_GB2312" w:eastAsia="仿宋_GB2312" w:cs="仿宋_GB2312"/>
          <w:color w:val="auto"/>
          <w:spacing w:val="-3"/>
          <w:sz w:val="30"/>
          <w:szCs w:val="30"/>
          <w:highlight w:val="none"/>
        </w:rPr>
      </w:pPr>
      <w:r>
        <w:rPr>
          <w:rFonts w:hint="eastAsia" w:ascii="仿宋_GB2312" w:hAnsi="仿宋_GB2312" w:eastAsia="仿宋_GB2312" w:cs="仿宋_GB2312"/>
          <w:color w:val="auto"/>
          <w:spacing w:val="-3"/>
          <w:sz w:val="30"/>
          <w:szCs w:val="30"/>
          <w:highlight w:val="none"/>
        </w:rPr>
        <w:t>10.5.2双方委托银行代付代收有关费用，支付款项同时提供等额合法有效增值税普通发票至发包</w:t>
      </w:r>
      <w:r>
        <w:rPr>
          <w:rFonts w:hint="eastAsia" w:ascii="仿宋_GB2312" w:hAnsi="仿宋_GB2312" w:eastAsia="仿宋_GB2312" w:cs="仿宋_GB2312"/>
          <w:color w:val="auto"/>
          <w:spacing w:val="-2"/>
          <w:sz w:val="30"/>
          <w:szCs w:val="30"/>
          <w:highlight w:val="none"/>
        </w:rPr>
        <w:t>人，否则发包人有权延迟付款直至设计人提供发票为止，并不需要承担相应的损失及法律责任。</w:t>
      </w:r>
    </w:p>
    <w:p w14:paraId="628C19BA">
      <w:pPr>
        <w:widowControl/>
        <w:spacing w:line="360" w:lineRule="auto"/>
        <w:ind w:firstLine="60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b/>
          <w:color w:val="auto"/>
          <w:sz w:val="30"/>
          <w:szCs w:val="30"/>
          <w:highlight w:val="none"/>
        </w:rPr>
        <w:t>10.5.4合同价款的调整</w:t>
      </w:r>
      <w:r>
        <w:rPr>
          <w:rStyle w:val="45"/>
          <w:rFonts w:hint="eastAsia" w:ascii="仿宋_GB2312" w:hAnsi="仿宋_GB2312" w:eastAsia="仿宋_GB2312" w:cs="仿宋_GB2312"/>
          <w:color w:val="auto"/>
          <w:sz w:val="30"/>
          <w:szCs w:val="30"/>
          <w:highlight w:val="none"/>
        </w:rPr>
        <w:t>：</w:t>
      </w:r>
      <w:r>
        <w:rPr>
          <w:rStyle w:val="45"/>
          <w:rFonts w:ascii="仿宋_GB2312" w:hAnsi="仿宋_GB2312" w:eastAsia="仿宋_GB2312" w:cs="仿宋_GB2312"/>
          <w:color w:val="auto"/>
          <w:sz w:val="30"/>
          <w:szCs w:val="30"/>
          <w:highlight w:val="none"/>
          <w:u w:val="single"/>
        </w:rPr>
        <w:t>详见附件7</w:t>
      </w:r>
      <w:r>
        <w:rPr>
          <w:rStyle w:val="45"/>
          <w:rFonts w:hint="eastAsia" w:ascii="仿宋_GB2312" w:hAnsi="仿宋_GB2312" w:eastAsia="仿宋_GB2312" w:cs="仿宋_GB2312"/>
          <w:color w:val="auto"/>
          <w:sz w:val="30"/>
          <w:szCs w:val="30"/>
          <w:highlight w:val="none"/>
        </w:rPr>
        <w:t>。</w:t>
      </w:r>
    </w:p>
    <w:p w14:paraId="08D3C753">
      <w:pPr>
        <w:widowControl/>
        <w:autoSpaceDE w:val="0"/>
        <w:autoSpaceDN w:val="0"/>
        <w:adjustRightInd w:val="0"/>
        <w:snapToGrid w:val="0"/>
        <w:spacing w:line="360" w:lineRule="auto"/>
        <w:ind w:firstLine="600" w:firstLineChars="200"/>
        <w:rPr>
          <w:rFonts w:ascii="仿宋_GB2312" w:hAnsi="仿宋_GB2312" w:eastAsia="仿宋_GB2312" w:cs="仿宋_GB2312"/>
          <w:b/>
          <w:color w:val="auto"/>
          <w:sz w:val="30"/>
          <w:szCs w:val="30"/>
          <w:highlight w:val="none"/>
        </w:rPr>
      </w:pPr>
      <w:r>
        <w:rPr>
          <w:rFonts w:hint="eastAsia" w:ascii="仿宋_GB2312" w:hAnsi="仿宋_GB2312" w:eastAsia="仿宋_GB2312" w:cs="仿宋_GB2312"/>
          <w:color w:val="auto"/>
          <w:sz w:val="30"/>
          <w:szCs w:val="30"/>
          <w:highlight w:val="none"/>
        </w:rPr>
        <w:t>10</w:t>
      </w:r>
      <w:r>
        <w:rPr>
          <w:rFonts w:hint="eastAsia" w:ascii="仿宋_GB2312" w:hAnsi="仿宋_GB2312" w:eastAsia="仿宋_GB2312" w:cs="仿宋_GB2312"/>
          <w:b/>
          <w:color w:val="auto"/>
          <w:sz w:val="30"/>
          <w:szCs w:val="30"/>
          <w:highlight w:val="none"/>
        </w:rPr>
        <w:t>.5.5 本设计费用不包括以下项目：</w:t>
      </w:r>
    </w:p>
    <w:p w14:paraId="5B182850">
      <w:pPr>
        <w:widowControl/>
        <w:adjustRightInd w:val="0"/>
        <w:snapToGrid w:val="0"/>
        <w:spacing w:line="360" w:lineRule="auto"/>
        <w:ind w:firstLine="600" w:firstLineChars="200"/>
        <w:rPr>
          <w:rFonts w:ascii="仿宋_GB2312" w:hAnsi="仿宋_GB2312" w:eastAsia="仿宋_GB2312" w:cs="仿宋_GB2312"/>
          <w:color w:val="auto"/>
          <w:sz w:val="30"/>
          <w:szCs w:val="30"/>
          <w:highlight w:val="none"/>
          <w:lang w:val="zh-TW"/>
        </w:rPr>
      </w:pPr>
      <w:r>
        <w:rPr>
          <w:rFonts w:hint="eastAsia" w:ascii="仿宋_GB2312" w:hAnsi="仿宋_GB2312" w:eastAsia="仿宋_GB2312" w:cs="仿宋_GB2312"/>
          <w:color w:val="auto"/>
          <w:sz w:val="30"/>
          <w:szCs w:val="30"/>
          <w:highlight w:val="none"/>
        </w:rPr>
        <w:t xml:space="preserve">10.5.5.1 </w:t>
      </w:r>
      <w:r>
        <w:rPr>
          <w:rFonts w:hint="eastAsia" w:ascii="仿宋_GB2312" w:hAnsi="仿宋_GB2312" w:eastAsia="仿宋_GB2312" w:cs="仿宋_GB2312"/>
          <w:color w:val="auto"/>
          <w:sz w:val="30"/>
          <w:szCs w:val="30"/>
          <w:highlight w:val="none"/>
          <w:lang w:val="zh-TW"/>
        </w:rPr>
        <w:t>附件图纸圈定地域及设计内容要求以外的项目设计费。</w:t>
      </w:r>
    </w:p>
    <w:p w14:paraId="2F49A9EC">
      <w:pPr>
        <w:widowControl/>
        <w:adjustRightInd w:val="0"/>
        <w:snapToGrid w:val="0"/>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 xml:space="preserve">10.5.5.2 </w:t>
      </w:r>
      <w:r>
        <w:rPr>
          <w:rFonts w:hint="eastAsia" w:ascii="仿宋_GB2312" w:hAnsi="仿宋_GB2312" w:eastAsia="仿宋_GB2312" w:cs="仿宋_GB2312"/>
          <w:color w:val="auto"/>
          <w:sz w:val="30"/>
          <w:szCs w:val="30"/>
          <w:highlight w:val="none"/>
          <w:lang w:val="zh-TW"/>
        </w:rPr>
        <w:t>施工监理的费用。</w:t>
      </w:r>
    </w:p>
    <w:p w14:paraId="4EBBF324">
      <w:pPr>
        <w:widowControl/>
        <w:adjustRightInd w:val="0"/>
        <w:snapToGrid w:val="0"/>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 xml:space="preserve">10.5.5.3 </w:t>
      </w:r>
      <w:r>
        <w:rPr>
          <w:rFonts w:hint="eastAsia" w:ascii="仿宋_GB2312" w:hAnsi="仿宋_GB2312" w:eastAsia="仿宋_GB2312" w:cs="仿宋_GB2312"/>
          <w:color w:val="auto"/>
          <w:sz w:val="30"/>
          <w:szCs w:val="30"/>
          <w:highlight w:val="none"/>
          <w:lang w:val="zh-TW"/>
        </w:rPr>
        <w:t>呈交政府管理部门审批的费用</w:t>
      </w:r>
      <w:r>
        <w:rPr>
          <w:rFonts w:hint="eastAsia" w:ascii="仿宋_GB2312" w:hAnsi="仿宋_GB2312" w:eastAsia="仿宋_GB2312" w:cs="仿宋_GB2312"/>
          <w:color w:val="auto"/>
          <w:sz w:val="30"/>
          <w:szCs w:val="30"/>
          <w:highlight w:val="none"/>
        </w:rPr>
        <w:t>。</w:t>
      </w:r>
    </w:p>
    <w:p w14:paraId="3D1396E3">
      <w:pPr>
        <w:widowControl/>
        <w:adjustRightInd w:val="0"/>
        <w:snapToGrid w:val="0"/>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10.6 甲方应将每期应付的设计费用汇至如下乙方银行账户：</w:t>
      </w:r>
    </w:p>
    <w:p w14:paraId="7C030C83">
      <w:pPr>
        <w:widowControl/>
        <w:adjustRightInd w:val="0"/>
        <w:snapToGrid w:val="0"/>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公司全称：</w:t>
      </w:r>
      <w:sdt>
        <w:sdtPr>
          <w:rPr>
            <w:rFonts w:hint="eastAsia" w:ascii="仿宋_GB2312" w:hAnsi="仿宋_GB2312" w:eastAsia="仿宋_GB2312" w:cs="仿宋_GB2312"/>
            <w:color w:val="auto"/>
            <w:sz w:val="30"/>
            <w:szCs w:val="30"/>
            <w:highlight w:val="none"/>
          </w:rPr>
          <w:id w:val="147473545"/>
          <w:placeholder>
            <w:docPart w:val="{a322a1c6-90ac-45f1-a232-f9c999521b0a}"/>
          </w:placeholder>
          <w:showingPlcHdr/>
        </w:sdtPr>
        <w:sdtEndPr>
          <w:rPr>
            <w:rFonts w:hint="eastAsia" w:ascii="仿宋_GB2312" w:hAnsi="仿宋_GB2312" w:eastAsia="仿宋_GB2312" w:cs="仿宋_GB2312"/>
            <w:color w:val="auto"/>
            <w:sz w:val="30"/>
            <w:szCs w:val="30"/>
            <w:highlight w:val="none"/>
          </w:rPr>
        </w:sdtEndPr>
        <w:sdtContent>
          <w:r>
            <w:rPr>
              <w:color w:val="auto"/>
              <w:highlight w:val="none"/>
            </w:rPr>
            <w:t>单击此处输入文字。</w:t>
          </w:r>
        </w:sdtContent>
      </w:sdt>
      <w:r>
        <w:rPr>
          <w:rFonts w:hint="eastAsia" w:ascii="仿宋_GB2312" w:hAnsi="仿宋_GB2312" w:eastAsia="仿宋_GB2312" w:cs="仿宋_GB2312"/>
          <w:color w:val="auto"/>
          <w:sz w:val="30"/>
          <w:szCs w:val="30"/>
          <w:highlight w:val="none"/>
        </w:rPr>
        <w:t xml:space="preserve"> </w:t>
      </w:r>
    </w:p>
    <w:p w14:paraId="09624A19">
      <w:pPr>
        <w:widowControl/>
        <w:adjustRightInd w:val="0"/>
        <w:snapToGrid w:val="0"/>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银行账号：</w:t>
      </w:r>
      <w:sdt>
        <w:sdtPr>
          <w:rPr>
            <w:rFonts w:hint="eastAsia" w:ascii="仿宋_GB2312" w:hAnsi="仿宋_GB2312" w:eastAsia="仿宋_GB2312" w:cs="仿宋_GB2312"/>
            <w:color w:val="auto"/>
            <w:sz w:val="30"/>
            <w:szCs w:val="30"/>
            <w:highlight w:val="none"/>
          </w:rPr>
          <w:id w:val="147473535"/>
          <w:placeholder>
            <w:docPart w:val="{b849f7be-2f11-4dc7-827f-613b06421f73}"/>
          </w:placeholder>
          <w:showingPlcHdr/>
        </w:sdtPr>
        <w:sdtEndPr>
          <w:rPr>
            <w:rFonts w:hint="eastAsia" w:ascii="仿宋_GB2312" w:hAnsi="仿宋_GB2312" w:eastAsia="仿宋_GB2312" w:cs="仿宋_GB2312"/>
            <w:color w:val="auto"/>
            <w:sz w:val="30"/>
            <w:szCs w:val="30"/>
            <w:highlight w:val="none"/>
          </w:rPr>
        </w:sdtEndPr>
        <w:sdtContent>
          <w:r>
            <w:rPr>
              <w:color w:val="auto"/>
              <w:highlight w:val="none"/>
            </w:rPr>
            <w:t>单击此处输入文字。</w:t>
          </w:r>
        </w:sdtContent>
      </w:sdt>
    </w:p>
    <w:p w14:paraId="30BBE9DA">
      <w:pPr>
        <w:widowControl/>
        <w:adjustRightInd w:val="0"/>
        <w:snapToGrid w:val="0"/>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开户银行：</w:t>
      </w:r>
      <w:sdt>
        <w:sdtPr>
          <w:rPr>
            <w:rFonts w:hint="eastAsia" w:ascii="仿宋_GB2312" w:hAnsi="仿宋_GB2312" w:eastAsia="仿宋_GB2312" w:cs="仿宋_GB2312"/>
            <w:color w:val="auto"/>
            <w:sz w:val="30"/>
            <w:szCs w:val="30"/>
            <w:highlight w:val="none"/>
          </w:rPr>
          <w:id w:val="147473518"/>
          <w:placeholder>
            <w:docPart w:val="{ba86e39d-8fd0-4b85-bd49-8db818db39b0}"/>
          </w:placeholder>
          <w:showingPlcHdr/>
        </w:sdtPr>
        <w:sdtEndPr>
          <w:rPr>
            <w:rFonts w:hint="eastAsia" w:ascii="仿宋_GB2312" w:hAnsi="仿宋_GB2312" w:eastAsia="仿宋_GB2312" w:cs="仿宋_GB2312"/>
            <w:color w:val="auto"/>
            <w:sz w:val="30"/>
            <w:szCs w:val="30"/>
            <w:highlight w:val="none"/>
          </w:rPr>
        </w:sdtEndPr>
        <w:sdtContent>
          <w:r>
            <w:rPr>
              <w:color w:val="auto"/>
              <w:highlight w:val="none"/>
            </w:rPr>
            <w:t>单击此处输入文字。</w:t>
          </w:r>
        </w:sdtContent>
      </w:sdt>
    </w:p>
    <w:p w14:paraId="69B2E06B">
      <w:pPr>
        <w:widowControl/>
        <w:adjustRightInd w:val="0"/>
        <w:snapToGrid w:val="0"/>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如乙方银行账户发生变更的，应于变更后三日内书面通知甲方，否则由此导致的逾期收款后果等损失由乙方自行承担。</w:t>
      </w:r>
    </w:p>
    <w:p w14:paraId="79FA672B">
      <w:pPr>
        <w:pStyle w:val="7"/>
        <w:keepNext/>
        <w:keepLines/>
        <w:ind w:firstLine="0" w:firstLineChars="0"/>
        <w:jc w:val="both"/>
        <w:rPr>
          <w:rFonts w:eastAsia="黑体"/>
          <w:bCs/>
          <w:color w:val="auto"/>
          <w:sz w:val="32"/>
          <w:highlight w:val="none"/>
        </w:rPr>
      </w:pPr>
      <w:bookmarkStart w:id="1377" w:name="_Toc32746"/>
      <w:bookmarkStart w:id="1378" w:name="_Toc14285"/>
      <w:bookmarkStart w:id="1379" w:name="_Toc15294"/>
      <w:bookmarkStart w:id="1380" w:name="_Toc17504"/>
      <w:bookmarkStart w:id="1381" w:name="_Toc19031"/>
      <w:r>
        <w:rPr>
          <w:rFonts w:eastAsia="黑体"/>
          <w:bCs/>
          <w:color w:val="auto"/>
          <w:sz w:val="32"/>
          <w:highlight w:val="none"/>
        </w:rPr>
        <w:t>11.工程设计变更与索赔</w:t>
      </w:r>
      <w:bookmarkEnd w:id="1377"/>
      <w:bookmarkEnd w:id="1378"/>
      <w:bookmarkEnd w:id="1379"/>
      <w:bookmarkEnd w:id="1380"/>
      <w:bookmarkEnd w:id="1381"/>
    </w:p>
    <w:p w14:paraId="575BB687">
      <w:pPr>
        <w:pStyle w:val="79"/>
        <w:spacing w:after="0" w:line="360" w:lineRule="auto"/>
        <w:ind w:firstLine="608"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11.5设计人应于认为有理由提出增加合</w:t>
      </w:r>
      <w:r>
        <w:rPr>
          <w:rFonts w:hint="eastAsia" w:ascii="仿宋_GB2312" w:hAnsi="仿宋_GB2312" w:eastAsia="仿宋_GB2312" w:cs="仿宋_GB2312"/>
          <w:color w:val="auto"/>
          <w:spacing w:val="1"/>
          <w:sz w:val="30"/>
          <w:szCs w:val="30"/>
          <w:highlight w:val="none"/>
        </w:rPr>
        <w:t>同价款或延长设计周期的要求事项发生后</w:t>
      </w:r>
      <w:r>
        <w:rPr>
          <w:rFonts w:hint="eastAsia" w:ascii="仿宋_GB2312" w:hAnsi="仿宋_GB2312" w:eastAsia="仿宋_GB2312" w:cs="仿宋_GB2312"/>
          <w:color w:val="auto"/>
          <w:spacing w:val="1"/>
          <w:sz w:val="30"/>
          <w:szCs w:val="30"/>
          <w:highlight w:val="none"/>
          <w:u w:val="single"/>
        </w:rPr>
        <w:t xml:space="preserve">7  </w:t>
      </w:r>
      <w:r>
        <w:rPr>
          <w:rFonts w:hint="eastAsia" w:ascii="仿宋_GB2312" w:hAnsi="仿宋_GB2312" w:eastAsia="仿宋_GB2312" w:cs="仿宋_GB2312"/>
          <w:color w:val="auto"/>
          <w:spacing w:val="1"/>
          <w:sz w:val="30"/>
          <w:szCs w:val="30"/>
          <w:highlight w:val="none"/>
        </w:rPr>
        <w:t>天内书面</w:t>
      </w:r>
      <w:r>
        <w:rPr>
          <w:rFonts w:hint="eastAsia" w:ascii="仿宋_GB2312" w:hAnsi="仿宋_GB2312" w:eastAsia="仿宋_GB2312" w:cs="仿宋_GB2312"/>
          <w:color w:val="auto"/>
          <w:spacing w:val="-1"/>
          <w:sz w:val="30"/>
          <w:szCs w:val="30"/>
          <w:highlight w:val="none"/>
        </w:rPr>
        <w:t>通知发包人。</w:t>
      </w:r>
    </w:p>
    <w:p w14:paraId="23720E6C">
      <w:pPr>
        <w:pStyle w:val="79"/>
        <w:spacing w:after="0" w:line="360" w:lineRule="auto"/>
        <w:ind w:firstLine="596"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设计人应在该事项发生后</w:t>
      </w:r>
      <w:r>
        <w:rPr>
          <w:rFonts w:hint="eastAsia" w:ascii="仿宋_GB2312" w:hAnsi="仿宋_GB2312" w:eastAsia="仿宋_GB2312" w:cs="仿宋_GB2312"/>
          <w:color w:val="auto"/>
          <w:spacing w:val="-1"/>
          <w:sz w:val="30"/>
          <w:szCs w:val="30"/>
          <w:highlight w:val="none"/>
          <w:u w:val="single"/>
        </w:rPr>
        <w:t xml:space="preserve">  10  </w:t>
      </w:r>
      <w:r>
        <w:rPr>
          <w:rFonts w:hint="eastAsia" w:ascii="仿宋_GB2312" w:hAnsi="仿宋_GB2312" w:eastAsia="仿宋_GB2312" w:cs="仿宋_GB2312"/>
          <w:color w:val="auto"/>
          <w:spacing w:val="-1"/>
          <w:sz w:val="30"/>
          <w:szCs w:val="30"/>
          <w:highlight w:val="none"/>
        </w:rPr>
        <w:t>天内向发</w:t>
      </w:r>
      <w:r>
        <w:rPr>
          <w:rFonts w:hint="eastAsia" w:ascii="仿宋_GB2312" w:hAnsi="仿宋_GB2312" w:eastAsia="仿宋_GB2312" w:cs="仿宋_GB2312"/>
          <w:color w:val="auto"/>
          <w:spacing w:val="-2"/>
          <w:sz w:val="30"/>
          <w:szCs w:val="30"/>
          <w:highlight w:val="none"/>
        </w:rPr>
        <w:t>包人提供证明设计人要求的书面声明。</w:t>
      </w:r>
      <w:r>
        <w:rPr>
          <w:rFonts w:hint="eastAsia" w:ascii="仿宋_GB2312" w:hAnsi="仿宋_GB2312" w:eastAsia="仿宋_GB2312" w:cs="仿宋_GB2312"/>
          <w:color w:val="auto"/>
          <w:sz w:val="30"/>
          <w:szCs w:val="30"/>
          <w:highlight w:val="none"/>
        </w:rPr>
        <w:t xml:space="preserve"> 发包人应在接到设计人书面声明后的</w:t>
      </w:r>
      <w:r>
        <w:rPr>
          <w:rFonts w:hint="eastAsia" w:ascii="仿宋_GB2312" w:hAnsi="仿宋_GB2312" w:eastAsia="仿宋_GB2312" w:cs="仿宋_GB2312"/>
          <w:color w:val="auto"/>
          <w:sz w:val="30"/>
          <w:szCs w:val="30"/>
          <w:highlight w:val="none"/>
          <w:u w:val="single"/>
        </w:rPr>
        <w:t xml:space="preserve">  7  </w:t>
      </w:r>
      <w:r>
        <w:rPr>
          <w:rFonts w:hint="eastAsia" w:ascii="仿宋_GB2312" w:hAnsi="仿宋_GB2312" w:eastAsia="仿宋_GB2312" w:cs="仿宋_GB2312"/>
          <w:color w:val="auto"/>
          <w:sz w:val="30"/>
          <w:szCs w:val="30"/>
          <w:highlight w:val="none"/>
        </w:rPr>
        <w:t>天内，予以书面</w:t>
      </w:r>
      <w:r>
        <w:rPr>
          <w:rFonts w:hint="eastAsia" w:ascii="仿宋_GB2312" w:hAnsi="仿宋_GB2312" w:eastAsia="仿宋_GB2312" w:cs="仿宋_GB2312"/>
          <w:color w:val="auto"/>
          <w:spacing w:val="-1"/>
          <w:sz w:val="30"/>
          <w:szCs w:val="30"/>
          <w:highlight w:val="none"/>
        </w:rPr>
        <w:t>答复。</w:t>
      </w:r>
    </w:p>
    <w:p w14:paraId="2C4C7C5B">
      <w:pPr>
        <w:pStyle w:val="7"/>
        <w:keepNext/>
        <w:keepLines/>
        <w:ind w:firstLine="0" w:firstLineChars="0"/>
        <w:jc w:val="both"/>
        <w:rPr>
          <w:rFonts w:eastAsia="黑体"/>
          <w:bCs/>
          <w:color w:val="auto"/>
          <w:sz w:val="32"/>
          <w:highlight w:val="none"/>
        </w:rPr>
      </w:pPr>
      <w:bookmarkStart w:id="1382" w:name="_Toc25916"/>
      <w:bookmarkStart w:id="1383" w:name="_Toc10448"/>
      <w:bookmarkStart w:id="1384" w:name="_Toc1922"/>
      <w:bookmarkStart w:id="1385" w:name="_Toc11950"/>
      <w:bookmarkStart w:id="1386" w:name="_Toc19708"/>
      <w:r>
        <w:rPr>
          <w:rFonts w:eastAsia="黑体"/>
          <w:bCs/>
          <w:color w:val="auto"/>
          <w:sz w:val="32"/>
          <w:highlight w:val="none"/>
        </w:rPr>
        <w:t>12.专业责任与保险</w:t>
      </w:r>
      <w:bookmarkEnd w:id="1382"/>
      <w:bookmarkEnd w:id="1383"/>
      <w:bookmarkEnd w:id="1384"/>
      <w:bookmarkEnd w:id="1385"/>
      <w:bookmarkEnd w:id="1386"/>
    </w:p>
    <w:p w14:paraId="5E6A0799">
      <w:pPr>
        <w:pStyle w:val="79"/>
        <w:spacing w:after="0" w:line="360" w:lineRule="auto"/>
        <w:ind w:firstLine="596"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12.2  设计人</w:t>
      </w:r>
      <w:r>
        <w:rPr>
          <w:rFonts w:hint="eastAsia" w:ascii="仿宋_GB2312" w:hAnsi="仿宋_GB2312" w:eastAsia="仿宋_GB2312" w:cs="仿宋_GB2312"/>
          <w:color w:val="auto"/>
          <w:spacing w:val="-1"/>
          <w:sz w:val="30"/>
          <w:szCs w:val="30"/>
          <w:highlight w:val="none"/>
          <w:u w:val="single"/>
        </w:rPr>
        <w:t xml:space="preserve">  不需  </w:t>
      </w:r>
      <w:r>
        <w:rPr>
          <w:rFonts w:hint="eastAsia" w:ascii="仿宋_GB2312" w:hAnsi="仿宋_GB2312" w:eastAsia="仿宋_GB2312" w:cs="仿宋_GB2312"/>
          <w:color w:val="auto"/>
          <w:spacing w:val="-1"/>
          <w:sz w:val="30"/>
          <w:szCs w:val="30"/>
          <w:highlight w:val="none"/>
        </w:rPr>
        <w:t>有发包人认可的工程设计责任保险。</w:t>
      </w:r>
    </w:p>
    <w:p w14:paraId="5790FA82">
      <w:pPr>
        <w:pStyle w:val="7"/>
        <w:keepNext/>
        <w:keepLines/>
        <w:ind w:firstLine="0" w:firstLineChars="0"/>
        <w:jc w:val="both"/>
        <w:rPr>
          <w:rFonts w:eastAsia="黑体"/>
          <w:bCs/>
          <w:color w:val="auto"/>
          <w:sz w:val="32"/>
          <w:highlight w:val="none"/>
        </w:rPr>
      </w:pPr>
      <w:bookmarkStart w:id="1387" w:name="_Toc3164"/>
      <w:bookmarkStart w:id="1388" w:name="_Toc2637"/>
      <w:bookmarkStart w:id="1389" w:name="_Toc22086"/>
      <w:bookmarkStart w:id="1390" w:name="_Toc24235"/>
      <w:r>
        <w:rPr>
          <w:rFonts w:eastAsia="黑体"/>
          <w:bCs/>
          <w:color w:val="auto"/>
          <w:sz w:val="32"/>
          <w:highlight w:val="none"/>
        </w:rPr>
        <w:t>13.知识产权</w:t>
      </w:r>
      <w:bookmarkEnd w:id="1387"/>
      <w:bookmarkEnd w:id="1388"/>
      <w:bookmarkEnd w:id="1389"/>
      <w:bookmarkEnd w:id="1390"/>
    </w:p>
    <w:p w14:paraId="4EF2BC7C">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13.1  关于发包人提供给设计人的图纸、发包人为实施工程自行编制或委托编制的技术规格</w:t>
      </w:r>
      <w:r>
        <w:rPr>
          <w:rFonts w:hint="eastAsia" w:ascii="仿宋_GB2312" w:hAnsi="仿宋_GB2312" w:eastAsia="仿宋_GB2312" w:cs="仿宋_GB2312"/>
          <w:color w:val="auto"/>
          <w:spacing w:val="-1"/>
          <w:sz w:val="30"/>
          <w:szCs w:val="30"/>
          <w:highlight w:val="none"/>
        </w:rPr>
        <w:t>以及</w:t>
      </w:r>
      <w:r>
        <w:rPr>
          <w:rFonts w:hint="eastAsia" w:ascii="仿宋_GB2312" w:hAnsi="仿宋_GB2312" w:eastAsia="仿宋_GB2312" w:cs="仿宋_GB2312"/>
          <w:color w:val="auto"/>
          <w:sz w:val="30"/>
          <w:szCs w:val="30"/>
          <w:highlight w:val="none"/>
        </w:rPr>
        <w:t>反映发包人关于合同要求或其他类似性质的文件的著作权的归属：</w:t>
      </w:r>
      <w:r>
        <w:rPr>
          <w:rFonts w:hint="eastAsia" w:ascii="仿宋_GB2312" w:hAnsi="仿宋_GB2312" w:eastAsia="仿宋_GB2312" w:cs="仿宋_GB2312"/>
          <w:color w:val="auto"/>
          <w:spacing w:val="-1"/>
          <w:sz w:val="30"/>
          <w:szCs w:val="30"/>
          <w:highlight w:val="none"/>
          <w:u w:val="single"/>
        </w:rPr>
        <w:t xml:space="preserve"> 发包人  </w:t>
      </w:r>
      <w:r>
        <w:rPr>
          <w:rFonts w:hint="eastAsia" w:ascii="仿宋_GB2312" w:hAnsi="仿宋_GB2312" w:eastAsia="仿宋_GB2312" w:cs="仿宋_GB2312"/>
          <w:color w:val="auto"/>
          <w:spacing w:val="-1"/>
          <w:sz w:val="30"/>
          <w:szCs w:val="30"/>
          <w:highlight w:val="none"/>
        </w:rPr>
        <w:t>。</w:t>
      </w:r>
    </w:p>
    <w:p w14:paraId="38E970CC">
      <w:pPr>
        <w:pStyle w:val="79"/>
        <w:spacing w:after="0" w:line="360" w:lineRule="auto"/>
        <w:ind w:firstLine="604"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关于发包人提供的上述文件的使用限制的要求：</w:t>
      </w:r>
      <w:r>
        <w:rPr>
          <w:rFonts w:hint="eastAsia" w:ascii="仿宋_GB2312" w:hAnsi="仿宋_GB2312" w:eastAsia="仿宋_GB2312" w:cs="仿宋_GB2312"/>
          <w:color w:val="auto"/>
          <w:spacing w:val="1"/>
          <w:sz w:val="30"/>
          <w:szCs w:val="30"/>
          <w:highlight w:val="none"/>
          <w:u w:val="single"/>
        </w:rPr>
        <w:t>设计人可以为实现合同目的而复制、使用此类文件，但不能用于与合同无关的其他事项。未经发包人书面同意，设计人不得为了合同以外的</w:t>
      </w:r>
      <w:r>
        <w:rPr>
          <w:rFonts w:hint="eastAsia" w:ascii="仿宋_GB2312" w:hAnsi="仿宋_GB2312" w:eastAsia="仿宋_GB2312" w:cs="仿宋_GB2312"/>
          <w:color w:val="auto"/>
          <w:sz w:val="30"/>
          <w:szCs w:val="30"/>
          <w:highlight w:val="none"/>
          <w:u w:val="single"/>
        </w:rPr>
        <w:t>目的而复制、使用上述文件或将之提供给任何第</w:t>
      </w:r>
      <w:r>
        <w:rPr>
          <w:rFonts w:hint="eastAsia" w:ascii="仿宋_GB2312" w:hAnsi="仿宋_GB2312" w:eastAsia="仿宋_GB2312" w:cs="仿宋_GB2312"/>
          <w:color w:val="auto"/>
          <w:spacing w:val="-1"/>
          <w:sz w:val="30"/>
          <w:szCs w:val="30"/>
          <w:highlight w:val="none"/>
          <w:u w:val="single"/>
        </w:rPr>
        <w:t>三方发包人</w:t>
      </w:r>
      <w:r>
        <w:rPr>
          <w:rFonts w:ascii="仿宋_GB2312" w:hAnsi="仿宋_GB2312" w:eastAsia="仿宋_GB2312" w:cs="仿宋_GB2312"/>
          <w:color w:val="auto"/>
          <w:spacing w:val="-1"/>
          <w:sz w:val="30"/>
          <w:szCs w:val="30"/>
          <w:highlight w:val="none"/>
          <w:u w:val="single"/>
        </w:rPr>
        <w:t>，如发现资料外泄发包人可对</w:t>
      </w:r>
      <w:r>
        <w:rPr>
          <w:rFonts w:hint="eastAsia" w:ascii="仿宋_GB2312" w:hAnsi="仿宋_GB2312" w:eastAsia="仿宋_GB2312" w:cs="仿宋_GB2312"/>
          <w:color w:val="auto"/>
          <w:spacing w:val="-1"/>
          <w:sz w:val="30"/>
          <w:szCs w:val="30"/>
          <w:highlight w:val="none"/>
          <w:u w:val="single"/>
        </w:rPr>
        <w:t>设计</w:t>
      </w:r>
      <w:r>
        <w:rPr>
          <w:rFonts w:ascii="仿宋_GB2312" w:hAnsi="仿宋_GB2312" w:eastAsia="仿宋_GB2312" w:cs="仿宋_GB2312"/>
          <w:color w:val="auto"/>
          <w:spacing w:val="-1"/>
          <w:sz w:val="30"/>
          <w:szCs w:val="30"/>
          <w:highlight w:val="none"/>
          <w:u w:val="single"/>
        </w:rPr>
        <w:t>人予以追责并处以合同金额20%的赔偿金</w:t>
      </w:r>
      <w:r>
        <w:rPr>
          <w:rFonts w:hint="eastAsia" w:ascii="仿宋_GB2312" w:hAnsi="仿宋_GB2312" w:eastAsia="仿宋_GB2312" w:cs="仿宋_GB2312"/>
          <w:color w:val="auto"/>
          <w:spacing w:val="-1"/>
          <w:sz w:val="30"/>
          <w:szCs w:val="30"/>
          <w:highlight w:val="none"/>
        </w:rPr>
        <w:t>。</w:t>
      </w:r>
    </w:p>
    <w:p w14:paraId="0EA84907">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13.2  关于设计人为实施工程所编制文件的著作权的归属：</w:t>
      </w:r>
      <w:r>
        <w:rPr>
          <w:rFonts w:hint="eastAsia" w:ascii="仿宋_GB2312" w:hAnsi="仿宋_GB2312" w:eastAsia="仿宋_GB2312" w:cs="仿宋_GB2312"/>
          <w:color w:val="auto"/>
          <w:spacing w:val="-1"/>
          <w:sz w:val="30"/>
          <w:szCs w:val="30"/>
          <w:highlight w:val="none"/>
          <w:u w:val="single"/>
        </w:rPr>
        <w:t xml:space="preserve"> 发包人 </w:t>
      </w:r>
      <w:r>
        <w:rPr>
          <w:rFonts w:hint="eastAsia" w:ascii="仿宋_GB2312" w:hAnsi="仿宋_GB2312" w:eastAsia="仿宋_GB2312" w:cs="仿宋_GB2312"/>
          <w:color w:val="auto"/>
          <w:spacing w:val="-1"/>
          <w:sz w:val="30"/>
          <w:szCs w:val="30"/>
          <w:highlight w:val="none"/>
        </w:rPr>
        <w:t>。</w:t>
      </w:r>
    </w:p>
    <w:p w14:paraId="3555CCF6">
      <w:pPr>
        <w:pStyle w:val="79"/>
        <w:spacing w:after="0" w:line="360" w:lineRule="auto"/>
        <w:ind w:firstLine="604"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关于设计人提供的上述文件的使用限制的要求：</w:t>
      </w:r>
      <w:r>
        <w:rPr>
          <w:rFonts w:hint="eastAsia" w:ascii="仿宋_GB2312" w:hAnsi="仿宋_GB2312" w:eastAsia="仿宋_GB2312" w:cs="仿宋_GB2312"/>
          <w:color w:val="auto"/>
          <w:spacing w:val="1"/>
          <w:sz w:val="30"/>
          <w:szCs w:val="30"/>
          <w:highlight w:val="none"/>
          <w:u w:val="single"/>
        </w:rPr>
        <w:t>未经发包人书面同意，设计人不得为了合同以</w:t>
      </w:r>
      <w:r>
        <w:rPr>
          <w:rFonts w:hint="eastAsia" w:ascii="仿宋_GB2312" w:hAnsi="仿宋_GB2312" w:eastAsia="仿宋_GB2312" w:cs="仿宋_GB2312"/>
          <w:color w:val="auto"/>
          <w:sz w:val="30"/>
          <w:szCs w:val="30"/>
          <w:highlight w:val="none"/>
          <w:u w:val="single"/>
        </w:rPr>
        <w:t>外的目的而复制、使用上述文件或将之提供</w:t>
      </w:r>
      <w:r>
        <w:rPr>
          <w:rFonts w:hint="eastAsia" w:ascii="仿宋_GB2312" w:hAnsi="仿宋_GB2312" w:eastAsia="仿宋_GB2312" w:cs="仿宋_GB2312"/>
          <w:color w:val="auto"/>
          <w:spacing w:val="-1"/>
          <w:sz w:val="30"/>
          <w:szCs w:val="30"/>
          <w:highlight w:val="none"/>
          <w:u w:val="single"/>
        </w:rPr>
        <w:t>给任何第三方。</w:t>
      </w:r>
    </w:p>
    <w:p w14:paraId="4FCB3549">
      <w:pPr>
        <w:pStyle w:val="79"/>
        <w:spacing w:after="0" w:line="360" w:lineRule="auto"/>
        <w:ind w:firstLine="596" w:firstLineChars="200"/>
        <w:rPr>
          <w:rFonts w:ascii="仿宋_GB2312" w:hAnsi="仿宋_GB2312" w:eastAsia="仿宋_GB2312" w:cs="仿宋_GB2312"/>
          <w:color w:val="auto"/>
          <w:spacing w:val="-2"/>
          <w:sz w:val="30"/>
          <w:szCs w:val="30"/>
          <w:highlight w:val="none"/>
        </w:rPr>
      </w:pPr>
      <w:r>
        <w:rPr>
          <w:rFonts w:hint="eastAsia" w:ascii="仿宋_GB2312" w:hAnsi="仿宋_GB2312" w:eastAsia="仿宋_GB2312" w:cs="仿宋_GB2312"/>
          <w:color w:val="auto"/>
          <w:spacing w:val="-1"/>
          <w:sz w:val="30"/>
          <w:szCs w:val="30"/>
          <w:highlight w:val="none"/>
        </w:rPr>
        <w:t>13.5设计人在设计过程中所采用的专利、专有技术的使用费的承担方式：</w:t>
      </w:r>
      <w:r>
        <w:rPr>
          <w:rFonts w:hint="eastAsia" w:ascii="仿宋_GB2312" w:hAnsi="仿宋_GB2312" w:eastAsia="仿宋_GB2312" w:cs="仿宋_GB2312"/>
          <w:color w:val="auto"/>
          <w:spacing w:val="-1"/>
          <w:sz w:val="30"/>
          <w:szCs w:val="30"/>
          <w:highlight w:val="none"/>
          <w:u w:val="single"/>
        </w:rPr>
        <w:t xml:space="preserve"> 设计人</w:t>
      </w:r>
      <w:r>
        <w:rPr>
          <w:rFonts w:hint="eastAsia" w:ascii="仿宋_GB2312" w:hAnsi="仿宋_GB2312" w:eastAsia="仿宋_GB2312" w:cs="仿宋_GB2312"/>
          <w:color w:val="auto"/>
          <w:spacing w:val="-2"/>
          <w:sz w:val="30"/>
          <w:szCs w:val="30"/>
          <w:highlight w:val="none"/>
          <w:u w:val="single"/>
        </w:rPr>
        <w:t>自行承担</w:t>
      </w:r>
      <w:r>
        <w:rPr>
          <w:rFonts w:hint="eastAsia" w:ascii="仿宋_GB2312" w:hAnsi="仿宋_GB2312" w:eastAsia="仿宋_GB2312" w:cs="仿宋_GB2312"/>
          <w:color w:val="auto"/>
          <w:spacing w:val="-2"/>
          <w:sz w:val="30"/>
          <w:szCs w:val="30"/>
          <w:highlight w:val="none"/>
        </w:rPr>
        <w:t>。</w:t>
      </w:r>
    </w:p>
    <w:p w14:paraId="67F45352">
      <w:pPr>
        <w:pStyle w:val="79"/>
        <w:spacing w:after="0" w:line="360" w:lineRule="auto"/>
        <w:ind w:firstLine="596"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13.6  设计人在设计过程中因侵犯他人的专利权或其他知识产权所引起的责任，由设计人承担，</w:t>
      </w:r>
      <w:r>
        <w:rPr>
          <w:rFonts w:hint="eastAsia" w:ascii="仿宋_GB2312" w:hAnsi="仿宋_GB2312" w:eastAsia="仿宋_GB2312" w:cs="仿宋_GB2312"/>
          <w:color w:val="auto"/>
          <w:spacing w:val="-2"/>
          <w:sz w:val="30"/>
          <w:szCs w:val="30"/>
          <w:highlight w:val="none"/>
        </w:rPr>
        <w:t>并承担因侵权行为给发包人造成的损失。</w:t>
      </w:r>
    </w:p>
    <w:p w14:paraId="2804C258">
      <w:pPr>
        <w:pStyle w:val="7"/>
        <w:keepNext/>
        <w:keepLines/>
        <w:ind w:firstLine="0" w:firstLineChars="0"/>
        <w:jc w:val="both"/>
        <w:rPr>
          <w:rFonts w:eastAsia="黑体"/>
          <w:bCs/>
          <w:color w:val="auto"/>
          <w:sz w:val="32"/>
          <w:highlight w:val="none"/>
        </w:rPr>
      </w:pPr>
      <w:bookmarkStart w:id="1391" w:name="_Toc9094"/>
      <w:bookmarkStart w:id="1392" w:name="_Toc1866"/>
      <w:bookmarkStart w:id="1393" w:name="_Toc31390"/>
      <w:bookmarkStart w:id="1394" w:name="_Toc32133"/>
      <w:bookmarkStart w:id="1395" w:name="_Toc27503"/>
      <w:r>
        <w:rPr>
          <w:rFonts w:eastAsia="黑体"/>
          <w:bCs/>
          <w:color w:val="auto"/>
          <w:sz w:val="32"/>
          <w:highlight w:val="none"/>
        </w:rPr>
        <w:t>14.违约责任</w:t>
      </w:r>
      <w:bookmarkEnd w:id="1391"/>
      <w:bookmarkEnd w:id="1392"/>
      <w:bookmarkEnd w:id="1393"/>
      <w:bookmarkEnd w:id="1394"/>
      <w:bookmarkEnd w:id="1395"/>
    </w:p>
    <w:p w14:paraId="11AE4952">
      <w:pPr>
        <w:pStyle w:val="79"/>
        <w:spacing w:after="0" w:line="360" w:lineRule="auto"/>
        <w:ind w:firstLine="602" w:firstLineChars="200"/>
        <w:rPr>
          <w:rFonts w:eastAsia="黑体"/>
          <w:b/>
          <w:bCs/>
          <w:color w:val="auto"/>
          <w:sz w:val="30"/>
          <w:szCs w:val="32"/>
          <w:highlight w:val="none"/>
        </w:rPr>
      </w:pPr>
      <w:r>
        <w:rPr>
          <w:rFonts w:eastAsia="黑体"/>
          <w:b/>
          <w:bCs/>
          <w:color w:val="auto"/>
          <w:sz w:val="30"/>
          <w:szCs w:val="32"/>
          <w:highlight w:val="none"/>
        </w:rPr>
        <w:t>14.1发包人违约责任</w:t>
      </w:r>
    </w:p>
    <w:p w14:paraId="1ECCB4B4">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14.1.1  发包人支付设计人的违约金：</w:t>
      </w:r>
      <w:r>
        <w:rPr>
          <w:rFonts w:hint="eastAsia" w:ascii="仿宋_GB2312" w:hAnsi="仿宋_GB2312" w:eastAsia="仿宋_GB2312" w:cs="仿宋_GB2312"/>
          <w:color w:val="auto"/>
          <w:spacing w:val="-1"/>
          <w:sz w:val="30"/>
          <w:szCs w:val="30"/>
          <w:highlight w:val="none"/>
          <w:u w:val="single"/>
        </w:rPr>
        <w:t xml:space="preserve">   无   </w:t>
      </w:r>
      <w:r>
        <w:rPr>
          <w:rFonts w:hint="eastAsia" w:ascii="仿宋_GB2312" w:hAnsi="仿宋_GB2312" w:eastAsia="仿宋_GB2312" w:cs="仿宋_GB2312"/>
          <w:color w:val="auto"/>
          <w:spacing w:val="-1"/>
          <w:sz w:val="30"/>
          <w:szCs w:val="30"/>
          <w:highlight w:val="none"/>
        </w:rPr>
        <w:t>。</w:t>
      </w:r>
    </w:p>
    <w:p w14:paraId="10B2904A">
      <w:pPr>
        <w:pStyle w:val="79"/>
        <w:spacing w:after="0" w:line="360" w:lineRule="auto"/>
        <w:ind w:firstLine="596" w:firstLineChars="200"/>
        <w:rPr>
          <w:rFonts w:ascii="仿宋_GB2312" w:hAnsi="仿宋_GB2312" w:eastAsia="仿宋_GB2312" w:cs="仿宋_GB2312"/>
          <w:color w:val="auto"/>
          <w:spacing w:val="-2"/>
          <w:sz w:val="30"/>
          <w:szCs w:val="30"/>
          <w:highlight w:val="none"/>
        </w:rPr>
      </w:pPr>
      <w:r>
        <w:rPr>
          <w:rFonts w:hint="eastAsia" w:ascii="仿宋_GB2312" w:hAnsi="仿宋_GB2312" w:eastAsia="仿宋_GB2312" w:cs="仿宋_GB2312"/>
          <w:color w:val="auto"/>
          <w:spacing w:val="-1"/>
          <w:sz w:val="30"/>
          <w:szCs w:val="30"/>
          <w:highlight w:val="none"/>
        </w:rPr>
        <w:t>14.1.2  发包人逾期支付设计费的违约金：</w:t>
      </w:r>
      <w:r>
        <w:rPr>
          <w:rFonts w:hint="eastAsia" w:ascii="仿宋_GB2312" w:hAnsi="仿宋_GB2312" w:eastAsia="仿宋_GB2312" w:cs="仿宋_GB2312"/>
          <w:color w:val="auto"/>
          <w:spacing w:val="-1"/>
          <w:sz w:val="30"/>
          <w:szCs w:val="30"/>
          <w:highlight w:val="none"/>
          <w:u w:val="single"/>
        </w:rPr>
        <w:t xml:space="preserve"> 无 </w:t>
      </w:r>
      <w:r>
        <w:rPr>
          <w:rFonts w:hint="eastAsia" w:ascii="仿宋_GB2312" w:hAnsi="仿宋_GB2312" w:eastAsia="仿宋_GB2312" w:cs="仿宋_GB2312"/>
          <w:color w:val="auto"/>
          <w:spacing w:val="-2"/>
          <w:sz w:val="30"/>
          <w:szCs w:val="30"/>
          <w:highlight w:val="none"/>
        </w:rPr>
        <w:t>。</w:t>
      </w:r>
    </w:p>
    <w:p w14:paraId="5800FF2E">
      <w:pPr>
        <w:pStyle w:val="79"/>
        <w:spacing w:after="0" w:line="360" w:lineRule="auto"/>
        <w:ind w:firstLine="602" w:firstLineChars="200"/>
        <w:rPr>
          <w:rFonts w:eastAsia="黑体"/>
          <w:b/>
          <w:bCs/>
          <w:color w:val="auto"/>
          <w:sz w:val="30"/>
          <w:szCs w:val="32"/>
          <w:highlight w:val="none"/>
        </w:rPr>
      </w:pPr>
      <w:r>
        <w:rPr>
          <w:rFonts w:eastAsia="黑体"/>
          <w:b/>
          <w:bCs/>
          <w:color w:val="auto"/>
          <w:sz w:val="30"/>
          <w:szCs w:val="32"/>
          <w:highlight w:val="none"/>
        </w:rPr>
        <w:t>14.2设计人违约责任</w:t>
      </w:r>
    </w:p>
    <w:p w14:paraId="00611A43">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14.2.1  设计人支付发包人的违约金：</w:t>
      </w:r>
      <w:r>
        <w:rPr>
          <w:rFonts w:hint="eastAsia" w:ascii="仿宋_GB2312" w:hAnsi="仿宋_GB2312" w:eastAsia="仿宋_GB2312" w:cs="仿宋_GB2312"/>
          <w:color w:val="auto"/>
          <w:sz w:val="30"/>
          <w:szCs w:val="30"/>
          <w:highlight w:val="none"/>
          <w:u w:val="single"/>
        </w:rPr>
        <w:t xml:space="preserve"> 按本专用合同条款的1</w:t>
      </w:r>
      <w:r>
        <w:rPr>
          <w:rFonts w:hint="eastAsia" w:ascii="仿宋_GB2312" w:hAnsi="仿宋_GB2312" w:eastAsia="仿宋_GB2312" w:cs="仿宋_GB2312"/>
          <w:color w:val="auto"/>
          <w:spacing w:val="-1"/>
          <w:sz w:val="30"/>
          <w:szCs w:val="30"/>
          <w:highlight w:val="none"/>
          <w:u w:val="single"/>
        </w:rPr>
        <w:t>4.2.2</w:t>
      </w:r>
      <w:r>
        <w:rPr>
          <w:rFonts w:hint="eastAsia" w:ascii="仿宋_GB2312" w:hAnsi="仿宋_GB2312" w:eastAsia="仿宋_GB2312" w:cs="仿宋_GB2312"/>
          <w:color w:val="auto"/>
          <w:spacing w:val="-1"/>
          <w:sz w:val="30"/>
          <w:szCs w:val="30"/>
          <w:highlight w:val="none"/>
        </w:rPr>
        <w:t>。</w:t>
      </w:r>
    </w:p>
    <w:p w14:paraId="1C279EC6">
      <w:pPr>
        <w:pStyle w:val="79"/>
        <w:spacing w:after="0" w:line="360" w:lineRule="auto"/>
        <w:ind w:firstLine="604" w:firstLineChars="200"/>
        <w:rPr>
          <w:rFonts w:ascii="仿宋_GB2312" w:hAnsi="仿宋_GB2312" w:eastAsia="仿宋_GB2312" w:cs="仿宋_GB2312"/>
          <w:color w:val="auto"/>
          <w:spacing w:val="-1"/>
          <w:sz w:val="30"/>
          <w:szCs w:val="30"/>
          <w:highlight w:val="none"/>
        </w:rPr>
      </w:pPr>
      <w:r>
        <w:rPr>
          <w:rFonts w:hint="eastAsia" w:ascii="仿宋_GB2312" w:hAnsi="仿宋_GB2312" w:eastAsia="仿宋_GB2312" w:cs="仿宋_GB2312"/>
          <w:color w:val="auto"/>
          <w:spacing w:val="1"/>
          <w:sz w:val="30"/>
          <w:szCs w:val="30"/>
          <w:highlight w:val="none"/>
        </w:rPr>
        <w:t>14.2.2设计人逾期交付工程设计文件的违约金：</w:t>
      </w:r>
      <w:r>
        <w:rPr>
          <w:rFonts w:hint="eastAsia" w:ascii="仿宋_GB2312" w:hAnsi="仿宋_GB2312" w:eastAsia="仿宋_GB2312" w:cs="仿宋_GB2312"/>
          <w:color w:val="auto"/>
          <w:spacing w:val="1"/>
          <w:sz w:val="30"/>
          <w:szCs w:val="30"/>
          <w:highlight w:val="none"/>
          <w:u w:val="single"/>
        </w:rPr>
        <w:t>合同生效后，设计人因自身原</w:t>
      </w:r>
      <w:r>
        <w:rPr>
          <w:rFonts w:hint="eastAsia" w:ascii="仿宋_GB2312" w:hAnsi="仿宋_GB2312" w:eastAsia="仿宋_GB2312" w:cs="仿宋_GB2312"/>
          <w:color w:val="auto"/>
          <w:sz w:val="30"/>
          <w:szCs w:val="30"/>
          <w:highlight w:val="none"/>
          <w:u w:val="single"/>
        </w:rPr>
        <w:t>因要求终止或</w:t>
      </w:r>
      <w:r>
        <w:rPr>
          <w:rFonts w:hint="eastAsia" w:ascii="仿宋_GB2312" w:hAnsi="仿宋_GB2312" w:eastAsia="仿宋_GB2312" w:cs="仿宋_GB2312"/>
          <w:color w:val="auto"/>
          <w:spacing w:val="-1"/>
          <w:sz w:val="30"/>
          <w:szCs w:val="30"/>
          <w:highlight w:val="none"/>
          <w:u w:val="single"/>
        </w:rPr>
        <w:t>解除合同的，视为违约。设计人除双倍返还发包人已支付的设计费外发包人有权没收设</w:t>
      </w:r>
      <w:r>
        <w:rPr>
          <w:rFonts w:hint="eastAsia" w:ascii="仿宋_GB2312" w:hAnsi="仿宋_GB2312" w:eastAsia="仿宋_GB2312" w:cs="仿宋_GB2312"/>
          <w:color w:val="auto"/>
          <w:spacing w:val="-2"/>
          <w:sz w:val="30"/>
          <w:szCs w:val="30"/>
          <w:highlight w:val="none"/>
          <w:u w:val="single"/>
        </w:rPr>
        <w:t>计人的</w:t>
      </w:r>
      <w:r>
        <w:rPr>
          <w:rFonts w:hint="eastAsia" w:ascii="仿宋_GB2312" w:hAnsi="仿宋_GB2312" w:eastAsia="仿宋_GB2312" w:cs="仿宋_GB2312"/>
          <w:color w:val="auto"/>
          <w:sz w:val="30"/>
          <w:szCs w:val="30"/>
          <w:highlight w:val="none"/>
          <w:u w:val="single"/>
        </w:rPr>
        <w:t>履约保证金</w:t>
      </w:r>
      <w:r>
        <w:rPr>
          <w:rFonts w:hint="eastAsia" w:ascii="仿宋_GB2312" w:hAnsi="仿宋_GB2312" w:eastAsia="仿宋_GB2312" w:cs="仿宋_GB2312"/>
          <w:color w:val="auto"/>
          <w:spacing w:val="-48"/>
          <w:sz w:val="30"/>
          <w:szCs w:val="30"/>
          <w:highlight w:val="none"/>
          <w:u w:val="single"/>
        </w:rPr>
        <w:t>，</w:t>
      </w:r>
      <w:r>
        <w:rPr>
          <w:rFonts w:hint="eastAsia" w:ascii="仿宋_GB2312" w:hAnsi="仿宋_GB2312" w:eastAsia="仿宋_GB2312" w:cs="仿宋_GB2312"/>
          <w:color w:val="auto"/>
          <w:sz w:val="30"/>
          <w:szCs w:val="30"/>
          <w:highlight w:val="none"/>
          <w:u w:val="single"/>
        </w:rPr>
        <w:t>设计人承担违约给发包人</w:t>
      </w:r>
      <w:r>
        <w:rPr>
          <w:rFonts w:hint="eastAsia" w:ascii="仿宋_GB2312" w:hAnsi="仿宋_GB2312" w:eastAsia="仿宋_GB2312" w:cs="仿宋_GB2312"/>
          <w:color w:val="auto"/>
          <w:spacing w:val="-1"/>
          <w:sz w:val="30"/>
          <w:szCs w:val="30"/>
          <w:highlight w:val="none"/>
          <w:u w:val="single"/>
        </w:rPr>
        <w:t>造成的一切损失及责任</w:t>
      </w:r>
      <w:r>
        <w:rPr>
          <w:rFonts w:hint="eastAsia" w:ascii="仿宋_GB2312" w:hAnsi="仿宋_GB2312" w:eastAsia="仿宋_GB2312" w:cs="仿宋_GB2312"/>
          <w:color w:val="auto"/>
          <w:spacing w:val="-1"/>
          <w:sz w:val="30"/>
          <w:szCs w:val="30"/>
          <w:highlight w:val="none"/>
        </w:rPr>
        <w:t>。</w:t>
      </w:r>
    </w:p>
    <w:p w14:paraId="3A356592">
      <w:pPr>
        <w:pStyle w:val="79"/>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u w:val="single"/>
        </w:rPr>
        <w:t>14.2.3由于设计人原因，未按合同约定时间交付设计资料的视为违约。每延</w:t>
      </w:r>
      <w:r>
        <w:rPr>
          <w:rFonts w:hint="eastAsia" w:ascii="仿宋_GB2312" w:hAnsi="仿宋_GB2312" w:eastAsia="仿宋_GB2312" w:cs="仿宋_GB2312"/>
          <w:color w:val="auto"/>
          <w:spacing w:val="-3"/>
          <w:sz w:val="30"/>
          <w:szCs w:val="30"/>
          <w:highlight w:val="none"/>
          <w:u w:val="single"/>
        </w:rPr>
        <w:t>误一天，应减收设</w:t>
      </w:r>
      <w:r>
        <w:rPr>
          <w:rFonts w:hint="eastAsia" w:ascii="仿宋_GB2312" w:hAnsi="仿宋_GB2312" w:eastAsia="仿宋_GB2312" w:cs="仿宋_GB2312"/>
          <w:color w:val="auto"/>
          <w:spacing w:val="-1"/>
          <w:sz w:val="30"/>
          <w:szCs w:val="30"/>
          <w:highlight w:val="none"/>
          <w:u w:val="single"/>
        </w:rPr>
        <w:t>计费的万分之五。逾期超过10天的，发包人有权解除合同。因设</w:t>
      </w:r>
      <w:r>
        <w:rPr>
          <w:rFonts w:hint="eastAsia" w:ascii="仿宋_GB2312" w:hAnsi="仿宋_GB2312" w:eastAsia="仿宋_GB2312" w:cs="仿宋_GB2312"/>
          <w:color w:val="auto"/>
          <w:sz w:val="30"/>
          <w:szCs w:val="30"/>
          <w:highlight w:val="none"/>
          <w:u w:val="single"/>
        </w:rPr>
        <w:t>计人原因导致发包人解除合同的，设计人应向发包人支付合同暂定金额20%的违约金，如违约金不足以弥补发包人损失的，设计人按实际损</w:t>
      </w:r>
      <w:r>
        <w:rPr>
          <w:rFonts w:hint="eastAsia" w:ascii="仿宋_GB2312" w:hAnsi="仿宋_GB2312" w:eastAsia="仿宋_GB2312" w:cs="仿宋_GB2312"/>
          <w:color w:val="auto"/>
          <w:spacing w:val="-1"/>
          <w:sz w:val="30"/>
          <w:szCs w:val="30"/>
          <w:highlight w:val="none"/>
          <w:u w:val="single"/>
        </w:rPr>
        <w:t>失额赔偿。</w:t>
      </w:r>
    </w:p>
    <w:p w14:paraId="5D689975">
      <w:pPr>
        <w:pStyle w:val="79"/>
        <w:spacing w:after="0" w:line="360" w:lineRule="auto"/>
        <w:ind w:firstLine="604" w:firstLineChars="200"/>
        <w:rPr>
          <w:rFonts w:ascii="仿宋_GB2312" w:hAnsi="仿宋_GB2312" w:eastAsia="仿宋_GB2312" w:cs="仿宋_GB2312"/>
          <w:color w:val="auto"/>
          <w:spacing w:val="1"/>
          <w:sz w:val="30"/>
          <w:szCs w:val="30"/>
          <w:highlight w:val="none"/>
          <w:u w:val="single"/>
        </w:rPr>
      </w:pPr>
      <w:r>
        <w:rPr>
          <w:rFonts w:hint="eastAsia" w:ascii="仿宋_GB2312" w:hAnsi="仿宋_GB2312" w:eastAsia="仿宋_GB2312" w:cs="仿宋_GB2312"/>
          <w:color w:val="auto"/>
          <w:spacing w:val="1"/>
          <w:sz w:val="30"/>
          <w:szCs w:val="30"/>
          <w:highlight w:val="none"/>
          <w:u w:val="single"/>
        </w:rPr>
        <w:t>14.2.4设计人对工程设计文件出现的遗漏或错误负责修改或补充。由于设计人原因产生的设计问题造成工程质量事故或其他事故的，视为违约。设计人除负责采取补救措施外，应免收受损失部分的设计费。因设计人提交的设计成果有错漏或不同专业之间图纸冲突等质量原因，导致发包人在该项目开发中产生（设计修改、建造成本增加等）无效成本或额外投入的，发包人有权按合同追究其责任并处无效成本×100%的处罚。</w:t>
      </w:r>
    </w:p>
    <w:p w14:paraId="54C3E1A8">
      <w:pPr>
        <w:pStyle w:val="79"/>
        <w:spacing w:after="0" w:line="360" w:lineRule="auto"/>
        <w:ind w:firstLine="604" w:firstLineChars="200"/>
        <w:rPr>
          <w:rFonts w:ascii="仿宋_GB2312" w:hAnsi="仿宋_GB2312" w:eastAsia="仿宋_GB2312" w:cs="仿宋_GB2312"/>
          <w:color w:val="auto"/>
          <w:spacing w:val="1"/>
          <w:sz w:val="30"/>
          <w:szCs w:val="30"/>
          <w:highlight w:val="none"/>
          <w:u w:val="single"/>
        </w:rPr>
      </w:pPr>
      <w:r>
        <w:rPr>
          <w:rFonts w:hint="eastAsia" w:ascii="仿宋_GB2312" w:hAnsi="仿宋_GB2312" w:eastAsia="仿宋_GB2312" w:cs="仿宋_GB2312"/>
          <w:color w:val="auto"/>
          <w:spacing w:val="1"/>
          <w:sz w:val="30"/>
          <w:szCs w:val="30"/>
          <w:highlight w:val="none"/>
          <w:u w:val="single"/>
        </w:rPr>
        <w:t>以上有关违约赔偿，所有违约金全部从设计人的设计费中</w:t>
      </w:r>
      <w:r>
        <w:rPr>
          <w:rFonts w:ascii="仿宋_GB2312" w:hAnsi="仿宋_GB2312" w:eastAsia="仿宋_GB2312" w:cs="仿宋_GB2312"/>
          <w:color w:val="auto"/>
          <w:spacing w:val="1"/>
          <w:sz w:val="30"/>
          <w:szCs w:val="30"/>
          <w:highlight w:val="none"/>
          <w:u w:val="single"/>
        </w:rPr>
        <w:t>扣除。</w:t>
      </w:r>
    </w:p>
    <w:p w14:paraId="7744EEE7">
      <w:pPr>
        <w:pStyle w:val="79"/>
        <w:spacing w:after="0" w:line="360" w:lineRule="auto"/>
        <w:ind w:firstLine="604" w:firstLineChars="200"/>
        <w:rPr>
          <w:rFonts w:ascii="仿宋_GB2312" w:hAnsi="仿宋_GB2312" w:eastAsia="仿宋_GB2312" w:cs="仿宋_GB2312"/>
          <w:bCs/>
          <w:color w:val="auto"/>
          <w:spacing w:val="1"/>
          <w:sz w:val="30"/>
          <w:szCs w:val="30"/>
          <w:highlight w:val="none"/>
          <w:u w:val="single"/>
        </w:rPr>
      </w:pPr>
      <w:r>
        <w:rPr>
          <w:rFonts w:ascii="仿宋_GB2312" w:hAnsi="仿宋_GB2312" w:eastAsia="仿宋_GB2312" w:cs="仿宋_GB2312"/>
          <w:bCs/>
          <w:color w:val="auto"/>
          <w:spacing w:val="1"/>
          <w:sz w:val="30"/>
          <w:szCs w:val="30"/>
          <w:highlight w:val="none"/>
          <w:u w:val="single"/>
        </w:rPr>
        <w:t>14.2.6合同范围内的全部施工图</w:t>
      </w:r>
      <w:r>
        <w:rPr>
          <w:rFonts w:hint="eastAsia" w:ascii="仿宋_GB2312" w:hAnsi="仿宋_GB2312" w:eastAsia="仿宋_GB2312" w:cs="仿宋_GB2312"/>
          <w:bCs/>
          <w:color w:val="auto"/>
          <w:spacing w:val="1"/>
          <w:sz w:val="30"/>
          <w:szCs w:val="30"/>
          <w:highlight w:val="none"/>
          <w:u w:val="single"/>
        </w:rPr>
        <w:t>审图</w:t>
      </w:r>
      <w:r>
        <w:rPr>
          <w:rFonts w:ascii="仿宋_GB2312" w:hAnsi="仿宋_GB2312" w:eastAsia="仿宋_GB2312" w:cs="仿宋_GB2312"/>
          <w:bCs/>
          <w:color w:val="auto"/>
          <w:spacing w:val="1"/>
          <w:sz w:val="30"/>
          <w:szCs w:val="30"/>
          <w:highlight w:val="none"/>
          <w:u w:val="single"/>
        </w:rPr>
        <w:t>完成前，</w:t>
      </w:r>
      <w:r>
        <w:rPr>
          <w:rFonts w:hint="eastAsia" w:ascii="仿宋_GB2312" w:hAnsi="仿宋_GB2312" w:eastAsia="仿宋_GB2312" w:cs="仿宋_GB2312"/>
          <w:color w:val="auto"/>
          <w:spacing w:val="1"/>
          <w:sz w:val="30"/>
          <w:szCs w:val="30"/>
          <w:highlight w:val="none"/>
          <w:u w:val="single"/>
        </w:rPr>
        <w:t>设计人</w:t>
      </w:r>
      <w:r>
        <w:rPr>
          <w:rFonts w:ascii="仿宋_GB2312" w:hAnsi="仿宋_GB2312" w:eastAsia="仿宋_GB2312" w:cs="仿宋_GB2312"/>
          <w:bCs/>
          <w:color w:val="auto"/>
          <w:spacing w:val="1"/>
          <w:sz w:val="30"/>
          <w:szCs w:val="30"/>
          <w:highlight w:val="none"/>
          <w:u w:val="single"/>
        </w:rPr>
        <w:t>申请更换人员的，均视为</w:t>
      </w:r>
      <w:r>
        <w:rPr>
          <w:rFonts w:hint="eastAsia" w:ascii="仿宋_GB2312" w:hAnsi="仿宋_GB2312" w:eastAsia="仿宋_GB2312" w:cs="仿宋_GB2312"/>
          <w:color w:val="auto"/>
          <w:spacing w:val="1"/>
          <w:sz w:val="30"/>
          <w:szCs w:val="30"/>
          <w:highlight w:val="none"/>
          <w:u w:val="single"/>
        </w:rPr>
        <w:t>设计人</w:t>
      </w:r>
      <w:r>
        <w:rPr>
          <w:rFonts w:ascii="仿宋_GB2312" w:hAnsi="仿宋_GB2312" w:eastAsia="仿宋_GB2312" w:cs="仿宋_GB2312"/>
          <w:bCs/>
          <w:color w:val="auto"/>
          <w:spacing w:val="1"/>
          <w:sz w:val="30"/>
          <w:szCs w:val="30"/>
          <w:highlight w:val="none"/>
          <w:u w:val="single"/>
        </w:rPr>
        <w:t>违约(以下情形除外:因重病或重伤(持有市级以上医院证明)两个月以上不能履行职责的:离职或提拔调离原工作法人单位的:死亡的)，并</w:t>
      </w:r>
      <w:r>
        <w:rPr>
          <w:rFonts w:hint="eastAsia" w:ascii="仿宋_GB2312" w:hAnsi="仿宋_GB2312" w:eastAsia="仿宋_GB2312" w:cs="仿宋_GB2312"/>
          <w:bCs/>
          <w:color w:val="auto"/>
          <w:spacing w:val="1"/>
          <w:sz w:val="30"/>
          <w:szCs w:val="30"/>
          <w:highlight w:val="none"/>
          <w:u w:val="single"/>
        </w:rPr>
        <w:t>除</w:t>
      </w:r>
      <w:r>
        <w:rPr>
          <w:rFonts w:ascii="仿宋_GB2312" w:hAnsi="仿宋_GB2312" w:eastAsia="仿宋_GB2312" w:cs="仿宋_GB2312"/>
          <w:bCs/>
          <w:color w:val="auto"/>
          <w:spacing w:val="1"/>
          <w:sz w:val="30"/>
          <w:szCs w:val="30"/>
          <w:highlight w:val="none"/>
          <w:u w:val="single"/>
        </w:rPr>
        <w:t>以下违约金:项目负责人</w:t>
      </w:r>
      <w:r>
        <w:rPr>
          <w:rFonts w:ascii="仿宋_GB2312" w:hAnsi="仿宋_GB2312" w:eastAsia="仿宋_GB2312" w:cs="仿宋_GB2312"/>
          <w:color w:val="auto"/>
          <w:spacing w:val="1"/>
          <w:sz w:val="30"/>
          <w:szCs w:val="30"/>
          <w:highlight w:val="none"/>
          <w:u w:val="single"/>
        </w:rPr>
        <w:t xml:space="preserve">  </w:t>
      </w:r>
      <w:r>
        <w:rPr>
          <w:rFonts w:ascii="仿宋_GB2312" w:hAnsi="仿宋_GB2312" w:eastAsia="仿宋_GB2312" w:cs="仿宋_GB2312"/>
          <w:bCs/>
          <w:color w:val="auto"/>
          <w:spacing w:val="1"/>
          <w:sz w:val="30"/>
          <w:szCs w:val="30"/>
          <w:highlight w:val="none"/>
          <w:u w:val="single"/>
        </w:rPr>
        <w:t>万元/人次</w:t>
      </w:r>
      <w:r>
        <w:rPr>
          <w:rFonts w:hint="eastAsia" w:ascii="仿宋_GB2312" w:hAnsi="仿宋_GB2312" w:eastAsia="仿宋_GB2312" w:cs="仿宋_GB2312"/>
          <w:bCs/>
          <w:color w:val="auto"/>
          <w:spacing w:val="1"/>
          <w:sz w:val="30"/>
          <w:szCs w:val="30"/>
          <w:highlight w:val="none"/>
          <w:u w:val="single"/>
        </w:rPr>
        <w:t>，结构</w:t>
      </w:r>
      <w:r>
        <w:rPr>
          <w:rFonts w:ascii="仿宋_GB2312" w:hAnsi="仿宋_GB2312" w:eastAsia="仿宋_GB2312" w:cs="仿宋_GB2312"/>
          <w:bCs/>
          <w:color w:val="auto"/>
          <w:spacing w:val="1"/>
          <w:sz w:val="30"/>
          <w:szCs w:val="30"/>
          <w:highlight w:val="none"/>
          <w:u w:val="single"/>
        </w:rPr>
        <w:t>负责人</w:t>
      </w:r>
      <w:r>
        <w:rPr>
          <w:rFonts w:hint="eastAsia" w:ascii="仿宋_GB2312" w:hAnsi="仿宋_GB2312" w:eastAsia="仿宋_GB2312" w:cs="仿宋_GB2312"/>
          <w:bCs/>
          <w:color w:val="auto"/>
          <w:spacing w:val="1"/>
          <w:sz w:val="30"/>
          <w:szCs w:val="30"/>
          <w:highlight w:val="none"/>
          <w:u w:val="single"/>
        </w:rPr>
        <w:t xml:space="preserve"> </w:t>
      </w:r>
      <w:r>
        <w:rPr>
          <w:rFonts w:ascii="仿宋_GB2312" w:hAnsi="仿宋_GB2312" w:eastAsia="仿宋_GB2312" w:cs="仿宋_GB2312"/>
          <w:bCs/>
          <w:color w:val="auto"/>
          <w:spacing w:val="1"/>
          <w:sz w:val="30"/>
          <w:szCs w:val="30"/>
          <w:highlight w:val="none"/>
          <w:u w:val="single"/>
        </w:rPr>
        <w:t>万元/人次，机电系统负责人万元/人次。</w:t>
      </w:r>
    </w:p>
    <w:p w14:paraId="767739DB">
      <w:pPr>
        <w:pStyle w:val="79"/>
        <w:spacing w:after="0" w:line="360" w:lineRule="auto"/>
        <w:ind w:firstLine="604" w:firstLineChars="200"/>
        <w:rPr>
          <w:rFonts w:ascii="仿宋_GB2312" w:hAnsi="仿宋_GB2312" w:eastAsia="仿宋_GB2312" w:cs="仿宋_GB2312"/>
          <w:bCs/>
          <w:color w:val="auto"/>
          <w:spacing w:val="1"/>
          <w:sz w:val="30"/>
          <w:szCs w:val="30"/>
          <w:highlight w:val="none"/>
          <w:u w:val="single"/>
        </w:rPr>
      </w:pPr>
      <w:r>
        <w:rPr>
          <w:rFonts w:ascii="仿宋_GB2312" w:hAnsi="仿宋_GB2312" w:eastAsia="仿宋_GB2312" w:cs="仿宋_GB2312"/>
          <w:bCs/>
          <w:color w:val="auto"/>
          <w:spacing w:val="1"/>
          <w:sz w:val="30"/>
          <w:szCs w:val="30"/>
          <w:highlight w:val="none"/>
          <w:u w:val="single"/>
        </w:rPr>
        <w:t>合同范围内的全部施工图</w:t>
      </w:r>
      <w:r>
        <w:rPr>
          <w:rFonts w:hint="eastAsia" w:ascii="仿宋_GB2312" w:hAnsi="仿宋_GB2312" w:eastAsia="仿宋_GB2312" w:cs="仿宋_GB2312"/>
          <w:bCs/>
          <w:color w:val="auto"/>
          <w:spacing w:val="1"/>
          <w:sz w:val="30"/>
          <w:szCs w:val="30"/>
          <w:highlight w:val="none"/>
          <w:u w:val="single"/>
        </w:rPr>
        <w:t>审图</w:t>
      </w:r>
      <w:r>
        <w:rPr>
          <w:rFonts w:ascii="仿宋_GB2312" w:hAnsi="仿宋_GB2312" w:eastAsia="仿宋_GB2312" w:cs="仿宋_GB2312"/>
          <w:bCs/>
          <w:color w:val="auto"/>
          <w:spacing w:val="1"/>
          <w:sz w:val="30"/>
          <w:szCs w:val="30"/>
          <w:highlight w:val="none"/>
          <w:u w:val="single"/>
        </w:rPr>
        <w:t>完成后，设计</w:t>
      </w:r>
      <w:r>
        <w:rPr>
          <w:rFonts w:hint="eastAsia" w:ascii="仿宋_GB2312" w:hAnsi="仿宋_GB2312" w:eastAsia="仿宋_GB2312" w:cs="仿宋_GB2312"/>
          <w:color w:val="auto"/>
          <w:spacing w:val="1"/>
          <w:sz w:val="30"/>
          <w:szCs w:val="30"/>
          <w:highlight w:val="none"/>
          <w:u w:val="single"/>
        </w:rPr>
        <w:t>人</w:t>
      </w:r>
      <w:r>
        <w:rPr>
          <w:rFonts w:ascii="仿宋_GB2312" w:hAnsi="仿宋_GB2312" w:eastAsia="仿宋_GB2312" w:cs="仿宋_GB2312"/>
          <w:bCs/>
          <w:color w:val="auto"/>
          <w:spacing w:val="1"/>
          <w:sz w:val="30"/>
          <w:szCs w:val="30"/>
          <w:highlight w:val="none"/>
          <w:u w:val="single"/>
        </w:rPr>
        <w:t>申请更换人员的，经发</w:t>
      </w:r>
      <w:r>
        <w:rPr>
          <w:rFonts w:hint="eastAsia" w:ascii="仿宋_GB2312" w:hAnsi="仿宋_GB2312" w:eastAsia="仿宋_GB2312" w:cs="仿宋_GB2312"/>
          <w:color w:val="auto"/>
          <w:spacing w:val="1"/>
          <w:sz w:val="30"/>
          <w:szCs w:val="30"/>
          <w:highlight w:val="none"/>
          <w:u w:val="single"/>
        </w:rPr>
        <w:t>包人书面同意，可不视为违约</w:t>
      </w:r>
      <w:r>
        <w:rPr>
          <w:rFonts w:ascii="仿宋_GB2312" w:hAnsi="仿宋_GB2312" w:eastAsia="仿宋_GB2312" w:cs="仿宋_GB2312"/>
          <w:bCs/>
          <w:color w:val="auto"/>
          <w:spacing w:val="1"/>
          <w:sz w:val="30"/>
          <w:szCs w:val="30"/>
          <w:highlight w:val="none"/>
          <w:u w:val="single"/>
        </w:rPr>
        <w:t>。</w:t>
      </w:r>
    </w:p>
    <w:p w14:paraId="6936ED74">
      <w:pPr>
        <w:pStyle w:val="7"/>
        <w:keepNext/>
        <w:keepLines/>
        <w:ind w:firstLine="0" w:firstLineChars="0"/>
        <w:jc w:val="both"/>
        <w:rPr>
          <w:rFonts w:eastAsia="黑体"/>
          <w:bCs/>
          <w:color w:val="auto"/>
          <w:sz w:val="32"/>
          <w:highlight w:val="none"/>
        </w:rPr>
      </w:pPr>
      <w:bookmarkStart w:id="1396" w:name="_Toc5198"/>
      <w:bookmarkStart w:id="1397" w:name="_Toc966"/>
      <w:bookmarkStart w:id="1398" w:name="_Toc24536"/>
      <w:bookmarkStart w:id="1399" w:name="_Toc25271"/>
      <w:bookmarkStart w:id="1400" w:name="_Toc25073"/>
      <w:r>
        <w:rPr>
          <w:rFonts w:eastAsia="黑体"/>
          <w:bCs/>
          <w:color w:val="auto"/>
          <w:sz w:val="32"/>
          <w:highlight w:val="none"/>
        </w:rPr>
        <w:t>15.不可抗力</w:t>
      </w:r>
      <w:bookmarkEnd w:id="1396"/>
      <w:bookmarkEnd w:id="1397"/>
      <w:bookmarkEnd w:id="1398"/>
      <w:bookmarkEnd w:id="1399"/>
      <w:bookmarkEnd w:id="1400"/>
    </w:p>
    <w:p w14:paraId="6415E6C3">
      <w:pPr>
        <w:pStyle w:val="79"/>
        <w:spacing w:after="0" w:line="360" w:lineRule="auto"/>
        <w:ind w:firstLine="602" w:firstLineChars="200"/>
        <w:rPr>
          <w:rFonts w:eastAsia="黑体"/>
          <w:b/>
          <w:bCs/>
          <w:color w:val="auto"/>
          <w:sz w:val="30"/>
          <w:szCs w:val="32"/>
          <w:highlight w:val="none"/>
        </w:rPr>
      </w:pPr>
      <w:r>
        <w:rPr>
          <w:rFonts w:eastAsia="黑体"/>
          <w:b/>
          <w:bCs/>
          <w:color w:val="auto"/>
          <w:sz w:val="30"/>
          <w:szCs w:val="32"/>
          <w:highlight w:val="none"/>
        </w:rPr>
        <w:t>15.1不可抗力的确认</w:t>
      </w:r>
    </w:p>
    <w:p w14:paraId="289D2464">
      <w:pPr>
        <w:pStyle w:val="79"/>
        <w:spacing w:after="0" w:line="360" w:lineRule="auto"/>
        <w:ind w:firstLine="596"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除通用合同条款约定的不可抗力事件之外，视为不</w:t>
      </w:r>
      <w:r>
        <w:rPr>
          <w:rFonts w:hint="eastAsia" w:ascii="仿宋_GB2312" w:hAnsi="仿宋_GB2312" w:eastAsia="仿宋_GB2312" w:cs="仿宋_GB2312"/>
          <w:color w:val="auto"/>
          <w:spacing w:val="-2"/>
          <w:sz w:val="30"/>
          <w:szCs w:val="30"/>
          <w:highlight w:val="none"/>
        </w:rPr>
        <w:t>可抗力的其他情形：</w:t>
      </w:r>
      <w:r>
        <w:rPr>
          <w:rFonts w:hint="eastAsia" w:ascii="仿宋_GB2312" w:hAnsi="仿宋_GB2312" w:eastAsia="仿宋_GB2312" w:cs="仿宋_GB2312"/>
          <w:color w:val="auto"/>
          <w:spacing w:val="-2"/>
          <w:sz w:val="30"/>
          <w:szCs w:val="30"/>
          <w:highlight w:val="none"/>
          <w:u w:val="single"/>
        </w:rPr>
        <w:t xml:space="preserve"> 因政府或相关主管部门</w:t>
      </w:r>
      <w:r>
        <w:rPr>
          <w:rFonts w:hint="eastAsia" w:ascii="仿宋_GB2312" w:hAnsi="仿宋_GB2312" w:eastAsia="仿宋_GB2312" w:cs="仿宋_GB2312"/>
          <w:color w:val="auto"/>
          <w:spacing w:val="-1"/>
          <w:sz w:val="30"/>
          <w:szCs w:val="30"/>
          <w:highlight w:val="none"/>
          <w:u w:val="single"/>
        </w:rPr>
        <w:t>要求导致项目中断设计。1、不可抗力是指不能预见、不能避免并不能克服</w:t>
      </w:r>
      <w:r>
        <w:rPr>
          <w:rFonts w:hint="eastAsia" w:ascii="仿宋_GB2312" w:hAnsi="仿宋_GB2312" w:eastAsia="仿宋_GB2312" w:cs="仿宋_GB2312"/>
          <w:color w:val="auto"/>
          <w:spacing w:val="-2"/>
          <w:sz w:val="30"/>
          <w:szCs w:val="30"/>
          <w:highlight w:val="none"/>
          <w:u w:val="single"/>
        </w:rPr>
        <w:t>的客观情况，包括洪</w:t>
      </w:r>
      <w:r>
        <w:rPr>
          <w:rFonts w:hint="eastAsia" w:ascii="仿宋_GB2312" w:hAnsi="仿宋_GB2312" w:eastAsia="仿宋_GB2312" w:cs="仿宋_GB2312"/>
          <w:color w:val="auto"/>
          <w:spacing w:val="1"/>
          <w:sz w:val="30"/>
          <w:szCs w:val="30"/>
          <w:highlight w:val="none"/>
          <w:u w:val="single"/>
        </w:rPr>
        <w:t>水、地震、疫情等自然原因，战争、政变、政府行为等社会及政</w:t>
      </w:r>
      <w:r>
        <w:rPr>
          <w:rFonts w:hint="eastAsia" w:ascii="仿宋_GB2312" w:hAnsi="仿宋_GB2312" w:eastAsia="仿宋_GB2312" w:cs="仿宋_GB2312"/>
          <w:color w:val="auto"/>
          <w:sz w:val="30"/>
          <w:szCs w:val="30"/>
          <w:highlight w:val="none"/>
          <w:u w:val="single"/>
        </w:rPr>
        <w:t>府行为原因等。2、 主张发生</w:t>
      </w:r>
      <w:r>
        <w:rPr>
          <w:rFonts w:hint="eastAsia" w:ascii="仿宋_GB2312" w:hAnsi="仿宋_GB2312" w:eastAsia="仿宋_GB2312" w:cs="仿宋_GB2312"/>
          <w:color w:val="auto"/>
          <w:spacing w:val="-2"/>
          <w:sz w:val="30"/>
          <w:szCs w:val="30"/>
          <w:highlight w:val="none"/>
          <w:u w:val="single"/>
        </w:rPr>
        <w:t>不可抗力的一方应在不可抗力事件发生后及时书面通知其他各方，并在其后的十五(15)天内提供</w:t>
      </w:r>
      <w:r>
        <w:rPr>
          <w:rFonts w:hint="eastAsia" w:ascii="仿宋_GB2312" w:hAnsi="仿宋_GB2312" w:eastAsia="仿宋_GB2312" w:cs="仿宋_GB2312"/>
          <w:color w:val="auto"/>
          <w:spacing w:val="1"/>
          <w:sz w:val="30"/>
          <w:szCs w:val="30"/>
          <w:highlight w:val="none"/>
          <w:u w:val="single"/>
        </w:rPr>
        <w:t>证明不可抗力发生及其持续时间的足够证据。3、 不可抗</w:t>
      </w:r>
      <w:r>
        <w:rPr>
          <w:rFonts w:hint="eastAsia" w:ascii="仿宋_GB2312" w:hAnsi="仿宋_GB2312" w:eastAsia="仿宋_GB2312" w:cs="仿宋_GB2312"/>
          <w:color w:val="auto"/>
          <w:sz w:val="30"/>
          <w:szCs w:val="30"/>
          <w:highlight w:val="none"/>
          <w:u w:val="single"/>
        </w:rPr>
        <w:t>力事件，各方应立即互相协商，以找</w:t>
      </w:r>
      <w:r>
        <w:rPr>
          <w:rFonts w:hint="eastAsia" w:ascii="仿宋_GB2312" w:hAnsi="仿宋_GB2312" w:eastAsia="仿宋_GB2312" w:cs="仿宋_GB2312"/>
          <w:color w:val="auto"/>
          <w:spacing w:val="1"/>
          <w:sz w:val="30"/>
          <w:szCs w:val="30"/>
          <w:highlight w:val="none"/>
          <w:u w:val="single"/>
        </w:rPr>
        <w:t>到公平的解决办法，并且应尽一切合理努力将不可抗力的影响减少到最低限度。如不可抗力的</w:t>
      </w:r>
      <w:r>
        <w:rPr>
          <w:rFonts w:hint="eastAsia" w:ascii="仿宋_GB2312" w:hAnsi="仿宋_GB2312" w:eastAsia="仿宋_GB2312" w:cs="仿宋_GB2312"/>
          <w:color w:val="auto"/>
          <w:spacing w:val="-2"/>
          <w:sz w:val="30"/>
          <w:szCs w:val="30"/>
          <w:highlight w:val="none"/>
          <w:u w:val="single"/>
        </w:rPr>
        <w:t>发生或后果对合同的履行造成重大妨碍，时间超过六个月，并且各</w:t>
      </w:r>
      <w:r>
        <w:rPr>
          <w:rFonts w:hint="eastAsia" w:ascii="仿宋_GB2312" w:hAnsi="仿宋_GB2312" w:eastAsia="仿宋_GB2312" w:cs="仿宋_GB2312"/>
          <w:color w:val="auto"/>
          <w:spacing w:val="-3"/>
          <w:sz w:val="30"/>
          <w:szCs w:val="30"/>
          <w:highlight w:val="none"/>
          <w:u w:val="single"/>
        </w:rPr>
        <w:t>方没有找到公平的解决办法，</w:t>
      </w:r>
      <w:r>
        <w:rPr>
          <w:rFonts w:hint="eastAsia" w:ascii="仿宋_GB2312" w:hAnsi="仿宋_GB2312" w:eastAsia="仿宋_GB2312" w:cs="仿宋_GB2312"/>
          <w:color w:val="auto"/>
          <w:sz w:val="30"/>
          <w:szCs w:val="30"/>
          <w:highlight w:val="none"/>
          <w:u w:val="single"/>
        </w:rPr>
        <w:t>则任何一方可终止本协议的程序，但条件是该方已履行其在本条项下的</w:t>
      </w:r>
      <w:r>
        <w:rPr>
          <w:rFonts w:hint="eastAsia" w:ascii="仿宋_GB2312" w:hAnsi="仿宋_GB2312" w:eastAsia="仿宋_GB2312" w:cs="仿宋_GB2312"/>
          <w:color w:val="auto"/>
          <w:spacing w:val="-1"/>
          <w:sz w:val="30"/>
          <w:szCs w:val="30"/>
          <w:highlight w:val="none"/>
          <w:u w:val="single"/>
        </w:rPr>
        <w:t>义务</w:t>
      </w:r>
      <w:r>
        <w:rPr>
          <w:rFonts w:hint="eastAsia" w:ascii="仿宋_GB2312" w:hAnsi="仿宋_GB2312" w:eastAsia="仿宋_GB2312" w:cs="仿宋_GB2312"/>
          <w:color w:val="auto"/>
          <w:spacing w:val="-1"/>
          <w:sz w:val="30"/>
          <w:szCs w:val="30"/>
          <w:highlight w:val="none"/>
        </w:rPr>
        <w:t>。</w:t>
      </w:r>
    </w:p>
    <w:p w14:paraId="4090B832">
      <w:pPr>
        <w:pStyle w:val="7"/>
        <w:keepNext/>
        <w:keepLines/>
        <w:ind w:firstLine="0" w:firstLineChars="0"/>
        <w:jc w:val="both"/>
        <w:rPr>
          <w:rFonts w:eastAsia="黑体"/>
          <w:bCs/>
          <w:color w:val="auto"/>
          <w:sz w:val="32"/>
          <w:highlight w:val="none"/>
        </w:rPr>
      </w:pPr>
      <w:bookmarkStart w:id="1401" w:name="_Toc25085"/>
      <w:bookmarkStart w:id="1402" w:name="_Toc31665"/>
      <w:bookmarkStart w:id="1403" w:name="_Toc28446"/>
      <w:bookmarkStart w:id="1404" w:name="_Toc29135"/>
      <w:bookmarkStart w:id="1405" w:name="_Toc27335"/>
      <w:r>
        <w:rPr>
          <w:rFonts w:eastAsia="黑体"/>
          <w:bCs/>
          <w:color w:val="auto"/>
          <w:sz w:val="32"/>
          <w:highlight w:val="none"/>
        </w:rPr>
        <w:t>16.合同解除</w:t>
      </w:r>
      <w:bookmarkEnd w:id="1401"/>
      <w:bookmarkEnd w:id="1402"/>
      <w:bookmarkEnd w:id="1403"/>
      <w:bookmarkEnd w:id="1404"/>
      <w:bookmarkEnd w:id="1405"/>
    </w:p>
    <w:p w14:paraId="05F3EC16">
      <w:pPr>
        <w:pStyle w:val="79"/>
        <w:spacing w:after="0" w:line="360" w:lineRule="auto"/>
        <w:ind w:firstLine="588"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3"/>
          <w:sz w:val="30"/>
          <w:szCs w:val="30"/>
          <w:highlight w:val="none"/>
        </w:rPr>
        <w:t>16.2有下列情形之一的，可以解除合同：</w:t>
      </w:r>
    </w:p>
    <w:p w14:paraId="3EF7BD1E">
      <w:pPr>
        <w:pStyle w:val="79"/>
        <w:spacing w:after="0" w:line="360" w:lineRule="auto"/>
        <w:ind w:firstLine="588"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3"/>
          <w:sz w:val="30"/>
          <w:szCs w:val="30"/>
          <w:highlight w:val="none"/>
        </w:rPr>
        <w:t>（1）暂停设计期限已连续超过</w:t>
      </w:r>
      <w:r>
        <w:rPr>
          <w:rFonts w:hint="eastAsia" w:ascii="仿宋_GB2312" w:hAnsi="仿宋_GB2312" w:eastAsia="仿宋_GB2312" w:cs="仿宋_GB2312"/>
          <w:color w:val="auto"/>
          <w:spacing w:val="-3"/>
          <w:sz w:val="30"/>
          <w:szCs w:val="30"/>
          <w:highlight w:val="none"/>
          <w:u w:val="single"/>
        </w:rPr>
        <w:t>180</w:t>
      </w:r>
      <w:r>
        <w:rPr>
          <w:rFonts w:hint="eastAsia" w:ascii="仿宋_GB2312" w:hAnsi="仿宋_GB2312" w:eastAsia="仿宋_GB2312" w:cs="仿宋_GB2312"/>
          <w:color w:val="auto"/>
          <w:spacing w:val="-3"/>
          <w:sz w:val="30"/>
          <w:szCs w:val="30"/>
          <w:highlight w:val="none"/>
        </w:rPr>
        <w:t>天。</w:t>
      </w:r>
    </w:p>
    <w:p w14:paraId="46E50D5C">
      <w:pPr>
        <w:pStyle w:val="79"/>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（2）因设计人原因造成设计文件不合格致使审查无法通过达到3次的，发包人有权单方面解除</w:t>
      </w:r>
      <w:r>
        <w:rPr>
          <w:rFonts w:hint="eastAsia" w:ascii="仿宋_GB2312" w:hAnsi="仿宋_GB2312" w:eastAsia="仿宋_GB2312" w:cs="仿宋_GB2312"/>
          <w:color w:val="auto"/>
          <w:spacing w:val="-9"/>
          <w:sz w:val="30"/>
          <w:szCs w:val="30"/>
          <w:highlight w:val="none"/>
        </w:rPr>
        <w:t>合同。</w:t>
      </w:r>
    </w:p>
    <w:p w14:paraId="2FD307AA">
      <w:pPr>
        <w:pStyle w:val="79"/>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（3）设计人应按专用合同条款第7.2条、附件3以及发包人根据工程进展情况要求的期限交付</w:t>
      </w:r>
      <w:r>
        <w:rPr>
          <w:rFonts w:hint="eastAsia" w:ascii="仿宋_GB2312" w:hAnsi="仿宋_GB2312" w:eastAsia="仿宋_GB2312" w:cs="仿宋_GB2312"/>
          <w:color w:val="auto"/>
          <w:spacing w:val="-8"/>
          <w:sz w:val="30"/>
          <w:szCs w:val="30"/>
          <w:highlight w:val="none"/>
        </w:rPr>
        <w:t>设计文件，单次交付阶段逾期超过15  日历天的，发包人有权单方面解除合同。设计人有2次（含</w:t>
      </w:r>
      <w:r>
        <w:rPr>
          <w:rFonts w:hint="eastAsia" w:ascii="仿宋_GB2312" w:hAnsi="仿宋_GB2312" w:eastAsia="仿宋_GB2312" w:cs="仿宋_GB2312"/>
          <w:color w:val="auto"/>
          <w:spacing w:val="-1"/>
          <w:sz w:val="30"/>
          <w:szCs w:val="30"/>
          <w:highlight w:val="none"/>
        </w:rPr>
        <w:t>2次）以上不依据发包人的通知或函告执行，发包人</w:t>
      </w:r>
      <w:r>
        <w:rPr>
          <w:rFonts w:hint="eastAsia" w:ascii="仿宋_GB2312" w:hAnsi="仿宋_GB2312" w:eastAsia="仿宋_GB2312" w:cs="仿宋_GB2312"/>
          <w:color w:val="auto"/>
          <w:spacing w:val="-2"/>
          <w:sz w:val="30"/>
          <w:szCs w:val="30"/>
          <w:highlight w:val="none"/>
        </w:rPr>
        <w:t>有权解除本合同。</w:t>
      </w:r>
    </w:p>
    <w:p w14:paraId="7BD996E5">
      <w:pPr>
        <w:pStyle w:val="79"/>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（4）设计人需按发包人要求及合同约定时间按质履行合同，如果设计人存在不符合合同约定的</w:t>
      </w:r>
      <w:r>
        <w:rPr>
          <w:rFonts w:hint="eastAsia" w:ascii="仿宋_GB2312" w:hAnsi="仿宋_GB2312" w:eastAsia="仿宋_GB2312" w:cs="仿宋_GB2312"/>
          <w:color w:val="auto"/>
          <w:spacing w:val="1"/>
          <w:sz w:val="30"/>
          <w:szCs w:val="30"/>
          <w:highlight w:val="none"/>
        </w:rPr>
        <w:t>违约行为，发包人有权将该部分工作直接分割，分包给第三方完成，所需费用由设计人承</w:t>
      </w:r>
      <w:r>
        <w:rPr>
          <w:rFonts w:hint="eastAsia" w:ascii="仿宋_GB2312" w:hAnsi="仿宋_GB2312" w:eastAsia="仿宋_GB2312" w:cs="仿宋_GB2312"/>
          <w:color w:val="auto"/>
          <w:sz w:val="30"/>
          <w:szCs w:val="30"/>
          <w:highlight w:val="none"/>
        </w:rPr>
        <w:t>担， 发包人有权从合同款中予以扣除，同时设计人所需承担责任不</w:t>
      </w:r>
      <w:r>
        <w:rPr>
          <w:rFonts w:hint="eastAsia" w:ascii="仿宋_GB2312" w:hAnsi="仿宋_GB2312" w:eastAsia="仿宋_GB2312" w:cs="仿宋_GB2312"/>
          <w:color w:val="auto"/>
          <w:spacing w:val="-1"/>
          <w:sz w:val="30"/>
          <w:szCs w:val="30"/>
          <w:highlight w:val="none"/>
        </w:rPr>
        <w:t>免除。</w:t>
      </w:r>
    </w:p>
    <w:p w14:paraId="165F9F9A">
      <w:pPr>
        <w:pStyle w:val="7"/>
        <w:keepNext/>
        <w:keepLines/>
        <w:ind w:firstLine="0" w:firstLineChars="0"/>
        <w:jc w:val="both"/>
        <w:rPr>
          <w:rFonts w:eastAsia="黑体"/>
          <w:bCs/>
          <w:color w:val="auto"/>
          <w:sz w:val="32"/>
          <w:highlight w:val="none"/>
        </w:rPr>
      </w:pPr>
      <w:bookmarkStart w:id="1406" w:name="_Toc30683"/>
      <w:bookmarkStart w:id="1407" w:name="_Toc9034"/>
      <w:bookmarkStart w:id="1408" w:name="_Toc14804"/>
      <w:bookmarkStart w:id="1409" w:name="_Toc31639"/>
      <w:r>
        <w:rPr>
          <w:rFonts w:eastAsia="黑体"/>
          <w:bCs/>
          <w:color w:val="auto"/>
          <w:sz w:val="32"/>
          <w:highlight w:val="none"/>
        </w:rPr>
        <w:t>17.争议解决</w:t>
      </w:r>
      <w:bookmarkEnd w:id="1406"/>
      <w:bookmarkEnd w:id="1407"/>
      <w:bookmarkEnd w:id="1408"/>
      <w:bookmarkEnd w:id="1409"/>
    </w:p>
    <w:p w14:paraId="0B0C85F0">
      <w:pPr>
        <w:pStyle w:val="79"/>
        <w:spacing w:after="0" w:line="360" w:lineRule="auto"/>
        <w:ind w:firstLine="602" w:firstLineChars="200"/>
        <w:rPr>
          <w:rFonts w:eastAsia="黑体"/>
          <w:b/>
          <w:bCs/>
          <w:color w:val="auto"/>
          <w:sz w:val="30"/>
          <w:szCs w:val="32"/>
          <w:highlight w:val="none"/>
        </w:rPr>
      </w:pPr>
      <w:r>
        <w:rPr>
          <w:rFonts w:eastAsia="黑体"/>
          <w:b/>
          <w:bCs/>
          <w:color w:val="auto"/>
          <w:sz w:val="30"/>
          <w:szCs w:val="32"/>
          <w:highlight w:val="none"/>
        </w:rPr>
        <w:t>17.4仲裁或诉讼</w:t>
      </w:r>
    </w:p>
    <w:p w14:paraId="03110969">
      <w:pPr>
        <w:pStyle w:val="79"/>
        <w:spacing w:after="0" w:line="360" w:lineRule="auto"/>
        <w:ind w:firstLine="592" w:firstLineChars="200"/>
        <w:rPr>
          <w:rFonts w:ascii="仿宋_GB2312" w:hAnsi="仿宋_GB2312" w:eastAsia="仿宋_GB2312" w:cs="仿宋_GB2312"/>
          <w:color w:val="auto"/>
          <w:spacing w:val="-2"/>
          <w:sz w:val="30"/>
          <w:szCs w:val="30"/>
          <w:highlight w:val="none"/>
        </w:rPr>
      </w:pPr>
      <w:r>
        <w:rPr>
          <w:rFonts w:hint="eastAsia" w:ascii="仿宋_GB2312" w:hAnsi="仿宋_GB2312" w:eastAsia="仿宋_GB2312" w:cs="仿宋_GB2312"/>
          <w:color w:val="auto"/>
          <w:spacing w:val="-2"/>
          <w:sz w:val="30"/>
          <w:szCs w:val="30"/>
          <w:highlight w:val="none"/>
        </w:rPr>
        <w:t>因合同及合同有关事项发生的争议，按下列第</w:t>
      </w:r>
      <w:r>
        <w:rPr>
          <w:rFonts w:hint="eastAsia" w:ascii="仿宋_GB2312" w:hAnsi="仿宋_GB2312" w:eastAsia="仿宋_GB2312" w:cs="仿宋_GB2312"/>
          <w:color w:val="auto"/>
          <w:spacing w:val="-2"/>
          <w:sz w:val="30"/>
          <w:szCs w:val="30"/>
          <w:highlight w:val="none"/>
          <w:u w:val="single"/>
        </w:rPr>
        <w:t xml:space="preserve"> </w:t>
      </w:r>
      <w:r>
        <w:rPr>
          <w:rFonts w:hint="eastAsia" w:ascii="仿宋_GB2312" w:hAnsi="仿宋_GB2312" w:eastAsia="仿宋_GB2312" w:cs="仿宋_GB2312"/>
          <w:color w:val="auto"/>
          <w:spacing w:val="-2"/>
          <w:sz w:val="30"/>
          <w:szCs w:val="30"/>
          <w:highlight w:val="none"/>
          <w:u w:val="single"/>
          <w:lang w:eastAsia="zh-CN"/>
        </w:rPr>
        <w:t>（</w:t>
      </w:r>
      <w:r>
        <w:rPr>
          <w:rFonts w:hint="eastAsia" w:ascii="仿宋_GB2312" w:hAnsi="仿宋_GB2312" w:eastAsia="仿宋_GB2312" w:cs="仿宋_GB2312"/>
          <w:color w:val="auto"/>
          <w:spacing w:val="-2"/>
          <w:sz w:val="30"/>
          <w:szCs w:val="30"/>
          <w:highlight w:val="none"/>
          <w:u w:val="single"/>
          <w:lang w:val="en-US" w:eastAsia="zh-CN"/>
        </w:rPr>
        <w:t>1</w:t>
      </w:r>
      <w:r>
        <w:rPr>
          <w:rFonts w:hint="eastAsia" w:ascii="仿宋_GB2312" w:hAnsi="仿宋_GB2312" w:eastAsia="仿宋_GB2312" w:cs="仿宋_GB2312"/>
          <w:color w:val="auto"/>
          <w:spacing w:val="-2"/>
          <w:sz w:val="30"/>
          <w:szCs w:val="30"/>
          <w:highlight w:val="none"/>
          <w:u w:val="single"/>
          <w:lang w:eastAsia="zh-CN"/>
        </w:rPr>
        <w:t>）</w:t>
      </w:r>
      <w:r>
        <w:rPr>
          <w:rFonts w:hint="eastAsia" w:ascii="仿宋_GB2312" w:hAnsi="仿宋_GB2312" w:eastAsia="仿宋_GB2312" w:cs="仿宋_GB2312"/>
          <w:color w:val="auto"/>
          <w:spacing w:val="-2"/>
          <w:sz w:val="30"/>
          <w:szCs w:val="30"/>
          <w:highlight w:val="none"/>
          <w:u w:val="single"/>
        </w:rPr>
        <w:t xml:space="preserve"> </w:t>
      </w:r>
      <w:r>
        <w:rPr>
          <w:rFonts w:hint="eastAsia" w:ascii="仿宋_GB2312" w:hAnsi="仿宋_GB2312" w:eastAsia="仿宋_GB2312" w:cs="仿宋_GB2312"/>
          <w:color w:val="auto"/>
          <w:spacing w:val="-2"/>
          <w:sz w:val="30"/>
          <w:szCs w:val="30"/>
          <w:highlight w:val="none"/>
        </w:rPr>
        <w:t>种方式解决：</w:t>
      </w:r>
    </w:p>
    <w:p w14:paraId="56B6F953">
      <w:pPr>
        <w:pStyle w:val="79"/>
        <w:spacing w:after="0" w:line="360" w:lineRule="auto"/>
        <w:ind w:firstLine="592" w:firstLineChars="200"/>
        <w:rPr>
          <w:rFonts w:ascii="仿宋_GB2312" w:hAnsi="仿宋_GB2312" w:eastAsia="仿宋_GB2312" w:cs="仿宋_GB2312"/>
          <w:color w:val="auto"/>
          <w:spacing w:val="-2"/>
          <w:sz w:val="30"/>
          <w:szCs w:val="30"/>
          <w:highlight w:val="none"/>
        </w:rPr>
      </w:pPr>
      <w:r>
        <w:rPr>
          <w:rFonts w:hint="eastAsia" w:ascii="仿宋_GB2312" w:hAnsi="仿宋_GB2312" w:eastAsia="仿宋_GB2312" w:cs="仿宋_GB2312"/>
          <w:color w:val="auto"/>
          <w:spacing w:val="-2"/>
          <w:sz w:val="30"/>
          <w:szCs w:val="30"/>
          <w:highlight w:val="none"/>
        </w:rPr>
        <w:t>（1）因本协议及本协议在履行过程中发生的争议，由各方友好协商解决，协商不成的，任何一方均有权向</w:t>
      </w:r>
      <w:r>
        <w:rPr>
          <w:rFonts w:hint="eastAsia" w:ascii="仿宋_GB2312" w:hAnsi="仿宋_GB2312" w:eastAsia="仿宋_GB2312" w:cs="仿宋_GB2312"/>
          <w:color w:val="auto"/>
          <w:sz w:val="30"/>
          <w:szCs w:val="30"/>
          <w:highlight w:val="none"/>
          <w:u w:val="single"/>
        </w:rPr>
        <w:t>甲方所在地有管辖权</w:t>
      </w:r>
      <w:r>
        <w:rPr>
          <w:rFonts w:hint="eastAsia" w:ascii="仿宋_GB2312" w:hAnsi="仿宋_GB2312" w:eastAsia="仿宋_GB2312" w:cs="仿宋_GB2312"/>
          <w:color w:val="auto"/>
          <w:spacing w:val="-2"/>
          <w:sz w:val="30"/>
          <w:szCs w:val="30"/>
          <w:highlight w:val="none"/>
        </w:rPr>
        <w:t>的人民法院起诉。</w:t>
      </w:r>
    </w:p>
    <w:p w14:paraId="30DBB2C9">
      <w:pPr>
        <w:pStyle w:val="79"/>
        <w:spacing w:after="0" w:line="360" w:lineRule="auto"/>
        <w:ind w:firstLine="592" w:firstLineChars="200"/>
        <w:rPr>
          <w:rFonts w:ascii="仿宋_GB2312" w:hAnsi="仿宋_GB2312" w:eastAsia="仿宋_GB2312" w:cs="仿宋_GB2312"/>
          <w:color w:val="auto"/>
          <w:spacing w:val="-2"/>
          <w:sz w:val="30"/>
          <w:szCs w:val="30"/>
          <w:highlight w:val="none"/>
        </w:rPr>
      </w:pPr>
      <w:r>
        <w:rPr>
          <w:rFonts w:hint="eastAsia" w:ascii="仿宋_GB2312" w:hAnsi="仿宋_GB2312" w:eastAsia="仿宋_GB2312" w:cs="仿宋_GB2312"/>
          <w:color w:val="auto"/>
          <w:spacing w:val="-2"/>
          <w:sz w:val="30"/>
          <w:szCs w:val="30"/>
          <w:highlight w:val="none"/>
        </w:rPr>
        <w:t>（2）提请</w:t>
      </w:r>
      <w:r>
        <w:rPr>
          <w:rFonts w:hint="eastAsia" w:ascii="仿宋_GB2312" w:hAnsi="仿宋_GB2312" w:eastAsia="仿宋_GB2312" w:cs="仿宋_GB2312"/>
          <w:color w:val="auto"/>
          <w:spacing w:val="-2"/>
          <w:sz w:val="30"/>
          <w:szCs w:val="30"/>
          <w:highlight w:val="none"/>
          <w:u w:val="single"/>
        </w:rPr>
        <w:t xml:space="preserve">  /  </w:t>
      </w:r>
      <w:r>
        <w:rPr>
          <w:rFonts w:hint="eastAsia" w:ascii="仿宋_GB2312" w:hAnsi="仿宋_GB2312" w:eastAsia="仿宋_GB2312" w:cs="仿宋_GB2312"/>
          <w:color w:val="auto"/>
          <w:spacing w:val="-2"/>
          <w:sz w:val="30"/>
          <w:szCs w:val="30"/>
          <w:highlight w:val="none"/>
        </w:rPr>
        <w:t>仲裁委员会按照该会仲裁规则进行仲裁，仲裁裁决是终局的，对合同双方均有约束力。</w:t>
      </w:r>
    </w:p>
    <w:p w14:paraId="634CC524">
      <w:pPr>
        <w:pStyle w:val="7"/>
        <w:keepNext/>
        <w:keepLines/>
        <w:ind w:firstLine="0" w:firstLineChars="0"/>
        <w:jc w:val="both"/>
        <w:rPr>
          <w:rFonts w:eastAsia="黑体"/>
          <w:bCs/>
          <w:color w:val="auto"/>
          <w:sz w:val="32"/>
          <w:highlight w:val="none"/>
        </w:rPr>
      </w:pPr>
      <w:bookmarkStart w:id="1410" w:name="_Toc17774"/>
      <w:bookmarkStart w:id="1411" w:name="_Toc25166"/>
      <w:bookmarkStart w:id="1412" w:name="_Toc6448"/>
      <w:bookmarkStart w:id="1413" w:name="_Toc5313"/>
      <w:bookmarkStart w:id="1414" w:name="_Toc28127"/>
      <w:r>
        <w:rPr>
          <w:rFonts w:eastAsia="黑体"/>
          <w:bCs/>
          <w:color w:val="auto"/>
          <w:sz w:val="32"/>
          <w:highlight w:val="none"/>
        </w:rPr>
        <w:t>18.其他</w:t>
      </w:r>
      <w:bookmarkEnd w:id="1410"/>
      <w:bookmarkEnd w:id="1411"/>
      <w:bookmarkEnd w:id="1412"/>
      <w:bookmarkEnd w:id="1413"/>
      <w:bookmarkEnd w:id="1414"/>
    </w:p>
    <w:p w14:paraId="214BCDF7">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18.1  设计人应利用本项目已完成的设计成果，如因设计成果未能满足本次设计目标时</w:t>
      </w:r>
      <w:r>
        <w:rPr>
          <w:rFonts w:hint="eastAsia" w:ascii="仿宋_GB2312" w:hAnsi="仿宋_GB2312" w:eastAsia="仿宋_GB2312" w:cs="仿宋_GB2312"/>
          <w:color w:val="auto"/>
          <w:spacing w:val="-1"/>
          <w:sz w:val="30"/>
          <w:szCs w:val="30"/>
          <w:highlight w:val="none"/>
        </w:rPr>
        <w:t>，应按照相关部门的要求，对发生部分内容给予计列。</w:t>
      </w:r>
    </w:p>
    <w:p w14:paraId="2247C63A">
      <w:pPr>
        <w:pStyle w:val="79"/>
        <w:spacing w:after="0" w:line="360" w:lineRule="auto"/>
        <w:ind w:firstLine="584"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4"/>
          <w:sz w:val="30"/>
          <w:szCs w:val="30"/>
          <w:highlight w:val="none"/>
        </w:rPr>
        <w:t>18.2总体协调单位主要责任：</w:t>
      </w:r>
    </w:p>
    <w:p w14:paraId="397C71CF">
      <w:pPr>
        <w:pStyle w:val="79"/>
        <w:spacing w:after="0" w:line="360" w:lineRule="auto"/>
        <w:ind w:firstLine="59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2"/>
          <w:sz w:val="30"/>
          <w:szCs w:val="30"/>
          <w:highlight w:val="none"/>
        </w:rPr>
        <w:t>（1）组织各设计人研究建设项目的总体设计方案；</w:t>
      </w:r>
    </w:p>
    <w:p w14:paraId="2B5190BC">
      <w:pPr>
        <w:pStyle w:val="79"/>
        <w:spacing w:after="0" w:line="360" w:lineRule="auto"/>
        <w:ind w:firstLine="596"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（2）确定统一的工程设计标准、规范、深度和要求；</w:t>
      </w:r>
    </w:p>
    <w:p w14:paraId="5E58584F">
      <w:pPr>
        <w:pStyle w:val="79"/>
        <w:spacing w:after="0" w:line="360" w:lineRule="auto"/>
        <w:ind w:firstLine="596"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（3）组织编制建设项目工程设计总说明、总图等；</w:t>
      </w:r>
    </w:p>
    <w:p w14:paraId="60F3D984">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（4）协调工程设计进度，组织各设计人按照要</w:t>
      </w:r>
      <w:r>
        <w:rPr>
          <w:rFonts w:hint="eastAsia" w:ascii="仿宋_GB2312" w:hAnsi="仿宋_GB2312" w:eastAsia="仿宋_GB2312" w:cs="仿宋_GB2312"/>
          <w:color w:val="auto"/>
          <w:spacing w:val="-1"/>
          <w:sz w:val="30"/>
          <w:szCs w:val="30"/>
          <w:highlight w:val="none"/>
        </w:rPr>
        <w:t>求提交工程设计文件；</w:t>
      </w:r>
    </w:p>
    <w:p w14:paraId="6B13E8DB">
      <w:pPr>
        <w:pStyle w:val="79"/>
        <w:spacing w:after="0" w:line="360" w:lineRule="auto"/>
        <w:ind w:firstLine="596"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（5）负责协调、完成各工程设计文件的衔接设计工</w:t>
      </w:r>
      <w:r>
        <w:rPr>
          <w:rFonts w:hint="eastAsia" w:ascii="仿宋_GB2312" w:hAnsi="仿宋_GB2312" w:eastAsia="仿宋_GB2312" w:cs="仿宋_GB2312"/>
          <w:color w:val="auto"/>
          <w:spacing w:val="-2"/>
          <w:sz w:val="30"/>
          <w:szCs w:val="30"/>
          <w:highlight w:val="none"/>
        </w:rPr>
        <w:t>作。</w:t>
      </w:r>
    </w:p>
    <w:p w14:paraId="4B2ED2A6">
      <w:pPr>
        <w:pStyle w:val="79"/>
        <w:spacing w:after="0"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18.3  本合同载明的通讯地址为双方指定收件地址，今后凡与本合同相关的任何通知、函件</w:t>
      </w:r>
      <w:r>
        <w:rPr>
          <w:rFonts w:hint="eastAsia" w:ascii="仿宋_GB2312" w:hAnsi="仿宋_GB2312" w:eastAsia="仿宋_GB2312" w:cs="仿宋_GB2312"/>
          <w:color w:val="auto"/>
          <w:spacing w:val="-1"/>
          <w:sz w:val="30"/>
          <w:szCs w:val="30"/>
          <w:highlight w:val="none"/>
        </w:rPr>
        <w:t>、法</w:t>
      </w:r>
      <w:r>
        <w:rPr>
          <w:rFonts w:hint="eastAsia" w:ascii="仿宋_GB2312" w:hAnsi="仿宋_GB2312" w:eastAsia="仿宋_GB2312" w:cs="仿宋_GB2312"/>
          <w:color w:val="auto"/>
          <w:spacing w:val="1"/>
          <w:sz w:val="30"/>
          <w:szCs w:val="30"/>
          <w:highlight w:val="none"/>
        </w:rPr>
        <w:t>律文书（包括但不限于律师函、起诉状、应诉通知、传票、判决书、裁定书等）均送达至该地</w:t>
      </w:r>
      <w:r>
        <w:rPr>
          <w:rFonts w:hint="eastAsia" w:ascii="仿宋_GB2312" w:hAnsi="仿宋_GB2312" w:eastAsia="仿宋_GB2312" w:cs="仿宋_GB2312"/>
          <w:color w:val="auto"/>
          <w:spacing w:val="-1"/>
          <w:sz w:val="30"/>
          <w:szCs w:val="30"/>
          <w:highlight w:val="none"/>
        </w:rPr>
        <w:t>址，自EMS邮件加盖邮戳之日起第三日起视为送达，任一方有变更应书面通知对方</w:t>
      </w:r>
      <w:r>
        <w:rPr>
          <w:rFonts w:hint="eastAsia" w:ascii="仿宋_GB2312" w:hAnsi="仿宋_GB2312" w:eastAsia="仿宋_GB2312" w:cs="仿宋_GB2312"/>
          <w:color w:val="auto"/>
          <w:spacing w:val="-2"/>
          <w:sz w:val="30"/>
          <w:szCs w:val="30"/>
          <w:highlight w:val="none"/>
        </w:rPr>
        <w:t>，否则均为</w:t>
      </w:r>
      <w:r>
        <w:rPr>
          <w:rFonts w:hint="eastAsia" w:ascii="仿宋_GB2312" w:hAnsi="仿宋_GB2312" w:eastAsia="仿宋_GB2312" w:cs="仿宋_GB2312"/>
          <w:color w:val="auto"/>
          <w:spacing w:val="-1"/>
          <w:sz w:val="30"/>
          <w:szCs w:val="30"/>
          <w:highlight w:val="none"/>
        </w:rPr>
        <w:t>有效送达，未及时告知的不良后果由该方承担。</w:t>
      </w:r>
    </w:p>
    <w:p w14:paraId="1F1B95FF">
      <w:pPr>
        <w:rPr>
          <w:rFonts w:ascii="仿宋_GB2312" w:hAnsi="仿宋_GB2312" w:eastAsia="仿宋_GB2312" w:cs="仿宋_GB2312"/>
          <w:b/>
          <w:bCs/>
          <w:color w:val="auto"/>
          <w:spacing w:val="-6"/>
          <w:sz w:val="30"/>
          <w:szCs w:val="30"/>
          <w:highlight w:val="none"/>
        </w:rPr>
      </w:pPr>
    </w:p>
    <w:p w14:paraId="147A5D3A">
      <w:pPr>
        <w:pStyle w:val="79"/>
        <w:spacing w:after="0" w:line="360" w:lineRule="auto"/>
        <w:rPr>
          <w:rFonts w:ascii="Arial" w:hAnsi="Arial" w:eastAsia="黑体"/>
          <w:b/>
          <w:bCs/>
          <w:color w:val="auto"/>
          <w:sz w:val="32"/>
          <w:szCs w:val="32"/>
          <w:highlight w:val="none"/>
        </w:rPr>
      </w:pPr>
      <w:r>
        <w:rPr>
          <w:rFonts w:hint="eastAsia" w:ascii="Arial" w:hAnsi="Arial" w:eastAsia="黑体"/>
          <w:b/>
          <w:bCs/>
          <w:color w:val="auto"/>
          <w:sz w:val="32"/>
          <w:szCs w:val="32"/>
          <w:highlight w:val="none"/>
        </w:rPr>
        <w:t>19.专用合同条款</w:t>
      </w:r>
      <w:r>
        <w:rPr>
          <w:rFonts w:ascii="Arial" w:hAnsi="Arial" w:eastAsia="黑体"/>
          <w:b/>
          <w:bCs/>
          <w:color w:val="auto"/>
          <w:sz w:val="32"/>
          <w:szCs w:val="32"/>
          <w:highlight w:val="none"/>
        </w:rPr>
        <w:t>附件</w:t>
      </w:r>
    </w:p>
    <w:p w14:paraId="5356A217">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附件1：工程设计范围、阶段与服务内容</w:t>
      </w:r>
    </w:p>
    <w:p w14:paraId="2D3733F4">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附件2：发包人向设计人提交的有关资料及文件一览表</w:t>
      </w:r>
    </w:p>
    <w:p w14:paraId="4695FB4F">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附件3：设计人向发包人交付的工程设计文件目录</w:t>
      </w:r>
    </w:p>
    <w:p w14:paraId="38CA8709">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附件4：设计人主要设计人员表</w:t>
      </w:r>
    </w:p>
    <w:p w14:paraId="54694898">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附件5: 设计进度表</w:t>
      </w:r>
    </w:p>
    <w:p w14:paraId="5026B398">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附件6: 设计费明细及支付方式</w:t>
      </w:r>
    </w:p>
    <w:p w14:paraId="78580C70">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附件7: 设计变更计费依据和方法</w:t>
      </w:r>
    </w:p>
    <w:p w14:paraId="41C4138E">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附件8：履约担保（如有）</w:t>
      </w:r>
    </w:p>
    <w:p w14:paraId="72097090">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附件9：廉政责任书</w:t>
      </w:r>
    </w:p>
    <w:p w14:paraId="78AE71C9">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附件10：其他要求</w:t>
      </w:r>
    </w:p>
    <w:p w14:paraId="032855DB">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附件10-1：首期进度款担保（独立保函、非独立保函）</w:t>
      </w:r>
    </w:p>
    <w:p w14:paraId="03EFE28C">
      <w:pPr>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附件10-2：支付担保（独立保函、非独立保函）</w:t>
      </w:r>
    </w:p>
    <w:p w14:paraId="61D25621">
      <w:pPr>
        <w:pStyle w:val="78"/>
        <w:spacing w:line="250" w:lineRule="auto"/>
        <w:rPr>
          <w:rFonts w:ascii="仿宋_GB2312" w:hAnsi="仿宋_GB2312" w:eastAsia="仿宋_GB2312" w:cs="仿宋_GB2312"/>
          <w:color w:val="auto"/>
          <w:sz w:val="30"/>
          <w:szCs w:val="30"/>
          <w:highlight w:val="none"/>
        </w:rPr>
      </w:pPr>
    </w:p>
    <w:p w14:paraId="65CEF6F8">
      <w:pPr>
        <w:pStyle w:val="78"/>
        <w:spacing w:line="250" w:lineRule="auto"/>
        <w:rPr>
          <w:rFonts w:ascii="仿宋_GB2312" w:hAnsi="仿宋_GB2312" w:eastAsia="仿宋_GB2312" w:cs="仿宋_GB2312"/>
          <w:color w:val="auto"/>
          <w:sz w:val="30"/>
          <w:szCs w:val="30"/>
          <w:highlight w:val="none"/>
        </w:rPr>
      </w:pPr>
    </w:p>
    <w:p w14:paraId="433787BE">
      <w:pPr>
        <w:pStyle w:val="78"/>
        <w:spacing w:line="250" w:lineRule="auto"/>
        <w:rPr>
          <w:rFonts w:ascii="仿宋_GB2312" w:hAnsi="仿宋_GB2312" w:eastAsia="仿宋_GB2312" w:cs="仿宋_GB2312"/>
          <w:color w:val="auto"/>
          <w:sz w:val="30"/>
          <w:szCs w:val="30"/>
          <w:highlight w:val="none"/>
        </w:rPr>
      </w:pPr>
    </w:p>
    <w:p w14:paraId="2BF442F3">
      <w:pPr>
        <w:pStyle w:val="78"/>
        <w:spacing w:before="91" w:line="222" w:lineRule="auto"/>
        <w:ind w:left="38"/>
        <w:rPr>
          <w:rFonts w:ascii="仿宋_GB2312" w:hAnsi="仿宋_GB2312" w:eastAsia="仿宋_GB2312" w:cs="仿宋_GB2312"/>
          <w:b/>
          <w:bCs/>
          <w:color w:val="auto"/>
          <w:spacing w:val="-15"/>
          <w:sz w:val="30"/>
          <w:szCs w:val="30"/>
          <w:highlight w:val="none"/>
        </w:rPr>
        <w:sectPr>
          <w:pgSz w:w="11906" w:h="16838"/>
          <w:pgMar w:top="1440" w:right="1531" w:bottom="1440" w:left="1531" w:header="851" w:footer="992" w:gutter="0"/>
          <w:pgBorders>
            <w:top w:val="none" w:sz="0" w:space="0"/>
            <w:left w:val="none" w:sz="0" w:space="0"/>
            <w:bottom w:val="none" w:sz="0" w:space="0"/>
            <w:right w:val="none" w:sz="0" w:space="0"/>
          </w:pgBorders>
          <w:pgNumType w:start="1"/>
          <w:cols w:space="425" w:num="1"/>
          <w:docGrid w:type="lines" w:linePitch="312" w:charSpace="0"/>
        </w:sectPr>
      </w:pPr>
    </w:p>
    <w:p w14:paraId="473F5846">
      <w:pPr>
        <w:pStyle w:val="7"/>
        <w:ind w:firstLine="598"/>
        <w:rPr>
          <w:rFonts w:ascii="仿宋_GB2312" w:hAnsi="仿宋_GB2312" w:eastAsia="仿宋_GB2312" w:cs="仿宋_GB2312"/>
          <w:color w:val="auto"/>
          <w:spacing w:val="-1"/>
          <w:sz w:val="30"/>
          <w:szCs w:val="30"/>
          <w:highlight w:val="none"/>
        </w:rPr>
      </w:pPr>
      <w:bookmarkStart w:id="1415" w:name="_Toc566"/>
      <w:bookmarkStart w:id="1416" w:name="_Toc24075"/>
      <w:bookmarkStart w:id="1417" w:name="_Toc24894"/>
      <w:bookmarkStart w:id="1418" w:name="_Toc14563"/>
      <w:bookmarkStart w:id="1419" w:name="_Toc23161"/>
      <w:r>
        <w:rPr>
          <w:rFonts w:hint="eastAsia" w:ascii="仿宋_GB2312" w:hAnsi="仿宋_GB2312" w:eastAsia="仿宋_GB2312" w:cs="仿宋_GB2312"/>
          <w:color w:val="auto"/>
          <w:spacing w:val="-1"/>
          <w:sz w:val="30"/>
          <w:szCs w:val="30"/>
          <w:highlight w:val="none"/>
        </w:rPr>
        <w:t>附件1-7：工程设计范围、阶段与服务内容</w:t>
      </w:r>
      <w:bookmarkEnd w:id="1415"/>
      <w:bookmarkEnd w:id="1416"/>
      <w:bookmarkEnd w:id="1417"/>
      <w:bookmarkEnd w:id="1418"/>
      <w:bookmarkEnd w:id="1419"/>
    </w:p>
    <w:p w14:paraId="73B8070E">
      <w:pPr>
        <w:pStyle w:val="81"/>
        <w:spacing w:line="360" w:lineRule="auto"/>
        <w:ind w:firstLine="600" w:firstLineChars="200"/>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i/>
          <w:iCs/>
          <w:color w:val="auto"/>
          <w:sz w:val="30"/>
          <w:szCs w:val="30"/>
          <w:highlight w:val="none"/>
        </w:rPr>
        <w:t>注：适用于装修设计</w:t>
      </w:r>
    </w:p>
    <w:p w14:paraId="5E2C045B">
      <w:pPr>
        <w:pStyle w:val="81"/>
        <w:ind w:firstLine="420"/>
        <w:rPr>
          <w:rFonts w:ascii="仿宋_GB2312" w:hAnsi="仿宋_GB2312" w:eastAsia="仿宋_GB2312" w:cs="仿宋_GB2312"/>
          <w:color w:val="auto"/>
          <w:sz w:val="30"/>
          <w:szCs w:val="30"/>
          <w:highlight w:val="none"/>
        </w:rPr>
      </w:pPr>
    </w:p>
    <w:p w14:paraId="46410F0C">
      <w:pPr>
        <w:pStyle w:val="78"/>
        <w:spacing w:line="360" w:lineRule="auto"/>
        <w:ind w:firstLine="602" w:firstLineChars="200"/>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z w:val="30"/>
          <w:szCs w:val="30"/>
          <w:highlight w:val="none"/>
        </w:rPr>
        <w:t>工程设计范围、阶段与服务内容</w:t>
      </w:r>
    </w:p>
    <w:p w14:paraId="2B006CAE">
      <w:pPr>
        <w:spacing w:line="360" w:lineRule="auto"/>
        <w:ind w:firstLine="602" w:firstLineChars="200"/>
        <w:rPr>
          <w:rFonts w:ascii="仿宋_GB2312" w:hAnsi="仿宋_GB2312" w:eastAsia="仿宋_GB2312" w:cs="仿宋_GB2312"/>
          <w:b/>
          <w:color w:val="auto"/>
          <w:sz w:val="30"/>
          <w:szCs w:val="30"/>
          <w:highlight w:val="none"/>
        </w:rPr>
      </w:pPr>
    </w:p>
    <w:p w14:paraId="15F2A74E">
      <w:pPr>
        <w:spacing w:line="360" w:lineRule="auto"/>
        <w:ind w:firstLine="60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b/>
          <w:color w:val="auto"/>
          <w:sz w:val="30"/>
          <w:szCs w:val="30"/>
          <w:highlight w:val="none"/>
        </w:rPr>
        <w:t>一、本工程设计范围</w:t>
      </w:r>
    </w:p>
    <w:p w14:paraId="05EF1431">
      <w:pPr>
        <w:spacing w:line="360" w:lineRule="auto"/>
        <w:ind w:firstLine="600"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设计服务包含方案设计及工程估算、效果图、施工图设计、交付标准及工程概算等设计成果、施工阶段配合等内容。本次设计范围包含但不限于以上内容，以确保项目验收合格为准。</w:t>
      </w:r>
    </w:p>
    <w:p w14:paraId="56979FDC">
      <w:pPr>
        <w:pStyle w:val="81"/>
        <w:spacing w:line="360" w:lineRule="auto"/>
        <w:ind w:firstLine="602"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b/>
          <w:color w:val="auto"/>
          <w:sz w:val="30"/>
          <w:szCs w:val="30"/>
          <w:highlight w:val="none"/>
        </w:rPr>
        <w:t>二、服务内容</w:t>
      </w:r>
    </w:p>
    <w:p w14:paraId="54EF1F8C">
      <w:pPr>
        <w:adjustRightInd w:val="0"/>
        <w:snapToGrid w:val="0"/>
        <w:spacing w:line="500" w:lineRule="exact"/>
        <w:ind w:left="9" w:firstLine="438" w:firstLineChars="146"/>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w:t>
      </w:r>
      <w:r>
        <w:rPr>
          <w:rFonts w:ascii="仿宋_GB2312" w:hAnsi="仿宋_GB2312" w:eastAsia="仿宋_GB2312" w:cs="仿宋_GB2312"/>
          <w:color w:val="auto"/>
          <w:sz w:val="30"/>
          <w:szCs w:val="30"/>
          <w:highlight w:val="none"/>
          <w:lang w:val="zh-CN"/>
        </w:rPr>
        <w:t>装修设计</w:t>
      </w:r>
      <w:r>
        <w:rPr>
          <w:rFonts w:ascii="仿宋_GB2312" w:hAnsi="仿宋_GB2312" w:eastAsia="仿宋_GB2312" w:cs="仿宋_GB2312"/>
          <w:color w:val="auto"/>
          <w:sz w:val="30"/>
          <w:szCs w:val="30"/>
          <w:highlight w:val="none"/>
        </w:rPr>
        <w:t>（包含硬装装修方案及施工图设计），设计服务包含方案设计及工程估算、效果图、施工图设计、交付标准及工程概算等设计成果、施工阶段配合等内容。本次设计范围包含但不限于以上内容，以确保项目验收合格为准。</w:t>
      </w:r>
    </w:p>
    <w:p w14:paraId="4B5DF131">
      <w:pPr>
        <w:adjustRightInd w:val="0"/>
        <w:snapToGrid w:val="0"/>
        <w:spacing w:line="500" w:lineRule="exact"/>
        <w:ind w:left="9" w:firstLine="438" w:firstLineChars="146"/>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30"/>
          <w:szCs w:val="30"/>
          <w:highlight w:val="none"/>
        </w:rPr>
        <w:t>2.</w:t>
      </w:r>
      <w:r>
        <w:rPr>
          <w:rFonts w:hint="eastAsia" w:ascii="仿宋_GB2312" w:hAnsi="仿宋_GB2312" w:eastAsia="仿宋_GB2312" w:cs="仿宋_GB2312"/>
          <w:color w:val="auto"/>
          <w:sz w:val="28"/>
          <w:szCs w:val="28"/>
          <w:highlight w:val="none"/>
        </w:rPr>
        <w:t>乙方应按甲方的各层功能平面图要求，进行硬装方案及施工图设计，并在正式方案及效果图设计阶段对材料样板进行选型、定样、送样（材料实体样板+材料样册）。</w:t>
      </w:r>
    </w:p>
    <w:p w14:paraId="44E62B03">
      <w:pPr>
        <w:adjustRightInd w:val="0"/>
        <w:snapToGrid w:val="0"/>
        <w:spacing w:line="500" w:lineRule="exact"/>
        <w:ind w:left="9" w:firstLine="408" w:firstLineChars="146"/>
        <w:rPr>
          <w:rFonts w:ascii="仿宋_GB2312" w:hAnsi="仿宋_GB2312" w:eastAsia="仿宋_GB2312" w:cs="仿宋_GB2312"/>
          <w:color w:val="auto"/>
          <w:sz w:val="28"/>
          <w:szCs w:val="28"/>
          <w:highlight w:val="none"/>
          <w:lang w:val="zh-CN"/>
        </w:rPr>
      </w:pPr>
      <w:r>
        <w:rPr>
          <w:rFonts w:hint="eastAsia" w:ascii="仿宋_GB2312" w:hAnsi="仿宋_GB2312" w:eastAsia="仿宋_GB2312" w:cs="仿宋_GB2312"/>
          <w:color w:val="auto"/>
          <w:sz w:val="28"/>
          <w:szCs w:val="28"/>
          <w:highlight w:val="none"/>
        </w:rPr>
        <w:t>其中</w:t>
      </w:r>
      <w:r>
        <w:rPr>
          <w:rFonts w:hint="eastAsia" w:ascii="仿宋_GB2312" w:hAnsi="仿宋_GB2312" w:eastAsia="仿宋_GB2312" w:cs="仿宋_GB2312"/>
          <w:color w:val="auto"/>
          <w:sz w:val="28"/>
          <w:szCs w:val="28"/>
          <w:highlight w:val="none"/>
          <w:lang w:val="zh-CN"/>
        </w:rPr>
        <w:t>具体样板包括但不限于以下样本：</w:t>
      </w:r>
    </w:p>
    <w:p w14:paraId="09E06786">
      <w:pPr>
        <w:adjustRightInd w:val="0"/>
        <w:snapToGrid w:val="0"/>
        <w:spacing w:line="500" w:lineRule="exact"/>
        <w:ind w:left="9" w:firstLine="408" w:firstLineChars="146"/>
        <w:rPr>
          <w:rFonts w:ascii="仿宋_GB2312" w:hAnsi="仿宋_GB2312" w:eastAsia="仿宋_GB2312" w:cs="仿宋_GB2312"/>
          <w:color w:val="auto"/>
          <w:sz w:val="28"/>
          <w:szCs w:val="28"/>
          <w:highlight w:val="none"/>
          <w:lang w:val="zh-CN"/>
        </w:rPr>
      </w:pPr>
      <w:r>
        <w:rPr>
          <w:rFonts w:hint="eastAsia" w:ascii="仿宋_GB2312" w:hAnsi="仿宋_GB2312" w:eastAsia="仿宋_GB2312" w:cs="仿宋_GB2312"/>
          <w:color w:val="auto"/>
          <w:sz w:val="28"/>
          <w:szCs w:val="28"/>
          <w:highlight w:val="none"/>
          <w:lang w:val="zh-CN"/>
        </w:rPr>
        <w:t>（</w:t>
      </w:r>
      <w:r>
        <w:rPr>
          <w:rFonts w:hint="eastAsia" w:ascii="仿宋_GB2312" w:hAnsi="仿宋_GB2312" w:eastAsia="仿宋_GB2312" w:cs="仿宋_GB2312"/>
          <w:color w:val="auto"/>
          <w:sz w:val="28"/>
          <w:szCs w:val="28"/>
          <w:highlight w:val="none"/>
        </w:rPr>
        <w:t>1</w:t>
      </w:r>
      <w:r>
        <w:rPr>
          <w:rFonts w:hint="eastAsia" w:ascii="仿宋_GB2312" w:hAnsi="仿宋_GB2312" w:eastAsia="仿宋_GB2312" w:cs="仿宋_GB2312"/>
          <w:color w:val="auto"/>
          <w:sz w:val="28"/>
          <w:szCs w:val="28"/>
          <w:highlight w:val="none"/>
          <w:lang w:val="zh-CN"/>
        </w:rPr>
        <w:t>）提供实样：墙砖、地砖、石材、木地板、踢脚线、木饰面、线条、地毯、涂料、硬包、软包、墙纸墙布、石膏线条、不锈钢装饰面；</w:t>
      </w:r>
    </w:p>
    <w:p w14:paraId="3E8C4336">
      <w:pPr>
        <w:adjustRightInd w:val="0"/>
        <w:snapToGrid w:val="0"/>
        <w:spacing w:line="500" w:lineRule="exact"/>
        <w:ind w:left="9" w:firstLine="408" w:firstLineChars="146"/>
        <w:rPr>
          <w:rFonts w:ascii="仿宋_GB2312" w:hAnsi="仿宋_GB2312" w:eastAsia="仿宋_GB2312" w:cs="仿宋_GB2312"/>
          <w:color w:val="auto"/>
          <w:sz w:val="28"/>
          <w:szCs w:val="28"/>
          <w:highlight w:val="none"/>
          <w:lang w:val="zh-CN"/>
        </w:rPr>
      </w:pPr>
      <w:r>
        <w:rPr>
          <w:rFonts w:hint="eastAsia" w:ascii="仿宋_GB2312" w:hAnsi="仿宋_GB2312" w:eastAsia="仿宋_GB2312" w:cs="仿宋_GB2312"/>
          <w:color w:val="auto"/>
          <w:sz w:val="28"/>
          <w:szCs w:val="28"/>
          <w:highlight w:val="none"/>
          <w:lang w:val="zh-CN"/>
        </w:rPr>
        <w:t>（</w:t>
      </w:r>
      <w:r>
        <w:rPr>
          <w:rFonts w:hint="eastAsia" w:ascii="仿宋_GB2312" w:hAnsi="仿宋_GB2312" w:eastAsia="仿宋_GB2312" w:cs="仿宋_GB2312"/>
          <w:color w:val="auto"/>
          <w:sz w:val="28"/>
          <w:szCs w:val="28"/>
          <w:highlight w:val="none"/>
        </w:rPr>
        <w:t>2</w:t>
      </w:r>
      <w:r>
        <w:rPr>
          <w:rFonts w:hint="eastAsia" w:ascii="仿宋_GB2312" w:hAnsi="仿宋_GB2312" w:eastAsia="仿宋_GB2312" w:cs="仿宋_GB2312"/>
          <w:color w:val="auto"/>
          <w:sz w:val="28"/>
          <w:szCs w:val="28"/>
          <w:highlight w:val="none"/>
          <w:lang w:val="zh-CN"/>
        </w:rPr>
        <w:t>）提供图片样及参数：五金件、户内门、橱柜（含配件、五金）、灯具（筒灯、LED灯带等）、开关插座面板、地漏、消火栓箱、洗菜盆及龙头、水表、家具、灯具、布艺、窗帘、壁饰、地毯（装饰地毯）、饰品、绿植清单深化清单（详细）</w:t>
      </w:r>
      <w:r>
        <w:rPr>
          <w:rFonts w:hint="eastAsia" w:ascii="仿宋_GB2312" w:hAnsi="仿宋_GB2312" w:eastAsia="仿宋_GB2312" w:cs="仿宋_GB2312"/>
          <w:color w:val="auto"/>
          <w:sz w:val="28"/>
          <w:szCs w:val="28"/>
          <w:highlight w:val="none"/>
        </w:rPr>
        <w:t>等</w:t>
      </w:r>
      <w:r>
        <w:rPr>
          <w:rFonts w:hint="eastAsia" w:ascii="仿宋_GB2312" w:hAnsi="仿宋_GB2312" w:eastAsia="仿宋_GB2312" w:cs="仿宋_GB2312"/>
          <w:color w:val="auto"/>
          <w:sz w:val="28"/>
          <w:szCs w:val="28"/>
          <w:highlight w:val="none"/>
          <w:lang w:val="zh-CN"/>
        </w:rPr>
        <w:t>。</w:t>
      </w:r>
    </w:p>
    <w:p w14:paraId="7B8EF258">
      <w:pPr>
        <w:pStyle w:val="74"/>
        <w:snapToGrid w:val="0"/>
        <w:spacing w:line="500" w:lineRule="exact"/>
        <w:ind w:left="9" w:firstLine="408" w:firstLineChars="146"/>
        <w:rPr>
          <w:rFonts w:ascii="仿宋_GB2312" w:hAnsi="仿宋_GB2312" w:eastAsia="仿宋_GB2312" w:cs="仿宋_GB2312"/>
          <w:bCs/>
          <w:color w:val="auto"/>
          <w:szCs w:val="28"/>
          <w:highlight w:val="none"/>
        </w:rPr>
      </w:pPr>
      <w:bookmarkStart w:id="1420" w:name="_Toc13332"/>
      <w:bookmarkStart w:id="1421" w:name="_Toc22215"/>
      <w:bookmarkStart w:id="1422" w:name="_Toc21190"/>
      <w:r>
        <w:rPr>
          <w:rFonts w:hint="eastAsia" w:ascii="仿宋_GB2312" w:hAnsi="仿宋_GB2312" w:eastAsia="仿宋_GB2312" w:cs="仿宋_GB2312"/>
          <w:bCs/>
          <w:color w:val="auto"/>
          <w:szCs w:val="28"/>
          <w:highlight w:val="none"/>
        </w:rPr>
        <w:t>2.4.3 上述所述“硬装”，系指除了必须满足的基础设施以外，为了满足房屋的结构、布局、功能、美观需要，添加在建筑物表面或者内部的固定且无法移动的装饰物。</w:t>
      </w:r>
      <w:bookmarkEnd w:id="1420"/>
      <w:bookmarkEnd w:id="1421"/>
      <w:bookmarkEnd w:id="1422"/>
    </w:p>
    <w:p w14:paraId="487CB08C">
      <w:pPr>
        <w:pStyle w:val="74"/>
        <w:snapToGrid w:val="0"/>
        <w:spacing w:line="500" w:lineRule="exact"/>
        <w:ind w:left="9" w:firstLine="408" w:firstLineChars="146"/>
        <w:rPr>
          <w:rFonts w:ascii="仿宋_GB2312" w:hAnsi="仿宋_GB2312" w:eastAsia="仿宋_GB2312" w:cs="仿宋_GB2312"/>
          <w:b/>
          <w:color w:val="auto"/>
          <w:spacing w:val="-1"/>
          <w:sz w:val="30"/>
          <w:szCs w:val="30"/>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ascii="仿宋_GB2312" w:hAnsi="仿宋_GB2312" w:eastAsia="仿宋_GB2312" w:cs="仿宋_GB2312"/>
          <w:bCs/>
          <w:color w:val="auto"/>
          <w:szCs w:val="28"/>
          <w:highlight w:val="none"/>
        </w:rPr>
        <w:t>3.完工后现场摄影、企业推文推广等一系列宣工作，且推广工作需按照发包人项目分期时间分阶段进行。</w:t>
      </w:r>
    </w:p>
    <w:p w14:paraId="07241ECB">
      <w:pPr>
        <w:outlineLvl w:val="9"/>
        <w:rPr>
          <w:rFonts w:ascii="仿宋_GB2312" w:hAnsi="仿宋_GB2312" w:eastAsia="仿宋_GB2312" w:cs="仿宋_GB2312"/>
          <w:color w:val="auto"/>
          <w:spacing w:val="-1"/>
          <w:sz w:val="30"/>
          <w:szCs w:val="30"/>
          <w:highlight w:val="none"/>
        </w:rPr>
      </w:pPr>
      <w:bookmarkStart w:id="1423" w:name="_Toc71"/>
    </w:p>
    <w:p w14:paraId="301F3D1F">
      <w:pPr>
        <w:pStyle w:val="7"/>
        <w:ind w:firstLine="598"/>
        <w:rPr>
          <w:rFonts w:ascii="仿宋_GB2312" w:hAnsi="仿宋_GB2312" w:eastAsia="仿宋_GB2312" w:cs="仿宋_GB2312"/>
          <w:color w:val="auto"/>
          <w:spacing w:val="-1"/>
          <w:sz w:val="30"/>
          <w:szCs w:val="30"/>
          <w:highlight w:val="none"/>
        </w:rPr>
      </w:pPr>
      <w:bookmarkStart w:id="1424" w:name="_Toc1885"/>
      <w:bookmarkStart w:id="1425" w:name="_Toc20160"/>
      <w:r>
        <w:rPr>
          <w:rFonts w:hint="eastAsia" w:ascii="仿宋_GB2312" w:hAnsi="仿宋_GB2312" w:eastAsia="仿宋_GB2312" w:cs="仿宋_GB2312"/>
          <w:color w:val="auto"/>
          <w:spacing w:val="-1"/>
          <w:sz w:val="30"/>
          <w:szCs w:val="30"/>
          <w:highlight w:val="none"/>
        </w:rPr>
        <w:t>附件2-5：发包人向设计人提交有关资料及文件一览表</w:t>
      </w:r>
      <w:bookmarkEnd w:id="1423"/>
      <w:bookmarkEnd w:id="1424"/>
      <w:bookmarkEnd w:id="1425"/>
    </w:p>
    <w:p w14:paraId="64F07465">
      <w:pPr>
        <w:pStyle w:val="78"/>
        <w:spacing w:before="91" w:line="222" w:lineRule="auto"/>
        <w:ind w:left="338"/>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发包人向设计人提交有关资料及文件一览表（</w:t>
      </w:r>
      <w:r>
        <w:rPr>
          <w:rFonts w:hint="eastAsia" w:ascii="仿宋_GB2312" w:hAnsi="仿宋_GB2312" w:eastAsia="仿宋_GB2312" w:cs="仿宋_GB2312"/>
          <w:color w:val="auto"/>
          <w:sz w:val="30"/>
          <w:szCs w:val="30"/>
          <w:highlight w:val="none"/>
          <w:lang w:val="zh-CN"/>
        </w:rPr>
        <w:t>装修设计</w:t>
      </w:r>
      <w:r>
        <w:rPr>
          <w:rFonts w:hint="eastAsia" w:ascii="仿宋_GB2312" w:hAnsi="仿宋_GB2312" w:eastAsia="仿宋_GB2312" w:cs="仿宋_GB2312"/>
          <w:color w:val="auto"/>
          <w:sz w:val="30"/>
          <w:szCs w:val="30"/>
          <w:highlight w:val="none"/>
        </w:rPr>
        <w:t>）</w:t>
      </w:r>
    </w:p>
    <w:p w14:paraId="435D189D">
      <w:pPr>
        <w:pStyle w:val="78"/>
        <w:spacing w:before="91" w:line="222" w:lineRule="auto"/>
        <w:rPr>
          <w:rFonts w:ascii="仿宋_GB2312" w:hAnsi="仿宋_GB2312" w:eastAsia="仿宋_GB2312" w:cs="仿宋_GB2312"/>
          <w:color w:val="auto"/>
          <w:sz w:val="30"/>
          <w:szCs w:val="30"/>
          <w:highlight w:val="none"/>
        </w:rPr>
      </w:pPr>
    </w:p>
    <w:tbl>
      <w:tblPr>
        <w:tblStyle w:val="36"/>
        <w:tblW w:w="5262"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80"/>
        <w:gridCol w:w="3559"/>
        <w:gridCol w:w="648"/>
        <w:gridCol w:w="2044"/>
        <w:gridCol w:w="1789"/>
      </w:tblGrid>
      <w:tr w14:paraId="4ABE20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389" w:type="pct"/>
            <w:tcBorders>
              <w:top w:val="single" w:color="auto" w:sz="8" w:space="0"/>
              <w:left w:val="single" w:color="auto" w:sz="8" w:space="0"/>
              <w:bottom w:val="single" w:color="auto" w:sz="4" w:space="0"/>
              <w:right w:val="single" w:color="auto" w:sz="4" w:space="0"/>
            </w:tcBorders>
            <w:noWrap/>
            <w:vAlign w:val="center"/>
          </w:tcPr>
          <w:p w14:paraId="56A28773">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序号</w:t>
            </w:r>
          </w:p>
        </w:tc>
        <w:tc>
          <w:tcPr>
            <w:tcW w:w="2040" w:type="pct"/>
            <w:tcBorders>
              <w:top w:val="single" w:color="auto" w:sz="8" w:space="0"/>
              <w:left w:val="single" w:color="auto" w:sz="4" w:space="0"/>
              <w:bottom w:val="single" w:color="auto" w:sz="4" w:space="0"/>
              <w:right w:val="single" w:color="auto" w:sz="4" w:space="0"/>
            </w:tcBorders>
            <w:noWrap/>
            <w:vAlign w:val="center"/>
          </w:tcPr>
          <w:p w14:paraId="4CD03C0F">
            <w:pPr>
              <w:spacing w:line="460" w:lineRule="exact"/>
              <w:ind w:firstLine="600" w:firstLineChars="200"/>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资料及文件名称</w:t>
            </w:r>
          </w:p>
        </w:tc>
        <w:tc>
          <w:tcPr>
            <w:tcW w:w="372" w:type="pct"/>
            <w:tcBorders>
              <w:top w:val="single" w:color="auto" w:sz="8" w:space="0"/>
              <w:left w:val="single" w:color="auto" w:sz="4" w:space="0"/>
              <w:bottom w:val="single" w:color="auto" w:sz="4" w:space="0"/>
              <w:right w:val="single" w:color="auto" w:sz="4" w:space="0"/>
            </w:tcBorders>
            <w:noWrap/>
            <w:vAlign w:val="center"/>
          </w:tcPr>
          <w:p w14:paraId="3B7CD381">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份数</w:t>
            </w:r>
          </w:p>
        </w:tc>
        <w:tc>
          <w:tcPr>
            <w:tcW w:w="1171" w:type="pct"/>
            <w:tcBorders>
              <w:top w:val="single" w:color="auto" w:sz="8" w:space="0"/>
              <w:left w:val="single" w:color="auto" w:sz="4" w:space="0"/>
              <w:bottom w:val="single" w:color="auto" w:sz="4" w:space="0"/>
              <w:right w:val="single" w:color="auto" w:sz="4" w:space="0"/>
            </w:tcBorders>
            <w:noWrap/>
            <w:vAlign w:val="center"/>
          </w:tcPr>
          <w:p w14:paraId="6464DB16">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提交日期</w:t>
            </w:r>
          </w:p>
        </w:tc>
        <w:tc>
          <w:tcPr>
            <w:tcW w:w="1025" w:type="pct"/>
            <w:tcBorders>
              <w:top w:val="single" w:color="auto" w:sz="8" w:space="0"/>
              <w:left w:val="single" w:color="auto" w:sz="4" w:space="0"/>
              <w:bottom w:val="single" w:color="auto" w:sz="4" w:space="0"/>
              <w:right w:val="single" w:color="auto" w:sz="8" w:space="0"/>
            </w:tcBorders>
            <w:noWrap/>
            <w:vAlign w:val="center"/>
          </w:tcPr>
          <w:p w14:paraId="0F344738">
            <w:pPr>
              <w:spacing w:line="460" w:lineRule="exact"/>
              <w:ind w:left="9" w:hanging="9"/>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有关事宜</w:t>
            </w:r>
          </w:p>
        </w:tc>
      </w:tr>
      <w:tr w14:paraId="7C0DD3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9" w:type="pct"/>
            <w:tcBorders>
              <w:top w:val="single" w:color="auto" w:sz="4" w:space="0"/>
              <w:left w:val="single" w:color="auto" w:sz="8" w:space="0"/>
              <w:bottom w:val="single" w:color="auto" w:sz="4" w:space="0"/>
              <w:right w:val="single" w:color="auto" w:sz="4" w:space="0"/>
            </w:tcBorders>
            <w:noWrap/>
            <w:vAlign w:val="center"/>
          </w:tcPr>
          <w:p w14:paraId="36D05049">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w:t>
            </w:r>
          </w:p>
        </w:tc>
        <w:tc>
          <w:tcPr>
            <w:tcW w:w="2040" w:type="pct"/>
            <w:tcBorders>
              <w:top w:val="single" w:color="auto" w:sz="4" w:space="0"/>
              <w:left w:val="single" w:color="auto" w:sz="4" w:space="0"/>
              <w:bottom w:val="single" w:color="auto" w:sz="4" w:space="0"/>
              <w:right w:val="single" w:color="auto" w:sz="4" w:space="0"/>
            </w:tcBorders>
            <w:noWrap/>
            <w:vAlign w:val="center"/>
          </w:tcPr>
          <w:p w14:paraId="71A6CC4A">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设计任务书</w:t>
            </w:r>
          </w:p>
        </w:tc>
        <w:tc>
          <w:tcPr>
            <w:tcW w:w="372" w:type="pct"/>
            <w:tcBorders>
              <w:top w:val="single" w:color="auto" w:sz="4" w:space="0"/>
              <w:left w:val="single" w:color="auto" w:sz="4" w:space="0"/>
              <w:bottom w:val="single" w:color="auto" w:sz="4" w:space="0"/>
              <w:right w:val="single" w:color="auto" w:sz="4" w:space="0"/>
            </w:tcBorders>
            <w:noWrap/>
            <w:vAlign w:val="center"/>
          </w:tcPr>
          <w:p w14:paraId="2BC2D3DD">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w:t>
            </w:r>
          </w:p>
        </w:tc>
        <w:tc>
          <w:tcPr>
            <w:tcW w:w="1171" w:type="pct"/>
            <w:tcBorders>
              <w:top w:val="single" w:color="auto" w:sz="4" w:space="0"/>
              <w:left w:val="single" w:color="auto" w:sz="4" w:space="0"/>
              <w:bottom w:val="single" w:color="auto" w:sz="4" w:space="0"/>
              <w:right w:val="single" w:color="auto" w:sz="4" w:space="0"/>
            </w:tcBorders>
            <w:noWrap/>
            <w:vAlign w:val="center"/>
          </w:tcPr>
          <w:p w14:paraId="00341010">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设计前提供</w:t>
            </w:r>
          </w:p>
        </w:tc>
        <w:tc>
          <w:tcPr>
            <w:tcW w:w="1025" w:type="pct"/>
            <w:vMerge w:val="restart"/>
            <w:tcBorders>
              <w:top w:val="single" w:color="auto" w:sz="4" w:space="0"/>
              <w:left w:val="single" w:color="auto" w:sz="4" w:space="0"/>
              <w:bottom w:val="single" w:color="auto" w:sz="8" w:space="0"/>
              <w:right w:val="single" w:color="auto" w:sz="8" w:space="0"/>
            </w:tcBorders>
            <w:noWrap/>
            <w:vAlign w:val="center"/>
          </w:tcPr>
          <w:p w14:paraId="2F15040A">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满足设计需要</w:t>
            </w:r>
          </w:p>
        </w:tc>
      </w:tr>
      <w:tr w14:paraId="644A11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9" w:type="pct"/>
            <w:tcBorders>
              <w:top w:val="single" w:color="auto" w:sz="4" w:space="0"/>
              <w:left w:val="single" w:color="auto" w:sz="8" w:space="0"/>
              <w:bottom w:val="single" w:color="auto" w:sz="4" w:space="0"/>
              <w:right w:val="single" w:color="auto" w:sz="4" w:space="0"/>
            </w:tcBorders>
            <w:noWrap/>
            <w:vAlign w:val="center"/>
          </w:tcPr>
          <w:p w14:paraId="05739453">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w:t>
            </w:r>
          </w:p>
        </w:tc>
        <w:tc>
          <w:tcPr>
            <w:tcW w:w="2040" w:type="pct"/>
            <w:tcBorders>
              <w:top w:val="single" w:color="auto" w:sz="4" w:space="0"/>
              <w:left w:val="single" w:color="auto" w:sz="4" w:space="0"/>
              <w:bottom w:val="single" w:color="auto" w:sz="4" w:space="0"/>
              <w:right w:val="single" w:color="auto" w:sz="4" w:space="0"/>
            </w:tcBorders>
            <w:noWrap/>
            <w:vAlign w:val="center"/>
          </w:tcPr>
          <w:p w14:paraId="12FC1FAC">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项目及产品定位报告</w:t>
            </w:r>
          </w:p>
        </w:tc>
        <w:tc>
          <w:tcPr>
            <w:tcW w:w="372" w:type="pct"/>
            <w:tcBorders>
              <w:top w:val="single" w:color="auto" w:sz="4" w:space="0"/>
              <w:left w:val="single" w:color="auto" w:sz="4" w:space="0"/>
              <w:bottom w:val="single" w:color="auto" w:sz="4" w:space="0"/>
              <w:right w:val="single" w:color="auto" w:sz="4" w:space="0"/>
            </w:tcBorders>
            <w:noWrap/>
            <w:vAlign w:val="center"/>
          </w:tcPr>
          <w:p w14:paraId="405F29D0">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w:t>
            </w:r>
          </w:p>
        </w:tc>
        <w:tc>
          <w:tcPr>
            <w:tcW w:w="1171" w:type="pct"/>
            <w:tcBorders>
              <w:top w:val="single" w:color="auto" w:sz="4" w:space="0"/>
              <w:left w:val="single" w:color="auto" w:sz="4" w:space="0"/>
              <w:bottom w:val="single" w:color="auto" w:sz="4" w:space="0"/>
              <w:right w:val="single" w:color="auto" w:sz="4" w:space="0"/>
            </w:tcBorders>
            <w:noWrap/>
            <w:vAlign w:val="center"/>
          </w:tcPr>
          <w:p w14:paraId="650713D4">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设计前提供</w:t>
            </w:r>
          </w:p>
        </w:tc>
        <w:tc>
          <w:tcPr>
            <w:tcW w:w="1025" w:type="pct"/>
            <w:vMerge w:val="continue"/>
            <w:tcBorders>
              <w:top w:val="single" w:color="auto" w:sz="4" w:space="0"/>
              <w:left w:val="single" w:color="auto" w:sz="4" w:space="0"/>
              <w:bottom w:val="single" w:color="auto" w:sz="8" w:space="0"/>
              <w:right w:val="single" w:color="auto" w:sz="8" w:space="0"/>
            </w:tcBorders>
            <w:noWrap/>
            <w:vAlign w:val="center"/>
          </w:tcPr>
          <w:p w14:paraId="7A2C2334">
            <w:pPr>
              <w:spacing w:line="460" w:lineRule="exact"/>
              <w:ind w:firstLine="480"/>
              <w:rPr>
                <w:rFonts w:ascii="宋体" w:hAnsi="宋体"/>
                <w:color w:val="auto"/>
                <w:sz w:val="24"/>
                <w:szCs w:val="24"/>
                <w:highlight w:val="none"/>
              </w:rPr>
            </w:pPr>
          </w:p>
        </w:tc>
      </w:tr>
      <w:tr w14:paraId="36A4CE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9" w:type="pct"/>
            <w:tcBorders>
              <w:top w:val="single" w:color="auto" w:sz="4" w:space="0"/>
              <w:left w:val="single" w:color="auto" w:sz="8" w:space="0"/>
              <w:bottom w:val="single" w:color="auto" w:sz="4" w:space="0"/>
              <w:right w:val="single" w:color="auto" w:sz="4" w:space="0"/>
            </w:tcBorders>
            <w:noWrap/>
            <w:vAlign w:val="center"/>
          </w:tcPr>
          <w:p w14:paraId="37163006">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w:t>
            </w:r>
          </w:p>
        </w:tc>
        <w:tc>
          <w:tcPr>
            <w:tcW w:w="2040" w:type="pct"/>
            <w:tcBorders>
              <w:top w:val="single" w:color="auto" w:sz="4" w:space="0"/>
              <w:left w:val="single" w:color="auto" w:sz="4" w:space="0"/>
              <w:bottom w:val="single" w:color="auto" w:sz="4" w:space="0"/>
              <w:right w:val="single" w:color="auto" w:sz="4" w:space="0"/>
            </w:tcBorders>
            <w:noWrap/>
            <w:vAlign w:val="center"/>
          </w:tcPr>
          <w:p w14:paraId="49CB91E7">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客群定位及客户描摹分析</w:t>
            </w:r>
          </w:p>
        </w:tc>
        <w:tc>
          <w:tcPr>
            <w:tcW w:w="372" w:type="pct"/>
            <w:tcBorders>
              <w:top w:val="single" w:color="auto" w:sz="4" w:space="0"/>
              <w:left w:val="single" w:color="auto" w:sz="4" w:space="0"/>
              <w:bottom w:val="single" w:color="auto" w:sz="4" w:space="0"/>
              <w:right w:val="single" w:color="auto" w:sz="4" w:space="0"/>
            </w:tcBorders>
            <w:noWrap/>
            <w:vAlign w:val="center"/>
          </w:tcPr>
          <w:p w14:paraId="35FFD3A0">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w:t>
            </w:r>
          </w:p>
        </w:tc>
        <w:tc>
          <w:tcPr>
            <w:tcW w:w="1171" w:type="pct"/>
            <w:tcBorders>
              <w:top w:val="single" w:color="auto" w:sz="4" w:space="0"/>
              <w:left w:val="single" w:color="auto" w:sz="4" w:space="0"/>
              <w:bottom w:val="single" w:color="auto" w:sz="4" w:space="0"/>
              <w:right w:val="single" w:color="auto" w:sz="4" w:space="0"/>
            </w:tcBorders>
            <w:noWrap/>
            <w:vAlign w:val="center"/>
          </w:tcPr>
          <w:p w14:paraId="74056FF0">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设计前提供</w:t>
            </w:r>
          </w:p>
        </w:tc>
        <w:tc>
          <w:tcPr>
            <w:tcW w:w="1025" w:type="pct"/>
            <w:vMerge w:val="continue"/>
            <w:tcBorders>
              <w:top w:val="single" w:color="auto" w:sz="4" w:space="0"/>
              <w:left w:val="single" w:color="auto" w:sz="4" w:space="0"/>
              <w:bottom w:val="single" w:color="auto" w:sz="8" w:space="0"/>
              <w:right w:val="single" w:color="auto" w:sz="8" w:space="0"/>
            </w:tcBorders>
            <w:noWrap/>
            <w:vAlign w:val="center"/>
          </w:tcPr>
          <w:p w14:paraId="44795E16">
            <w:pPr>
              <w:spacing w:line="460" w:lineRule="exact"/>
              <w:ind w:firstLine="480"/>
              <w:rPr>
                <w:rFonts w:ascii="宋体" w:hAnsi="宋体"/>
                <w:color w:val="auto"/>
                <w:sz w:val="24"/>
                <w:szCs w:val="24"/>
                <w:highlight w:val="none"/>
              </w:rPr>
            </w:pPr>
          </w:p>
        </w:tc>
      </w:tr>
      <w:tr w14:paraId="4E3831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9" w:type="pct"/>
            <w:tcBorders>
              <w:top w:val="single" w:color="auto" w:sz="4" w:space="0"/>
              <w:left w:val="single" w:color="auto" w:sz="8" w:space="0"/>
              <w:bottom w:val="single" w:color="auto" w:sz="4" w:space="0"/>
              <w:right w:val="single" w:color="auto" w:sz="4" w:space="0"/>
            </w:tcBorders>
            <w:noWrap/>
            <w:vAlign w:val="center"/>
          </w:tcPr>
          <w:p w14:paraId="1D80D1CA">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4</w:t>
            </w:r>
          </w:p>
        </w:tc>
        <w:tc>
          <w:tcPr>
            <w:tcW w:w="2040" w:type="pct"/>
            <w:tcBorders>
              <w:top w:val="single" w:color="auto" w:sz="4" w:space="0"/>
              <w:left w:val="single" w:color="auto" w:sz="4" w:space="0"/>
              <w:bottom w:val="single" w:color="auto" w:sz="4" w:space="0"/>
              <w:right w:val="single" w:color="auto" w:sz="4" w:space="0"/>
            </w:tcBorders>
            <w:noWrap/>
            <w:vAlign w:val="center"/>
          </w:tcPr>
          <w:p w14:paraId="20007A0C">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全套建筑方案平面及建筑、结构施工图纸</w:t>
            </w:r>
          </w:p>
        </w:tc>
        <w:tc>
          <w:tcPr>
            <w:tcW w:w="372" w:type="pct"/>
            <w:tcBorders>
              <w:top w:val="single" w:color="auto" w:sz="4" w:space="0"/>
              <w:left w:val="single" w:color="auto" w:sz="4" w:space="0"/>
              <w:bottom w:val="single" w:color="auto" w:sz="4" w:space="0"/>
              <w:right w:val="single" w:color="auto" w:sz="4" w:space="0"/>
            </w:tcBorders>
            <w:noWrap/>
            <w:vAlign w:val="center"/>
          </w:tcPr>
          <w:p w14:paraId="2A7E80BA">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w:t>
            </w:r>
          </w:p>
        </w:tc>
        <w:tc>
          <w:tcPr>
            <w:tcW w:w="1171" w:type="pct"/>
            <w:tcBorders>
              <w:top w:val="single" w:color="auto" w:sz="4" w:space="0"/>
              <w:left w:val="single" w:color="auto" w:sz="4" w:space="0"/>
              <w:bottom w:val="single" w:color="auto" w:sz="4" w:space="0"/>
              <w:right w:val="single" w:color="auto" w:sz="4" w:space="0"/>
            </w:tcBorders>
            <w:noWrap/>
            <w:vAlign w:val="center"/>
          </w:tcPr>
          <w:p w14:paraId="53894F05">
            <w:pPr>
              <w:spacing w:line="46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设计前提供</w:t>
            </w:r>
          </w:p>
        </w:tc>
        <w:tc>
          <w:tcPr>
            <w:tcW w:w="1025" w:type="pct"/>
            <w:vMerge w:val="continue"/>
            <w:tcBorders>
              <w:top w:val="single" w:color="auto" w:sz="4" w:space="0"/>
              <w:left w:val="single" w:color="auto" w:sz="4" w:space="0"/>
              <w:bottom w:val="single" w:color="auto" w:sz="8" w:space="0"/>
              <w:right w:val="single" w:color="auto" w:sz="8" w:space="0"/>
            </w:tcBorders>
            <w:noWrap/>
            <w:vAlign w:val="center"/>
          </w:tcPr>
          <w:p w14:paraId="56704524">
            <w:pPr>
              <w:spacing w:line="460" w:lineRule="exact"/>
              <w:ind w:firstLine="480" w:firstLineChars="200"/>
              <w:rPr>
                <w:rFonts w:ascii="宋体" w:hAnsi="宋体"/>
                <w:color w:val="auto"/>
                <w:sz w:val="24"/>
                <w:szCs w:val="24"/>
                <w:highlight w:val="none"/>
              </w:rPr>
            </w:pPr>
          </w:p>
        </w:tc>
      </w:tr>
    </w:tbl>
    <w:p w14:paraId="76C0E9B0">
      <w:pPr>
        <w:outlineLvl w:val="9"/>
        <w:rPr>
          <w:rFonts w:ascii="仿宋_GB2312" w:hAnsi="仿宋_GB2312" w:eastAsia="仿宋_GB2312" w:cs="仿宋_GB2312"/>
          <w:bCs/>
          <w:color w:val="auto"/>
          <w:spacing w:val="-9"/>
          <w:sz w:val="30"/>
          <w:szCs w:val="30"/>
          <w:highlight w:val="none"/>
        </w:rPr>
      </w:pPr>
      <w:bookmarkStart w:id="1426" w:name="_Toc4692"/>
      <w:bookmarkStart w:id="1427" w:name="_Toc17071"/>
      <w:bookmarkStart w:id="1428" w:name="_Toc14219"/>
    </w:p>
    <w:p w14:paraId="3D6E3EDF">
      <w:pPr>
        <w:outlineLvl w:val="9"/>
        <w:rPr>
          <w:rFonts w:ascii="仿宋_GB2312" w:hAnsi="仿宋_GB2312" w:eastAsia="仿宋_GB2312" w:cs="仿宋_GB2312"/>
          <w:bCs/>
          <w:color w:val="auto"/>
          <w:spacing w:val="-9"/>
          <w:sz w:val="30"/>
          <w:szCs w:val="30"/>
          <w:highlight w:val="none"/>
        </w:rPr>
      </w:pPr>
    </w:p>
    <w:p w14:paraId="1A4DAD78">
      <w:pPr>
        <w:outlineLvl w:val="9"/>
        <w:rPr>
          <w:rFonts w:ascii="仿宋_GB2312" w:hAnsi="仿宋_GB2312" w:eastAsia="仿宋_GB2312" w:cs="仿宋_GB2312"/>
          <w:bCs/>
          <w:color w:val="auto"/>
          <w:spacing w:val="-9"/>
          <w:sz w:val="30"/>
          <w:szCs w:val="30"/>
          <w:highlight w:val="none"/>
        </w:rPr>
      </w:pPr>
    </w:p>
    <w:p w14:paraId="75CF2812">
      <w:pPr>
        <w:outlineLvl w:val="9"/>
        <w:rPr>
          <w:rFonts w:ascii="仿宋_GB2312" w:hAnsi="仿宋_GB2312" w:eastAsia="仿宋_GB2312" w:cs="仿宋_GB2312"/>
          <w:bCs/>
          <w:color w:val="auto"/>
          <w:spacing w:val="-9"/>
          <w:sz w:val="30"/>
          <w:szCs w:val="30"/>
          <w:highlight w:val="none"/>
        </w:rPr>
      </w:pPr>
    </w:p>
    <w:p w14:paraId="15EE0709">
      <w:pPr>
        <w:outlineLvl w:val="9"/>
        <w:rPr>
          <w:rFonts w:ascii="仿宋_GB2312" w:hAnsi="仿宋_GB2312" w:eastAsia="仿宋_GB2312" w:cs="仿宋_GB2312"/>
          <w:bCs/>
          <w:color w:val="auto"/>
          <w:spacing w:val="-9"/>
          <w:sz w:val="30"/>
          <w:szCs w:val="30"/>
          <w:highlight w:val="none"/>
        </w:rPr>
      </w:pPr>
    </w:p>
    <w:bookmarkEnd w:id="1426"/>
    <w:bookmarkEnd w:id="1427"/>
    <w:bookmarkEnd w:id="1428"/>
    <w:p w14:paraId="433CCDA1">
      <w:pPr>
        <w:pStyle w:val="78"/>
        <w:spacing w:before="91" w:line="222" w:lineRule="auto"/>
        <w:rPr>
          <w:rFonts w:ascii="仿宋_GB2312" w:hAnsi="仿宋_GB2312" w:eastAsia="仿宋_GB2312" w:cs="仿宋_GB2312"/>
          <w:b/>
          <w:bCs/>
          <w:color w:val="auto"/>
          <w:spacing w:val="-8"/>
          <w:sz w:val="30"/>
          <w:szCs w:val="30"/>
          <w:highlight w:val="none"/>
        </w:rPr>
      </w:pPr>
    </w:p>
    <w:p w14:paraId="57CE5718">
      <w:pPr>
        <w:pStyle w:val="78"/>
        <w:spacing w:before="91" w:line="222" w:lineRule="auto"/>
        <w:rPr>
          <w:rFonts w:ascii="仿宋_GB2312" w:hAnsi="仿宋_GB2312" w:eastAsia="仿宋_GB2312" w:cs="仿宋_GB2312"/>
          <w:b/>
          <w:bCs/>
          <w:color w:val="auto"/>
          <w:spacing w:val="-8"/>
          <w:sz w:val="30"/>
          <w:szCs w:val="30"/>
          <w:highlight w:val="none"/>
        </w:rPr>
      </w:pPr>
    </w:p>
    <w:p w14:paraId="28C54BDC">
      <w:pPr>
        <w:pStyle w:val="7"/>
        <w:ind w:firstLine="566"/>
        <w:rPr>
          <w:rFonts w:ascii="仿宋_GB2312" w:hAnsi="仿宋_GB2312" w:eastAsia="仿宋_GB2312" w:cs="仿宋_GB2312"/>
          <w:color w:val="auto"/>
          <w:sz w:val="30"/>
          <w:szCs w:val="30"/>
          <w:highlight w:val="none"/>
        </w:rPr>
      </w:pPr>
      <w:bookmarkStart w:id="1429" w:name="_Toc1165"/>
      <w:bookmarkStart w:id="1430" w:name="_Toc28111"/>
      <w:bookmarkStart w:id="1431" w:name="_Toc31097"/>
      <w:r>
        <w:rPr>
          <w:rFonts w:hint="eastAsia" w:ascii="仿宋_GB2312" w:hAnsi="仿宋_GB2312" w:eastAsia="仿宋_GB2312" w:cs="仿宋_GB2312"/>
          <w:bCs/>
          <w:color w:val="auto"/>
          <w:spacing w:val="-9"/>
          <w:sz w:val="30"/>
          <w:szCs w:val="30"/>
          <w:highlight w:val="none"/>
        </w:rPr>
        <w:t>附件3-7：</w:t>
      </w:r>
      <w:r>
        <w:rPr>
          <w:rFonts w:hint="eastAsia" w:ascii="仿宋_GB2312" w:hAnsi="仿宋_GB2312" w:eastAsia="仿宋_GB2312" w:cs="仿宋_GB2312"/>
          <w:color w:val="auto"/>
          <w:spacing w:val="-1"/>
          <w:sz w:val="30"/>
          <w:szCs w:val="30"/>
          <w:highlight w:val="none"/>
        </w:rPr>
        <w:t>设计人向发包人交付的工程设计文件目录</w:t>
      </w:r>
      <w:bookmarkEnd w:id="1429"/>
      <w:bookmarkEnd w:id="1430"/>
      <w:bookmarkEnd w:id="1431"/>
    </w:p>
    <w:p w14:paraId="4C629226">
      <w:pPr>
        <w:spacing w:before="50" w:line="360" w:lineRule="auto"/>
        <w:ind w:firstLine="200"/>
        <w:jc w:val="center"/>
        <w:rPr>
          <w:rFonts w:ascii="仿宋_GB2312" w:hAnsi="仿宋_GB2312" w:eastAsia="仿宋_GB2312" w:cs="仿宋_GB2312"/>
          <w:b/>
          <w:bCs/>
          <w:color w:val="auto"/>
          <w:spacing w:val="-1"/>
          <w:sz w:val="30"/>
          <w:szCs w:val="30"/>
          <w:highlight w:val="none"/>
        </w:rPr>
      </w:pPr>
      <w:r>
        <w:rPr>
          <w:rFonts w:hint="eastAsia" w:ascii="仿宋_GB2312" w:hAnsi="仿宋_GB2312" w:eastAsia="仿宋_GB2312" w:cs="仿宋_GB2312"/>
          <w:b/>
          <w:bCs/>
          <w:color w:val="auto"/>
          <w:spacing w:val="-1"/>
          <w:sz w:val="30"/>
          <w:szCs w:val="30"/>
          <w:highlight w:val="none"/>
        </w:rPr>
        <w:t>设计人向发包人交付的工程设计文件目录</w:t>
      </w:r>
    </w:p>
    <w:p w14:paraId="0A91E427">
      <w:pPr>
        <w:spacing w:before="50" w:line="360" w:lineRule="auto"/>
        <w:ind w:firstLine="200"/>
        <w:jc w:val="center"/>
        <w:rPr>
          <w:rFonts w:ascii="仿宋_GB2312" w:hAnsi="仿宋_GB2312" w:eastAsia="仿宋_GB2312" w:cs="仿宋_GB2312"/>
          <w:bCs/>
          <w:color w:val="auto"/>
          <w:sz w:val="30"/>
          <w:szCs w:val="30"/>
          <w:highlight w:val="none"/>
        </w:rPr>
      </w:pPr>
      <w:r>
        <w:rPr>
          <w:rFonts w:ascii="仿宋_GB2312" w:hAnsi="仿宋_GB2312" w:eastAsia="仿宋_GB2312" w:cs="仿宋_GB2312"/>
          <w:bCs/>
          <w:i/>
          <w:iCs/>
          <w:color w:val="auto"/>
          <w:spacing w:val="-15"/>
          <w:sz w:val="30"/>
          <w:szCs w:val="30"/>
          <w:highlight w:val="none"/>
        </w:rPr>
        <w:t>注：适用于</w:t>
      </w:r>
      <w:r>
        <w:rPr>
          <w:rFonts w:hint="eastAsia" w:ascii="仿宋_GB2312" w:hAnsi="仿宋_GB2312" w:eastAsia="仿宋_GB2312" w:cs="仿宋_GB2312"/>
          <w:bCs/>
          <w:i/>
          <w:iCs/>
          <w:color w:val="auto"/>
          <w:spacing w:val="-15"/>
          <w:sz w:val="30"/>
          <w:szCs w:val="30"/>
          <w:highlight w:val="none"/>
        </w:rPr>
        <w:t>装修设计</w:t>
      </w:r>
    </w:p>
    <w:tbl>
      <w:tblPr>
        <w:tblStyle w:val="3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8"/>
        <w:gridCol w:w="1199"/>
        <w:gridCol w:w="2641"/>
        <w:gridCol w:w="454"/>
        <w:gridCol w:w="1481"/>
        <w:gridCol w:w="1290"/>
      </w:tblGrid>
      <w:tr w14:paraId="03908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411" w:type="pct"/>
            <w:vAlign w:val="center"/>
          </w:tcPr>
          <w:p w14:paraId="2A96E8DD">
            <w:pP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zh-CN"/>
              </w:rPr>
              <w:t>序号</w:t>
            </w:r>
          </w:p>
        </w:tc>
        <w:tc>
          <w:tcPr>
            <w:tcW w:w="782" w:type="pct"/>
            <w:vAlign w:val="center"/>
          </w:tcPr>
          <w:p w14:paraId="76F6C925">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设计阶段</w:t>
            </w:r>
          </w:p>
        </w:tc>
        <w:tc>
          <w:tcPr>
            <w:tcW w:w="1644" w:type="pct"/>
            <w:vAlign w:val="center"/>
          </w:tcPr>
          <w:p w14:paraId="4F5AA404">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提交内容（包含但不限于以下内容）</w:t>
            </w:r>
          </w:p>
        </w:tc>
        <w:tc>
          <w:tcPr>
            <w:tcW w:w="336" w:type="pct"/>
            <w:vAlign w:val="center"/>
          </w:tcPr>
          <w:p w14:paraId="36C9499B">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份数</w:t>
            </w:r>
          </w:p>
        </w:tc>
        <w:tc>
          <w:tcPr>
            <w:tcW w:w="950" w:type="pct"/>
            <w:vAlign w:val="center"/>
          </w:tcPr>
          <w:p w14:paraId="111AABBB">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提交日期</w:t>
            </w:r>
          </w:p>
        </w:tc>
        <w:tc>
          <w:tcPr>
            <w:tcW w:w="836" w:type="pct"/>
            <w:vAlign w:val="center"/>
          </w:tcPr>
          <w:p w14:paraId="64DBC652">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图纸形式</w:t>
            </w:r>
          </w:p>
        </w:tc>
      </w:tr>
      <w:tr w14:paraId="53521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11" w:type="pct"/>
            <w:vAlign w:val="center"/>
          </w:tcPr>
          <w:p w14:paraId="5A58428E">
            <w:pPr>
              <w:ind w:firstLine="240" w:firstLineChars="1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w:t>
            </w:r>
          </w:p>
        </w:tc>
        <w:tc>
          <w:tcPr>
            <w:tcW w:w="782" w:type="pct"/>
            <w:vAlign w:val="center"/>
          </w:tcPr>
          <w:p w14:paraId="4A8C7DB1">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概念方案设计阶段</w:t>
            </w:r>
          </w:p>
        </w:tc>
        <w:tc>
          <w:tcPr>
            <w:tcW w:w="1644" w:type="pct"/>
            <w:vAlign w:val="center"/>
          </w:tcPr>
          <w:p w14:paraId="0C90C046">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01封面</w:t>
            </w:r>
          </w:p>
          <w:p w14:paraId="31F43EB4">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02设计说明</w:t>
            </w:r>
          </w:p>
          <w:p w14:paraId="045670F4">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03平面图</w:t>
            </w:r>
          </w:p>
          <w:p w14:paraId="35EA3235">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04平面布置图</w:t>
            </w:r>
          </w:p>
          <w:p w14:paraId="2CCA30E2">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05风格及形象示意图</w:t>
            </w:r>
          </w:p>
        </w:tc>
        <w:tc>
          <w:tcPr>
            <w:tcW w:w="336" w:type="pct"/>
            <w:vAlign w:val="center"/>
          </w:tcPr>
          <w:p w14:paraId="7AA2946B">
            <w:pPr>
              <w:ind w:left="9" w:hanging="9"/>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6</w:t>
            </w:r>
          </w:p>
        </w:tc>
        <w:tc>
          <w:tcPr>
            <w:tcW w:w="950" w:type="pct"/>
            <w:vAlign w:val="center"/>
          </w:tcPr>
          <w:p w14:paraId="07DF9BEB">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合同签订且乙方收到甲方设计任务书后</w:t>
            </w:r>
            <w:r>
              <w:rPr>
                <w:rFonts w:hint="eastAsia" w:ascii="仿宋_GB2312" w:hAnsi="仿宋_GB2312" w:eastAsia="仿宋_GB2312" w:cs="仿宋_GB2312"/>
                <w:color w:val="auto"/>
                <w:sz w:val="24"/>
                <w:szCs w:val="24"/>
                <w:highlight w:val="none"/>
                <w:lang w:val="en-US" w:eastAsia="zh-CN"/>
              </w:rPr>
              <w:t>5</w:t>
            </w:r>
            <w:r>
              <w:rPr>
                <w:rFonts w:hint="eastAsia" w:ascii="仿宋_GB2312" w:hAnsi="仿宋_GB2312" w:eastAsia="仿宋_GB2312" w:cs="仿宋_GB2312"/>
                <w:color w:val="auto"/>
                <w:sz w:val="24"/>
                <w:szCs w:val="24"/>
                <w:highlight w:val="none"/>
              </w:rPr>
              <w:t>日内</w:t>
            </w:r>
          </w:p>
        </w:tc>
        <w:tc>
          <w:tcPr>
            <w:tcW w:w="836" w:type="pct"/>
            <w:vAlign w:val="center"/>
          </w:tcPr>
          <w:p w14:paraId="0EFAB554">
            <w:pPr>
              <w:ind w:left="9" w:hanging="9"/>
              <w:jc w:val="left"/>
              <w:rPr>
                <w:rFonts w:hint="eastAsia" w:ascii="仿宋_GB2312" w:hAnsi="仿宋_GB2312" w:eastAsia="仿宋_GB2312" w:cs="仿宋_GB2312"/>
                <w:color w:val="auto"/>
                <w:sz w:val="24"/>
                <w:szCs w:val="24"/>
                <w:highlight w:val="none"/>
              </w:rPr>
            </w:pPr>
          </w:p>
          <w:p w14:paraId="66E07238">
            <w:pPr>
              <w:ind w:left="9" w:hanging="9"/>
              <w:jc w:val="left"/>
              <w:rPr>
                <w:rFonts w:hint="eastAsia" w:ascii="仿宋_GB2312" w:hAnsi="仿宋_GB2312" w:eastAsia="仿宋_GB2312" w:cs="仿宋_GB2312"/>
                <w:color w:val="auto"/>
                <w:sz w:val="24"/>
                <w:szCs w:val="24"/>
                <w:highlight w:val="none"/>
              </w:rPr>
            </w:pPr>
          </w:p>
          <w:p w14:paraId="2FC5D2FF">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PDF电子版</w:t>
            </w:r>
          </w:p>
          <w:p w14:paraId="0EFB97A5">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纸质版</w:t>
            </w:r>
          </w:p>
        </w:tc>
      </w:tr>
      <w:tr w14:paraId="00EC4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11" w:type="pct"/>
            <w:vAlign w:val="center"/>
          </w:tcPr>
          <w:p w14:paraId="731854F0">
            <w:pPr>
              <w:ind w:firstLine="240" w:firstLineChars="1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w:t>
            </w:r>
          </w:p>
        </w:tc>
        <w:tc>
          <w:tcPr>
            <w:tcW w:w="782" w:type="pct"/>
            <w:vAlign w:val="center"/>
          </w:tcPr>
          <w:p w14:paraId="7F187E40">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正式方案及效果图设计阶段（含深化方案设计和扩初方案设计）</w:t>
            </w:r>
          </w:p>
        </w:tc>
        <w:tc>
          <w:tcPr>
            <w:tcW w:w="1644" w:type="pct"/>
            <w:vAlign w:val="center"/>
          </w:tcPr>
          <w:p w14:paraId="4F29A3FC">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01封面</w:t>
            </w:r>
          </w:p>
          <w:p w14:paraId="1516B62E">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02设计说明</w:t>
            </w:r>
          </w:p>
          <w:p w14:paraId="191EE70D">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03平面图</w:t>
            </w:r>
          </w:p>
          <w:p w14:paraId="708D952F">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04平面布置图</w:t>
            </w:r>
          </w:p>
          <w:p w14:paraId="14D94256">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05效果图</w:t>
            </w:r>
          </w:p>
          <w:p w14:paraId="063D9308">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06主要立面图</w:t>
            </w:r>
          </w:p>
          <w:p w14:paraId="36636C19">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07设计材料样板选型、定样、送样</w:t>
            </w:r>
          </w:p>
          <w:p w14:paraId="3709CF01">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08设计材料样板封样</w:t>
            </w:r>
          </w:p>
          <w:p w14:paraId="710A2E81">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09精确的概算</w:t>
            </w:r>
          </w:p>
        </w:tc>
        <w:tc>
          <w:tcPr>
            <w:tcW w:w="336" w:type="pct"/>
            <w:vAlign w:val="center"/>
          </w:tcPr>
          <w:p w14:paraId="5720FB03">
            <w:pPr>
              <w:ind w:left="9" w:hanging="9"/>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8</w:t>
            </w:r>
          </w:p>
        </w:tc>
        <w:tc>
          <w:tcPr>
            <w:tcW w:w="950" w:type="pct"/>
            <w:vAlign w:val="center"/>
          </w:tcPr>
          <w:p w14:paraId="6FDFBD46">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概念方案经甲方书面确认后</w:t>
            </w:r>
            <w:r>
              <w:rPr>
                <w:rFonts w:hint="eastAsia" w:ascii="仿宋_GB2312" w:hAnsi="仿宋_GB2312" w:eastAsia="仿宋_GB2312" w:cs="仿宋_GB2312"/>
                <w:color w:val="auto"/>
                <w:sz w:val="24"/>
                <w:szCs w:val="24"/>
                <w:highlight w:val="none"/>
                <w:lang w:val="en-US" w:eastAsia="zh-CN"/>
              </w:rPr>
              <w:t>10</w:t>
            </w:r>
            <w:r>
              <w:rPr>
                <w:rFonts w:hint="eastAsia" w:ascii="仿宋_GB2312" w:hAnsi="仿宋_GB2312" w:eastAsia="仿宋_GB2312" w:cs="仿宋_GB2312"/>
                <w:color w:val="auto"/>
                <w:sz w:val="24"/>
                <w:szCs w:val="24"/>
                <w:highlight w:val="none"/>
              </w:rPr>
              <w:t>日内</w:t>
            </w:r>
          </w:p>
        </w:tc>
        <w:tc>
          <w:tcPr>
            <w:tcW w:w="836" w:type="pct"/>
            <w:vAlign w:val="center"/>
          </w:tcPr>
          <w:p w14:paraId="787FAF44">
            <w:pPr>
              <w:ind w:left="9" w:hanging="9"/>
              <w:jc w:val="left"/>
              <w:rPr>
                <w:rFonts w:hint="eastAsia" w:ascii="仿宋_GB2312" w:hAnsi="仿宋_GB2312" w:eastAsia="仿宋_GB2312" w:cs="仿宋_GB2312"/>
                <w:color w:val="auto"/>
                <w:sz w:val="24"/>
                <w:szCs w:val="24"/>
                <w:highlight w:val="none"/>
              </w:rPr>
            </w:pPr>
          </w:p>
          <w:p w14:paraId="5763CF8E">
            <w:pPr>
              <w:ind w:left="9" w:hanging="9"/>
              <w:jc w:val="left"/>
              <w:rPr>
                <w:rFonts w:hint="eastAsia" w:ascii="仿宋_GB2312" w:hAnsi="仿宋_GB2312" w:eastAsia="仿宋_GB2312" w:cs="仿宋_GB2312"/>
                <w:color w:val="auto"/>
                <w:sz w:val="24"/>
                <w:szCs w:val="24"/>
                <w:highlight w:val="none"/>
              </w:rPr>
            </w:pPr>
          </w:p>
          <w:p w14:paraId="4DB31BE4">
            <w:pPr>
              <w:ind w:left="9" w:hanging="9"/>
              <w:jc w:val="left"/>
              <w:rPr>
                <w:rFonts w:hint="eastAsia" w:ascii="仿宋_GB2312" w:hAnsi="仿宋_GB2312" w:eastAsia="仿宋_GB2312" w:cs="仿宋_GB2312"/>
                <w:color w:val="auto"/>
                <w:sz w:val="24"/>
                <w:szCs w:val="24"/>
                <w:highlight w:val="none"/>
              </w:rPr>
            </w:pPr>
          </w:p>
          <w:p w14:paraId="3C762352">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PDF及SketchUp或3DMAX电子版</w:t>
            </w:r>
          </w:p>
          <w:p w14:paraId="05699AF7">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A3彩色图册</w:t>
            </w:r>
          </w:p>
          <w:p w14:paraId="7BD465F5">
            <w:pPr>
              <w:ind w:left="9" w:hanging="9"/>
              <w:jc w:val="left"/>
              <w:rPr>
                <w:rFonts w:hint="eastAsia" w:ascii="仿宋_GB2312" w:hAnsi="仿宋_GB2312" w:eastAsia="仿宋_GB2312" w:cs="仿宋_GB2312"/>
                <w:color w:val="auto"/>
                <w:sz w:val="24"/>
                <w:szCs w:val="24"/>
                <w:highlight w:val="none"/>
              </w:rPr>
            </w:pPr>
          </w:p>
        </w:tc>
      </w:tr>
      <w:tr w14:paraId="36A2B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11" w:type="pct"/>
            <w:vAlign w:val="center"/>
          </w:tcPr>
          <w:p w14:paraId="1087E0FB">
            <w:pPr>
              <w:ind w:firstLine="240" w:firstLineChars="1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w:t>
            </w:r>
          </w:p>
        </w:tc>
        <w:tc>
          <w:tcPr>
            <w:tcW w:w="782" w:type="pct"/>
            <w:vAlign w:val="center"/>
          </w:tcPr>
          <w:p w14:paraId="1B6539BB">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施工图设计阶段</w:t>
            </w:r>
          </w:p>
        </w:tc>
        <w:tc>
          <w:tcPr>
            <w:tcW w:w="1644" w:type="pct"/>
            <w:vAlign w:val="center"/>
          </w:tcPr>
          <w:p w14:paraId="6BE2436B">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01封面</w:t>
            </w:r>
          </w:p>
          <w:p w14:paraId="085DE120">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02图纸目录</w:t>
            </w:r>
          </w:p>
          <w:p w14:paraId="04E9C4EE">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03施工总说明</w:t>
            </w:r>
          </w:p>
          <w:p w14:paraId="3680D48C">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04材料表</w:t>
            </w:r>
          </w:p>
          <w:p w14:paraId="310550B2">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05平面图</w:t>
            </w:r>
          </w:p>
          <w:p w14:paraId="74F49D05">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06平面布置图</w:t>
            </w:r>
          </w:p>
          <w:p w14:paraId="5DF90894">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07墙体定位图</w:t>
            </w:r>
          </w:p>
          <w:p w14:paraId="24D3F1C2">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08地面材质图</w:t>
            </w:r>
          </w:p>
          <w:p w14:paraId="19EA5CC2">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09天花造型布置图</w:t>
            </w:r>
          </w:p>
          <w:p w14:paraId="1169A7E2">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10天花灯具、空调定位图</w:t>
            </w:r>
          </w:p>
          <w:p w14:paraId="33B7271F">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11立面图</w:t>
            </w:r>
          </w:p>
          <w:p w14:paraId="2902A381">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12剖面图</w:t>
            </w:r>
          </w:p>
          <w:p w14:paraId="33B994C4">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13节点大样图</w:t>
            </w:r>
          </w:p>
          <w:p w14:paraId="084DFF87">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14复杂造型放样图</w:t>
            </w:r>
          </w:p>
          <w:p w14:paraId="162DF43C">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15强弱电布置图、系统图</w:t>
            </w:r>
          </w:p>
          <w:p w14:paraId="71FDC46E">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16开关插座控制图</w:t>
            </w:r>
          </w:p>
          <w:p w14:paraId="51E2184B">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17给排水布置图、系统图</w:t>
            </w:r>
          </w:p>
          <w:p w14:paraId="0727F07D">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18硬装物料清单</w:t>
            </w:r>
          </w:p>
          <w:p w14:paraId="754D1806">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19硬装实物样板</w:t>
            </w:r>
          </w:p>
          <w:p w14:paraId="2D2FD6B6">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20施工图设计概算书</w:t>
            </w:r>
          </w:p>
          <w:p w14:paraId="769228A4">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21 按实际出的效果图</w:t>
            </w:r>
          </w:p>
          <w:p w14:paraId="7E2D7052">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22 实地测量</w:t>
            </w:r>
          </w:p>
        </w:tc>
        <w:tc>
          <w:tcPr>
            <w:tcW w:w="336" w:type="pct"/>
            <w:vAlign w:val="center"/>
          </w:tcPr>
          <w:p w14:paraId="2D399468">
            <w:pPr>
              <w:ind w:left="9" w:hanging="9"/>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8</w:t>
            </w:r>
          </w:p>
        </w:tc>
        <w:tc>
          <w:tcPr>
            <w:tcW w:w="950" w:type="pct"/>
            <w:vAlign w:val="center"/>
          </w:tcPr>
          <w:p w14:paraId="191C211D">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正式方案经甲方书面确认后</w:t>
            </w:r>
            <w:r>
              <w:rPr>
                <w:rFonts w:hint="eastAsia" w:ascii="仿宋_GB2312" w:hAnsi="仿宋_GB2312" w:eastAsia="仿宋_GB2312" w:cs="仿宋_GB2312"/>
                <w:color w:val="auto"/>
                <w:sz w:val="24"/>
                <w:szCs w:val="24"/>
                <w:highlight w:val="none"/>
                <w:lang w:val="en-US" w:eastAsia="zh-CN"/>
              </w:rPr>
              <w:t>20</w:t>
            </w:r>
            <w:r>
              <w:rPr>
                <w:rFonts w:hint="eastAsia" w:ascii="仿宋_GB2312" w:hAnsi="仿宋_GB2312" w:eastAsia="仿宋_GB2312" w:cs="仿宋_GB2312"/>
                <w:color w:val="auto"/>
                <w:sz w:val="24"/>
                <w:szCs w:val="24"/>
                <w:highlight w:val="none"/>
              </w:rPr>
              <w:t>日内</w:t>
            </w:r>
          </w:p>
        </w:tc>
        <w:tc>
          <w:tcPr>
            <w:tcW w:w="836" w:type="pct"/>
            <w:vAlign w:val="center"/>
          </w:tcPr>
          <w:p w14:paraId="79309701">
            <w:pPr>
              <w:ind w:left="9" w:hanging="9"/>
              <w:jc w:val="left"/>
              <w:rPr>
                <w:rFonts w:hint="eastAsia" w:ascii="仿宋_GB2312" w:hAnsi="仿宋_GB2312" w:eastAsia="仿宋_GB2312" w:cs="仿宋_GB2312"/>
                <w:color w:val="auto"/>
                <w:sz w:val="24"/>
                <w:szCs w:val="24"/>
                <w:highlight w:val="none"/>
              </w:rPr>
            </w:pPr>
          </w:p>
          <w:p w14:paraId="59A4FA60">
            <w:pPr>
              <w:ind w:left="9" w:hanging="9"/>
              <w:jc w:val="left"/>
              <w:rPr>
                <w:rFonts w:hint="eastAsia" w:ascii="仿宋_GB2312" w:hAnsi="仿宋_GB2312" w:eastAsia="仿宋_GB2312" w:cs="仿宋_GB2312"/>
                <w:color w:val="auto"/>
                <w:sz w:val="24"/>
                <w:szCs w:val="24"/>
                <w:highlight w:val="none"/>
              </w:rPr>
            </w:pPr>
          </w:p>
          <w:p w14:paraId="2AE8C780">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CAD电子版、</w:t>
            </w:r>
          </w:p>
          <w:p w14:paraId="0570971E">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A2施工蓝图</w:t>
            </w:r>
          </w:p>
          <w:p w14:paraId="4C63EDDA">
            <w:pPr>
              <w:ind w:left="9" w:hanging="9"/>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效果图电子版及A3效果图彩图册</w:t>
            </w:r>
          </w:p>
        </w:tc>
      </w:tr>
    </w:tbl>
    <w:p w14:paraId="5A95D881">
      <w:pPr>
        <w:pStyle w:val="79"/>
        <w:spacing w:before="68" w:line="221" w:lineRule="auto"/>
        <w:ind w:left="94"/>
        <w:rPr>
          <w:rFonts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11"/>
          <w:sz w:val="30"/>
          <w:szCs w:val="30"/>
          <w:highlight w:val="none"/>
        </w:rPr>
        <w:t>特别约定：</w:t>
      </w:r>
    </w:p>
    <w:p w14:paraId="4D72D968">
      <w:pPr>
        <w:pStyle w:val="79"/>
        <w:spacing w:before="157" w:line="345" w:lineRule="auto"/>
        <w:ind w:left="123" w:right="396" w:firstLine="433"/>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1.发包人按照设计人的要求分阶段提供设计资料</w:t>
      </w:r>
      <w:r>
        <w:rPr>
          <w:rFonts w:hint="eastAsia" w:ascii="仿宋_GB2312" w:hAnsi="仿宋_GB2312" w:eastAsia="仿宋_GB2312" w:cs="仿宋_GB2312"/>
          <w:color w:val="auto"/>
          <w:spacing w:val="-1"/>
          <w:sz w:val="30"/>
          <w:szCs w:val="30"/>
          <w:highlight w:val="none"/>
        </w:rPr>
        <w:t>（含设计确认单、规划部门批文、政府各部门批文等</w:t>
      </w:r>
      <w:r>
        <w:rPr>
          <w:rFonts w:hint="eastAsia" w:ascii="仿宋_GB2312" w:hAnsi="仿宋_GB2312" w:eastAsia="仿宋_GB2312" w:cs="仿宋_GB2312"/>
          <w:color w:val="auto"/>
          <w:spacing w:val="-48"/>
          <w:sz w:val="30"/>
          <w:szCs w:val="30"/>
          <w:highlight w:val="none"/>
        </w:rPr>
        <w:t>），</w:t>
      </w:r>
      <w:r>
        <w:rPr>
          <w:rFonts w:hint="eastAsia" w:ascii="仿宋_GB2312" w:hAnsi="仿宋_GB2312" w:eastAsia="仿宋_GB2312" w:cs="仿宋_GB2312"/>
          <w:color w:val="auto"/>
          <w:spacing w:val="-1"/>
          <w:sz w:val="30"/>
          <w:szCs w:val="30"/>
          <w:highlight w:val="none"/>
        </w:rPr>
        <w:t>双方签署设计资料交接单之日开始计算相应阶段的设计时间。</w:t>
      </w:r>
    </w:p>
    <w:p w14:paraId="16D416E8">
      <w:pPr>
        <w:pStyle w:val="79"/>
        <w:spacing w:before="30" w:line="345" w:lineRule="auto"/>
        <w:ind w:left="123" w:right="339" w:firstLine="419"/>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2.上述设计时间包括休息日和法定的和地方政府决定的公共节假日和项目所在地的特殊假</w:t>
      </w:r>
      <w:r>
        <w:rPr>
          <w:rFonts w:hint="eastAsia" w:ascii="仿宋_GB2312" w:hAnsi="仿宋_GB2312" w:eastAsia="仿宋_GB2312" w:cs="仿宋_GB2312"/>
          <w:color w:val="auto"/>
          <w:spacing w:val="-2"/>
          <w:sz w:val="30"/>
          <w:szCs w:val="30"/>
          <w:highlight w:val="none"/>
        </w:rPr>
        <w:t>期（例如壮族三月三公共假期</w:t>
      </w:r>
      <w:r>
        <w:rPr>
          <w:rFonts w:hint="eastAsia" w:ascii="仿宋_GB2312" w:hAnsi="仿宋_GB2312" w:eastAsia="仿宋_GB2312" w:cs="仿宋_GB2312"/>
          <w:color w:val="auto"/>
          <w:spacing w:val="-18"/>
          <w:sz w:val="30"/>
          <w:szCs w:val="30"/>
          <w:highlight w:val="none"/>
        </w:rPr>
        <w:t>），</w:t>
      </w:r>
      <w:r>
        <w:rPr>
          <w:rFonts w:hint="eastAsia" w:ascii="仿宋_GB2312" w:hAnsi="仿宋_GB2312" w:eastAsia="仿宋_GB2312" w:cs="仿宋_GB2312"/>
          <w:color w:val="auto"/>
          <w:spacing w:val="-2"/>
          <w:sz w:val="30"/>
          <w:szCs w:val="30"/>
          <w:highlight w:val="none"/>
        </w:rPr>
        <w:t>设计人应充分考虑设计期间可能发生的节假日、休息日。</w:t>
      </w:r>
    </w:p>
    <w:p w14:paraId="42293F3D">
      <w:pPr>
        <w:pStyle w:val="79"/>
        <w:spacing w:before="34" w:line="352" w:lineRule="auto"/>
        <w:ind w:left="121" w:right="338" w:firstLine="423"/>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1"/>
          <w:sz w:val="30"/>
          <w:szCs w:val="30"/>
          <w:highlight w:val="none"/>
        </w:rPr>
        <w:t>3.图纸交付地点：原则上在发包人公司住所地，特殊情况下经发包人同意可以在设计人工</w:t>
      </w:r>
      <w:r>
        <w:rPr>
          <w:rFonts w:hint="eastAsia" w:ascii="仿宋_GB2312" w:hAnsi="仿宋_GB2312" w:eastAsia="仿宋_GB2312" w:cs="仿宋_GB2312"/>
          <w:color w:val="auto"/>
          <w:spacing w:val="-4"/>
          <w:sz w:val="30"/>
          <w:szCs w:val="30"/>
          <w:highlight w:val="none"/>
        </w:rPr>
        <w:t>作地（或其他发包人同意的地点）。发包人要求设计人提供电子版设计文件时（无需另行增加合</w:t>
      </w:r>
      <w:r>
        <w:rPr>
          <w:rFonts w:hint="eastAsia" w:ascii="仿宋_GB2312" w:hAnsi="仿宋_GB2312" w:eastAsia="仿宋_GB2312" w:cs="仿宋_GB2312"/>
          <w:color w:val="auto"/>
          <w:spacing w:val="-1"/>
          <w:sz w:val="30"/>
          <w:szCs w:val="30"/>
          <w:highlight w:val="none"/>
        </w:rPr>
        <w:t>同费用</w:t>
      </w:r>
      <w:r>
        <w:rPr>
          <w:rFonts w:hint="eastAsia" w:ascii="仿宋_GB2312" w:hAnsi="仿宋_GB2312" w:eastAsia="仿宋_GB2312" w:cs="仿宋_GB2312"/>
          <w:color w:val="auto"/>
          <w:spacing w:val="-53"/>
          <w:sz w:val="30"/>
          <w:szCs w:val="30"/>
          <w:highlight w:val="none"/>
        </w:rPr>
        <w:t>），</w:t>
      </w:r>
      <w:r>
        <w:rPr>
          <w:rFonts w:hint="eastAsia" w:ascii="仿宋_GB2312" w:hAnsi="仿宋_GB2312" w:eastAsia="仿宋_GB2312" w:cs="仿宋_GB2312"/>
          <w:color w:val="auto"/>
          <w:spacing w:val="-1"/>
          <w:sz w:val="30"/>
          <w:szCs w:val="30"/>
          <w:highlight w:val="none"/>
        </w:rPr>
        <w:t>设计人有权对电子版设计文件采取加密、设置访问权限、限期使</w:t>
      </w:r>
      <w:r>
        <w:rPr>
          <w:rFonts w:hint="eastAsia" w:ascii="仿宋_GB2312" w:hAnsi="仿宋_GB2312" w:eastAsia="仿宋_GB2312" w:cs="仿宋_GB2312"/>
          <w:color w:val="auto"/>
          <w:spacing w:val="-2"/>
          <w:sz w:val="30"/>
          <w:szCs w:val="30"/>
          <w:highlight w:val="none"/>
        </w:rPr>
        <w:t>用等保护措施，但不</w:t>
      </w:r>
      <w:r>
        <w:rPr>
          <w:rFonts w:hint="eastAsia" w:ascii="仿宋_GB2312" w:hAnsi="仿宋_GB2312" w:eastAsia="仿宋_GB2312" w:cs="仿宋_GB2312"/>
          <w:color w:val="auto"/>
          <w:sz w:val="30"/>
          <w:szCs w:val="30"/>
          <w:highlight w:val="none"/>
        </w:rPr>
        <w:t xml:space="preserve"> 能影响发包人的正常使用。电子版设计文件必须与纸质版内</w:t>
      </w:r>
      <w:r>
        <w:rPr>
          <w:rFonts w:hint="eastAsia" w:ascii="仿宋_GB2312" w:hAnsi="仿宋_GB2312" w:eastAsia="仿宋_GB2312" w:cs="仿宋_GB2312"/>
          <w:color w:val="auto"/>
          <w:spacing w:val="-1"/>
          <w:sz w:val="30"/>
          <w:szCs w:val="30"/>
          <w:highlight w:val="none"/>
        </w:rPr>
        <w:t>容一致。</w:t>
      </w:r>
    </w:p>
    <w:p w14:paraId="26A49457">
      <w:pPr>
        <w:pStyle w:val="79"/>
        <w:spacing w:before="30" w:line="347" w:lineRule="auto"/>
        <w:ind w:left="119" w:right="391"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4.如发包人要求提供超过合同约定份数的工程设计文件，则设计人仍应按发包人的要求提供，</w:t>
      </w:r>
      <w:r>
        <w:rPr>
          <w:rFonts w:hint="eastAsia" w:ascii="仿宋_GB2312" w:hAnsi="仿宋_GB2312" w:eastAsia="仿宋_GB2312" w:cs="仿宋_GB2312"/>
          <w:color w:val="auto"/>
          <w:spacing w:val="-1"/>
          <w:sz w:val="30"/>
          <w:szCs w:val="30"/>
          <w:highlight w:val="none"/>
        </w:rPr>
        <w:t>但发包人应向设计人支付超出部分的工本费。</w:t>
      </w:r>
    </w:p>
    <w:p w14:paraId="2092E7B1">
      <w:pPr>
        <w:pStyle w:val="78"/>
        <w:spacing w:before="91" w:line="222" w:lineRule="auto"/>
        <w:ind w:left="811"/>
        <w:rPr>
          <w:rFonts w:ascii="仿宋_GB2312" w:hAnsi="仿宋_GB2312" w:eastAsia="仿宋_GB2312" w:cs="仿宋_GB2312"/>
          <w:b/>
          <w:bCs/>
          <w:color w:val="auto"/>
          <w:spacing w:val="-8"/>
          <w:sz w:val="30"/>
          <w:szCs w:val="30"/>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15EE8073">
      <w:pPr>
        <w:pStyle w:val="7"/>
        <w:ind w:firstLine="570"/>
        <w:rPr>
          <w:rFonts w:ascii="仿宋_GB2312" w:hAnsi="仿宋_GB2312" w:eastAsia="仿宋_GB2312" w:cs="仿宋_GB2312"/>
          <w:color w:val="auto"/>
          <w:sz w:val="30"/>
          <w:szCs w:val="30"/>
          <w:highlight w:val="none"/>
        </w:rPr>
      </w:pPr>
      <w:bookmarkStart w:id="1432" w:name="_Toc3911"/>
      <w:bookmarkStart w:id="1433" w:name="_Toc6003"/>
      <w:bookmarkStart w:id="1434" w:name="_Toc2335"/>
      <w:bookmarkStart w:id="1435" w:name="_Toc14829"/>
      <w:r>
        <w:rPr>
          <w:rFonts w:hint="eastAsia" w:ascii="仿宋_GB2312" w:hAnsi="仿宋_GB2312" w:eastAsia="仿宋_GB2312" w:cs="仿宋_GB2312"/>
          <w:bCs/>
          <w:color w:val="auto"/>
          <w:spacing w:val="-8"/>
          <w:sz w:val="30"/>
          <w:szCs w:val="30"/>
          <w:highlight w:val="none"/>
        </w:rPr>
        <w:t>附件4：</w:t>
      </w:r>
      <w:r>
        <w:rPr>
          <w:rFonts w:hint="eastAsia" w:ascii="仿宋_GB2312" w:hAnsi="仿宋_GB2312" w:eastAsia="仿宋_GB2312" w:cs="仿宋_GB2312"/>
          <w:color w:val="auto"/>
          <w:spacing w:val="-2"/>
          <w:sz w:val="30"/>
          <w:szCs w:val="30"/>
          <w:highlight w:val="none"/>
        </w:rPr>
        <w:t>设计人主要设计人员表</w:t>
      </w:r>
      <w:bookmarkEnd w:id="1432"/>
      <w:bookmarkEnd w:id="1433"/>
      <w:bookmarkEnd w:id="1434"/>
      <w:bookmarkEnd w:id="1435"/>
    </w:p>
    <w:p w14:paraId="23541664">
      <w:pPr>
        <w:pStyle w:val="78"/>
        <w:rPr>
          <w:rFonts w:ascii="仿宋_GB2312" w:hAnsi="仿宋_GB2312" w:eastAsia="仿宋_GB2312" w:cs="仿宋_GB2312"/>
          <w:color w:val="auto"/>
          <w:sz w:val="30"/>
          <w:szCs w:val="30"/>
          <w:highlight w:val="none"/>
        </w:rPr>
      </w:pPr>
    </w:p>
    <w:p w14:paraId="4B1CF93E">
      <w:pPr>
        <w:pStyle w:val="78"/>
        <w:spacing w:line="246" w:lineRule="auto"/>
        <w:rPr>
          <w:rFonts w:ascii="仿宋_GB2312" w:hAnsi="仿宋_GB2312" w:eastAsia="仿宋_GB2312" w:cs="仿宋_GB2312"/>
          <w:color w:val="auto"/>
          <w:sz w:val="30"/>
          <w:szCs w:val="30"/>
          <w:highlight w:val="none"/>
        </w:rPr>
      </w:pPr>
    </w:p>
    <w:p w14:paraId="203A0C39">
      <w:pPr>
        <w:pStyle w:val="78"/>
        <w:spacing w:before="91" w:line="219" w:lineRule="auto"/>
        <w:ind w:left="237"/>
        <w:rPr>
          <w:rFonts w:ascii="仿宋_GB2312" w:hAnsi="仿宋_GB2312" w:eastAsia="仿宋_GB2312" w:cs="仿宋_GB2312"/>
          <w:b/>
          <w:bCs/>
          <w:color w:val="auto"/>
          <w:spacing w:val="-4"/>
          <w:sz w:val="30"/>
          <w:szCs w:val="30"/>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07C56EFD">
      <w:pPr>
        <w:pStyle w:val="7"/>
        <w:ind w:firstLine="586"/>
        <w:rPr>
          <w:rFonts w:ascii="仿宋_GB2312" w:hAnsi="仿宋_GB2312" w:eastAsia="仿宋_GB2312" w:cs="仿宋_GB2312"/>
          <w:color w:val="auto"/>
          <w:sz w:val="30"/>
          <w:szCs w:val="30"/>
          <w:highlight w:val="none"/>
        </w:rPr>
      </w:pPr>
      <w:bookmarkStart w:id="1436" w:name="_Toc484"/>
      <w:bookmarkStart w:id="1437" w:name="_Toc2213"/>
      <w:bookmarkStart w:id="1438" w:name="_Toc12627"/>
      <w:bookmarkStart w:id="1439" w:name="_Toc25382"/>
      <w:bookmarkStart w:id="1440" w:name="_Toc9547"/>
      <w:r>
        <w:rPr>
          <w:rFonts w:hint="eastAsia" w:ascii="仿宋_GB2312" w:hAnsi="仿宋_GB2312" w:eastAsia="仿宋_GB2312" w:cs="仿宋_GB2312"/>
          <w:bCs/>
          <w:color w:val="auto"/>
          <w:spacing w:val="-4"/>
          <w:sz w:val="30"/>
          <w:szCs w:val="30"/>
          <w:highlight w:val="none"/>
        </w:rPr>
        <w:t>附件5：</w:t>
      </w:r>
      <w:r>
        <w:rPr>
          <w:rFonts w:hint="eastAsia" w:ascii="仿宋_GB2312" w:hAnsi="仿宋_GB2312" w:eastAsia="仿宋_GB2312" w:cs="仿宋_GB2312"/>
          <w:color w:val="auto"/>
          <w:spacing w:val="-4"/>
          <w:sz w:val="30"/>
          <w:szCs w:val="30"/>
          <w:highlight w:val="none"/>
        </w:rPr>
        <w:t>设计进度表</w:t>
      </w:r>
      <w:bookmarkEnd w:id="1436"/>
      <w:bookmarkEnd w:id="1437"/>
      <w:bookmarkEnd w:id="1438"/>
      <w:bookmarkEnd w:id="1439"/>
      <w:bookmarkEnd w:id="1440"/>
    </w:p>
    <w:p w14:paraId="6F5FEA63">
      <w:pPr>
        <w:pStyle w:val="78"/>
        <w:spacing w:before="91" w:line="222" w:lineRule="auto"/>
        <w:ind w:left="237"/>
        <w:rPr>
          <w:rFonts w:ascii="仿宋_GB2312" w:hAnsi="仿宋_GB2312" w:eastAsia="仿宋_GB2312" w:cs="仿宋_GB2312"/>
          <w:color w:val="auto"/>
          <w:sz w:val="30"/>
          <w:szCs w:val="30"/>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ascii="仿宋_GB2312" w:hAnsi="仿宋_GB2312" w:eastAsia="仿宋_GB2312" w:cs="仿宋_GB2312"/>
          <w:color w:val="auto"/>
          <w:sz w:val="30"/>
          <w:szCs w:val="30"/>
          <w:highlight w:val="none"/>
        </w:rPr>
        <w:t>按本专用合同条款/6.工程设计进度与周期及发包人的要求执行。</w:t>
      </w:r>
      <w:bookmarkStart w:id="1441" w:name="_Toc15721"/>
    </w:p>
    <w:p w14:paraId="03FB7808">
      <w:pPr>
        <w:pStyle w:val="7"/>
        <w:ind w:left="0" w:leftChars="0" w:firstLine="0" w:firstLineChars="0"/>
        <w:rPr>
          <w:rFonts w:ascii="仿宋_GB2312" w:hAnsi="仿宋_GB2312" w:eastAsia="仿宋_GB2312" w:cs="仿宋_GB2312"/>
          <w:color w:val="auto"/>
          <w:sz w:val="30"/>
          <w:szCs w:val="30"/>
          <w:highlight w:val="none"/>
        </w:rPr>
      </w:pPr>
      <w:bookmarkStart w:id="1442" w:name="_Toc19144"/>
      <w:bookmarkStart w:id="1443" w:name="_Toc29397"/>
      <w:bookmarkStart w:id="1444" w:name="_Toc14059"/>
      <w:bookmarkStart w:id="1445" w:name="_Toc4970"/>
      <w:r>
        <w:rPr>
          <w:rFonts w:hint="eastAsia" w:ascii="仿宋_GB2312" w:hAnsi="仿宋_GB2312" w:eastAsia="仿宋_GB2312" w:cs="仿宋_GB2312"/>
          <w:bCs/>
          <w:color w:val="auto"/>
          <w:spacing w:val="-11"/>
          <w:sz w:val="30"/>
          <w:szCs w:val="30"/>
          <w:highlight w:val="none"/>
        </w:rPr>
        <w:t>附件6-7：</w:t>
      </w:r>
      <w:r>
        <w:rPr>
          <w:rFonts w:hint="eastAsia" w:ascii="仿宋_GB2312" w:hAnsi="仿宋_GB2312" w:eastAsia="仿宋_GB2312" w:cs="仿宋_GB2312"/>
          <w:color w:val="auto"/>
          <w:spacing w:val="-2"/>
          <w:sz w:val="30"/>
          <w:szCs w:val="30"/>
          <w:highlight w:val="none"/>
        </w:rPr>
        <w:t>设计费明细及支付方式</w:t>
      </w:r>
      <w:bookmarkEnd w:id="1442"/>
      <w:bookmarkEnd w:id="1443"/>
      <w:bookmarkEnd w:id="1444"/>
      <w:bookmarkEnd w:id="1445"/>
    </w:p>
    <w:p w14:paraId="2BD8D319">
      <w:pPr>
        <w:pStyle w:val="81"/>
        <w:spacing w:line="360" w:lineRule="auto"/>
        <w:ind w:firstLine="600" w:firstLineChars="200"/>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i/>
          <w:iCs/>
          <w:color w:val="auto"/>
          <w:sz w:val="30"/>
          <w:szCs w:val="30"/>
          <w:highlight w:val="none"/>
        </w:rPr>
        <w:t>注：适用于装修设计</w:t>
      </w:r>
    </w:p>
    <w:p w14:paraId="4B7EBE00">
      <w:pPr>
        <w:pStyle w:val="35"/>
        <w:ind w:left="63" w:right="63" w:firstLine="300"/>
        <w:rPr>
          <w:rFonts w:ascii="仿宋_GB2312" w:hAnsi="仿宋_GB2312" w:eastAsia="仿宋_GB2312" w:cs="仿宋_GB2312"/>
          <w:color w:val="auto"/>
          <w:sz w:val="30"/>
          <w:szCs w:val="30"/>
          <w:highlight w:val="none"/>
        </w:rPr>
      </w:pPr>
    </w:p>
    <w:p w14:paraId="3B786E22">
      <w:pPr>
        <w:numPr>
          <w:ilvl w:val="0"/>
          <w:numId w:val="9"/>
        </w:numPr>
        <w:adjustRightInd w:val="0"/>
        <w:snapToGrid w:val="0"/>
        <w:spacing w:line="360" w:lineRule="auto"/>
        <w:ind w:firstLine="600"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本合同设计不含税综合单价为</w:t>
      </w:r>
      <w:sdt>
        <w:sdtPr>
          <w:rPr>
            <w:rFonts w:hint="eastAsia" w:ascii="仿宋_GB2312" w:hAnsi="仿宋_GB2312" w:eastAsia="仿宋_GB2312" w:cs="仿宋_GB2312"/>
            <w:color w:val="auto"/>
            <w:sz w:val="30"/>
            <w:szCs w:val="30"/>
            <w:highlight w:val="none"/>
          </w:rPr>
          <w:id w:val="147472222"/>
          <w:placeholder>
            <w:docPart w:val="{f32d5091-9754-437b-9ca9-324b4ed76b42}"/>
          </w:placeholder>
        </w:sdtPr>
        <w:sdtEndPr>
          <w:rPr>
            <w:rFonts w:hint="eastAsia" w:ascii="仿宋_GB2312" w:hAnsi="仿宋_GB2312" w:eastAsia="仿宋_GB2312" w:cs="仿宋_GB2312"/>
            <w:color w:val="auto"/>
            <w:sz w:val="30"/>
            <w:szCs w:val="30"/>
            <w:highlight w:val="none"/>
          </w:rPr>
        </w:sdtEndPr>
        <w:sdtContent>
          <w:r>
            <w:rPr>
              <w:rFonts w:hint="eastAsia" w:ascii="仿宋_GB2312" w:hAnsi="仿宋_GB2312" w:eastAsia="仿宋_GB2312" w:cs="仿宋_GB2312"/>
              <w:color w:val="auto"/>
              <w:sz w:val="30"/>
              <w:szCs w:val="30"/>
              <w:highlight w:val="none"/>
              <w:u w:val="single"/>
            </w:rPr>
            <w:t xml:space="preserve">   </w:t>
          </w:r>
        </w:sdtContent>
      </w:sdt>
      <w:r>
        <w:rPr>
          <w:rFonts w:ascii="仿宋_GB2312" w:hAnsi="仿宋_GB2312" w:eastAsia="仿宋_GB2312" w:cs="仿宋_GB2312"/>
          <w:color w:val="auto"/>
          <w:sz w:val="30"/>
          <w:szCs w:val="30"/>
          <w:highlight w:val="none"/>
        </w:rPr>
        <w:t>元/㎡（税率</w:t>
      </w:r>
      <w:sdt>
        <w:sdtPr>
          <w:rPr>
            <w:rFonts w:hint="eastAsia" w:ascii="仿宋_GB2312" w:hAnsi="仿宋_GB2312" w:eastAsia="仿宋_GB2312" w:cs="仿宋_GB2312"/>
            <w:color w:val="auto"/>
            <w:sz w:val="30"/>
            <w:szCs w:val="30"/>
            <w:highlight w:val="none"/>
          </w:rPr>
          <w:id w:val="147452533"/>
          <w:placeholder>
            <w:docPart w:val="{4949d0f0-8428-4514-8667-a5089f021c46}"/>
          </w:placeholder>
        </w:sdtPr>
        <w:sdtEndPr>
          <w:rPr>
            <w:rFonts w:hint="eastAsia" w:ascii="仿宋_GB2312" w:hAnsi="仿宋_GB2312" w:eastAsia="仿宋_GB2312" w:cs="仿宋_GB2312"/>
            <w:color w:val="auto"/>
            <w:sz w:val="30"/>
            <w:szCs w:val="30"/>
            <w:highlight w:val="none"/>
          </w:rPr>
        </w:sdtEndPr>
        <w:sdtContent>
          <w:sdt>
            <w:sdtPr>
              <w:rPr>
                <w:rFonts w:hint="eastAsia" w:ascii="仿宋_GB2312" w:hAnsi="仿宋_GB2312" w:eastAsia="仿宋_GB2312" w:cs="仿宋_GB2312"/>
                <w:color w:val="auto"/>
                <w:sz w:val="30"/>
                <w:szCs w:val="30"/>
                <w:highlight w:val="none"/>
              </w:rPr>
              <w:id w:val="147465853"/>
              <w:placeholder>
                <w:docPart w:val="{c199aeb2-68c5-4b0a-9adc-ece344f6c93c}"/>
              </w:placeholder>
            </w:sdtPr>
            <w:sdtEndPr>
              <w:rPr>
                <w:rFonts w:hint="eastAsia" w:ascii="仿宋_GB2312" w:hAnsi="仿宋_GB2312" w:eastAsia="仿宋_GB2312" w:cs="仿宋_GB2312"/>
                <w:color w:val="auto"/>
                <w:sz w:val="30"/>
                <w:szCs w:val="30"/>
                <w:highlight w:val="none"/>
              </w:rPr>
            </w:sdtEndPr>
            <w:sdtContent>
              <w:r>
                <w:rPr>
                  <w:rFonts w:hint="eastAsia" w:ascii="仿宋_GB2312" w:hAnsi="仿宋_GB2312" w:eastAsia="仿宋_GB2312" w:cs="仿宋_GB2312"/>
                  <w:color w:val="auto"/>
                  <w:sz w:val="30"/>
                  <w:szCs w:val="30"/>
                  <w:highlight w:val="none"/>
                  <w:u w:val="single"/>
                </w:rPr>
                <w:t xml:space="preserve">   </w:t>
              </w:r>
            </w:sdtContent>
          </w:sdt>
        </w:sdtContent>
      </w:sdt>
      <w:r>
        <w:rPr>
          <w:rFonts w:ascii="仿宋_GB2312" w:hAnsi="仿宋_GB2312" w:eastAsia="仿宋_GB2312" w:cs="仿宋_GB2312"/>
          <w:color w:val="auto"/>
          <w:sz w:val="30"/>
          <w:szCs w:val="30"/>
          <w:highlight w:val="none"/>
        </w:rPr>
        <w:t>%），合同暂定含税总价款为人民币大写</w:t>
      </w:r>
      <w:sdt>
        <w:sdtPr>
          <w:rPr>
            <w:rFonts w:hint="eastAsia" w:ascii="仿宋_GB2312" w:hAnsi="仿宋_GB2312" w:eastAsia="仿宋_GB2312" w:cs="仿宋_GB2312"/>
            <w:color w:val="auto"/>
            <w:sz w:val="30"/>
            <w:szCs w:val="30"/>
            <w:highlight w:val="none"/>
          </w:rPr>
          <w:id w:val="147465491"/>
          <w:placeholder>
            <w:docPart w:val="{ce9dea7c-af24-4a55-befd-e61a62035811}"/>
          </w:placeholder>
        </w:sdtPr>
        <w:sdtEndPr>
          <w:rPr>
            <w:rFonts w:hint="eastAsia" w:ascii="仿宋_GB2312" w:hAnsi="仿宋_GB2312" w:eastAsia="仿宋_GB2312" w:cs="仿宋_GB2312"/>
            <w:color w:val="auto"/>
            <w:sz w:val="30"/>
            <w:szCs w:val="30"/>
            <w:highlight w:val="none"/>
          </w:rPr>
        </w:sdtEndPr>
        <w:sdtContent>
          <w:sdt>
            <w:sdtPr>
              <w:rPr>
                <w:rFonts w:hint="eastAsia" w:ascii="仿宋_GB2312" w:hAnsi="仿宋_GB2312" w:eastAsia="仿宋_GB2312" w:cs="仿宋_GB2312"/>
                <w:color w:val="auto"/>
                <w:sz w:val="30"/>
                <w:szCs w:val="30"/>
                <w:highlight w:val="none"/>
              </w:rPr>
              <w:id w:val="147456523"/>
              <w:placeholder>
                <w:docPart w:val="{59c10b36-02b4-477b-a848-928da3317036}"/>
              </w:placeholder>
            </w:sdtPr>
            <w:sdtEndPr>
              <w:rPr>
                <w:rFonts w:hint="eastAsia" w:ascii="仿宋_GB2312" w:hAnsi="仿宋_GB2312" w:eastAsia="仿宋_GB2312" w:cs="仿宋_GB2312"/>
                <w:color w:val="auto"/>
                <w:sz w:val="30"/>
                <w:szCs w:val="30"/>
                <w:highlight w:val="none"/>
              </w:rPr>
            </w:sdtEndPr>
            <w:sdtContent>
              <w:sdt>
                <w:sdtPr>
                  <w:rPr>
                    <w:rFonts w:hint="eastAsia" w:ascii="仿宋_GB2312" w:hAnsi="仿宋_GB2312" w:eastAsia="仿宋_GB2312" w:cs="仿宋_GB2312"/>
                    <w:color w:val="auto"/>
                    <w:sz w:val="30"/>
                    <w:szCs w:val="30"/>
                    <w:highlight w:val="none"/>
                  </w:rPr>
                  <w:id w:val="147481925"/>
                  <w:placeholder>
                    <w:docPart w:val="{a526151e-b316-4a67-bba8-95fe152349be}"/>
                  </w:placeholder>
                </w:sdtPr>
                <w:sdtEndPr>
                  <w:rPr>
                    <w:rFonts w:hint="eastAsia" w:ascii="仿宋_GB2312" w:hAnsi="仿宋_GB2312" w:eastAsia="仿宋_GB2312" w:cs="仿宋_GB2312"/>
                    <w:color w:val="auto"/>
                    <w:sz w:val="30"/>
                    <w:szCs w:val="30"/>
                    <w:highlight w:val="none"/>
                  </w:rPr>
                </w:sdtEndPr>
                <w:sdtContent>
                  <w:r>
                    <w:rPr>
                      <w:rFonts w:hint="eastAsia" w:ascii="仿宋_GB2312" w:hAnsi="仿宋_GB2312" w:eastAsia="仿宋_GB2312" w:cs="仿宋_GB2312"/>
                      <w:color w:val="auto"/>
                      <w:sz w:val="30"/>
                      <w:szCs w:val="30"/>
                      <w:highlight w:val="none"/>
                      <w:u w:val="single"/>
                    </w:rPr>
                    <w:t xml:space="preserve">   </w:t>
                  </w:r>
                </w:sdtContent>
              </w:sdt>
            </w:sdtContent>
          </w:sdt>
        </w:sdtContent>
      </w:sdt>
      <w:r>
        <w:rPr>
          <w:rFonts w:ascii="仿宋_GB2312" w:hAnsi="仿宋_GB2312" w:eastAsia="仿宋_GB2312" w:cs="仿宋_GB2312"/>
          <w:color w:val="auto"/>
          <w:sz w:val="30"/>
          <w:szCs w:val="30"/>
          <w:highlight w:val="none"/>
        </w:rPr>
        <w:t>（￥</w:t>
      </w:r>
      <w:sdt>
        <w:sdtPr>
          <w:rPr>
            <w:rFonts w:hint="eastAsia" w:ascii="仿宋_GB2312" w:hAnsi="仿宋_GB2312" w:eastAsia="仿宋_GB2312" w:cs="仿宋_GB2312"/>
            <w:color w:val="auto"/>
            <w:sz w:val="30"/>
            <w:szCs w:val="30"/>
            <w:highlight w:val="none"/>
          </w:rPr>
          <w:id w:val="147465618"/>
          <w:placeholder>
            <w:docPart w:val="{f9998697-c505-4e15-9e18-4d2b8b9621cb}"/>
          </w:placeholder>
        </w:sdtPr>
        <w:sdtEndPr>
          <w:rPr>
            <w:rFonts w:hint="eastAsia" w:ascii="仿宋_GB2312" w:hAnsi="仿宋_GB2312" w:eastAsia="仿宋_GB2312" w:cs="仿宋_GB2312"/>
            <w:color w:val="auto"/>
            <w:sz w:val="30"/>
            <w:szCs w:val="30"/>
            <w:highlight w:val="none"/>
          </w:rPr>
        </w:sdtEndPr>
        <w:sdtContent>
          <w:sdt>
            <w:sdtPr>
              <w:rPr>
                <w:rFonts w:hint="eastAsia" w:ascii="仿宋_GB2312" w:hAnsi="仿宋_GB2312" w:eastAsia="仿宋_GB2312" w:cs="仿宋_GB2312"/>
                <w:color w:val="auto"/>
                <w:sz w:val="30"/>
                <w:szCs w:val="30"/>
                <w:highlight w:val="none"/>
              </w:rPr>
              <w:id w:val="147472943"/>
              <w:placeholder>
                <w:docPart w:val="{94a0b201-c6e3-44da-a3c8-ec5b4607249d}"/>
              </w:placeholder>
            </w:sdtPr>
            <w:sdtEndPr>
              <w:rPr>
                <w:rFonts w:hint="eastAsia" w:ascii="仿宋_GB2312" w:hAnsi="仿宋_GB2312" w:eastAsia="仿宋_GB2312" w:cs="仿宋_GB2312"/>
                <w:color w:val="auto"/>
                <w:sz w:val="30"/>
                <w:szCs w:val="30"/>
                <w:highlight w:val="none"/>
              </w:rPr>
            </w:sdtEndPr>
            <w:sdtContent>
              <w:sdt>
                <w:sdtPr>
                  <w:rPr>
                    <w:rFonts w:hint="eastAsia" w:ascii="仿宋_GB2312" w:hAnsi="仿宋_GB2312" w:eastAsia="仿宋_GB2312" w:cs="仿宋_GB2312"/>
                    <w:color w:val="auto"/>
                    <w:sz w:val="30"/>
                    <w:szCs w:val="30"/>
                    <w:highlight w:val="none"/>
                  </w:rPr>
                  <w:id w:val="147466462"/>
                  <w:placeholder>
                    <w:docPart w:val="{4dd71aa2-64f0-4d40-94d6-553614effde7}"/>
                  </w:placeholder>
                </w:sdtPr>
                <w:sdtEndPr>
                  <w:rPr>
                    <w:rFonts w:hint="eastAsia" w:ascii="仿宋_GB2312" w:hAnsi="仿宋_GB2312" w:eastAsia="仿宋_GB2312" w:cs="仿宋_GB2312"/>
                    <w:color w:val="auto"/>
                    <w:sz w:val="30"/>
                    <w:szCs w:val="30"/>
                    <w:highlight w:val="none"/>
                  </w:rPr>
                </w:sdtEndPr>
                <w:sdtContent>
                  <w:r>
                    <w:rPr>
                      <w:rFonts w:hint="eastAsia" w:ascii="仿宋_GB2312" w:hAnsi="仿宋_GB2312" w:eastAsia="仿宋_GB2312" w:cs="仿宋_GB2312"/>
                      <w:color w:val="auto"/>
                      <w:sz w:val="30"/>
                      <w:szCs w:val="30"/>
                      <w:highlight w:val="none"/>
                      <w:u w:val="single"/>
                    </w:rPr>
                    <w:t xml:space="preserve">   </w:t>
                  </w:r>
                </w:sdtContent>
              </w:sdt>
            </w:sdtContent>
          </w:sdt>
        </w:sdtContent>
      </w:sdt>
      <w:r>
        <w:rPr>
          <w:rFonts w:ascii="仿宋_GB2312" w:hAnsi="仿宋_GB2312" w:eastAsia="仿宋_GB2312" w:cs="仿宋_GB2312"/>
          <w:color w:val="auto"/>
          <w:sz w:val="30"/>
          <w:szCs w:val="30"/>
          <w:highlight w:val="none"/>
        </w:rPr>
        <w:t>），其中不含税金额（￥</w:t>
      </w:r>
      <w:sdt>
        <w:sdtPr>
          <w:rPr>
            <w:rFonts w:hint="eastAsia" w:ascii="仿宋_GB2312" w:hAnsi="仿宋_GB2312" w:eastAsia="仿宋_GB2312" w:cs="仿宋_GB2312"/>
            <w:color w:val="auto"/>
            <w:sz w:val="30"/>
            <w:szCs w:val="30"/>
            <w:highlight w:val="none"/>
          </w:rPr>
          <w:id w:val="147483158"/>
          <w:placeholder>
            <w:docPart w:val="{28942cd8-fe1d-4c45-a32c-2c16946602fe}"/>
          </w:placeholder>
        </w:sdtPr>
        <w:sdtEndPr>
          <w:rPr>
            <w:rFonts w:hint="eastAsia" w:ascii="仿宋_GB2312" w:hAnsi="仿宋_GB2312" w:eastAsia="仿宋_GB2312" w:cs="仿宋_GB2312"/>
            <w:color w:val="auto"/>
            <w:sz w:val="30"/>
            <w:szCs w:val="30"/>
            <w:highlight w:val="none"/>
          </w:rPr>
        </w:sdtEndPr>
        <w:sdtContent>
          <w:sdt>
            <w:sdtPr>
              <w:rPr>
                <w:rFonts w:hint="eastAsia" w:ascii="仿宋_GB2312" w:hAnsi="仿宋_GB2312" w:eastAsia="仿宋_GB2312" w:cs="仿宋_GB2312"/>
                <w:color w:val="auto"/>
                <w:sz w:val="30"/>
                <w:szCs w:val="30"/>
                <w:highlight w:val="none"/>
              </w:rPr>
              <w:id w:val="147465046"/>
              <w:placeholder>
                <w:docPart w:val="{e8b671ff-6cfc-47d9-aba8-22b23b99f8ed}"/>
              </w:placeholder>
            </w:sdtPr>
            <w:sdtEndPr>
              <w:rPr>
                <w:rFonts w:hint="eastAsia" w:ascii="仿宋_GB2312" w:hAnsi="仿宋_GB2312" w:eastAsia="仿宋_GB2312" w:cs="仿宋_GB2312"/>
                <w:color w:val="auto"/>
                <w:sz w:val="30"/>
                <w:szCs w:val="30"/>
                <w:highlight w:val="none"/>
              </w:rPr>
            </w:sdtEndPr>
            <w:sdtContent>
              <w:sdt>
                <w:sdtPr>
                  <w:rPr>
                    <w:rFonts w:hint="eastAsia" w:ascii="仿宋_GB2312" w:hAnsi="仿宋_GB2312" w:eastAsia="仿宋_GB2312" w:cs="仿宋_GB2312"/>
                    <w:color w:val="auto"/>
                    <w:sz w:val="30"/>
                    <w:szCs w:val="30"/>
                    <w:highlight w:val="none"/>
                  </w:rPr>
                  <w:id w:val="147479491"/>
                  <w:placeholder>
                    <w:docPart w:val="{ae165b7b-14f2-4918-a39e-41a1650c3385}"/>
                  </w:placeholder>
                </w:sdtPr>
                <w:sdtEndPr>
                  <w:rPr>
                    <w:rFonts w:hint="eastAsia" w:ascii="仿宋_GB2312" w:hAnsi="仿宋_GB2312" w:eastAsia="仿宋_GB2312" w:cs="仿宋_GB2312"/>
                    <w:color w:val="auto"/>
                    <w:sz w:val="30"/>
                    <w:szCs w:val="30"/>
                    <w:highlight w:val="none"/>
                  </w:rPr>
                </w:sdtEndPr>
                <w:sdtContent>
                  <w:r>
                    <w:rPr>
                      <w:rFonts w:hint="eastAsia" w:ascii="仿宋_GB2312" w:hAnsi="仿宋_GB2312" w:eastAsia="仿宋_GB2312" w:cs="仿宋_GB2312"/>
                      <w:color w:val="auto"/>
                      <w:sz w:val="30"/>
                      <w:szCs w:val="30"/>
                      <w:highlight w:val="none"/>
                      <w:u w:val="single"/>
                    </w:rPr>
                    <w:t xml:space="preserve">   </w:t>
                  </w:r>
                </w:sdtContent>
              </w:sdt>
            </w:sdtContent>
          </w:sdt>
        </w:sdtContent>
      </w:sdt>
      <w:r>
        <w:rPr>
          <w:rFonts w:ascii="仿宋_GB2312" w:hAnsi="仿宋_GB2312" w:eastAsia="仿宋_GB2312" w:cs="仿宋_GB2312"/>
          <w:color w:val="auto"/>
          <w:sz w:val="30"/>
          <w:szCs w:val="30"/>
          <w:highlight w:val="none"/>
        </w:rPr>
        <w:t xml:space="preserve">），税金（￥ </w:t>
      </w:r>
      <w:sdt>
        <w:sdtPr>
          <w:rPr>
            <w:rFonts w:hint="eastAsia" w:ascii="仿宋_GB2312" w:hAnsi="仿宋_GB2312" w:eastAsia="仿宋_GB2312" w:cs="仿宋_GB2312"/>
            <w:color w:val="auto"/>
            <w:sz w:val="30"/>
            <w:szCs w:val="30"/>
            <w:highlight w:val="none"/>
          </w:rPr>
          <w:id w:val="147476185"/>
          <w:placeholder>
            <w:docPart w:val="{8cbe76b5-e259-4d30-828b-6c12f8d7fd11}"/>
          </w:placeholder>
        </w:sdtPr>
        <w:sdtEndPr>
          <w:rPr>
            <w:rFonts w:hint="eastAsia" w:ascii="仿宋_GB2312" w:hAnsi="仿宋_GB2312" w:eastAsia="仿宋_GB2312" w:cs="仿宋_GB2312"/>
            <w:color w:val="auto"/>
            <w:sz w:val="30"/>
            <w:szCs w:val="30"/>
            <w:highlight w:val="none"/>
          </w:rPr>
        </w:sdtEndPr>
        <w:sdtContent>
          <w:sdt>
            <w:sdtPr>
              <w:rPr>
                <w:rFonts w:hint="eastAsia" w:ascii="仿宋_GB2312" w:hAnsi="仿宋_GB2312" w:eastAsia="仿宋_GB2312" w:cs="仿宋_GB2312"/>
                <w:color w:val="auto"/>
                <w:sz w:val="30"/>
                <w:szCs w:val="30"/>
                <w:highlight w:val="none"/>
              </w:rPr>
              <w:id w:val="147451455"/>
              <w:placeholder>
                <w:docPart w:val="{1f279055-4a89-4296-8ca9-55900f7be066}"/>
              </w:placeholder>
            </w:sdtPr>
            <w:sdtEndPr>
              <w:rPr>
                <w:rFonts w:hint="eastAsia" w:ascii="仿宋_GB2312" w:hAnsi="仿宋_GB2312" w:eastAsia="仿宋_GB2312" w:cs="仿宋_GB2312"/>
                <w:color w:val="auto"/>
                <w:sz w:val="30"/>
                <w:szCs w:val="30"/>
                <w:highlight w:val="none"/>
              </w:rPr>
            </w:sdtEndPr>
            <w:sdtContent>
              <w:sdt>
                <w:sdtPr>
                  <w:rPr>
                    <w:rFonts w:hint="eastAsia" w:ascii="仿宋_GB2312" w:hAnsi="仿宋_GB2312" w:eastAsia="仿宋_GB2312" w:cs="仿宋_GB2312"/>
                    <w:color w:val="auto"/>
                    <w:sz w:val="30"/>
                    <w:szCs w:val="30"/>
                    <w:highlight w:val="none"/>
                  </w:rPr>
                  <w:id w:val="147454366"/>
                  <w:placeholder>
                    <w:docPart w:val="{ebfc19a4-467c-4099-a9e4-42907c9569f3}"/>
                  </w:placeholder>
                </w:sdtPr>
                <w:sdtEndPr>
                  <w:rPr>
                    <w:rFonts w:hint="eastAsia" w:ascii="仿宋_GB2312" w:hAnsi="仿宋_GB2312" w:eastAsia="仿宋_GB2312" w:cs="仿宋_GB2312"/>
                    <w:color w:val="auto"/>
                    <w:sz w:val="30"/>
                    <w:szCs w:val="30"/>
                    <w:highlight w:val="none"/>
                  </w:rPr>
                </w:sdtEndPr>
                <w:sdtContent>
                  <w:r>
                    <w:rPr>
                      <w:rFonts w:hint="eastAsia" w:ascii="仿宋_GB2312" w:hAnsi="仿宋_GB2312" w:eastAsia="仿宋_GB2312" w:cs="仿宋_GB2312"/>
                      <w:color w:val="auto"/>
                      <w:sz w:val="30"/>
                      <w:szCs w:val="30"/>
                      <w:highlight w:val="none"/>
                      <w:u w:val="single"/>
                    </w:rPr>
                    <w:t xml:space="preserve">   </w:t>
                  </w:r>
                </w:sdtContent>
              </w:sdt>
            </w:sdtContent>
          </w:sdt>
        </w:sdtContent>
      </w:sdt>
      <w:r>
        <w:rPr>
          <w:rFonts w:ascii="仿宋_GB2312" w:hAnsi="仿宋_GB2312" w:eastAsia="仿宋_GB2312" w:cs="仿宋_GB2312"/>
          <w:color w:val="auto"/>
          <w:sz w:val="30"/>
          <w:szCs w:val="30"/>
          <w:highlight w:val="none"/>
        </w:rPr>
        <w:t>）,税率</w:t>
      </w:r>
      <w:sdt>
        <w:sdtPr>
          <w:rPr>
            <w:rFonts w:hint="eastAsia" w:ascii="仿宋_GB2312" w:hAnsi="仿宋_GB2312" w:eastAsia="仿宋_GB2312" w:cs="仿宋_GB2312"/>
            <w:color w:val="auto"/>
            <w:sz w:val="30"/>
            <w:szCs w:val="30"/>
            <w:highlight w:val="none"/>
          </w:rPr>
          <w:id w:val="147473118"/>
          <w:placeholder>
            <w:docPart w:val="{77e0c4b0-b703-47d3-9892-cf0087ccf5e8}"/>
          </w:placeholder>
        </w:sdtPr>
        <w:sdtEndPr>
          <w:rPr>
            <w:rFonts w:hint="eastAsia" w:ascii="仿宋_GB2312" w:hAnsi="仿宋_GB2312" w:eastAsia="仿宋_GB2312" w:cs="仿宋_GB2312"/>
            <w:color w:val="auto"/>
            <w:sz w:val="30"/>
            <w:szCs w:val="30"/>
            <w:highlight w:val="none"/>
          </w:rPr>
        </w:sdtEndPr>
        <w:sdtContent>
          <w:sdt>
            <w:sdtPr>
              <w:rPr>
                <w:rFonts w:hint="eastAsia" w:ascii="仿宋_GB2312" w:hAnsi="仿宋_GB2312" w:eastAsia="仿宋_GB2312" w:cs="仿宋_GB2312"/>
                <w:color w:val="auto"/>
                <w:sz w:val="30"/>
                <w:szCs w:val="30"/>
                <w:highlight w:val="none"/>
              </w:rPr>
              <w:id w:val="147469758"/>
              <w:placeholder>
                <w:docPart w:val="{38c9ab00-7e8f-4d64-82b5-105c7ec04961}"/>
              </w:placeholder>
            </w:sdtPr>
            <w:sdtEndPr>
              <w:rPr>
                <w:rFonts w:hint="eastAsia" w:ascii="仿宋_GB2312" w:hAnsi="仿宋_GB2312" w:eastAsia="仿宋_GB2312" w:cs="仿宋_GB2312"/>
                <w:color w:val="auto"/>
                <w:sz w:val="30"/>
                <w:szCs w:val="30"/>
                <w:highlight w:val="none"/>
              </w:rPr>
            </w:sdtEndPr>
            <w:sdtContent>
              <w:r>
                <w:rPr>
                  <w:rFonts w:hint="eastAsia" w:ascii="仿宋_GB2312" w:hAnsi="仿宋_GB2312" w:eastAsia="仿宋_GB2312" w:cs="仿宋_GB2312"/>
                  <w:color w:val="auto"/>
                  <w:sz w:val="30"/>
                  <w:szCs w:val="30"/>
                  <w:highlight w:val="none"/>
                  <w:u w:val="single"/>
                </w:rPr>
                <w:t xml:space="preserve">   </w:t>
              </w:r>
            </w:sdtContent>
          </w:sdt>
        </w:sdtContent>
      </w:sdt>
      <w:r>
        <w:rPr>
          <w:rFonts w:ascii="仿宋_GB2312" w:hAnsi="仿宋_GB2312" w:eastAsia="仿宋_GB2312" w:cs="仿宋_GB2312"/>
          <w:color w:val="auto"/>
          <w:sz w:val="30"/>
          <w:szCs w:val="30"/>
          <w:highlight w:val="none"/>
        </w:rPr>
        <w:t>%。最终合同总价款根据甲乙双方共同确认的实际设计面积进行结算。</w:t>
      </w:r>
    </w:p>
    <w:p w14:paraId="7B0B30F5">
      <w:pPr>
        <w:spacing w:line="360" w:lineRule="auto"/>
        <w:ind w:firstLine="600" w:firstLineChars="200"/>
        <w:rPr>
          <w:rFonts w:ascii="仿宋_GB2312" w:eastAsia="仿宋_GB2312" w:hAnsiTheme="minorEastAsia"/>
          <w:color w:val="auto"/>
          <w:sz w:val="28"/>
          <w:szCs w:val="28"/>
          <w:highlight w:val="none"/>
        </w:rPr>
      </w:pPr>
      <w:r>
        <w:rPr>
          <w:rFonts w:hint="eastAsia" w:ascii="仿宋_GB2312" w:hAnsi="仿宋_GB2312" w:eastAsia="仿宋_GB2312" w:cs="仿宋_GB2312"/>
          <w:color w:val="auto"/>
          <w:sz w:val="30"/>
          <w:szCs w:val="30"/>
          <w:highlight w:val="none"/>
        </w:rPr>
        <w:t>特别约定：</w:t>
      </w:r>
      <w:r>
        <w:rPr>
          <w:rFonts w:hint="eastAsia" w:ascii="仿宋_GB2312" w:eastAsia="仿宋_GB2312" w:hAnsiTheme="minorEastAsia"/>
          <w:color w:val="auto"/>
          <w:sz w:val="28"/>
          <w:szCs w:val="28"/>
          <w:highlight w:val="none"/>
        </w:rPr>
        <w:t>合同最终价款根据甲乙双方共同确认的实际设计面积乘以设计综合单价进行结算。如实际设计面积与暂定设计面积相比，增</w:t>
      </w:r>
      <w:r>
        <w:rPr>
          <w:rFonts w:hint="eastAsia" w:ascii="仿宋_GB2312" w:eastAsia="仿宋_GB2312" w:hAnsiTheme="minorEastAsia"/>
          <w:color w:val="auto"/>
          <w:sz w:val="28"/>
          <w:szCs w:val="28"/>
          <w:highlight w:val="none"/>
          <w:lang w:val="en-US" w:eastAsia="zh-CN"/>
        </w:rPr>
        <w:t>加</w:t>
      </w:r>
      <w:r>
        <w:rPr>
          <w:rFonts w:hint="eastAsia" w:ascii="仿宋_GB2312" w:eastAsia="仿宋_GB2312" w:hAnsiTheme="minorEastAsia"/>
          <w:color w:val="auto"/>
          <w:sz w:val="28"/>
          <w:szCs w:val="28"/>
          <w:highlight w:val="none"/>
        </w:rPr>
        <w:t>幅度在10%以内的（含10%），按合同暂定总设计费进行结算。如甲乙双方共同确认的工程实际设计面积增减幅度在本合同暂定设计面积的10%以外的，则对该超出10%的部分按照本合同约定的综合单价及来计算调整设计费。</w:t>
      </w:r>
    </w:p>
    <w:p w14:paraId="199698FA">
      <w:pPr>
        <w:spacing w:line="360" w:lineRule="auto"/>
        <w:ind w:firstLine="560" w:firstLineChars="200"/>
        <w:rPr>
          <w:rFonts w:ascii="仿宋_GB2312" w:hAnsi="仿宋_GB2312" w:eastAsia="仿宋_GB2312" w:cs="仿宋_GB2312"/>
          <w:color w:val="auto"/>
          <w:sz w:val="30"/>
          <w:szCs w:val="30"/>
          <w:highlight w:val="none"/>
        </w:rPr>
      </w:pPr>
      <w:r>
        <w:rPr>
          <w:rFonts w:ascii="仿宋_GB2312" w:hAnsi="宋体" w:eastAsia="仿宋_GB2312" w:cs="仿宋_GB2312"/>
          <w:color w:val="auto"/>
          <w:sz w:val="28"/>
          <w:szCs w:val="28"/>
          <w:highlight w:val="none"/>
        </w:rPr>
        <w:t>本合同暂定设计费包含乙方在本合同范围内到甲方公司进行设计沟通、汇报及现场巡检的服务及差旅费，到场服务及出差次数不少于5次。</w:t>
      </w:r>
    </w:p>
    <w:p w14:paraId="0D78EA9B">
      <w:pPr>
        <w:spacing w:line="360" w:lineRule="auto"/>
        <w:ind w:firstLine="602" w:firstLineChars="200"/>
        <w:rPr>
          <w:rFonts w:ascii="仿宋_GB2312" w:hAnsi="仿宋_GB2312" w:eastAsia="仿宋_GB2312" w:cs="仿宋_GB2312"/>
          <w:b/>
          <w:color w:val="auto"/>
          <w:sz w:val="30"/>
          <w:szCs w:val="30"/>
          <w:highlight w:val="none"/>
        </w:rPr>
      </w:pPr>
      <w:r>
        <w:rPr>
          <w:rFonts w:hint="eastAsia" w:ascii="仿宋_GB2312" w:hAnsi="仿宋_GB2312" w:eastAsia="仿宋_GB2312" w:cs="仿宋_GB2312"/>
          <w:b/>
          <w:color w:val="auto"/>
          <w:sz w:val="30"/>
          <w:szCs w:val="30"/>
          <w:highlight w:val="none"/>
        </w:rPr>
        <w:t>二、</w:t>
      </w:r>
      <w:r>
        <w:rPr>
          <w:rFonts w:ascii="仿宋_GB2312" w:hAnsi="仿宋_GB2312" w:eastAsia="仿宋_GB2312" w:cs="仿宋_GB2312"/>
          <w:b/>
          <w:color w:val="auto"/>
          <w:sz w:val="30"/>
          <w:szCs w:val="30"/>
          <w:highlight w:val="none"/>
        </w:rPr>
        <w:t>设计费支付方式如下：</w:t>
      </w:r>
    </w:p>
    <w:p w14:paraId="2F6A3A85">
      <w:pPr>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2.1设计进度款支付金额详见下表：</w:t>
      </w:r>
    </w:p>
    <w:tbl>
      <w:tblPr>
        <w:tblStyle w:val="36"/>
        <w:tblW w:w="4865" w:type="pct"/>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200"/>
        <w:gridCol w:w="3418"/>
        <w:gridCol w:w="1802"/>
        <w:gridCol w:w="1652"/>
      </w:tblGrid>
      <w:tr w14:paraId="7D8BF25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723" w:type="pct"/>
            <w:vAlign w:val="center"/>
          </w:tcPr>
          <w:p w14:paraId="63ACF4B7">
            <w:pPr>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b/>
                <w:color w:val="auto"/>
                <w:sz w:val="30"/>
                <w:szCs w:val="30"/>
                <w:highlight w:val="none"/>
              </w:rPr>
              <w:t>分项</w:t>
            </w:r>
          </w:p>
        </w:tc>
        <w:tc>
          <w:tcPr>
            <w:tcW w:w="2150" w:type="pct"/>
            <w:vAlign w:val="center"/>
          </w:tcPr>
          <w:p w14:paraId="3906A1D8">
            <w:pPr>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b/>
                <w:color w:val="auto"/>
                <w:sz w:val="30"/>
                <w:szCs w:val="30"/>
                <w:highlight w:val="none"/>
              </w:rPr>
              <w:t>相关设计阶段及付款条件</w:t>
            </w:r>
          </w:p>
        </w:tc>
        <w:tc>
          <w:tcPr>
            <w:tcW w:w="1086" w:type="pct"/>
            <w:vAlign w:val="center"/>
          </w:tcPr>
          <w:p w14:paraId="2E1324E2">
            <w:pPr>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b/>
                <w:color w:val="auto"/>
                <w:sz w:val="30"/>
                <w:szCs w:val="30"/>
                <w:highlight w:val="none"/>
              </w:rPr>
              <w:t>付款金额（元）</w:t>
            </w:r>
          </w:p>
        </w:tc>
        <w:tc>
          <w:tcPr>
            <w:tcW w:w="1039" w:type="pct"/>
            <w:vAlign w:val="center"/>
          </w:tcPr>
          <w:p w14:paraId="709DDD1E">
            <w:pPr>
              <w:jc w:val="center"/>
              <w:rPr>
                <w:rFonts w:ascii="仿宋_GB2312" w:hAnsi="仿宋_GB2312" w:eastAsia="仿宋_GB2312" w:cs="仿宋_GB2312"/>
                <w:b/>
                <w:color w:val="auto"/>
                <w:sz w:val="30"/>
                <w:szCs w:val="30"/>
                <w:highlight w:val="none"/>
              </w:rPr>
            </w:pPr>
            <w:r>
              <w:rPr>
                <w:rFonts w:hint="eastAsia" w:ascii="仿宋_GB2312" w:hAnsi="仿宋_GB2312" w:eastAsia="仿宋_GB2312" w:cs="仿宋_GB2312"/>
                <w:b/>
                <w:color w:val="auto"/>
                <w:sz w:val="30"/>
                <w:szCs w:val="30"/>
                <w:highlight w:val="none"/>
              </w:rPr>
              <w:t>阶段内付款比例（%）</w:t>
            </w:r>
          </w:p>
        </w:tc>
      </w:tr>
      <w:tr w14:paraId="438C754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5000" w:type="pct"/>
            <w:gridSpan w:val="4"/>
          </w:tcPr>
          <w:p w14:paraId="4630C052">
            <w:pPr>
              <w:rPr>
                <w:rFonts w:ascii="仿宋_GB2312" w:hAnsi="仿宋_GB2312" w:eastAsia="仿宋_GB2312" w:cs="仿宋_GB2312"/>
                <w:color w:val="auto"/>
                <w:sz w:val="30"/>
                <w:szCs w:val="30"/>
                <w:highlight w:val="none"/>
              </w:rPr>
            </w:pPr>
            <w:r>
              <w:rPr>
                <w:rFonts w:hint="eastAsia" w:ascii="仿宋_GB2312" w:hAnsi="仿宋_GB2312" w:eastAsia="仿宋_GB2312" w:cs="仿宋_GB2312"/>
                <w:b/>
                <w:color w:val="auto"/>
                <w:sz w:val="30"/>
                <w:szCs w:val="30"/>
                <w:highlight w:val="none"/>
              </w:rPr>
              <w:t>第一阶段：概念方案设计制作阶段</w:t>
            </w:r>
          </w:p>
        </w:tc>
      </w:tr>
      <w:tr w14:paraId="3969EB3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723" w:type="pct"/>
          </w:tcPr>
          <w:p w14:paraId="4231A4F2">
            <w:pPr>
              <w:numPr>
                <w:ilvl w:val="255"/>
                <w:numId w:val="0"/>
              </w:numP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 xml:space="preserve">1.1                </w:t>
            </w:r>
          </w:p>
        </w:tc>
        <w:tc>
          <w:tcPr>
            <w:tcW w:w="2150" w:type="pct"/>
          </w:tcPr>
          <w:p w14:paraId="69349EFB">
            <w:pPr>
              <w:numPr>
                <w:ilvl w:val="12"/>
                <w:numId w:val="0"/>
              </w:numP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概念方案设计汇报结束并经甲方确认无误后30个工作日内</w:t>
            </w:r>
          </w:p>
        </w:tc>
        <w:tc>
          <w:tcPr>
            <w:tcW w:w="1086" w:type="pct"/>
          </w:tcPr>
          <w:p w14:paraId="64E43A03">
            <w:pPr>
              <w:rPr>
                <w:rFonts w:ascii="仿宋_GB2312" w:hAnsi="仿宋_GB2312" w:eastAsia="仿宋_GB2312" w:cs="仿宋_GB2312"/>
                <w:color w:val="auto"/>
                <w:sz w:val="30"/>
                <w:szCs w:val="30"/>
                <w:highlight w:val="none"/>
              </w:rPr>
            </w:pPr>
          </w:p>
        </w:tc>
        <w:tc>
          <w:tcPr>
            <w:tcW w:w="1039" w:type="pct"/>
          </w:tcPr>
          <w:p w14:paraId="04B54FEF">
            <w:pPr>
              <w:ind w:left="0" w:leftChars="0" w:firstLine="0" w:firstLineChars="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合同暂定含税总价款的</w:t>
            </w:r>
            <w:r>
              <w:rPr>
                <w:rFonts w:ascii="仿宋_GB2312" w:hAnsi="仿宋_GB2312" w:eastAsia="仿宋_GB2312" w:cs="仿宋_GB2312"/>
                <w:color w:val="auto"/>
                <w:sz w:val="30"/>
                <w:szCs w:val="30"/>
                <w:highlight w:val="none"/>
              </w:rPr>
              <w:t>2</w:t>
            </w:r>
            <w:r>
              <w:rPr>
                <w:rFonts w:hint="eastAsia" w:ascii="仿宋_GB2312" w:hAnsi="仿宋_GB2312" w:eastAsia="仿宋_GB2312" w:cs="仿宋_GB2312"/>
                <w:color w:val="auto"/>
                <w:sz w:val="30"/>
                <w:szCs w:val="30"/>
                <w:highlight w:val="none"/>
              </w:rPr>
              <w:t>0%</w:t>
            </w:r>
          </w:p>
        </w:tc>
      </w:tr>
      <w:tr w14:paraId="78D1E3C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5000" w:type="pct"/>
            <w:gridSpan w:val="4"/>
          </w:tcPr>
          <w:p w14:paraId="706B006A">
            <w:pPr>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b/>
                <w:color w:val="auto"/>
                <w:sz w:val="30"/>
                <w:szCs w:val="30"/>
                <w:highlight w:val="none"/>
              </w:rPr>
              <w:t>第二阶段：正式方案及效果图设计（包含深化方案设计及扩初方案设计）制作阶段</w:t>
            </w:r>
          </w:p>
        </w:tc>
      </w:tr>
      <w:tr w14:paraId="1E326DA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723" w:type="pct"/>
          </w:tcPr>
          <w:p w14:paraId="0CF226CB">
            <w:pP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2.1</w:t>
            </w:r>
          </w:p>
        </w:tc>
        <w:tc>
          <w:tcPr>
            <w:tcW w:w="2150" w:type="pct"/>
          </w:tcPr>
          <w:p w14:paraId="08D440BF">
            <w:pPr>
              <w:ind w:left="0" w:leftChars="0" w:firstLine="0" w:firstLineChars="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正式方案及效果图设计（包含深化方案设计及扩初方案设计）经甲方确认无误后30个工作日内</w:t>
            </w:r>
          </w:p>
        </w:tc>
        <w:tc>
          <w:tcPr>
            <w:tcW w:w="1086" w:type="pct"/>
          </w:tcPr>
          <w:p w14:paraId="6B0AD5FC">
            <w:pPr>
              <w:rPr>
                <w:rFonts w:ascii="仿宋_GB2312" w:hAnsi="仿宋_GB2312" w:eastAsia="仿宋_GB2312" w:cs="仿宋_GB2312"/>
                <w:color w:val="auto"/>
                <w:sz w:val="30"/>
                <w:szCs w:val="30"/>
                <w:highlight w:val="none"/>
              </w:rPr>
            </w:pPr>
          </w:p>
        </w:tc>
        <w:tc>
          <w:tcPr>
            <w:tcW w:w="1039" w:type="pct"/>
          </w:tcPr>
          <w:p w14:paraId="2C9550F5">
            <w:pPr>
              <w:ind w:left="0" w:leftChars="0" w:firstLine="0" w:firstLineChars="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合同暂定含税总价款的30%</w:t>
            </w:r>
          </w:p>
        </w:tc>
      </w:tr>
      <w:tr w14:paraId="64C552C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5000" w:type="pct"/>
            <w:gridSpan w:val="4"/>
          </w:tcPr>
          <w:p w14:paraId="60E84959">
            <w:pPr>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b/>
                <w:color w:val="auto"/>
                <w:sz w:val="30"/>
                <w:szCs w:val="30"/>
                <w:highlight w:val="none"/>
              </w:rPr>
              <w:t>第三阶段：施工图设计制作阶段</w:t>
            </w:r>
          </w:p>
        </w:tc>
      </w:tr>
      <w:tr w14:paraId="2E3F018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37" w:hRule="atLeast"/>
        </w:trPr>
        <w:tc>
          <w:tcPr>
            <w:tcW w:w="723" w:type="pct"/>
          </w:tcPr>
          <w:p w14:paraId="77643813">
            <w:pPr>
              <w:numPr>
                <w:ilvl w:val="3"/>
                <w:numId w:val="0"/>
              </w:numP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3.1</w:t>
            </w:r>
          </w:p>
        </w:tc>
        <w:tc>
          <w:tcPr>
            <w:tcW w:w="2150" w:type="pct"/>
          </w:tcPr>
          <w:p w14:paraId="3B4804CD">
            <w:pPr>
              <w:numPr>
                <w:ilvl w:val="12"/>
                <w:numId w:val="0"/>
              </w:numP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最终施工图设计汇报结束并经甲方确认无误后30个工作日内</w:t>
            </w:r>
          </w:p>
        </w:tc>
        <w:tc>
          <w:tcPr>
            <w:tcW w:w="1086" w:type="pct"/>
          </w:tcPr>
          <w:p w14:paraId="542D19B6">
            <w:pPr>
              <w:rPr>
                <w:rFonts w:ascii="仿宋_GB2312" w:hAnsi="仿宋_GB2312" w:eastAsia="仿宋_GB2312" w:cs="仿宋_GB2312"/>
                <w:color w:val="auto"/>
                <w:sz w:val="30"/>
                <w:szCs w:val="30"/>
                <w:highlight w:val="none"/>
              </w:rPr>
            </w:pPr>
          </w:p>
        </w:tc>
        <w:tc>
          <w:tcPr>
            <w:tcW w:w="1039" w:type="pct"/>
          </w:tcPr>
          <w:p w14:paraId="7A6C03D0">
            <w:pPr>
              <w:ind w:left="0" w:leftChars="0" w:firstLine="0" w:firstLineChars="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合同暂定含税总价款的</w:t>
            </w:r>
            <w:r>
              <w:rPr>
                <w:rFonts w:ascii="仿宋_GB2312" w:hAnsi="仿宋_GB2312" w:eastAsia="仿宋_GB2312" w:cs="仿宋_GB2312"/>
                <w:color w:val="auto"/>
                <w:sz w:val="30"/>
                <w:szCs w:val="30"/>
                <w:highlight w:val="none"/>
              </w:rPr>
              <w:t>3</w:t>
            </w:r>
            <w:r>
              <w:rPr>
                <w:rFonts w:hint="eastAsia" w:ascii="仿宋_GB2312" w:hAnsi="仿宋_GB2312" w:eastAsia="仿宋_GB2312" w:cs="仿宋_GB2312"/>
                <w:color w:val="auto"/>
                <w:sz w:val="30"/>
                <w:szCs w:val="30"/>
                <w:highlight w:val="none"/>
              </w:rPr>
              <w:t>0%</w:t>
            </w:r>
          </w:p>
        </w:tc>
      </w:tr>
      <w:tr w14:paraId="518CB05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5000" w:type="pct"/>
            <w:gridSpan w:val="4"/>
          </w:tcPr>
          <w:p w14:paraId="226C2546">
            <w:pPr>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b/>
                <w:color w:val="auto"/>
                <w:sz w:val="30"/>
                <w:szCs w:val="30"/>
                <w:highlight w:val="none"/>
              </w:rPr>
              <w:t>第四阶段 现场技术服务阶段</w:t>
            </w:r>
          </w:p>
        </w:tc>
      </w:tr>
      <w:tr w14:paraId="46B4B2B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200" w:type="dxa"/>
            <w:vAlign w:val="top"/>
          </w:tcPr>
          <w:p w14:paraId="1A99357D">
            <w:pPr>
              <w:numPr>
                <w:ilvl w:val="12"/>
                <w:numId w:val="0"/>
              </w:numPr>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4.2</w:t>
            </w:r>
          </w:p>
        </w:tc>
        <w:tc>
          <w:tcPr>
            <w:tcW w:w="3567" w:type="dxa"/>
            <w:vAlign w:val="top"/>
          </w:tcPr>
          <w:p w14:paraId="28609832">
            <w:pPr>
              <w:numPr>
                <w:ilvl w:val="12"/>
                <w:numId w:val="0"/>
              </w:numPr>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完成施工管理配合，</w:t>
            </w:r>
            <w:r>
              <w:rPr>
                <w:rFonts w:hint="eastAsia" w:ascii="仿宋_GB2312" w:hAnsi="仿宋_GB2312" w:eastAsia="仿宋_GB2312" w:cs="仿宋_GB2312"/>
                <w:color w:val="auto"/>
                <w:sz w:val="30"/>
                <w:szCs w:val="30"/>
                <w:highlight w:val="none"/>
                <w:lang w:val="en-US" w:eastAsia="zh-CN"/>
              </w:rPr>
              <w:t>样板房</w:t>
            </w:r>
            <w:r>
              <w:rPr>
                <w:rFonts w:hint="eastAsia" w:ascii="仿宋_GB2312" w:hAnsi="仿宋_GB2312" w:eastAsia="仿宋_GB2312" w:cs="仿宋_GB2312"/>
                <w:color w:val="auto"/>
                <w:sz w:val="30"/>
                <w:szCs w:val="30"/>
                <w:highlight w:val="none"/>
              </w:rPr>
              <w:t>工程完成竣工验收</w:t>
            </w:r>
            <w:r>
              <w:rPr>
                <w:rFonts w:hint="eastAsia" w:ascii="仿宋_GB2312" w:hAnsi="仿宋_GB2312" w:eastAsia="仿宋_GB2312" w:cs="仿宋_GB2312"/>
                <w:color w:val="auto"/>
                <w:sz w:val="30"/>
                <w:szCs w:val="30"/>
                <w:highlight w:val="none"/>
                <w:lang w:val="en-US" w:eastAsia="zh-CN"/>
              </w:rPr>
              <w:t>后</w:t>
            </w:r>
            <w:r>
              <w:rPr>
                <w:rFonts w:hint="eastAsia" w:ascii="仿宋_GB2312" w:hAnsi="仿宋_GB2312" w:eastAsia="仿宋_GB2312" w:cs="仿宋_GB2312"/>
                <w:color w:val="auto"/>
                <w:sz w:val="30"/>
                <w:szCs w:val="30"/>
                <w:highlight w:val="none"/>
                <w:lang w:eastAsia="zh-CN"/>
              </w:rPr>
              <w:t>，</w:t>
            </w:r>
            <w:r>
              <w:rPr>
                <w:rFonts w:hint="eastAsia" w:ascii="仿宋_GB2312" w:hAnsi="仿宋_GB2312" w:eastAsia="仿宋_GB2312" w:cs="仿宋_GB2312"/>
                <w:color w:val="auto"/>
                <w:sz w:val="30"/>
                <w:szCs w:val="30"/>
                <w:highlight w:val="none"/>
              </w:rPr>
              <w:t>配合甲方完成结算，完成甲方组织的设计项目后评估并提交复盘文件后</w:t>
            </w:r>
          </w:p>
        </w:tc>
        <w:tc>
          <w:tcPr>
            <w:tcW w:w="1802" w:type="dxa"/>
            <w:vAlign w:val="top"/>
          </w:tcPr>
          <w:p w14:paraId="2D0949AF">
            <w:pPr>
              <w:numPr>
                <w:ilvl w:val="12"/>
                <w:numId w:val="0"/>
              </w:numPr>
              <w:rPr>
                <w:rFonts w:hint="eastAsia" w:ascii="仿宋_GB2312" w:hAnsi="仿宋_GB2312" w:eastAsia="仿宋_GB2312" w:cs="仿宋_GB2312"/>
                <w:color w:val="auto"/>
                <w:sz w:val="30"/>
                <w:szCs w:val="30"/>
                <w:highlight w:val="none"/>
              </w:rPr>
            </w:pPr>
          </w:p>
        </w:tc>
        <w:tc>
          <w:tcPr>
            <w:tcW w:w="1724" w:type="dxa"/>
            <w:vAlign w:val="top"/>
          </w:tcPr>
          <w:p w14:paraId="48E5FED9">
            <w:pPr>
              <w:numPr>
                <w:ilvl w:val="12"/>
                <w:numId w:val="0"/>
              </w:numPr>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按本合同结算金额支付余款</w:t>
            </w:r>
          </w:p>
        </w:tc>
      </w:tr>
    </w:tbl>
    <w:p w14:paraId="22F0C295">
      <w:pPr>
        <w:adjustRightInd w:val="0"/>
        <w:snapToGrid w:val="0"/>
        <w:spacing w:line="360" w:lineRule="auto"/>
        <w:ind w:left="11" w:firstLine="600"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 xml:space="preserve">2.2乙方应在每次付款期限前三日将与付款金额等额的合法增值税专用发票( </w:t>
      </w:r>
      <w:sdt>
        <w:sdtPr>
          <w:rPr>
            <w:rFonts w:hint="eastAsia" w:ascii="仿宋_GB2312" w:hAnsi="仿宋_GB2312" w:eastAsia="仿宋_GB2312" w:cs="仿宋_GB2312"/>
            <w:color w:val="auto"/>
            <w:sz w:val="30"/>
            <w:szCs w:val="30"/>
            <w:highlight w:val="none"/>
          </w:rPr>
          <w:id w:val="37611229"/>
          <w:placeholder>
            <w:docPart w:val="{f676e692-f796-4a8e-b7d0-c12a56202204}"/>
          </w:placeholder>
        </w:sdtPr>
        <w:sdtEndPr>
          <w:rPr>
            <w:rFonts w:hint="eastAsia" w:ascii="仿宋_GB2312" w:hAnsi="仿宋_GB2312" w:eastAsia="仿宋_GB2312" w:cs="仿宋_GB2312"/>
            <w:color w:val="auto"/>
            <w:sz w:val="30"/>
            <w:szCs w:val="30"/>
            <w:highlight w:val="none"/>
          </w:rPr>
        </w:sdtEndPr>
        <w:sdtContent>
          <w:sdt>
            <w:sdtPr>
              <w:rPr>
                <w:rFonts w:hint="eastAsia" w:ascii="仿宋_GB2312" w:hAnsi="仿宋_GB2312" w:eastAsia="仿宋_GB2312" w:cs="仿宋_GB2312"/>
                <w:color w:val="auto"/>
                <w:sz w:val="30"/>
                <w:szCs w:val="30"/>
                <w:highlight w:val="none"/>
              </w:rPr>
              <w:id w:val="147482884"/>
              <w:placeholder>
                <w:docPart w:val="{7c879d45-312f-4fa2-845f-79e9d4bb6d85}"/>
              </w:placeholder>
            </w:sdtPr>
            <w:sdtEndPr>
              <w:rPr>
                <w:rFonts w:hint="eastAsia" w:ascii="仿宋_GB2312" w:hAnsi="仿宋_GB2312" w:eastAsia="仿宋_GB2312" w:cs="仿宋_GB2312"/>
                <w:color w:val="auto"/>
                <w:sz w:val="30"/>
                <w:szCs w:val="30"/>
                <w:highlight w:val="none"/>
              </w:rPr>
            </w:sdtEndPr>
            <w:sdtContent>
              <w:r>
                <w:rPr>
                  <w:rFonts w:hint="eastAsia" w:ascii="仿宋_GB2312" w:hAnsi="仿宋_GB2312" w:eastAsia="仿宋_GB2312" w:cs="仿宋_GB2312"/>
                  <w:color w:val="auto"/>
                  <w:sz w:val="30"/>
                  <w:szCs w:val="30"/>
                  <w:highlight w:val="none"/>
                  <w:u w:val="single"/>
                </w:rPr>
                <w:t xml:space="preserve">   %</w:t>
              </w:r>
            </w:sdtContent>
          </w:sdt>
        </w:sdtContent>
      </w:sdt>
      <w:r>
        <w:rPr>
          <w:rFonts w:ascii="仿宋_GB2312" w:hAnsi="仿宋_GB2312" w:eastAsia="仿宋_GB2312" w:cs="仿宋_GB2312"/>
          <w:color w:val="auto"/>
          <w:sz w:val="30"/>
          <w:szCs w:val="30"/>
          <w:highlight w:val="none"/>
        </w:rPr>
        <w:t>税率)提供给甲方，否则甲方有权拒绝付款且无需承担违约责任，乙方不得因此要求解除合同。</w:t>
      </w:r>
    </w:p>
    <w:p w14:paraId="724C6CBA">
      <w:pPr>
        <w:adjustRightInd w:val="0"/>
        <w:snapToGrid w:val="0"/>
        <w:spacing w:line="360" w:lineRule="auto"/>
        <w:ind w:left="11" w:firstLine="600"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2.3 甲方书面确认每个阶段性的设计成果,并支付该阶段设计费用后,乙方开始下阶段工作。乙方未收到上阶段设计费用前，有权暂停下阶段工作,当期设计成果的提交时间相应顺延，但应提前书面通知甲方。</w:t>
      </w:r>
    </w:p>
    <w:p w14:paraId="4743DCF8">
      <w:pPr>
        <w:adjustRightInd w:val="0"/>
        <w:snapToGrid w:val="0"/>
        <w:spacing w:line="360" w:lineRule="auto"/>
        <w:ind w:left="11" w:firstLine="600" w:firstLineChars="200"/>
        <w:rPr>
          <w:rFonts w:ascii="仿宋_GB2312" w:eastAsia="仿宋_GB2312" w:hAnsiTheme="minorEastAsia"/>
          <w:color w:val="auto"/>
          <w:sz w:val="28"/>
          <w:szCs w:val="28"/>
          <w:highlight w:val="none"/>
        </w:rPr>
      </w:pPr>
      <w:r>
        <w:rPr>
          <w:rFonts w:ascii="仿宋_GB2312" w:hAnsi="仿宋_GB2312" w:eastAsia="仿宋_GB2312" w:cs="仿宋_GB2312"/>
          <w:color w:val="auto"/>
          <w:sz w:val="30"/>
          <w:szCs w:val="30"/>
          <w:highlight w:val="none"/>
        </w:rPr>
        <w:t>2.4 在本合同履行过程中，若设计范围内对不同区域、设计内容之设计进度不一致，甲方要求乙方分批出图的，甲方应根据乙方每批完成的设计面积与相应的综合单价，按本合同约定的比例支付设计费。</w:t>
      </w:r>
    </w:p>
    <w:p w14:paraId="6A042055">
      <w:pPr>
        <w:pStyle w:val="35"/>
        <w:ind w:left="63" w:right="63" w:firstLine="210"/>
        <w:rPr>
          <w:color w:val="auto"/>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bookmarkEnd w:id="1441"/>
    <w:p w14:paraId="4E2F8F5D">
      <w:pPr>
        <w:pStyle w:val="7"/>
        <w:ind w:firstLine="590"/>
        <w:rPr>
          <w:rFonts w:ascii="仿宋_GB2312" w:hAnsi="仿宋_GB2312" w:eastAsia="仿宋_GB2312" w:cs="仿宋_GB2312"/>
          <w:color w:val="auto"/>
          <w:sz w:val="30"/>
          <w:szCs w:val="30"/>
          <w:highlight w:val="none"/>
        </w:rPr>
      </w:pPr>
      <w:bookmarkStart w:id="1446" w:name="_Toc18171"/>
      <w:bookmarkStart w:id="1447" w:name="_Toc32601"/>
      <w:bookmarkStart w:id="1448" w:name="_Toc28299"/>
      <w:bookmarkStart w:id="1449" w:name="_Toc421068073"/>
      <w:bookmarkStart w:id="1450" w:name="_Toc447373902"/>
      <w:bookmarkStart w:id="1451" w:name="_Toc267261701"/>
      <w:r>
        <w:rPr>
          <w:rFonts w:hint="eastAsia" w:ascii="仿宋_GB2312" w:hAnsi="仿宋_GB2312" w:eastAsia="仿宋_GB2312" w:cs="仿宋_GB2312"/>
          <w:bCs/>
          <w:color w:val="auto"/>
          <w:spacing w:val="-3"/>
          <w:sz w:val="30"/>
          <w:szCs w:val="30"/>
          <w:highlight w:val="none"/>
        </w:rPr>
        <w:t>附件7-7：</w:t>
      </w:r>
      <w:r>
        <w:rPr>
          <w:rFonts w:hint="eastAsia" w:ascii="仿宋_GB2312" w:hAnsi="仿宋_GB2312" w:eastAsia="仿宋_GB2312" w:cs="仿宋_GB2312"/>
          <w:color w:val="auto"/>
          <w:spacing w:val="-3"/>
          <w:sz w:val="30"/>
          <w:szCs w:val="30"/>
          <w:highlight w:val="none"/>
        </w:rPr>
        <w:t xml:space="preserve"> 设计变更计费依据和方法</w:t>
      </w:r>
      <w:bookmarkEnd w:id="1446"/>
      <w:bookmarkEnd w:id="1447"/>
      <w:bookmarkEnd w:id="1448"/>
    </w:p>
    <w:p w14:paraId="7663AA0E">
      <w:pPr>
        <w:spacing w:line="360" w:lineRule="auto"/>
        <w:ind w:firstLine="200"/>
        <w:jc w:val="center"/>
        <w:rPr>
          <w:rFonts w:ascii="仿宋_GB2312" w:hAnsi="仿宋_GB2312" w:eastAsia="仿宋_GB2312" w:cs="仿宋_GB2312"/>
          <w:color w:val="auto"/>
          <w:spacing w:val="1"/>
          <w:sz w:val="30"/>
          <w:szCs w:val="30"/>
          <w:highlight w:val="none"/>
        </w:rPr>
      </w:pPr>
      <w:r>
        <w:rPr>
          <w:rFonts w:ascii="Times New Roman" w:hAnsi="Times New Roman"/>
          <w:color w:val="auto"/>
          <w:szCs w:val="21"/>
          <w:highlight w:val="none"/>
        </w:rPr>
        <w:t xml:space="preserve"> </w:t>
      </w:r>
      <w:r>
        <w:rPr>
          <w:rFonts w:ascii="仿宋_GB2312" w:hAnsi="仿宋_GB2312" w:eastAsia="仿宋_GB2312" w:cs="仿宋_GB2312"/>
          <w:i/>
          <w:iCs/>
          <w:color w:val="auto"/>
          <w:spacing w:val="-15"/>
          <w:sz w:val="30"/>
          <w:szCs w:val="30"/>
          <w:highlight w:val="none"/>
        </w:rPr>
        <w:t>注：适用于</w:t>
      </w:r>
      <w:r>
        <w:rPr>
          <w:rFonts w:hint="eastAsia" w:ascii="仿宋_GB2312" w:hAnsi="仿宋_GB2312" w:eastAsia="仿宋_GB2312" w:cs="仿宋_GB2312"/>
          <w:i/>
          <w:iCs/>
          <w:color w:val="auto"/>
          <w:spacing w:val="-15"/>
          <w:sz w:val="30"/>
          <w:szCs w:val="30"/>
          <w:highlight w:val="none"/>
        </w:rPr>
        <w:t>装修</w:t>
      </w:r>
      <w:r>
        <w:rPr>
          <w:rFonts w:ascii="仿宋_GB2312" w:hAnsi="仿宋_GB2312" w:eastAsia="仿宋_GB2312" w:cs="仿宋_GB2312"/>
          <w:i/>
          <w:iCs/>
          <w:color w:val="auto"/>
          <w:spacing w:val="-15"/>
          <w:sz w:val="30"/>
          <w:szCs w:val="30"/>
          <w:highlight w:val="none"/>
        </w:rPr>
        <w:t>设计</w:t>
      </w:r>
    </w:p>
    <w:p w14:paraId="122E0315">
      <w:pPr>
        <w:adjustRightInd w:val="0"/>
        <w:snapToGrid w:val="0"/>
        <w:spacing w:line="360" w:lineRule="auto"/>
        <w:ind w:left="9" w:firstLine="742" w:firstLineChars="246"/>
        <w:rPr>
          <w:rFonts w:hint="eastAsia" w:ascii="仿宋_GB2312" w:hAnsi="仿宋_GB2312" w:eastAsia="仿宋_GB2312" w:cs="仿宋_GB2312"/>
          <w:color w:val="auto"/>
          <w:spacing w:val="1"/>
          <w:sz w:val="30"/>
          <w:szCs w:val="30"/>
          <w:highlight w:val="none"/>
        </w:rPr>
      </w:pPr>
    </w:p>
    <w:p w14:paraId="3FC0EDE6">
      <w:pPr>
        <w:adjustRightInd w:val="0"/>
        <w:snapToGrid w:val="0"/>
        <w:spacing w:line="360" w:lineRule="auto"/>
        <w:ind w:left="9" w:firstLine="742" w:firstLineChars="246"/>
        <w:rPr>
          <w:rFonts w:ascii="仿宋_GB2312" w:hAnsi="仿宋_GB2312" w:eastAsia="仿宋_GB2312" w:cs="仿宋_GB2312"/>
          <w:color w:val="auto"/>
          <w:spacing w:val="1"/>
          <w:sz w:val="30"/>
          <w:szCs w:val="30"/>
          <w:highlight w:val="none"/>
        </w:rPr>
      </w:pPr>
      <w:r>
        <w:rPr>
          <w:rFonts w:hint="eastAsia" w:ascii="仿宋_GB2312" w:hAnsi="仿宋_GB2312" w:eastAsia="仿宋_GB2312" w:cs="仿宋_GB2312"/>
          <w:color w:val="auto"/>
          <w:spacing w:val="1"/>
          <w:sz w:val="30"/>
          <w:szCs w:val="30"/>
          <w:highlight w:val="none"/>
        </w:rPr>
        <w:t>如甲方提出变更或方案修改，调整比例未超过30%的，相应的费用已含在合同总价内，甲方无需支付修改费用；如调整比例超过30%但未达50%的，按该调整所对应设计阶段的合同费用的15%补偿；如方案调整比例达到50%及以上的，按该调整所对应设计阶段的合同费用的30%补偿；具体内容双方另行签订补充协议予以确认。</w:t>
      </w:r>
    </w:p>
    <w:p w14:paraId="42401186">
      <w:pPr>
        <w:pStyle w:val="78"/>
        <w:spacing w:line="360" w:lineRule="auto"/>
        <w:ind w:firstLine="200"/>
        <w:rPr>
          <w:rFonts w:ascii="仿宋_GB2312" w:hAnsi="仿宋_GB2312" w:eastAsia="仿宋_GB2312" w:cs="仿宋_GB2312"/>
          <w:color w:val="auto"/>
          <w:spacing w:val="1"/>
          <w:sz w:val="30"/>
          <w:szCs w:val="30"/>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44BEFF49">
      <w:pPr>
        <w:pStyle w:val="7"/>
        <w:ind w:firstLine="602"/>
        <w:rPr>
          <w:rFonts w:ascii="仿宋_GB2312" w:hAnsi="仿宋_GB2312" w:eastAsia="仿宋_GB2312" w:cs="仿宋_GB2312"/>
          <w:color w:val="auto"/>
          <w:sz w:val="30"/>
          <w:szCs w:val="30"/>
          <w:highlight w:val="none"/>
        </w:rPr>
      </w:pPr>
      <w:bookmarkStart w:id="1452" w:name="_Toc16242"/>
      <w:bookmarkStart w:id="1453" w:name="_Toc24831"/>
      <w:bookmarkStart w:id="1454" w:name="_Toc10027"/>
      <w:bookmarkStart w:id="1455" w:name="_Toc17471"/>
      <w:bookmarkStart w:id="1456" w:name="_Toc20592"/>
      <w:r>
        <w:rPr>
          <w:rFonts w:hint="eastAsia" w:ascii="仿宋_GB2312" w:hAnsi="仿宋_GB2312" w:eastAsia="仿宋_GB2312" w:cs="仿宋_GB2312"/>
          <w:color w:val="auto"/>
          <w:sz w:val="30"/>
          <w:szCs w:val="30"/>
          <w:highlight w:val="none"/>
        </w:rPr>
        <w:t>附件8：履约</w:t>
      </w:r>
      <w:bookmarkEnd w:id="1449"/>
      <w:bookmarkEnd w:id="1450"/>
      <w:bookmarkEnd w:id="1452"/>
      <w:bookmarkEnd w:id="1453"/>
      <w:bookmarkEnd w:id="1454"/>
      <w:bookmarkEnd w:id="1455"/>
      <w:r>
        <w:rPr>
          <w:rFonts w:hint="eastAsia" w:ascii="仿宋_GB2312" w:hAnsi="仿宋_GB2312" w:eastAsia="仿宋_GB2312" w:cs="仿宋_GB2312"/>
          <w:color w:val="auto"/>
          <w:sz w:val="30"/>
          <w:szCs w:val="30"/>
          <w:highlight w:val="none"/>
        </w:rPr>
        <w:t>担保（参考格式）（如有）</w:t>
      </w:r>
      <w:bookmarkEnd w:id="1456"/>
    </w:p>
    <w:p w14:paraId="6FE702F0">
      <w:pPr>
        <w:rPr>
          <w:rFonts w:ascii="仿宋_GB2312" w:hAnsi="仿宋_GB2312" w:eastAsia="仿宋_GB2312" w:cs="仿宋_GB2312"/>
          <w:color w:val="auto"/>
          <w:sz w:val="30"/>
          <w:szCs w:val="30"/>
          <w:highlight w:val="none"/>
        </w:rPr>
      </w:pPr>
    </w:p>
    <w:p w14:paraId="5A31D982">
      <w:pPr>
        <w:pStyle w:val="78"/>
        <w:spacing w:before="156" w:beforeLines="50" w:after="156" w:afterLines="50" w:line="440" w:lineRule="exact"/>
        <w:jc w:val="center"/>
        <w:rPr>
          <w:color w:val="auto"/>
          <w:sz w:val="30"/>
          <w:szCs w:val="30"/>
          <w:highlight w:val="none"/>
        </w:rPr>
      </w:pPr>
      <w:r>
        <w:rPr>
          <w:b/>
          <w:bCs/>
          <w:color w:val="auto"/>
          <w:sz w:val="30"/>
          <w:szCs w:val="30"/>
          <w:highlight w:val="none"/>
        </w:rPr>
        <w:t>履约担保</w:t>
      </w:r>
    </w:p>
    <w:p w14:paraId="1448AA86">
      <w:pPr>
        <w:pStyle w:val="78"/>
        <w:spacing w:line="360" w:lineRule="auto"/>
        <w:rPr>
          <w:color w:val="auto"/>
          <w:highlight w:val="none"/>
          <w:u w:val="single"/>
        </w:rPr>
      </w:pPr>
    </w:p>
    <w:p w14:paraId="6C1C8329">
      <w:pPr>
        <w:pStyle w:val="78"/>
        <w:spacing w:line="360" w:lineRule="auto"/>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（发包人名称）：</w:t>
      </w:r>
    </w:p>
    <w:p w14:paraId="301D067A">
      <w:pPr>
        <w:pStyle w:val="78"/>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鉴于</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（发包人名称，以下简称“发包人”）</w:t>
      </w:r>
      <w:r>
        <w:rPr>
          <w:rFonts w:ascii="仿宋_GB2312" w:hAnsi="仿宋_GB2312" w:eastAsia="仿宋_GB2312" w:cs="仿宋_GB2312"/>
          <w:color w:val="auto"/>
          <w:sz w:val="30"/>
          <w:szCs w:val="30"/>
          <w:highlight w:val="none"/>
        </w:rPr>
        <w:t xml:space="preserve"> </w:t>
      </w:r>
      <w:r>
        <w:rPr>
          <w:rFonts w:hint="eastAsia" w:ascii="仿宋_GB2312" w:hAnsi="仿宋_GB2312" w:eastAsia="仿宋_GB2312" w:cs="仿宋_GB2312"/>
          <w:color w:val="auto"/>
          <w:sz w:val="30"/>
          <w:szCs w:val="30"/>
          <w:highlight w:val="none"/>
        </w:rPr>
        <w:t>已于</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年</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月</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日发放中标通知书，明确</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（设计人名称）（以下称“设计人”）于</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年</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月</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日为</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（工程名称）的中标人。我方愿意无条件地、不可撤销地就设计人履行与你方签订的合同，向你方提供连带责任担保。</w:t>
      </w:r>
      <w:r>
        <w:rPr>
          <w:rFonts w:ascii="仿宋_GB2312" w:hAnsi="仿宋_GB2312" w:eastAsia="仿宋_GB2312" w:cs="仿宋_GB2312"/>
          <w:color w:val="auto"/>
          <w:sz w:val="30"/>
          <w:szCs w:val="30"/>
          <w:highlight w:val="none"/>
        </w:rPr>
        <w:t xml:space="preserve"> </w:t>
      </w:r>
    </w:p>
    <w:p w14:paraId="4567A5A3">
      <w:pPr>
        <w:pStyle w:val="78"/>
        <w:spacing w:line="360" w:lineRule="auto"/>
        <w:ind w:firstLine="600"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 xml:space="preserve">1. </w:t>
      </w:r>
      <w:r>
        <w:rPr>
          <w:rFonts w:hint="eastAsia" w:ascii="仿宋_GB2312" w:hAnsi="仿宋_GB2312" w:eastAsia="仿宋_GB2312" w:cs="仿宋_GB2312"/>
          <w:color w:val="auto"/>
          <w:sz w:val="30"/>
          <w:szCs w:val="30"/>
          <w:highlight w:val="none"/>
        </w:rPr>
        <w:t>担保金额人民币（大写）</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元（¥</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w:t>
      </w:r>
    </w:p>
    <w:p w14:paraId="442D2C9D">
      <w:pPr>
        <w:pStyle w:val="78"/>
        <w:spacing w:line="360" w:lineRule="auto"/>
        <w:ind w:firstLine="600"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 xml:space="preserve">2. </w:t>
      </w:r>
      <w:r>
        <w:rPr>
          <w:rFonts w:hint="eastAsia" w:ascii="仿宋_GB2312" w:hAnsi="仿宋_GB2312" w:eastAsia="仿宋_GB2312" w:cs="仿宋_GB2312"/>
          <w:color w:val="auto"/>
          <w:sz w:val="30"/>
          <w:szCs w:val="30"/>
          <w:highlight w:val="none"/>
        </w:rPr>
        <w:t>担保有效期自你方与设计人签订的合同生效之日起至</w:t>
      </w:r>
      <w:r>
        <w:rPr>
          <w:rFonts w:hint="eastAsia"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之日止。</w:t>
      </w:r>
    </w:p>
    <w:p w14:paraId="0D3B019D">
      <w:pPr>
        <w:pStyle w:val="78"/>
        <w:spacing w:line="360" w:lineRule="auto"/>
        <w:ind w:firstLine="600"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 xml:space="preserve">3. </w:t>
      </w:r>
      <w:r>
        <w:rPr>
          <w:rFonts w:hint="eastAsia" w:ascii="仿宋_GB2312" w:hAnsi="仿宋_GB2312" w:eastAsia="仿宋_GB2312" w:cs="仿宋_GB2312"/>
          <w:color w:val="auto"/>
          <w:sz w:val="30"/>
          <w:szCs w:val="30"/>
          <w:highlight w:val="none"/>
        </w:rPr>
        <w:t>在本担保有效期内，因设计人违反合同约定的义务给你方造成经济损失时，我方在收到你方以书面形式提出的在担保金额内的赔偿要求后，在</w:t>
      </w:r>
      <w:r>
        <w:rPr>
          <w:rFonts w:ascii="仿宋_GB2312" w:hAnsi="仿宋_GB2312" w:eastAsia="仿宋_GB2312" w:cs="仿宋_GB2312"/>
          <w:color w:val="auto"/>
          <w:sz w:val="30"/>
          <w:szCs w:val="30"/>
          <w:highlight w:val="none"/>
        </w:rPr>
        <w:t>7</w:t>
      </w:r>
      <w:r>
        <w:rPr>
          <w:rFonts w:hint="eastAsia" w:ascii="仿宋_GB2312" w:hAnsi="仿宋_GB2312" w:eastAsia="仿宋_GB2312" w:cs="仿宋_GB2312"/>
          <w:color w:val="auto"/>
          <w:sz w:val="30"/>
          <w:szCs w:val="30"/>
          <w:highlight w:val="none"/>
        </w:rPr>
        <w:t>天内无条件支付。</w:t>
      </w:r>
    </w:p>
    <w:p w14:paraId="112616EB">
      <w:pPr>
        <w:pStyle w:val="78"/>
        <w:spacing w:line="360" w:lineRule="auto"/>
        <w:ind w:firstLine="600"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 xml:space="preserve">4. </w:t>
      </w:r>
      <w:r>
        <w:rPr>
          <w:rFonts w:hint="eastAsia" w:ascii="仿宋_GB2312" w:hAnsi="仿宋_GB2312" w:eastAsia="仿宋_GB2312" w:cs="仿宋_GB2312"/>
          <w:color w:val="auto"/>
          <w:sz w:val="30"/>
          <w:szCs w:val="30"/>
          <w:highlight w:val="none"/>
        </w:rPr>
        <w:t>你方和设计人按合同约定变更合同时，我方承担本担保规定的义务不变。</w:t>
      </w:r>
    </w:p>
    <w:p w14:paraId="08F9ABCF">
      <w:pPr>
        <w:pStyle w:val="78"/>
        <w:spacing w:line="360" w:lineRule="auto"/>
        <w:ind w:firstLine="600"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 xml:space="preserve">5. </w:t>
      </w:r>
      <w:r>
        <w:rPr>
          <w:rFonts w:hint="eastAsia" w:ascii="仿宋_GB2312" w:hAnsi="仿宋_GB2312" w:eastAsia="仿宋_GB2312" w:cs="仿宋_GB2312"/>
          <w:color w:val="auto"/>
          <w:sz w:val="30"/>
          <w:szCs w:val="30"/>
          <w:highlight w:val="none"/>
        </w:rPr>
        <w:t>因本保函发生的纠纷，可由双方协商解决，协商不成的，任何一方均可向项目所在地人民法院提起诉讼。</w:t>
      </w:r>
    </w:p>
    <w:p w14:paraId="2C5E58AB">
      <w:pPr>
        <w:pStyle w:val="78"/>
        <w:spacing w:line="360" w:lineRule="auto"/>
        <w:ind w:firstLine="600"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 xml:space="preserve">6. </w:t>
      </w:r>
      <w:r>
        <w:rPr>
          <w:rFonts w:hint="eastAsia" w:ascii="仿宋_GB2312" w:hAnsi="仿宋_GB2312" w:eastAsia="仿宋_GB2312" w:cs="仿宋_GB2312"/>
          <w:color w:val="auto"/>
          <w:sz w:val="30"/>
          <w:szCs w:val="30"/>
          <w:highlight w:val="none"/>
        </w:rPr>
        <w:t>本保函自我方法定代表人（或其授权代理人）签字并加盖公章之日起生效。</w:t>
      </w:r>
    </w:p>
    <w:p w14:paraId="2F0F72C1">
      <w:pPr>
        <w:pStyle w:val="78"/>
        <w:spacing w:line="360" w:lineRule="auto"/>
        <w:ind w:firstLine="600" w:firstLineChars="200"/>
        <w:rPr>
          <w:rFonts w:ascii="仿宋_GB2312" w:hAnsi="仿宋_GB2312" w:eastAsia="仿宋_GB2312" w:cs="仿宋_GB2312"/>
          <w:color w:val="auto"/>
          <w:sz w:val="30"/>
          <w:szCs w:val="30"/>
          <w:highlight w:val="none"/>
        </w:rPr>
      </w:pPr>
    </w:p>
    <w:p w14:paraId="7D5742B6">
      <w:pPr>
        <w:pStyle w:val="78"/>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担</w:t>
      </w:r>
      <w:r>
        <w:rPr>
          <w:rFonts w:ascii="仿宋_GB2312" w:hAnsi="仿宋_GB2312" w:eastAsia="仿宋_GB2312" w:cs="仿宋_GB2312"/>
          <w:color w:val="auto"/>
          <w:sz w:val="30"/>
          <w:szCs w:val="30"/>
          <w:highlight w:val="none"/>
        </w:rPr>
        <w:t xml:space="preserve"> </w:t>
      </w:r>
      <w:r>
        <w:rPr>
          <w:rFonts w:hint="eastAsia" w:ascii="仿宋_GB2312" w:hAnsi="仿宋_GB2312" w:eastAsia="仿宋_GB2312" w:cs="仿宋_GB2312"/>
          <w:color w:val="auto"/>
          <w:sz w:val="30"/>
          <w:szCs w:val="30"/>
          <w:highlight w:val="none"/>
        </w:rPr>
        <w:t>保</w:t>
      </w:r>
      <w:r>
        <w:rPr>
          <w:rFonts w:ascii="仿宋_GB2312" w:hAnsi="仿宋_GB2312" w:eastAsia="仿宋_GB2312" w:cs="仿宋_GB2312"/>
          <w:color w:val="auto"/>
          <w:sz w:val="30"/>
          <w:szCs w:val="30"/>
          <w:highlight w:val="none"/>
        </w:rPr>
        <w:t xml:space="preserve"> </w:t>
      </w:r>
      <w:r>
        <w:rPr>
          <w:rFonts w:hint="eastAsia" w:ascii="仿宋_GB2312" w:hAnsi="仿宋_GB2312" w:eastAsia="仿宋_GB2312" w:cs="仿宋_GB2312"/>
          <w:color w:val="auto"/>
          <w:sz w:val="30"/>
          <w:szCs w:val="30"/>
          <w:highlight w:val="none"/>
        </w:rPr>
        <w:t>人：</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（盖单位章）</w:t>
      </w:r>
    </w:p>
    <w:p w14:paraId="53A0D8CF">
      <w:pPr>
        <w:pStyle w:val="78"/>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法定代表人或其委托代理人：</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（签字）</w:t>
      </w:r>
    </w:p>
    <w:p w14:paraId="0263CDDE">
      <w:pPr>
        <w:pStyle w:val="78"/>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地</w:t>
      </w:r>
      <w:r>
        <w:rPr>
          <w:rFonts w:ascii="仿宋_GB2312" w:hAnsi="仿宋_GB2312" w:eastAsia="仿宋_GB2312" w:cs="仿宋_GB2312"/>
          <w:color w:val="auto"/>
          <w:sz w:val="30"/>
          <w:szCs w:val="30"/>
          <w:highlight w:val="none"/>
        </w:rPr>
        <w:t xml:space="preserve">    </w:t>
      </w:r>
      <w:r>
        <w:rPr>
          <w:rFonts w:hint="eastAsia" w:ascii="仿宋_GB2312" w:hAnsi="仿宋_GB2312" w:eastAsia="仿宋_GB2312" w:cs="仿宋_GB2312"/>
          <w:color w:val="auto"/>
          <w:sz w:val="30"/>
          <w:szCs w:val="30"/>
          <w:highlight w:val="none"/>
        </w:rPr>
        <w:t>址：</w:t>
      </w:r>
      <w:r>
        <w:rPr>
          <w:rFonts w:ascii="仿宋_GB2312" w:hAnsi="仿宋_GB2312" w:eastAsia="仿宋_GB2312" w:cs="仿宋_GB2312"/>
          <w:color w:val="auto"/>
          <w:sz w:val="30"/>
          <w:szCs w:val="30"/>
          <w:highlight w:val="none"/>
          <w:u w:val="single"/>
        </w:rPr>
        <w:t xml:space="preserve">                                      </w:t>
      </w:r>
    </w:p>
    <w:p w14:paraId="7F84F031">
      <w:pPr>
        <w:pStyle w:val="78"/>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邮政编码：</w:t>
      </w:r>
      <w:r>
        <w:rPr>
          <w:rFonts w:ascii="仿宋_GB2312" w:hAnsi="仿宋_GB2312" w:eastAsia="仿宋_GB2312" w:cs="仿宋_GB2312"/>
          <w:color w:val="auto"/>
          <w:sz w:val="30"/>
          <w:szCs w:val="30"/>
          <w:highlight w:val="none"/>
          <w:u w:val="single"/>
        </w:rPr>
        <w:t xml:space="preserve">                                      </w:t>
      </w:r>
    </w:p>
    <w:p w14:paraId="3926744F">
      <w:pPr>
        <w:pStyle w:val="78"/>
        <w:spacing w:line="360" w:lineRule="auto"/>
        <w:ind w:firstLine="600" w:firstLineChars="200"/>
        <w:rPr>
          <w:rFonts w:ascii="仿宋_GB2312" w:hAnsi="仿宋_GB2312" w:eastAsia="仿宋_GB2312" w:cs="仿宋_GB2312"/>
          <w:color w:val="auto"/>
          <w:sz w:val="30"/>
          <w:szCs w:val="30"/>
          <w:highlight w:val="none"/>
          <w:u w:val="single"/>
        </w:rPr>
      </w:pPr>
      <w:r>
        <w:rPr>
          <w:rFonts w:hint="eastAsia" w:ascii="仿宋_GB2312" w:hAnsi="仿宋_GB2312" w:eastAsia="仿宋_GB2312" w:cs="仿宋_GB2312"/>
          <w:color w:val="auto"/>
          <w:sz w:val="30"/>
          <w:szCs w:val="30"/>
          <w:highlight w:val="none"/>
        </w:rPr>
        <w:t>电</w:t>
      </w:r>
      <w:r>
        <w:rPr>
          <w:rFonts w:ascii="仿宋_GB2312" w:hAnsi="仿宋_GB2312" w:eastAsia="仿宋_GB2312" w:cs="仿宋_GB2312"/>
          <w:color w:val="auto"/>
          <w:sz w:val="30"/>
          <w:szCs w:val="30"/>
          <w:highlight w:val="none"/>
        </w:rPr>
        <w:t xml:space="preserve">    </w:t>
      </w:r>
      <w:r>
        <w:rPr>
          <w:rFonts w:hint="eastAsia" w:ascii="仿宋_GB2312" w:hAnsi="仿宋_GB2312" w:eastAsia="仿宋_GB2312" w:cs="仿宋_GB2312"/>
          <w:color w:val="auto"/>
          <w:sz w:val="30"/>
          <w:szCs w:val="30"/>
          <w:highlight w:val="none"/>
        </w:rPr>
        <w:t>话：</w:t>
      </w:r>
      <w:r>
        <w:rPr>
          <w:rFonts w:ascii="仿宋_GB2312" w:hAnsi="仿宋_GB2312" w:eastAsia="仿宋_GB2312" w:cs="仿宋_GB2312"/>
          <w:color w:val="auto"/>
          <w:sz w:val="30"/>
          <w:szCs w:val="30"/>
          <w:highlight w:val="none"/>
          <w:u w:val="single"/>
        </w:rPr>
        <w:t xml:space="preserve">                                      </w:t>
      </w:r>
    </w:p>
    <w:p w14:paraId="4AF29FF6">
      <w:pPr>
        <w:pStyle w:val="78"/>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传</w:t>
      </w:r>
      <w:r>
        <w:rPr>
          <w:rFonts w:ascii="仿宋_GB2312" w:hAnsi="仿宋_GB2312" w:eastAsia="仿宋_GB2312" w:cs="仿宋_GB2312"/>
          <w:color w:val="auto"/>
          <w:sz w:val="30"/>
          <w:szCs w:val="30"/>
          <w:highlight w:val="none"/>
        </w:rPr>
        <w:t xml:space="preserve">    </w:t>
      </w:r>
      <w:r>
        <w:rPr>
          <w:rFonts w:hint="eastAsia" w:ascii="仿宋_GB2312" w:hAnsi="仿宋_GB2312" w:eastAsia="仿宋_GB2312" w:cs="仿宋_GB2312"/>
          <w:color w:val="auto"/>
          <w:sz w:val="30"/>
          <w:szCs w:val="30"/>
          <w:highlight w:val="none"/>
        </w:rPr>
        <w:t>真：</w:t>
      </w:r>
      <w:r>
        <w:rPr>
          <w:rFonts w:ascii="仿宋_GB2312" w:hAnsi="仿宋_GB2312" w:eastAsia="仿宋_GB2312" w:cs="仿宋_GB2312"/>
          <w:color w:val="auto"/>
          <w:sz w:val="30"/>
          <w:szCs w:val="30"/>
          <w:highlight w:val="none"/>
          <w:u w:val="single"/>
        </w:rPr>
        <w:t xml:space="preserve">                                      </w:t>
      </w:r>
    </w:p>
    <w:p w14:paraId="2F91E73C">
      <w:pPr>
        <w:pStyle w:val="78"/>
        <w:spacing w:line="360" w:lineRule="auto"/>
        <w:ind w:firstLine="600" w:firstLineChars="200"/>
        <w:jc w:val="left"/>
        <w:rPr>
          <w:rFonts w:ascii="仿宋_GB2312" w:hAnsi="仿宋_GB2312" w:eastAsia="仿宋_GB2312" w:cs="仿宋_GB2312"/>
          <w:color w:val="auto"/>
          <w:sz w:val="30"/>
          <w:szCs w:val="30"/>
          <w:highlight w:val="none"/>
          <w:u w:val="single"/>
        </w:rPr>
      </w:pPr>
    </w:p>
    <w:p w14:paraId="7C318783">
      <w:pPr>
        <w:pStyle w:val="78"/>
        <w:spacing w:line="360" w:lineRule="auto"/>
        <w:ind w:firstLine="600" w:firstLineChars="200"/>
        <w:rPr>
          <w:rFonts w:ascii="仿宋_GB2312" w:hAnsi="仿宋_GB2312" w:eastAsia="仿宋_GB2312" w:cs="仿宋_GB2312"/>
          <w:color w:val="auto"/>
          <w:sz w:val="30"/>
          <w:szCs w:val="30"/>
          <w:highlight w:val="none"/>
        </w:rPr>
      </w:pPr>
      <w:r>
        <w:rPr>
          <w:rFonts w:ascii="仿宋_GB2312" w:hAnsi="仿宋_GB2312" w:eastAsia="仿宋_GB2312" w:cs="仿宋_GB2312"/>
          <w:color w:val="auto"/>
          <w:sz w:val="30"/>
          <w:szCs w:val="30"/>
          <w:highlight w:val="none"/>
        </w:rPr>
        <w:t xml:space="preserve">               </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年</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月</w:t>
      </w:r>
      <w:r>
        <w:rPr>
          <w:rFonts w:ascii="仿宋_GB2312" w:hAnsi="仿宋_GB2312" w:eastAsia="仿宋_GB2312" w:cs="仿宋_GB2312"/>
          <w:color w:val="auto"/>
          <w:sz w:val="30"/>
          <w:szCs w:val="30"/>
          <w:highlight w:val="none"/>
          <w:u w:val="single"/>
        </w:rPr>
        <w:t xml:space="preserve">        </w:t>
      </w:r>
      <w:r>
        <w:rPr>
          <w:rFonts w:hint="eastAsia" w:ascii="仿宋_GB2312" w:hAnsi="仿宋_GB2312" w:eastAsia="仿宋_GB2312" w:cs="仿宋_GB2312"/>
          <w:color w:val="auto"/>
          <w:sz w:val="30"/>
          <w:szCs w:val="30"/>
          <w:highlight w:val="none"/>
        </w:rPr>
        <w:t>日</w:t>
      </w:r>
    </w:p>
    <w:p w14:paraId="05F3DD1D">
      <w:pPr>
        <w:pStyle w:val="78"/>
        <w:spacing w:line="360" w:lineRule="auto"/>
        <w:ind w:firstLine="600" w:firstLineChars="200"/>
        <w:rPr>
          <w:rFonts w:ascii="仿宋_GB2312" w:hAnsi="仿宋_GB2312" w:eastAsia="仿宋_GB2312" w:cs="仿宋_GB2312"/>
          <w:color w:val="auto"/>
          <w:sz w:val="30"/>
          <w:szCs w:val="30"/>
          <w:highlight w:val="none"/>
        </w:rPr>
      </w:pPr>
    </w:p>
    <w:p w14:paraId="5DEE6689">
      <w:pPr>
        <w:pStyle w:val="78"/>
        <w:spacing w:line="360" w:lineRule="auto"/>
        <w:ind w:firstLine="600" w:firstLineChars="200"/>
        <w:jc w:val="lef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（备注：银行、保险公司和担保公司出具的保函格式和文本可以自拟，但是必须包含以上条款所列全部内容）</w:t>
      </w:r>
    </w:p>
    <w:p w14:paraId="0738C066">
      <w:pPr>
        <w:pStyle w:val="2"/>
        <w:rPr>
          <w:rFonts w:ascii="仿宋_GB2312" w:hAnsi="仿宋_GB2312" w:eastAsia="仿宋_GB2312" w:cs="仿宋_GB2312"/>
          <w:color w:val="auto"/>
          <w:sz w:val="30"/>
          <w:szCs w:val="30"/>
          <w:highlight w:val="none"/>
        </w:rPr>
      </w:pPr>
    </w:p>
    <w:p w14:paraId="49C851EB">
      <w:pPr>
        <w:rPr>
          <w:rFonts w:ascii="仿宋_GB2312" w:hAnsi="仿宋_GB2312" w:eastAsia="仿宋_GB2312" w:cs="仿宋_GB2312"/>
          <w:color w:val="auto"/>
          <w:sz w:val="30"/>
          <w:szCs w:val="30"/>
          <w:highlight w:val="none"/>
        </w:rPr>
      </w:pPr>
    </w:p>
    <w:p w14:paraId="1E2D695E">
      <w:pPr>
        <w:pStyle w:val="2"/>
        <w:rPr>
          <w:rFonts w:ascii="仿宋_GB2312" w:hAnsi="仿宋_GB2312" w:eastAsia="仿宋_GB2312" w:cs="仿宋_GB2312"/>
          <w:color w:val="auto"/>
          <w:sz w:val="30"/>
          <w:szCs w:val="30"/>
          <w:highlight w:val="none"/>
        </w:rPr>
      </w:pPr>
    </w:p>
    <w:p w14:paraId="5236B7B4">
      <w:pPr>
        <w:rPr>
          <w:rFonts w:ascii="仿宋_GB2312" w:hAnsi="仿宋_GB2312" w:eastAsia="仿宋_GB2312" w:cs="仿宋_GB2312"/>
          <w:color w:val="auto"/>
          <w:sz w:val="30"/>
          <w:szCs w:val="30"/>
          <w:highlight w:val="none"/>
        </w:rPr>
      </w:pPr>
    </w:p>
    <w:p w14:paraId="0CD5DC7B">
      <w:pPr>
        <w:ind w:left="0" w:leftChars="0" w:firstLine="0" w:firstLineChars="0"/>
        <w:rPr>
          <w:rFonts w:ascii="仿宋_GB2312" w:hAnsi="仿宋_GB2312" w:eastAsia="仿宋_GB2312" w:cs="仿宋_GB2312"/>
          <w:color w:val="auto"/>
          <w:sz w:val="30"/>
          <w:szCs w:val="30"/>
          <w:highlight w:val="none"/>
        </w:rPr>
      </w:pPr>
    </w:p>
    <w:p w14:paraId="7BE64487">
      <w:pPr>
        <w:pStyle w:val="7"/>
        <w:ind w:firstLine="602"/>
        <w:rPr>
          <w:rFonts w:ascii="仿宋_GB2312" w:hAnsi="仿宋_GB2312" w:eastAsia="仿宋_GB2312" w:cs="仿宋_GB2312"/>
          <w:color w:val="auto"/>
          <w:sz w:val="30"/>
          <w:szCs w:val="30"/>
          <w:highlight w:val="none"/>
        </w:rPr>
      </w:pPr>
      <w:bookmarkStart w:id="1457" w:name="_Toc5668"/>
      <w:r>
        <w:rPr>
          <w:rFonts w:hint="eastAsia" w:ascii="仿宋_GB2312" w:hAnsi="仿宋_GB2312" w:eastAsia="仿宋_GB2312" w:cs="仿宋_GB2312"/>
          <w:color w:val="auto"/>
          <w:sz w:val="30"/>
          <w:szCs w:val="30"/>
          <w:highlight w:val="none"/>
        </w:rPr>
        <w:t>附件9：廉政责任书</w:t>
      </w:r>
      <w:bookmarkEnd w:id="1457"/>
    </w:p>
    <w:p w14:paraId="74CA040D">
      <w:pPr>
        <w:rPr>
          <w:color w:val="auto"/>
          <w:highlight w:val="none"/>
        </w:rPr>
      </w:pPr>
    </w:p>
    <w:p w14:paraId="24DBC8EE">
      <w:pPr>
        <w:pStyle w:val="78"/>
        <w:tabs>
          <w:tab w:val="left" w:pos="640"/>
        </w:tabs>
        <w:spacing w:line="500" w:lineRule="exact"/>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工程设计廉政责任书</w:t>
      </w:r>
    </w:p>
    <w:p w14:paraId="53C37136">
      <w:pPr>
        <w:pStyle w:val="78"/>
        <w:tabs>
          <w:tab w:val="left" w:pos="640"/>
        </w:tabs>
        <w:rPr>
          <w:rFonts w:ascii="仿宋_GB2312" w:hAnsi="Times New Roman" w:eastAsia="仿宋_GB2312"/>
          <w:color w:val="auto"/>
          <w:szCs w:val="21"/>
          <w:highlight w:val="none"/>
        </w:rPr>
      </w:pPr>
    </w:p>
    <w:p w14:paraId="10AE54BA">
      <w:pPr>
        <w:pStyle w:val="78"/>
        <w:tabs>
          <w:tab w:val="left" w:pos="640"/>
        </w:tabs>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工程项目名称：</w:t>
      </w:r>
      <w:r>
        <w:rPr>
          <w:rFonts w:ascii="仿宋_GB2312" w:hAnsi="仿宋_GB2312" w:eastAsia="仿宋_GB2312" w:cs="仿宋_GB2312"/>
          <w:color w:val="auto"/>
          <w:sz w:val="30"/>
          <w:szCs w:val="30"/>
          <w:highlight w:val="none"/>
        </w:rPr>
        <w:t xml:space="preserve">    </w:t>
      </w:r>
    </w:p>
    <w:p w14:paraId="3915A057">
      <w:pPr>
        <w:pStyle w:val="78"/>
        <w:tabs>
          <w:tab w:val="left" w:pos="640"/>
        </w:tabs>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工程项目地址：</w:t>
      </w:r>
      <w:r>
        <w:rPr>
          <w:rFonts w:ascii="仿宋_GB2312" w:hAnsi="仿宋_GB2312" w:eastAsia="仿宋_GB2312" w:cs="仿宋_GB2312"/>
          <w:color w:val="auto"/>
          <w:sz w:val="30"/>
          <w:szCs w:val="30"/>
          <w:highlight w:val="none"/>
        </w:rPr>
        <w:t xml:space="preserve">    </w:t>
      </w:r>
    </w:p>
    <w:p w14:paraId="318D14B3">
      <w:pPr>
        <w:pStyle w:val="78"/>
        <w:tabs>
          <w:tab w:val="left" w:pos="640"/>
        </w:tabs>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发包人（甲方）：</w:t>
      </w:r>
      <w:r>
        <w:rPr>
          <w:rFonts w:ascii="仿宋_GB2312" w:hAnsi="仿宋_GB2312" w:eastAsia="仿宋_GB2312" w:cs="仿宋_GB2312"/>
          <w:color w:val="auto"/>
          <w:sz w:val="30"/>
          <w:szCs w:val="30"/>
          <w:highlight w:val="none"/>
        </w:rPr>
        <w:t xml:space="preserve">    </w:t>
      </w:r>
    </w:p>
    <w:p w14:paraId="03AB0FFE">
      <w:pPr>
        <w:pStyle w:val="78"/>
        <w:tabs>
          <w:tab w:val="left" w:pos="640"/>
        </w:tabs>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设计人（乙方）：</w:t>
      </w:r>
      <w:r>
        <w:rPr>
          <w:rFonts w:ascii="仿宋_GB2312" w:hAnsi="仿宋_GB2312" w:eastAsia="仿宋_GB2312" w:cs="仿宋_GB2312"/>
          <w:color w:val="auto"/>
          <w:sz w:val="30"/>
          <w:szCs w:val="30"/>
          <w:highlight w:val="none"/>
        </w:rPr>
        <w:t xml:space="preserve">    </w:t>
      </w:r>
    </w:p>
    <w:p w14:paraId="474B16A9">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为加强工程建设中的廉政建设，规范工程建设设计委托与被委托双方的各项活动，防止发生各种谋取不正当利益的违法违纪行为，保护国家、集体和当事人的合法权益，根据国家有关工程建设的法律法规和廉政建设责任制规定，特订立本廉政责任书。</w:t>
      </w:r>
    </w:p>
    <w:p w14:paraId="3D9AAD02">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第一条  甲乙双方的责任</w:t>
      </w:r>
    </w:p>
    <w:p w14:paraId="6531B5ED">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（一）应严格遵守国家关于市场准入、项目招标投标、工程建设、设计和市场活动的有关法律、法规、相关政策、以及廉政建设的各项规定。</w:t>
      </w:r>
    </w:p>
    <w:p w14:paraId="2673E53E">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（二）严格执行建设工程设计合同文件，自觉按合同办事。</w:t>
      </w:r>
    </w:p>
    <w:p w14:paraId="4D295EC4">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（三）业务活动必须坚持公开、公平、公正、诚信、透明的原则（除法律法规另有规定者外），不得损害国家利益、集体利益和对方的合法利益，不得违反工程建设管理、设计的法律法规及规章制度。</w:t>
      </w:r>
    </w:p>
    <w:p w14:paraId="27F4DB60">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（四）发现对方在业务活动中有违规、违纪、违法行为的，应及时提醒对方，并向监管单位报告；情节严重的，应向其上级主管部门或纪检监察、司法等有关机关举报。</w:t>
      </w:r>
    </w:p>
    <w:p w14:paraId="5D3F892F">
      <w:pPr>
        <w:pStyle w:val="78"/>
        <w:numPr>
          <w:ilvl w:val="0"/>
          <w:numId w:val="10"/>
        </w:numPr>
        <w:tabs>
          <w:tab w:val="left" w:pos="640"/>
        </w:tabs>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发包人的责任</w:t>
      </w:r>
    </w:p>
    <w:p w14:paraId="03CB2D50">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发包人及发包人相关工作人员，在工程建设的事前、事中、事后应遵守以下规定：</w:t>
      </w:r>
    </w:p>
    <w:p w14:paraId="77B35803">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（一）不准向乙方和相关单位索要或接受回扣、礼金、有价证券、贵重物品和好处费、感谢费等。</w:t>
      </w:r>
    </w:p>
    <w:p w14:paraId="46DABFB0">
      <w:pPr>
        <w:pStyle w:val="78"/>
        <w:tabs>
          <w:tab w:val="left" w:pos="640"/>
        </w:tabs>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不准以任何理由向乙方和相关单位无偿或以明显低于市场价格借用房屋、车辆、金钱或其他贵重物品等。</w:t>
      </w:r>
    </w:p>
    <w:p w14:paraId="6A8E9375">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（二）不准在乙方和相关单位报销任何应由发包人或个人支付的费用。</w:t>
      </w:r>
    </w:p>
    <w:p w14:paraId="7CA3B1AA">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（三）不准要求、暗示或接受乙方和相关单位为个人装修住房、婚丧嫁娶、配偶子女的工作安排以及出国（境）、旅游等提供方便。</w:t>
      </w:r>
    </w:p>
    <w:p w14:paraId="18A4B392">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（四）不准参加乙方和相关单位安排的有可能影响公正执行工作任务的宴请、健身、娱乐等活动。</w:t>
      </w:r>
    </w:p>
    <w:p w14:paraId="20770797">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（五）不准向乙方和相关单位介绍或为配偶、子女、亲属介绍参与同发包人工程设计合同有关的设计业务等活动。不得以任何理由要求乙方和相关单位在设计中使用设计合同规定以外的产品、材料和设备等。</w:t>
      </w:r>
    </w:p>
    <w:p w14:paraId="18EB177E">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第三条  乙方的责任</w:t>
      </w:r>
    </w:p>
    <w:p w14:paraId="2058490F">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应与发包人保持正常的业务交往，按照有关法律法规和程序开展业务工作，严格执行工程建设的有关方针、政策，尤其是有关设计的强制性标准和规范，并遵守以下规定：</w:t>
      </w:r>
    </w:p>
    <w:p w14:paraId="542A3A64">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（一）不准以任何理由向发包人、相关单位及其工作人员赠送礼金、有价证券、贵重物品及回扣、好处费、感谢费等。</w:t>
      </w:r>
    </w:p>
    <w:p w14:paraId="1BA8D386">
      <w:pPr>
        <w:pStyle w:val="78"/>
        <w:tabs>
          <w:tab w:val="left" w:pos="640"/>
        </w:tabs>
        <w:spacing w:line="360" w:lineRule="auto"/>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不准以任何理由向发包人、相关单位及其工作人员无偿或以明显低于市场价格出借房屋、车辆、金钱或其他贵重物品等。</w:t>
      </w:r>
    </w:p>
    <w:p w14:paraId="477426DA">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（二）不准以任何理由为发包人和相关单位及其工作人员报销应由发包人或个人支付的费用。</w:t>
      </w:r>
    </w:p>
    <w:p w14:paraId="30417394">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（三）不准明示或暗示为发包人、相关单位或个人装修住房、婚丧嫁娶、配偶子女的工作安排以及出国（境）、旅游等提供方便。</w:t>
      </w:r>
    </w:p>
    <w:p w14:paraId="39B2C518">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（四）不准以任何理由为发包人、相关单位或个人组织安排有可能影响公正执行工作任务的宴请、健身、娱乐等活动。</w:t>
      </w:r>
    </w:p>
    <w:p w14:paraId="1EA1E775">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第四条  违约责任</w:t>
      </w:r>
    </w:p>
    <w:p w14:paraId="7A9D4C72">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（一）发包人工作人员有违反本责任书第一、二条责任行为的，发包人应按照管理权限，依据有关法律法规和规定给予追责处理；涉嫌犯罪的，移交司法机关追究刑事责任；给乙方单位造成损失的，应予以赔偿。</w:t>
      </w:r>
    </w:p>
    <w:p w14:paraId="673F5668">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（二）乙方工作人员有违反责任书第一、三条责任行为的，乙方应按照管理权限，依据有关法律法规和规定给予追责处理；涉嫌犯罪的，移交司法机关追究刑事责任；给发包人单位造成损失的，应予以赔偿。</w:t>
      </w:r>
    </w:p>
    <w:p w14:paraId="252D4F63">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第五条  本责任书经双方法定代表人或授权代表签字并加盖双方单位公章后立即生效。</w:t>
      </w:r>
    </w:p>
    <w:p w14:paraId="6EA3828D">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第六条  本责任书的有效期为双方签署之日起至该工程项目竣工验收合格时止。</w:t>
      </w:r>
    </w:p>
    <w:p w14:paraId="037332B1">
      <w:pPr>
        <w:pStyle w:val="78"/>
        <w:tabs>
          <w:tab w:val="left" w:pos="640"/>
        </w:tabs>
        <w:spacing w:line="360" w:lineRule="auto"/>
        <w:ind w:firstLine="645"/>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第七条  本责任书一式四份，由甲乙双方各执一份，送交甲乙双方的监督单位各一份。</w:t>
      </w:r>
    </w:p>
    <w:p w14:paraId="4C6DF4B3">
      <w:pPr>
        <w:pStyle w:val="78"/>
        <w:tabs>
          <w:tab w:val="left" w:pos="640"/>
        </w:tabs>
        <w:spacing w:line="360" w:lineRule="auto"/>
        <w:ind w:firstLine="645"/>
        <w:rPr>
          <w:rFonts w:ascii="仿宋_GB2312" w:hAnsi="仿宋_GB2312" w:eastAsia="仿宋_GB2312" w:cs="仿宋_GB2312"/>
          <w:color w:val="auto"/>
          <w:sz w:val="30"/>
          <w:szCs w:val="30"/>
          <w:highlight w:val="none"/>
        </w:rPr>
      </w:pPr>
    </w:p>
    <w:p w14:paraId="283C3BF6">
      <w:pPr>
        <w:pStyle w:val="78"/>
        <w:tabs>
          <w:tab w:val="left" w:pos="640"/>
        </w:tabs>
        <w:spacing w:line="360" w:lineRule="auto"/>
        <w:ind w:firstLine="645"/>
        <w:rPr>
          <w:rFonts w:ascii="仿宋_GB2312" w:hAnsi="仿宋_GB2312" w:eastAsia="仿宋_GB2312" w:cs="仿宋_GB2312"/>
          <w:color w:val="auto"/>
          <w:sz w:val="30"/>
          <w:szCs w:val="30"/>
          <w:highlight w:val="none"/>
        </w:rPr>
      </w:pPr>
    </w:p>
    <w:p w14:paraId="36CAEE39">
      <w:pPr>
        <w:pStyle w:val="78"/>
        <w:tabs>
          <w:tab w:val="left" w:pos="640"/>
        </w:tabs>
        <w:spacing w:line="360" w:lineRule="auto"/>
        <w:ind w:firstLine="645"/>
        <w:rPr>
          <w:rFonts w:ascii="仿宋_GB2312" w:hAnsi="仿宋_GB2312" w:eastAsia="仿宋_GB2312" w:cs="仿宋_GB2312"/>
          <w:color w:val="auto"/>
          <w:sz w:val="30"/>
          <w:szCs w:val="30"/>
          <w:highlight w:val="none"/>
        </w:rPr>
      </w:pPr>
    </w:p>
    <w:p w14:paraId="29749058">
      <w:pPr>
        <w:pStyle w:val="78"/>
        <w:tabs>
          <w:tab w:val="left" w:pos="640"/>
        </w:tabs>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发包人：（盖章）           设计人：（盖章）</w:t>
      </w:r>
    </w:p>
    <w:p w14:paraId="2C8AD295">
      <w:pPr>
        <w:pStyle w:val="78"/>
        <w:tabs>
          <w:tab w:val="left" w:pos="640"/>
        </w:tabs>
        <w:spacing w:line="360" w:lineRule="auto"/>
        <w:rPr>
          <w:rFonts w:ascii="仿宋_GB2312" w:hAnsi="仿宋_GB2312" w:eastAsia="仿宋_GB2312" w:cs="仿宋_GB2312"/>
          <w:color w:val="auto"/>
          <w:sz w:val="30"/>
          <w:szCs w:val="30"/>
          <w:highlight w:val="none"/>
        </w:rPr>
      </w:pPr>
    </w:p>
    <w:p w14:paraId="4F3B5DEF">
      <w:pPr>
        <w:pStyle w:val="78"/>
        <w:tabs>
          <w:tab w:val="left" w:pos="640"/>
        </w:tabs>
        <w:spacing w:line="360" w:lineRule="auto"/>
        <w:rPr>
          <w:rFonts w:ascii="仿宋_GB2312" w:hAnsi="仿宋_GB2312" w:eastAsia="仿宋_GB2312" w:cs="仿宋_GB2312"/>
          <w:color w:val="auto"/>
          <w:sz w:val="30"/>
          <w:szCs w:val="30"/>
          <w:highlight w:val="none"/>
        </w:rPr>
      </w:pPr>
    </w:p>
    <w:p w14:paraId="41AD6733">
      <w:pPr>
        <w:pStyle w:val="78"/>
        <w:tabs>
          <w:tab w:val="left" w:pos="640"/>
        </w:tabs>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法定代表人或                  法定代表人或</w:t>
      </w:r>
    </w:p>
    <w:p w14:paraId="46662A0C">
      <w:pPr>
        <w:pStyle w:val="78"/>
        <w:tabs>
          <w:tab w:val="left" w:pos="640"/>
        </w:tabs>
        <w:spacing w:line="360" w:lineRule="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授权代表（签字或盖章）：       授权代表（签字或盖章）：</w:t>
      </w:r>
    </w:p>
    <w:p w14:paraId="7DD5EE9E">
      <w:pPr>
        <w:rPr>
          <w:color w:val="auto"/>
          <w:highlight w:val="none"/>
        </w:rPr>
      </w:pPr>
    </w:p>
    <w:bookmarkEnd w:id="1451"/>
    <w:p w14:paraId="666E870B">
      <w:pPr>
        <w:ind w:firstLine="601"/>
        <w:outlineLvl w:val="9"/>
        <w:rPr>
          <w:rFonts w:ascii="仿宋_GB2312" w:hAnsi="仿宋_GB2312" w:eastAsia="仿宋_GB2312" w:cs="仿宋_GB2312"/>
          <w:color w:val="auto"/>
          <w:sz w:val="30"/>
          <w:szCs w:val="30"/>
          <w:highlight w:val="none"/>
        </w:rPr>
      </w:pPr>
      <w:bookmarkStart w:id="1458" w:name="_Toc29907"/>
      <w:bookmarkStart w:id="1459" w:name="_Toc12090"/>
      <w:bookmarkStart w:id="1460" w:name="_Toc2088810164"/>
      <w:bookmarkStart w:id="1461" w:name="_Toc1688768147"/>
    </w:p>
    <w:p w14:paraId="015AD50F">
      <w:pPr>
        <w:ind w:left="0" w:leftChars="0" w:firstLine="0" w:firstLineChars="0"/>
        <w:outlineLvl w:val="9"/>
        <w:rPr>
          <w:rFonts w:ascii="仿宋_GB2312" w:hAnsi="仿宋_GB2312" w:eastAsia="仿宋_GB2312" w:cs="仿宋_GB2312"/>
          <w:color w:val="auto"/>
          <w:sz w:val="30"/>
          <w:szCs w:val="30"/>
          <w:highlight w:val="none"/>
        </w:rPr>
      </w:pPr>
    </w:p>
    <w:p w14:paraId="7A0831A5">
      <w:pPr>
        <w:pStyle w:val="7"/>
        <w:ind w:firstLine="602" w:firstLineChars="0"/>
        <w:rPr>
          <w:rFonts w:ascii="仿宋_GB2312" w:hAnsi="仿宋_GB2312" w:eastAsia="仿宋_GB2312" w:cs="仿宋_GB2312"/>
          <w:color w:val="auto"/>
          <w:sz w:val="30"/>
          <w:szCs w:val="30"/>
          <w:highlight w:val="none"/>
        </w:rPr>
      </w:pPr>
      <w:bookmarkStart w:id="1462" w:name="_Toc26308"/>
      <w:r>
        <w:rPr>
          <w:rFonts w:hint="eastAsia" w:ascii="仿宋_GB2312" w:hAnsi="仿宋_GB2312" w:eastAsia="仿宋_GB2312" w:cs="仿宋_GB2312"/>
          <w:color w:val="auto"/>
          <w:sz w:val="30"/>
          <w:szCs w:val="30"/>
          <w:highlight w:val="none"/>
        </w:rPr>
        <w:t>附件10：其他要求</w:t>
      </w:r>
      <w:bookmarkEnd w:id="1458"/>
      <w:bookmarkEnd w:id="1459"/>
      <w:bookmarkEnd w:id="1462"/>
    </w:p>
    <w:p w14:paraId="2C7360D4">
      <w:pPr>
        <w:outlineLvl w:val="9"/>
        <w:rPr>
          <w:rFonts w:ascii="仿宋_GB2312" w:hAnsi="仿宋_GB2312" w:eastAsia="仿宋_GB2312" w:cs="仿宋_GB2312"/>
          <w:b w:val="0"/>
          <w:i/>
          <w:iCs/>
          <w:color w:val="auto"/>
          <w:sz w:val="30"/>
          <w:szCs w:val="30"/>
          <w:highlight w:val="none"/>
        </w:rPr>
      </w:pPr>
      <w:bookmarkStart w:id="1463" w:name="_Toc31476"/>
      <w:bookmarkStart w:id="1464" w:name="_Toc6576"/>
      <w:bookmarkStart w:id="1465" w:name="_Toc30685"/>
      <w:r>
        <w:rPr>
          <w:rFonts w:hint="eastAsia" w:ascii="仿宋_GB2312" w:hAnsi="仿宋_GB2312" w:eastAsia="仿宋_GB2312" w:cs="仿宋_GB2312"/>
          <w:b w:val="0"/>
          <w:i/>
          <w:iCs/>
          <w:color w:val="auto"/>
          <w:sz w:val="30"/>
          <w:szCs w:val="30"/>
          <w:highlight w:val="none"/>
        </w:rPr>
        <w:t>备注：专业合同条款未明确的</w:t>
      </w:r>
      <w:r>
        <w:rPr>
          <w:rFonts w:hint="eastAsia" w:ascii="仿宋_GB2312" w:hAnsi="仿宋_GB2312" w:eastAsia="仿宋_GB2312" w:cs="仿宋_GB2312"/>
          <w:b w:val="0"/>
          <w:i/>
          <w:iCs/>
          <w:color w:val="auto"/>
          <w:sz w:val="30"/>
          <w:szCs w:val="30"/>
          <w:highlight w:val="none"/>
          <w:lang w:val="en-US" w:eastAsia="zh-CN"/>
        </w:rPr>
        <w:t>在此</w:t>
      </w:r>
      <w:r>
        <w:rPr>
          <w:rFonts w:hint="eastAsia" w:ascii="仿宋_GB2312" w:hAnsi="仿宋_GB2312" w:eastAsia="仿宋_GB2312" w:cs="仿宋_GB2312"/>
          <w:b w:val="0"/>
          <w:i/>
          <w:iCs/>
          <w:color w:val="auto"/>
          <w:sz w:val="30"/>
          <w:szCs w:val="30"/>
          <w:highlight w:val="none"/>
        </w:rPr>
        <w:t>补充</w:t>
      </w:r>
      <w:bookmarkEnd w:id="1463"/>
      <w:bookmarkEnd w:id="1464"/>
      <w:bookmarkEnd w:id="1465"/>
      <w:r>
        <w:rPr>
          <w:rFonts w:hint="eastAsia" w:ascii="仿宋_GB2312" w:hAnsi="仿宋_GB2312" w:eastAsia="仿宋_GB2312" w:cs="仿宋_GB2312"/>
          <w:b w:val="0"/>
          <w:i/>
          <w:iCs/>
          <w:color w:val="auto"/>
          <w:sz w:val="30"/>
          <w:szCs w:val="30"/>
          <w:highlight w:val="none"/>
        </w:rPr>
        <w:t>。</w:t>
      </w:r>
    </w:p>
    <w:p w14:paraId="09990075">
      <w:pPr>
        <w:rPr>
          <w:rFonts w:ascii="仿宋_GB2312" w:hAnsi="仿宋_GB2312" w:eastAsia="仿宋_GB2312" w:cs="仿宋_GB2312"/>
          <w:color w:val="auto"/>
          <w:sz w:val="30"/>
          <w:szCs w:val="30"/>
          <w:highlight w:val="none"/>
        </w:rPr>
      </w:pPr>
    </w:p>
    <w:p w14:paraId="52D845DF">
      <w:pPr>
        <w:pStyle w:val="17"/>
        <w:rPr>
          <w:rFonts w:ascii="仿宋_GB2312" w:hAnsi="仿宋_GB2312" w:eastAsia="仿宋_GB2312" w:cs="仿宋_GB2312"/>
          <w:color w:val="auto"/>
          <w:sz w:val="30"/>
          <w:szCs w:val="30"/>
          <w:highlight w:val="none"/>
        </w:rPr>
      </w:pPr>
    </w:p>
    <w:p w14:paraId="0292810A">
      <w:pPr>
        <w:pStyle w:val="17"/>
        <w:rPr>
          <w:rFonts w:ascii="仿宋_GB2312" w:hAnsi="仿宋_GB2312" w:eastAsia="仿宋_GB2312" w:cs="仿宋_GB2312"/>
          <w:color w:val="auto"/>
          <w:sz w:val="30"/>
          <w:szCs w:val="30"/>
          <w:highlight w:val="none"/>
        </w:rPr>
      </w:pPr>
    </w:p>
    <w:p w14:paraId="100B91CD">
      <w:pPr>
        <w:pStyle w:val="17"/>
        <w:rPr>
          <w:rFonts w:ascii="仿宋_GB2312" w:hAnsi="仿宋_GB2312" w:eastAsia="仿宋_GB2312" w:cs="仿宋_GB2312"/>
          <w:color w:val="auto"/>
          <w:sz w:val="30"/>
          <w:szCs w:val="30"/>
          <w:highlight w:val="none"/>
        </w:rPr>
      </w:pPr>
    </w:p>
    <w:p w14:paraId="0C23C8CA">
      <w:pPr>
        <w:pStyle w:val="17"/>
        <w:rPr>
          <w:rFonts w:ascii="仿宋_GB2312" w:hAnsi="仿宋_GB2312" w:eastAsia="仿宋_GB2312" w:cs="仿宋_GB2312"/>
          <w:color w:val="auto"/>
          <w:sz w:val="30"/>
          <w:szCs w:val="30"/>
          <w:highlight w:val="none"/>
        </w:rPr>
      </w:pPr>
    </w:p>
    <w:p w14:paraId="10BB2A7C">
      <w:pPr>
        <w:pStyle w:val="17"/>
        <w:rPr>
          <w:rFonts w:ascii="仿宋_GB2312" w:hAnsi="仿宋_GB2312" w:eastAsia="仿宋_GB2312" w:cs="仿宋_GB2312"/>
          <w:color w:val="auto"/>
          <w:sz w:val="30"/>
          <w:szCs w:val="30"/>
          <w:highlight w:val="none"/>
        </w:rPr>
      </w:pPr>
    </w:p>
    <w:p w14:paraId="7A931001">
      <w:pPr>
        <w:pStyle w:val="17"/>
        <w:rPr>
          <w:rFonts w:ascii="仿宋_GB2312" w:hAnsi="仿宋_GB2312" w:eastAsia="仿宋_GB2312" w:cs="仿宋_GB2312"/>
          <w:color w:val="auto"/>
          <w:sz w:val="30"/>
          <w:szCs w:val="30"/>
          <w:highlight w:val="none"/>
        </w:rPr>
      </w:pPr>
    </w:p>
    <w:p w14:paraId="6E4D5E83">
      <w:pPr>
        <w:pStyle w:val="17"/>
        <w:rPr>
          <w:rFonts w:ascii="仿宋_GB2312" w:hAnsi="仿宋_GB2312" w:eastAsia="仿宋_GB2312" w:cs="仿宋_GB2312"/>
          <w:color w:val="auto"/>
          <w:sz w:val="30"/>
          <w:szCs w:val="30"/>
          <w:highlight w:val="none"/>
        </w:rPr>
      </w:pPr>
    </w:p>
    <w:p w14:paraId="2FF22569">
      <w:pPr>
        <w:pStyle w:val="17"/>
        <w:rPr>
          <w:rFonts w:ascii="仿宋_GB2312" w:hAnsi="仿宋_GB2312" w:eastAsia="仿宋_GB2312" w:cs="仿宋_GB2312"/>
          <w:color w:val="auto"/>
          <w:sz w:val="30"/>
          <w:szCs w:val="30"/>
          <w:highlight w:val="none"/>
        </w:rPr>
      </w:pPr>
    </w:p>
    <w:p w14:paraId="4E7703AF">
      <w:pPr>
        <w:pStyle w:val="17"/>
        <w:rPr>
          <w:rFonts w:ascii="仿宋_GB2312" w:hAnsi="仿宋_GB2312" w:eastAsia="仿宋_GB2312" w:cs="仿宋_GB2312"/>
          <w:color w:val="auto"/>
          <w:sz w:val="30"/>
          <w:szCs w:val="30"/>
          <w:highlight w:val="none"/>
        </w:rPr>
      </w:pPr>
    </w:p>
    <w:p w14:paraId="375CF728">
      <w:pPr>
        <w:pStyle w:val="17"/>
        <w:rPr>
          <w:rFonts w:ascii="仿宋_GB2312" w:hAnsi="仿宋_GB2312" w:eastAsia="仿宋_GB2312" w:cs="仿宋_GB2312"/>
          <w:color w:val="auto"/>
          <w:sz w:val="30"/>
          <w:szCs w:val="30"/>
          <w:highlight w:val="none"/>
        </w:rPr>
      </w:pPr>
    </w:p>
    <w:p w14:paraId="59E440E5">
      <w:pPr>
        <w:pStyle w:val="17"/>
        <w:ind w:left="0" w:leftChars="0" w:firstLine="0" w:firstLineChars="0"/>
        <w:rPr>
          <w:rFonts w:ascii="仿宋_GB2312" w:hAnsi="仿宋_GB2312" w:eastAsia="仿宋_GB2312" w:cs="仿宋_GB2312"/>
          <w:color w:val="auto"/>
          <w:sz w:val="30"/>
          <w:szCs w:val="30"/>
          <w:highlight w:val="none"/>
        </w:rPr>
      </w:pPr>
    </w:p>
    <w:bookmarkEnd w:id="1460"/>
    <w:bookmarkEnd w:id="1461"/>
    <w:p w14:paraId="2BA7CAA8">
      <w:pPr>
        <w:pStyle w:val="6"/>
        <w:rPr>
          <w:rFonts w:hint="eastAsia" w:eastAsia="华文中宋"/>
          <w:color w:val="auto"/>
          <w:highlight w:val="none"/>
          <w:lang w:eastAsia="zh-CN"/>
        </w:rPr>
      </w:pPr>
      <w:bookmarkStart w:id="1466" w:name="_Toc18701"/>
      <w:bookmarkStart w:id="1467" w:name="_Toc9928"/>
      <w:bookmarkStart w:id="1468" w:name="_Toc8181"/>
      <w:bookmarkStart w:id="1469" w:name="_Toc2085"/>
      <w:bookmarkStart w:id="1470" w:name="_Toc17170"/>
      <w:r>
        <w:rPr>
          <w:rFonts w:hint="eastAsia"/>
          <w:color w:val="auto"/>
          <w:highlight w:val="none"/>
        </w:rPr>
        <w:t>第七部分  发包人（甲方）要求</w:t>
      </w:r>
      <w:bookmarkEnd w:id="1466"/>
      <w:bookmarkEnd w:id="1467"/>
      <w:bookmarkEnd w:id="1468"/>
      <w:bookmarkEnd w:id="1469"/>
      <w:bookmarkEnd w:id="1470"/>
      <w:r>
        <w:rPr>
          <w:rFonts w:hint="eastAsia"/>
          <w:color w:val="auto"/>
          <w:highlight w:val="none"/>
          <w:lang w:eastAsia="zh-CN"/>
        </w:rPr>
        <w:t>（</w:t>
      </w:r>
      <w:r>
        <w:rPr>
          <w:rFonts w:hint="eastAsia"/>
          <w:color w:val="auto"/>
          <w:highlight w:val="none"/>
          <w:lang w:val="en-US" w:eastAsia="zh-CN"/>
        </w:rPr>
        <w:t>如有</w:t>
      </w:r>
      <w:r>
        <w:rPr>
          <w:rFonts w:hint="eastAsia"/>
          <w:color w:val="auto"/>
          <w:highlight w:val="none"/>
          <w:lang w:eastAsia="zh-CN"/>
        </w:rPr>
        <w:t>）</w:t>
      </w:r>
    </w:p>
    <w:p w14:paraId="3560725C">
      <w:pPr>
        <w:pStyle w:val="6"/>
        <w:spacing w:before="0" w:after="0" w:line="360" w:lineRule="auto"/>
        <w:rPr>
          <w:rFonts w:ascii="Times New Roman" w:hAnsi="Times New Roman" w:eastAsia="黑体"/>
          <w:bCs/>
          <w:color w:val="auto"/>
          <w:sz w:val="32"/>
          <w:szCs w:val="44"/>
          <w:highlight w:val="none"/>
        </w:rPr>
        <w:sectPr>
          <w:pgSz w:w="11906" w:h="16838"/>
          <w:pgMar w:top="1440" w:right="1531" w:bottom="1440" w:left="1531" w:header="851" w:footer="992" w:gutter="0"/>
          <w:pgBorders>
            <w:top w:val="none" w:sz="0" w:space="0"/>
            <w:left w:val="none" w:sz="0" w:space="0"/>
            <w:bottom w:val="none" w:sz="0" w:space="0"/>
            <w:right w:val="none" w:sz="0" w:space="0"/>
          </w:pgBorders>
          <w:cols w:space="425" w:num="1"/>
          <w:docGrid w:type="lines" w:linePitch="312" w:charSpace="0"/>
        </w:sectPr>
      </w:pPr>
    </w:p>
    <w:p w14:paraId="744528E1">
      <w:pPr>
        <w:pStyle w:val="6"/>
        <w:rPr>
          <w:color w:val="auto"/>
          <w:highlight w:val="none"/>
        </w:rPr>
        <w:sectPr>
          <w:pgSz w:w="11906" w:h="16838"/>
          <w:pgMar w:top="1440" w:right="1531" w:bottom="1440" w:left="1531" w:header="851" w:footer="992" w:gutter="0"/>
          <w:pgBorders>
            <w:top w:val="none" w:sz="0" w:space="0"/>
            <w:left w:val="none" w:sz="0" w:space="0"/>
            <w:bottom w:val="none" w:sz="0" w:space="0"/>
            <w:right w:val="none" w:sz="0" w:space="0"/>
          </w:pgBorders>
          <w:cols w:space="425" w:num="1"/>
          <w:docGrid w:type="lines" w:linePitch="312" w:charSpace="0"/>
        </w:sectPr>
      </w:pPr>
      <w:bookmarkStart w:id="1471" w:name="_Toc24099"/>
      <w:bookmarkStart w:id="1472" w:name="_Toc25643"/>
      <w:bookmarkStart w:id="1473" w:name="_Toc15541"/>
      <w:bookmarkStart w:id="1474" w:name="_Toc4005"/>
      <w:bookmarkStart w:id="1475" w:name="_Toc16020"/>
      <w:r>
        <w:rPr>
          <w:rFonts w:hint="eastAsia"/>
          <w:color w:val="auto"/>
          <w:highlight w:val="none"/>
        </w:rPr>
        <w:t>第八部分  技术标准</w:t>
      </w:r>
      <w:bookmarkEnd w:id="1471"/>
      <w:bookmarkEnd w:id="1472"/>
      <w:bookmarkEnd w:id="1473"/>
      <w:bookmarkEnd w:id="1474"/>
      <w:bookmarkEnd w:id="1475"/>
    </w:p>
    <w:p w14:paraId="294FBB86">
      <w:pPr>
        <w:pStyle w:val="6"/>
        <w:rPr>
          <w:color w:val="auto"/>
          <w:highlight w:val="none"/>
        </w:rPr>
      </w:pPr>
      <w:bookmarkStart w:id="1476" w:name="_Toc27992"/>
      <w:bookmarkStart w:id="1477" w:name="_Toc30435"/>
      <w:bookmarkStart w:id="1478" w:name="_Toc25152"/>
      <w:bookmarkStart w:id="1479" w:name="_Toc9367"/>
      <w:bookmarkStart w:id="1480" w:name="_Toc3824"/>
      <w:r>
        <w:rPr>
          <w:rFonts w:hint="eastAsia"/>
          <w:color w:val="auto"/>
          <w:highlight w:val="none"/>
        </w:rPr>
        <w:t>第九部分  设计费用清单</w:t>
      </w:r>
      <w:bookmarkEnd w:id="1476"/>
      <w:bookmarkEnd w:id="1477"/>
      <w:bookmarkEnd w:id="1478"/>
      <w:bookmarkEnd w:id="1479"/>
      <w:bookmarkEnd w:id="1480"/>
    </w:p>
    <w:p w14:paraId="41C6CB2E">
      <w:pPr>
        <w:pStyle w:val="6"/>
        <w:spacing w:before="0" w:after="0" w:line="360" w:lineRule="auto"/>
        <w:jc w:val="both"/>
        <w:rPr>
          <w:rFonts w:ascii="Times New Roman" w:hAnsi="Times New Roman" w:eastAsia="黑体"/>
          <w:bCs/>
          <w:color w:val="auto"/>
          <w:sz w:val="32"/>
          <w:szCs w:val="44"/>
          <w:highlight w:val="none"/>
        </w:rPr>
        <w:sectPr>
          <w:pgSz w:w="11906" w:h="16838"/>
          <w:pgMar w:top="1440" w:right="1531" w:bottom="1440" w:left="1531" w:header="851" w:footer="992" w:gutter="0"/>
          <w:pgBorders>
            <w:top w:val="none" w:sz="0" w:space="0"/>
            <w:left w:val="none" w:sz="0" w:space="0"/>
            <w:bottom w:val="none" w:sz="0" w:space="0"/>
            <w:right w:val="none" w:sz="0" w:space="0"/>
          </w:pgBorders>
          <w:cols w:space="425" w:num="1"/>
          <w:docGrid w:type="lines" w:linePitch="312" w:charSpace="0"/>
        </w:sectPr>
      </w:pPr>
    </w:p>
    <w:p w14:paraId="70DA0577">
      <w:pPr>
        <w:pStyle w:val="6"/>
        <w:rPr>
          <w:color w:val="auto"/>
          <w:highlight w:val="none"/>
        </w:rPr>
        <w:sectPr>
          <w:pgSz w:w="11906" w:h="16838"/>
          <w:pgMar w:top="1440" w:right="1531" w:bottom="1440" w:left="1531" w:header="851" w:footer="992" w:gutter="0"/>
          <w:pgBorders>
            <w:top w:val="none" w:sz="0" w:space="0"/>
            <w:left w:val="none" w:sz="0" w:space="0"/>
            <w:bottom w:val="none" w:sz="0" w:space="0"/>
            <w:right w:val="none" w:sz="0" w:space="0"/>
          </w:pgBorders>
          <w:cols w:space="425" w:num="1"/>
          <w:docGrid w:type="lines" w:linePitch="312" w:charSpace="0"/>
        </w:sectPr>
      </w:pPr>
      <w:bookmarkStart w:id="1481" w:name="_Toc13169"/>
      <w:bookmarkStart w:id="1482" w:name="_Toc14500"/>
      <w:bookmarkStart w:id="1483" w:name="_Toc2107"/>
      <w:bookmarkStart w:id="1484" w:name="_Toc26510"/>
      <w:bookmarkStart w:id="1485" w:name="_Toc23323"/>
      <w:r>
        <w:rPr>
          <w:rFonts w:hint="eastAsia"/>
          <w:color w:val="auto"/>
          <w:highlight w:val="none"/>
        </w:rPr>
        <w:t>第十部分  发包人提供的上一阶段图纸（如有）</w:t>
      </w:r>
      <w:bookmarkEnd w:id="1481"/>
      <w:bookmarkEnd w:id="1482"/>
      <w:bookmarkEnd w:id="1483"/>
      <w:bookmarkEnd w:id="1484"/>
      <w:bookmarkEnd w:id="1485"/>
    </w:p>
    <w:p w14:paraId="68EAF8CD">
      <w:pPr>
        <w:pStyle w:val="6"/>
        <w:rPr>
          <w:color w:val="auto"/>
          <w:highlight w:val="none"/>
        </w:rPr>
      </w:pPr>
      <w:bookmarkStart w:id="1486" w:name="_Toc9550"/>
      <w:bookmarkStart w:id="1487" w:name="_Toc29905"/>
      <w:r>
        <w:rPr>
          <w:rFonts w:hint="eastAsia"/>
          <w:color w:val="auto"/>
          <w:highlight w:val="none"/>
        </w:rPr>
        <w:t>第十一部分 招标文件及附件（如有）</w:t>
      </w:r>
      <w:bookmarkEnd w:id="1486"/>
      <w:bookmarkEnd w:id="1487"/>
    </w:p>
    <w:p w14:paraId="13719557">
      <w:pPr>
        <w:rPr>
          <w:color w:val="auto"/>
          <w:highlight w:val="none"/>
        </w:rPr>
      </w:pPr>
    </w:p>
    <w:p w14:paraId="3B1596D6">
      <w:pPr>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另册</w:t>
      </w:r>
    </w:p>
    <w:p w14:paraId="37A894CF">
      <w:pPr>
        <w:rPr>
          <w:color w:val="auto"/>
          <w:highlight w:val="none"/>
        </w:rPr>
      </w:pPr>
    </w:p>
    <w:p w14:paraId="476A6DF3">
      <w:pPr>
        <w:rPr>
          <w:color w:val="auto"/>
          <w:highlight w:val="none"/>
        </w:rPr>
      </w:pPr>
    </w:p>
    <w:p w14:paraId="7A3B13F5">
      <w:pPr>
        <w:rPr>
          <w:color w:val="auto"/>
          <w:highlight w:val="none"/>
        </w:rPr>
      </w:pPr>
    </w:p>
    <w:p w14:paraId="291FD432">
      <w:pPr>
        <w:rPr>
          <w:color w:val="auto"/>
          <w:highlight w:val="none"/>
        </w:rPr>
      </w:pPr>
    </w:p>
    <w:p w14:paraId="7A6FCF6C">
      <w:pPr>
        <w:rPr>
          <w:color w:val="auto"/>
          <w:highlight w:val="none"/>
        </w:rPr>
      </w:pPr>
    </w:p>
    <w:p w14:paraId="5AFA4FA7">
      <w:pPr>
        <w:rPr>
          <w:color w:val="auto"/>
          <w:highlight w:val="none"/>
        </w:rPr>
      </w:pPr>
    </w:p>
    <w:p w14:paraId="56192D00">
      <w:pPr>
        <w:rPr>
          <w:color w:val="auto"/>
          <w:highlight w:val="none"/>
        </w:rPr>
      </w:pPr>
    </w:p>
    <w:p w14:paraId="7076600D">
      <w:pPr>
        <w:rPr>
          <w:color w:val="auto"/>
          <w:highlight w:val="none"/>
        </w:rPr>
      </w:pPr>
    </w:p>
    <w:p w14:paraId="4914D1D6">
      <w:pPr>
        <w:rPr>
          <w:color w:val="auto"/>
          <w:highlight w:val="none"/>
        </w:rPr>
      </w:pPr>
    </w:p>
    <w:p w14:paraId="341E04DA">
      <w:pPr>
        <w:rPr>
          <w:color w:val="auto"/>
          <w:highlight w:val="none"/>
        </w:rPr>
      </w:pPr>
    </w:p>
    <w:p w14:paraId="3120BE2E">
      <w:pPr>
        <w:rPr>
          <w:color w:val="auto"/>
          <w:highlight w:val="none"/>
        </w:rPr>
      </w:pPr>
    </w:p>
    <w:p w14:paraId="78480E6D">
      <w:pPr>
        <w:rPr>
          <w:color w:val="auto"/>
          <w:highlight w:val="none"/>
        </w:rPr>
      </w:pPr>
    </w:p>
    <w:p w14:paraId="2D02AA5A">
      <w:pPr>
        <w:rPr>
          <w:color w:val="auto"/>
          <w:highlight w:val="none"/>
        </w:rPr>
      </w:pPr>
    </w:p>
    <w:p w14:paraId="6DF3CB04">
      <w:pPr>
        <w:rPr>
          <w:color w:val="auto"/>
          <w:highlight w:val="none"/>
        </w:rPr>
      </w:pPr>
    </w:p>
    <w:p w14:paraId="255C0A1F">
      <w:pPr>
        <w:rPr>
          <w:color w:val="auto"/>
          <w:highlight w:val="none"/>
        </w:rPr>
      </w:pPr>
    </w:p>
    <w:p w14:paraId="62223F46">
      <w:pPr>
        <w:rPr>
          <w:color w:val="auto"/>
          <w:highlight w:val="none"/>
        </w:rPr>
      </w:pPr>
    </w:p>
    <w:p w14:paraId="06FE39CC">
      <w:pPr>
        <w:rPr>
          <w:color w:val="auto"/>
          <w:highlight w:val="none"/>
        </w:rPr>
      </w:pPr>
    </w:p>
    <w:p w14:paraId="10806DD6">
      <w:pPr>
        <w:rPr>
          <w:color w:val="auto"/>
          <w:highlight w:val="none"/>
        </w:rPr>
      </w:pPr>
    </w:p>
    <w:p w14:paraId="59CFCCEC">
      <w:pPr>
        <w:rPr>
          <w:color w:val="auto"/>
          <w:highlight w:val="none"/>
        </w:rPr>
      </w:pPr>
    </w:p>
    <w:p w14:paraId="26D15221">
      <w:pPr>
        <w:rPr>
          <w:color w:val="auto"/>
          <w:highlight w:val="none"/>
        </w:rPr>
      </w:pPr>
    </w:p>
    <w:p w14:paraId="36158371">
      <w:pPr>
        <w:rPr>
          <w:color w:val="auto"/>
          <w:highlight w:val="none"/>
        </w:rPr>
      </w:pPr>
    </w:p>
    <w:p w14:paraId="33A283A2">
      <w:pPr>
        <w:rPr>
          <w:color w:val="auto"/>
          <w:highlight w:val="none"/>
        </w:rPr>
      </w:pPr>
    </w:p>
    <w:p w14:paraId="18B62EEE">
      <w:pPr>
        <w:rPr>
          <w:color w:val="auto"/>
          <w:highlight w:val="none"/>
        </w:rPr>
      </w:pPr>
    </w:p>
    <w:p w14:paraId="2DCA3526">
      <w:pPr>
        <w:rPr>
          <w:color w:val="auto"/>
          <w:highlight w:val="none"/>
        </w:rPr>
      </w:pPr>
    </w:p>
    <w:p w14:paraId="5020A098">
      <w:pPr>
        <w:rPr>
          <w:color w:val="auto"/>
          <w:highlight w:val="none"/>
        </w:rPr>
      </w:pPr>
    </w:p>
    <w:p w14:paraId="49DEC328">
      <w:pPr>
        <w:rPr>
          <w:color w:val="auto"/>
          <w:highlight w:val="none"/>
        </w:rPr>
      </w:pPr>
    </w:p>
    <w:p w14:paraId="593184D3">
      <w:pPr>
        <w:rPr>
          <w:color w:val="auto"/>
          <w:highlight w:val="none"/>
        </w:rPr>
      </w:pPr>
    </w:p>
    <w:p w14:paraId="633C2A18">
      <w:pPr>
        <w:rPr>
          <w:color w:val="auto"/>
          <w:highlight w:val="none"/>
        </w:rPr>
      </w:pPr>
    </w:p>
    <w:p w14:paraId="40B3EC3F">
      <w:pPr>
        <w:rPr>
          <w:color w:val="auto"/>
          <w:highlight w:val="none"/>
        </w:rPr>
      </w:pPr>
    </w:p>
    <w:p w14:paraId="219ECE44">
      <w:pPr>
        <w:rPr>
          <w:color w:val="auto"/>
          <w:highlight w:val="none"/>
        </w:rPr>
      </w:pPr>
    </w:p>
    <w:p w14:paraId="4F60EAB8">
      <w:pPr>
        <w:rPr>
          <w:color w:val="auto"/>
          <w:highlight w:val="none"/>
        </w:rPr>
      </w:pPr>
    </w:p>
    <w:p w14:paraId="05D678DB">
      <w:pPr>
        <w:rPr>
          <w:color w:val="auto"/>
          <w:highlight w:val="none"/>
        </w:rPr>
      </w:pPr>
    </w:p>
    <w:p w14:paraId="0BD9D382">
      <w:pPr>
        <w:rPr>
          <w:color w:val="auto"/>
          <w:highlight w:val="none"/>
        </w:rPr>
      </w:pPr>
    </w:p>
    <w:p w14:paraId="3861B0E7">
      <w:pPr>
        <w:rPr>
          <w:color w:val="auto"/>
          <w:highlight w:val="none"/>
        </w:rPr>
      </w:pPr>
    </w:p>
    <w:p w14:paraId="2BB1642C">
      <w:pPr>
        <w:rPr>
          <w:color w:val="auto"/>
          <w:highlight w:val="none"/>
        </w:rPr>
      </w:pPr>
    </w:p>
    <w:p w14:paraId="7AC4DADE">
      <w:pPr>
        <w:pStyle w:val="6"/>
        <w:rPr>
          <w:color w:val="auto"/>
          <w:highlight w:val="none"/>
        </w:rPr>
      </w:pPr>
      <w:bookmarkStart w:id="1488" w:name="_Toc10781"/>
      <w:bookmarkStart w:id="1489" w:name="_Toc16513"/>
      <w:r>
        <w:rPr>
          <w:rFonts w:hint="eastAsia"/>
          <w:color w:val="auto"/>
          <w:highlight w:val="none"/>
        </w:rPr>
        <w:t>第十二部分 投标文件（如有）</w:t>
      </w:r>
      <w:bookmarkEnd w:id="1488"/>
      <w:bookmarkEnd w:id="1489"/>
    </w:p>
    <w:p w14:paraId="220C60EE">
      <w:pPr>
        <w:rPr>
          <w:color w:val="auto"/>
          <w:highlight w:val="none"/>
        </w:rPr>
      </w:pPr>
    </w:p>
    <w:p w14:paraId="753C16F5">
      <w:pPr>
        <w:jc w:val="center"/>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另册</w:t>
      </w:r>
    </w:p>
    <w:p w14:paraId="16D93413">
      <w:pPr>
        <w:rPr>
          <w:color w:val="auto"/>
          <w:highlight w:val="none"/>
        </w:rPr>
        <w:sectPr>
          <w:footerReference r:id="rId10" w:type="default"/>
          <w:pgSz w:w="11850" w:h="16783"/>
          <w:pgMar w:top="1440" w:right="1531" w:bottom="1440" w:left="1531" w:header="851" w:footer="992" w:gutter="0"/>
          <w:pgBorders>
            <w:top w:val="none" w:sz="0" w:space="0"/>
            <w:left w:val="none" w:sz="0" w:space="0"/>
            <w:bottom w:val="none" w:sz="0" w:space="0"/>
            <w:right w:val="none" w:sz="0" w:space="0"/>
          </w:pgBorders>
          <w:cols w:space="425" w:num="1"/>
          <w:docGrid w:type="lines" w:linePitch="312" w:charSpace="0"/>
        </w:sectPr>
      </w:pPr>
    </w:p>
    <w:p w14:paraId="02B17ACA">
      <w:pPr>
        <w:pStyle w:val="6"/>
        <w:rPr>
          <w:color w:val="auto"/>
          <w:highlight w:val="none"/>
        </w:rPr>
      </w:pPr>
      <w:bookmarkStart w:id="1490" w:name="_Toc11257"/>
      <w:bookmarkStart w:id="1491" w:name="_Toc19435"/>
      <w:bookmarkStart w:id="1492" w:name="_Toc31042"/>
      <w:bookmarkStart w:id="1493" w:name="_Toc10994"/>
      <w:bookmarkStart w:id="1494" w:name="_Toc15157"/>
      <w:r>
        <w:rPr>
          <w:rFonts w:hint="eastAsia"/>
          <w:color w:val="auto"/>
          <w:highlight w:val="none"/>
        </w:rPr>
        <w:t>第十三部分 其他合同文件</w:t>
      </w:r>
      <w:bookmarkEnd w:id="1490"/>
      <w:bookmarkEnd w:id="1491"/>
      <w:bookmarkEnd w:id="1492"/>
      <w:bookmarkEnd w:id="1493"/>
      <w:bookmarkEnd w:id="1494"/>
    </w:p>
    <w:p w14:paraId="078C4969">
      <w:pPr>
        <w:rPr>
          <w:color w:val="auto"/>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2B84391B">
      <w:pPr>
        <w:jc w:val="left"/>
        <w:outlineLvl w:val="0"/>
        <w:rPr>
          <w:rFonts w:ascii="黑体" w:hAnsi="黑体" w:eastAsia="黑体" w:cs="黑体"/>
          <w:b/>
          <w:bCs/>
          <w:color w:val="auto"/>
          <w:sz w:val="36"/>
          <w:szCs w:val="36"/>
          <w:highlight w:val="none"/>
        </w:rPr>
      </w:pPr>
      <w:bookmarkStart w:id="1495" w:name="_Toc31034"/>
      <w:bookmarkStart w:id="1496" w:name="_Toc14577"/>
      <w:bookmarkStart w:id="1497" w:name="_Toc15734"/>
      <w:bookmarkStart w:id="1498" w:name="_Toc359"/>
      <w:bookmarkStart w:id="1499" w:name="_Toc10512"/>
      <w:bookmarkStart w:id="1500" w:name="_Toc26151"/>
      <w:bookmarkStart w:id="1501" w:name="_Toc23130"/>
      <w:bookmarkStart w:id="1502" w:name="_Toc28407"/>
      <w:r>
        <w:rPr>
          <w:rFonts w:hint="eastAsia" w:ascii="黑体" w:hAnsi="黑体" w:eastAsia="黑体" w:cs="黑体"/>
          <w:b/>
          <w:bCs/>
          <w:color w:val="auto"/>
          <w:sz w:val="36"/>
          <w:szCs w:val="36"/>
          <w:highlight w:val="none"/>
        </w:rPr>
        <w:t>附件1.                    合同范本修改对比表</w:t>
      </w:r>
      <w:bookmarkEnd w:id="1495"/>
      <w:bookmarkEnd w:id="1496"/>
      <w:bookmarkEnd w:id="1497"/>
      <w:bookmarkEnd w:id="1498"/>
      <w:bookmarkEnd w:id="1499"/>
      <w:bookmarkEnd w:id="1500"/>
      <w:bookmarkEnd w:id="1501"/>
      <w:bookmarkEnd w:id="1502"/>
    </w:p>
    <w:tbl>
      <w:tblPr>
        <w:tblStyle w:val="36"/>
        <w:tblW w:w="998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5"/>
        <w:gridCol w:w="1048"/>
        <w:gridCol w:w="2825"/>
        <w:gridCol w:w="2462"/>
        <w:gridCol w:w="1463"/>
        <w:gridCol w:w="1287"/>
      </w:tblGrid>
      <w:tr w14:paraId="25B7C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980" w:type="dxa"/>
            <w:gridSpan w:val="6"/>
            <w:vAlign w:val="center"/>
          </w:tcPr>
          <w:p w14:paraId="076ACCE7">
            <w:pPr>
              <w:widowControl/>
              <w:adjustRightInd w:val="0"/>
              <w:snapToGrid w:val="0"/>
              <w:jc w:val="center"/>
              <w:rPr>
                <w:rFonts w:ascii="仿宋_GB2312" w:hAnsi="Courier New" w:eastAsia="仿宋_GB2312" w:cs="Courier New"/>
                <w:b/>
                <w:bCs/>
                <w:color w:val="auto"/>
                <w:kern w:val="0"/>
                <w:sz w:val="32"/>
                <w:szCs w:val="32"/>
                <w:highlight w:val="none"/>
              </w:rPr>
            </w:pPr>
            <w:r>
              <w:rPr>
                <w:rFonts w:hint="eastAsia" w:ascii="仿宋_GB2312" w:hAnsi="Courier New" w:eastAsia="仿宋_GB2312" w:cs="Courier New"/>
                <w:b/>
                <w:bCs/>
                <w:color w:val="auto"/>
                <w:kern w:val="0"/>
                <w:sz w:val="32"/>
                <w:szCs w:val="32"/>
                <w:highlight w:val="none"/>
                <w:u w:val="single"/>
              </w:rPr>
              <w:t xml:space="preserve">  </w:t>
            </w:r>
            <w:r>
              <w:rPr>
                <w:rFonts w:hint="eastAsia" w:ascii="黑体" w:hAnsi="黑体" w:eastAsia="黑体" w:cs="黑体"/>
                <w:b/>
                <w:bCs/>
                <w:color w:val="auto"/>
                <w:sz w:val="36"/>
                <w:szCs w:val="36"/>
                <w:highlight w:val="none"/>
                <w:u w:val="single"/>
              </w:rPr>
              <w:t xml:space="preserve">房地产开发项目设计合同 </w:t>
            </w:r>
            <w:r>
              <w:rPr>
                <w:rFonts w:hint="eastAsia" w:ascii="仿宋_GB2312" w:hAnsi="Courier New" w:eastAsia="仿宋_GB2312" w:cs="Courier New"/>
                <w:b/>
                <w:bCs/>
                <w:color w:val="auto"/>
                <w:kern w:val="0"/>
                <w:sz w:val="32"/>
                <w:szCs w:val="32"/>
                <w:highlight w:val="none"/>
              </w:rPr>
              <w:t>范本修改对比表</w:t>
            </w:r>
          </w:p>
        </w:tc>
      </w:tr>
      <w:tr w14:paraId="58739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980" w:type="dxa"/>
            <w:gridSpan w:val="6"/>
            <w:vAlign w:val="center"/>
          </w:tcPr>
          <w:p w14:paraId="5B2F5074">
            <w:pPr>
              <w:widowControl/>
              <w:adjustRightInd w:val="0"/>
              <w:snapToGrid w:val="0"/>
              <w:jc w:val="left"/>
              <w:rPr>
                <w:rFonts w:ascii="仿宋_GB2312" w:hAnsi="宋体" w:eastAsia="仿宋_GB2312" w:cs="宋体"/>
                <w:color w:val="auto"/>
                <w:kern w:val="0"/>
                <w:sz w:val="28"/>
                <w:szCs w:val="28"/>
                <w:highlight w:val="none"/>
              </w:rPr>
            </w:pPr>
            <w:r>
              <w:rPr>
                <w:rFonts w:hint="eastAsia" w:ascii="仿宋_GB2312" w:hAnsi="宋体" w:eastAsia="仿宋_GB2312" w:cs="宋体"/>
                <w:color w:val="auto"/>
                <w:kern w:val="0"/>
                <w:sz w:val="28"/>
                <w:szCs w:val="28"/>
                <w:highlight w:val="none"/>
              </w:rPr>
              <w:t>合同名称：《            》</w:t>
            </w:r>
          </w:p>
        </w:tc>
      </w:tr>
      <w:tr w14:paraId="655F5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95" w:type="dxa"/>
            <w:vAlign w:val="center"/>
          </w:tcPr>
          <w:p w14:paraId="377B47C5">
            <w:pPr>
              <w:widowControl/>
              <w:adjustRightInd w:val="0"/>
              <w:snapToGrid w:val="0"/>
              <w:jc w:val="center"/>
              <w:rPr>
                <w:rFonts w:ascii="仿宋_GB2312" w:hAnsi="宋体" w:eastAsia="仿宋_GB2312" w:cs="宋体"/>
                <w:b/>
                <w:bCs/>
                <w:color w:val="auto"/>
                <w:kern w:val="0"/>
                <w:sz w:val="28"/>
                <w:szCs w:val="28"/>
                <w:highlight w:val="none"/>
              </w:rPr>
            </w:pPr>
            <w:r>
              <w:rPr>
                <w:rFonts w:hint="eastAsia" w:ascii="仿宋_GB2312" w:hAnsi="宋体" w:eastAsia="仿宋_GB2312" w:cs="宋体"/>
                <w:b/>
                <w:bCs/>
                <w:color w:val="auto"/>
                <w:kern w:val="0"/>
                <w:sz w:val="28"/>
                <w:szCs w:val="28"/>
                <w:highlight w:val="none"/>
              </w:rPr>
              <w:t>序号</w:t>
            </w:r>
          </w:p>
        </w:tc>
        <w:tc>
          <w:tcPr>
            <w:tcW w:w="1048" w:type="dxa"/>
            <w:vAlign w:val="center"/>
          </w:tcPr>
          <w:p w14:paraId="7B36F02F">
            <w:pPr>
              <w:widowControl/>
              <w:adjustRightInd w:val="0"/>
              <w:snapToGrid w:val="0"/>
              <w:jc w:val="center"/>
              <w:rPr>
                <w:rFonts w:ascii="仿宋_GB2312" w:hAnsi="宋体" w:eastAsia="仿宋_GB2312" w:cs="宋体"/>
                <w:b/>
                <w:bCs/>
                <w:color w:val="auto"/>
                <w:kern w:val="0"/>
                <w:sz w:val="28"/>
                <w:szCs w:val="28"/>
                <w:highlight w:val="none"/>
              </w:rPr>
            </w:pPr>
            <w:r>
              <w:rPr>
                <w:rFonts w:hint="eastAsia" w:ascii="仿宋_GB2312" w:hAnsi="宋体" w:eastAsia="仿宋_GB2312" w:cs="宋体"/>
                <w:b/>
                <w:bCs/>
                <w:color w:val="auto"/>
                <w:kern w:val="0"/>
                <w:sz w:val="28"/>
                <w:szCs w:val="28"/>
                <w:highlight w:val="none"/>
              </w:rPr>
              <w:t>条款号</w:t>
            </w:r>
          </w:p>
        </w:tc>
        <w:tc>
          <w:tcPr>
            <w:tcW w:w="2825" w:type="dxa"/>
            <w:vAlign w:val="center"/>
          </w:tcPr>
          <w:p w14:paraId="7F58A178">
            <w:pPr>
              <w:widowControl/>
              <w:adjustRightInd w:val="0"/>
              <w:snapToGrid w:val="0"/>
              <w:jc w:val="center"/>
              <w:rPr>
                <w:rFonts w:ascii="仿宋_GB2312" w:hAnsi="宋体" w:eastAsia="仿宋_GB2312" w:cs="宋体"/>
                <w:b/>
                <w:bCs/>
                <w:color w:val="auto"/>
                <w:kern w:val="0"/>
                <w:sz w:val="28"/>
                <w:szCs w:val="28"/>
                <w:highlight w:val="none"/>
              </w:rPr>
            </w:pPr>
            <w:r>
              <w:rPr>
                <w:rFonts w:hint="eastAsia" w:ascii="仿宋_GB2312" w:hAnsi="宋体" w:eastAsia="仿宋_GB2312" w:cs="宋体"/>
                <w:b/>
                <w:bCs/>
                <w:color w:val="auto"/>
                <w:kern w:val="0"/>
                <w:sz w:val="28"/>
                <w:szCs w:val="28"/>
                <w:highlight w:val="none"/>
              </w:rPr>
              <w:t>原条款</w:t>
            </w:r>
          </w:p>
        </w:tc>
        <w:tc>
          <w:tcPr>
            <w:tcW w:w="2462" w:type="dxa"/>
            <w:vAlign w:val="center"/>
          </w:tcPr>
          <w:p w14:paraId="7E84728C">
            <w:pPr>
              <w:widowControl/>
              <w:adjustRightInd w:val="0"/>
              <w:snapToGrid w:val="0"/>
              <w:jc w:val="center"/>
              <w:rPr>
                <w:rFonts w:ascii="仿宋_GB2312" w:hAnsi="宋体" w:eastAsia="仿宋_GB2312" w:cs="宋体"/>
                <w:b/>
                <w:bCs/>
                <w:color w:val="auto"/>
                <w:kern w:val="0"/>
                <w:sz w:val="28"/>
                <w:szCs w:val="28"/>
                <w:highlight w:val="none"/>
              </w:rPr>
            </w:pPr>
            <w:r>
              <w:rPr>
                <w:rFonts w:hint="eastAsia" w:ascii="仿宋_GB2312" w:hAnsi="宋体" w:eastAsia="仿宋_GB2312" w:cs="宋体"/>
                <w:b/>
                <w:bCs/>
                <w:color w:val="auto"/>
                <w:kern w:val="0"/>
                <w:sz w:val="28"/>
                <w:szCs w:val="28"/>
                <w:highlight w:val="none"/>
              </w:rPr>
              <w:t>修改后条款</w:t>
            </w:r>
          </w:p>
        </w:tc>
        <w:tc>
          <w:tcPr>
            <w:tcW w:w="1463" w:type="dxa"/>
            <w:vAlign w:val="center"/>
          </w:tcPr>
          <w:p w14:paraId="49E9CBA0">
            <w:pPr>
              <w:widowControl/>
              <w:adjustRightInd w:val="0"/>
              <w:snapToGrid w:val="0"/>
              <w:jc w:val="center"/>
              <w:rPr>
                <w:rFonts w:ascii="仿宋_GB2312" w:hAnsi="宋体" w:eastAsia="仿宋_GB2312" w:cs="宋体"/>
                <w:b/>
                <w:bCs/>
                <w:color w:val="auto"/>
                <w:kern w:val="0"/>
                <w:sz w:val="28"/>
                <w:szCs w:val="28"/>
                <w:highlight w:val="none"/>
              </w:rPr>
            </w:pPr>
            <w:r>
              <w:rPr>
                <w:rFonts w:hint="eastAsia" w:ascii="仿宋_GB2312" w:hAnsi="宋体" w:eastAsia="仿宋_GB2312" w:cs="宋体"/>
                <w:b/>
                <w:bCs/>
                <w:color w:val="auto"/>
                <w:kern w:val="0"/>
                <w:sz w:val="28"/>
                <w:szCs w:val="28"/>
                <w:highlight w:val="none"/>
              </w:rPr>
              <w:t>修改原因</w:t>
            </w:r>
          </w:p>
        </w:tc>
        <w:tc>
          <w:tcPr>
            <w:tcW w:w="1287" w:type="dxa"/>
            <w:vAlign w:val="center"/>
          </w:tcPr>
          <w:p w14:paraId="0D6CC73D">
            <w:pPr>
              <w:widowControl/>
              <w:adjustRightInd w:val="0"/>
              <w:snapToGrid w:val="0"/>
              <w:jc w:val="center"/>
              <w:rPr>
                <w:rFonts w:ascii="仿宋_GB2312" w:hAnsi="宋体" w:eastAsia="仿宋_GB2312" w:cs="宋体"/>
                <w:b/>
                <w:bCs/>
                <w:color w:val="auto"/>
                <w:kern w:val="0"/>
                <w:sz w:val="28"/>
                <w:szCs w:val="28"/>
                <w:highlight w:val="none"/>
              </w:rPr>
            </w:pPr>
            <w:r>
              <w:rPr>
                <w:rFonts w:hint="eastAsia" w:ascii="仿宋_GB2312" w:hAnsi="宋体" w:eastAsia="仿宋_GB2312" w:cs="宋体"/>
                <w:b/>
                <w:bCs/>
                <w:color w:val="auto"/>
                <w:kern w:val="0"/>
                <w:sz w:val="28"/>
                <w:szCs w:val="28"/>
                <w:highlight w:val="none"/>
              </w:rPr>
              <w:t>备注</w:t>
            </w:r>
          </w:p>
        </w:tc>
      </w:tr>
      <w:tr w14:paraId="79069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95" w:type="dxa"/>
            <w:vAlign w:val="center"/>
          </w:tcPr>
          <w:p w14:paraId="393B8277">
            <w:pPr>
              <w:keepNext/>
              <w:keepLines/>
              <w:widowControl/>
              <w:adjustRightInd w:val="0"/>
              <w:snapToGrid w:val="0"/>
              <w:jc w:val="center"/>
              <w:rPr>
                <w:rFonts w:ascii="仿宋_GB2312" w:eastAsia="仿宋_GB2312" w:cs="Calibri"/>
                <w:color w:val="auto"/>
                <w:kern w:val="0"/>
                <w:sz w:val="28"/>
                <w:szCs w:val="28"/>
                <w:highlight w:val="none"/>
              </w:rPr>
            </w:pPr>
          </w:p>
        </w:tc>
        <w:tc>
          <w:tcPr>
            <w:tcW w:w="1048" w:type="dxa"/>
            <w:vAlign w:val="center"/>
          </w:tcPr>
          <w:p w14:paraId="6BF32FAF">
            <w:pPr>
              <w:keepNext/>
              <w:keepLines/>
              <w:widowControl/>
              <w:adjustRightInd w:val="0"/>
              <w:snapToGrid w:val="0"/>
              <w:jc w:val="center"/>
              <w:rPr>
                <w:rFonts w:ascii="仿宋_GB2312" w:hAnsi="宋体" w:eastAsia="仿宋_GB2312" w:cs="宋体"/>
                <w:color w:val="auto"/>
                <w:kern w:val="0"/>
                <w:sz w:val="28"/>
                <w:szCs w:val="28"/>
                <w:highlight w:val="none"/>
              </w:rPr>
            </w:pPr>
          </w:p>
        </w:tc>
        <w:tc>
          <w:tcPr>
            <w:tcW w:w="2825" w:type="dxa"/>
            <w:vAlign w:val="center"/>
          </w:tcPr>
          <w:p w14:paraId="53758378">
            <w:pPr>
              <w:keepNext/>
              <w:keepLines/>
              <w:widowControl/>
              <w:adjustRightInd w:val="0"/>
              <w:snapToGrid w:val="0"/>
              <w:jc w:val="center"/>
              <w:rPr>
                <w:rFonts w:ascii="仿宋_GB2312" w:eastAsia="仿宋_GB2312" w:cs="Calibri"/>
                <w:color w:val="auto"/>
                <w:kern w:val="0"/>
                <w:sz w:val="28"/>
                <w:szCs w:val="28"/>
                <w:highlight w:val="none"/>
              </w:rPr>
            </w:pPr>
          </w:p>
        </w:tc>
        <w:tc>
          <w:tcPr>
            <w:tcW w:w="2462" w:type="dxa"/>
            <w:vAlign w:val="center"/>
          </w:tcPr>
          <w:p w14:paraId="376924E3">
            <w:pPr>
              <w:keepNext/>
              <w:keepLines/>
              <w:widowControl/>
              <w:adjustRightInd w:val="0"/>
              <w:snapToGrid w:val="0"/>
              <w:jc w:val="center"/>
              <w:rPr>
                <w:rFonts w:ascii="仿宋_GB2312" w:eastAsia="仿宋_GB2312" w:cs="Calibri"/>
                <w:color w:val="auto"/>
                <w:kern w:val="0"/>
                <w:sz w:val="28"/>
                <w:szCs w:val="28"/>
                <w:highlight w:val="none"/>
              </w:rPr>
            </w:pPr>
          </w:p>
        </w:tc>
        <w:tc>
          <w:tcPr>
            <w:tcW w:w="1463" w:type="dxa"/>
            <w:vAlign w:val="center"/>
          </w:tcPr>
          <w:p w14:paraId="59A144C8">
            <w:pPr>
              <w:keepNext/>
              <w:keepLines/>
              <w:widowControl/>
              <w:tabs>
                <w:tab w:val="center" w:pos="4153"/>
                <w:tab w:val="right" w:pos="8306"/>
              </w:tabs>
              <w:adjustRightInd w:val="0"/>
              <w:snapToGrid w:val="0"/>
              <w:jc w:val="center"/>
              <w:rPr>
                <w:rFonts w:ascii="仿宋_GB2312" w:hAnsi="宋体" w:eastAsia="仿宋_GB2312" w:cs="宋体"/>
                <w:color w:val="auto"/>
                <w:kern w:val="0"/>
                <w:sz w:val="28"/>
                <w:szCs w:val="28"/>
                <w:highlight w:val="none"/>
              </w:rPr>
            </w:pPr>
          </w:p>
        </w:tc>
        <w:tc>
          <w:tcPr>
            <w:tcW w:w="1287" w:type="dxa"/>
            <w:vAlign w:val="center"/>
          </w:tcPr>
          <w:p w14:paraId="7A183E05">
            <w:pPr>
              <w:keepNext/>
              <w:keepLines/>
              <w:widowControl/>
              <w:tabs>
                <w:tab w:val="center" w:pos="4153"/>
                <w:tab w:val="right" w:pos="8306"/>
              </w:tabs>
              <w:adjustRightInd w:val="0"/>
              <w:snapToGrid w:val="0"/>
              <w:jc w:val="center"/>
              <w:rPr>
                <w:rFonts w:ascii="仿宋_GB2312" w:hAnsi="宋体" w:eastAsia="仿宋_GB2312" w:cs="宋体"/>
                <w:color w:val="auto"/>
                <w:kern w:val="0"/>
                <w:sz w:val="28"/>
                <w:szCs w:val="28"/>
                <w:highlight w:val="none"/>
              </w:rPr>
            </w:pPr>
          </w:p>
        </w:tc>
      </w:tr>
      <w:tr w14:paraId="7C116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95" w:type="dxa"/>
            <w:vAlign w:val="center"/>
          </w:tcPr>
          <w:p w14:paraId="6F937EE4">
            <w:pPr>
              <w:keepNext/>
              <w:keepLines/>
              <w:widowControl/>
              <w:adjustRightInd w:val="0"/>
              <w:snapToGrid w:val="0"/>
              <w:jc w:val="center"/>
              <w:rPr>
                <w:rFonts w:ascii="仿宋_GB2312" w:eastAsia="仿宋_GB2312" w:cs="Calibri"/>
                <w:color w:val="auto"/>
                <w:kern w:val="0"/>
                <w:sz w:val="28"/>
                <w:szCs w:val="28"/>
                <w:highlight w:val="none"/>
              </w:rPr>
            </w:pPr>
          </w:p>
        </w:tc>
        <w:tc>
          <w:tcPr>
            <w:tcW w:w="1048" w:type="dxa"/>
            <w:vAlign w:val="center"/>
          </w:tcPr>
          <w:p w14:paraId="60B25830">
            <w:pPr>
              <w:keepNext/>
              <w:keepLines/>
              <w:widowControl/>
              <w:adjustRightInd w:val="0"/>
              <w:snapToGrid w:val="0"/>
              <w:jc w:val="center"/>
              <w:rPr>
                <w:rFonts w:ascii="仿宋_GB2312" w:hAnsi="宋体" w:eastAsia="仿宋_GB2312" w:cs="宋体"/>
                <w:color w:val="auto"/>
                <w:kern w:val="0"/>
                <w:sz w:val="28"/>
                <w:szCs w:val="28"/>
                <w:highlight w:val="none"/>
              </w:rPr>
            </w:pPr>
          </w:p>
        </w:tc>
        <w:tc>
          <w:tcPr>
            <w:tcW w:w="2825" w:type="dxa"/>
            <w:vAlign w:val="center"/>
          </w:tcPr>
          <w:p w14:paraId="074C9348">
            <w:pPr>
              <w:keepNext/>
              <w:keepLines/>
              <w:widowControl/>
              <w:adjustRightInd w:val="0"/>
              <w:snapToGrid w:val="0"/>
              <w:jc w:val="center"/>
              <w:rPr>
                <w:rFonts w:ascii="仿宋_GB2312" w:eastAsia="仿宋_GB2312" w:cs="Calibri"/>
                <w:color w:val="auto"/>
                <w:kern w:val="0"/>
                <w:sz w:val="28"/>
                <w:szCs w:val="28"/>
                <w:highlight w:val="none"/>
              </w:rPr>
            </w:pPr>
          </w:p>
        </w:tc>
        <w:tc>
          <w:tcPr>
            <w:tcW w:w="2462" w:type="dxa"/>
            <w:vAlign w:val="center"/>
          </w:tcPr>
          <w:p w14:paraId="6A9995B3">
            <w:pPr>
              <w:keepNext/>
              <w:keepLines/>
              <w:widowControl/>
              <w:adjustRightInd w:val="0"/>
              <w:snapToGrid w:val="0"/>
              <w:jc w:val="center"/>
              <w:rPr>
                <w:rFonts w:ascii="仿宋_GB2312" w:eastAsia="仿宋_GB2312" w:cs="Calibri"/>
                <w:color w:val="auto"/>
                <w:kern w:val="0"/>
                <w:sz w:val="28"/>
                <w:szCs w:val="28"/>
                <w:highlight w:val="none"/>
              </w:rPr>
            </w:pPr>
          </w:p>
        </w:tc>
        <w:tc>
          <w:tcPr>
            <w:tcW w:w="1463" w:type="dxa"/>
            <w:vAlign w:val="center"/>
          </w:tcPr>
          <w:p w14:paraId="537BA59E">
            <w:pPr>
              <w:keepNext/>
              <w:keepLines/>
              <w:widowControl/>
              <w:tabs>
                <w:tab w:val="center" w:pos="4153"/>
                <w:tab w:val="right" w:pos="8306"/>
              </w:tabs>
              <w:adjustRightInd w:val="0"/>
              <w:snapToGrid w:val="0"/>
              <w:jc w:val="center"/>
              <w:rPr>
                <w:rFonts w:ascii="仿宋_GB2312" w:hAnsi="宋体" w:eastAsia="仿宋_GB2312" w:cs="宋体"/>
                <w:color w:val="auto"/>
                <w:kern w:val="0"/>
                <w:sz w:val="28"/>
                <w:szCs w:val="28"/>
                <w:highlight w:val="none"/>
              </w:rPr>
            </w:pPr>
          </w:p>
        </w:tc>
        <w:tc>
          <w:tcPr>
            <w:tcW w:w="1287" w:type="dxa"/>
            <w:vAlign w:val="center"/>
          </w:tcPr>
          <w:p w14:paraId="4C001C80">
            <w:pPr>
              <w:keepNext/>
              <w:keepLines/>
              <w:widowControl/>
              <w:tabs>
                <w:tab w:val="center" w:pos="4153"/>
                <w:tab w:val="right" w:pos="8306"/>
              </w:tabs>
              <w:adjustRightInd w:val="0"/>
              <w:snapToGrid w:val="0"/>
              <w:jc w:val="center"/>
              <w:rPr>
                <w:rFonts w:ascii="仿宋_GB2312" w:hAnsi="宋体" w:eastAsia="仿宋_GB2312" w:cs="宋体"/>
                <w:color w:val="auto"/>
                <w:kern w:val="0"/>
                <w:sz w:val="28"/>
                <w:szCs w:val="28"/>
                <w:highlight w:val="none"/>
              </w:rPr>
            </w:pPr>
          </w:p>
        </w:tc>
      </w:tr>
      <w:tr w14:paraId="1BE4E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95" w:type="dxa"/>
            <w:vAlign w:val="center"/>
          </w:tcPr>
          <w:p w14:paraId="18E48D67">
            <w:pPr>
              <w:keepNext/>
              <w:keepLines/>
              <w:widowControl/>
              <w:adjustRightInd w:val="0"/>
              <w:snapToGrid w:val="0"/>
              <w:jc w:val="center"/>
              <w:rPr>
                <w:rFonts w:ascii="仿宋_GB2312" w:eastAsia="仿宋_GB2312" w:cs="Calibri"/>
                <w:color w:val="auto"/>
                <w:kern w:val="0"/>
                <w:sz w:val="28"/>
                <w:szCs w:val="28"/>
                <w:highlight w:val="none"/>
              </w:rPr>
            </w:pPr>
          </w:p>
        </w:tc>
        <w:tc>
          <w:tcPr>
            <w:tcW w:w="1048" w:type="dxa"/>
            <w:vAlign w:val="center"/>
          </w:tcPr>
          <w:p w14:paraId="19687938">
            <w:pPr>
              <w:keepNext/>
              <w:keepLines/>
              <w:widowControl/>
              <w:adjustRightInd w:val="0"/>
              <w:snapToGrid w:val="0"/>
              <w:jc w:val="center"/>
              <w:rPr>
                <w:rFonts w:ascii="仿宋_GB2312" w:hAnsi="宋体" w:eastAsia="仿宋_GB2312" w:cs="宋体"/>
                <w:color w:val="auto"/>
                <w:kern w:val="0"/>
                <w:sz w:val="28"/>
                <w:szCs w:val="28"/>
                <w:highlight w:val="none"/>
              </w:rPr>
            </w:pPr>
          </w:p>
        </w:tc>
        <w:tc>
          <w:tcPr>
            <w:tcW w:w="2825" w:type="dxa"/>
            <w:vAlign w:val="center"/>
          </w:tcPr>
          <w:p w14:paraId="07BDDE89">
            <w:pPr>
              <w:keepNext/>
              <w:keepLines/>
              <w:widowControl/>
              <w:adjustRightInd w:val="0"/>
              <w:snapToGrid w:val="0"/>
              <w:jc w:val="center"/>
              <w:rPr>
                <w:rFonts w:ascii="仿宋_GB2312" w:eastAsia="仿宋_GB2312" w:cs="Calibri"/>
                <w:color w:val="auto"/>
                <w:kern w:val="0"/>
                <w:sz w:val="28"/>
                <w:szCs w:val="28"/>
                <w:highlight w:val="none"/>
              </w:rPr>
            </w:pPr>
          </w:p>
        </w:tc>
        <w:tc>
          <w:tcPr>
            <w:tcW w:w="2462" w:type="dxa"/>
            <w:vAlign w:val="center"/>
          </w:tcPr>
          <w:p w14:paraId="645E9390">
            <w:pPr>
              <w:keepNext/>
              <w:keepLines/>
              <w:widowControl/>
              <w:adjustRightInd w:val="0"/>
              <w:snapToGrid w:val="0"/>
              <w:jc w:val="center"/>
              <w:rPr>
                <w:rFonts w:ascii="仿宋_GB2312" w:eastAsia="仿宋_GB2312" w:cs="Calibri"/>
                <w:color w:val="auto"/>
                <w:kern w:val="0"/>
                <w:sz w:val="28"/>
                <w:szCs w:val="28"/>
                <w:highlight w:val="none"/>
              </w:rPr>
            </w:pPr>
          </w:p>
        </w:tc>
        <w:tc>
          <w:tcPr>
            <w:tcW w:w="1463" w:type="dxa"/>
            <w:vAlign w:val="center"/>
          </w:tcPr>
          <w:p w14:paraId="75500CB7">
            <w:pPr>
              <w:keepNext/>
              <w:keepLines/>
              <w:widowControl/>
              <w:tabs>
                <w:tab w:val="center" w:pos="4153"/>
                <w:tab w:val="right" w:pos="8306"/>
              </w:tabs>
              <w:adjustRightInd w:val="0"/>
              <w:snapToGrid w:val="0"/>
              <w:jc w:val="center"/>
              <w:rPr>
                <w:rFonts w:ascii="仿宋_GB2312" w:hAnsi="宋体" w:eastAsia="仿宋_GB2312" w:cs="宋体"/>
                <w:color w:val="auto"/>
                <w:kern w:val="0"/>
                <w:sz w:val="28"/>
                <w:szCs w:val="28"/>
                <w:highlight w:val="none"/>
              </w:rPr>
            </w:pPr>
          </w:p>
        </w:tc>
        <w:tc>
          <w:tcPr>
            <w:tcW w:w="1287" w:type="dxa"/>
            <w:vAlign w:val="center"/>
          </w:tcPr>
          <w:p w14:paraId="6084DDA2">
            <w:pPr>
              <w:keepNext/>
              <w:keepLines/>
              <w:widowControl/>
              <w:tabs>
                <w:tab w:val="center" w:pos="4153"/>
                <w:tab w:val="right" w:pos="8306"/>
              </w:tabs>
              <w:adjustRightInd w:val="0"/>
              <w:snapToGrid w:val="0"/>
              <w:jc w:val="center"/>
              <w:rPr>
                <w:rFonts w:ascii="仿宋_GB2312" w:hAnsi="宋体" w:eastAsia="仿宋_GB2312" w:cs="宋体"/>
                <w:color w:val="auto"/>
                <w:kern w:val="0"/>
                <w:sz w:val="28"/>
                <w:szCs w:val="28"/>
                <w:highlight w:val="none"/>
              </w:rPr>
            </w:pPr>
          </w:p>
        </w:tc>
      </w:tr>
      <w:tr w14:paraId="70C26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95" w:type="dxa"/>
            <w:vAlign w:val="center"/>
          </w:tcPr>
          <w:p w14:paraId="114C0721">
            <w:pPr>
              <w:widowControl/>
              <w:adjustRightInd w:val="0"/>
              <w:snapToGrid w:val="0"/>
              <w:jc w:val="center"/>
              <w:rPr>
                <w:rFonts w:ascii="仿宋_GB2312" w:eastAsia="仿宋_GB2312" w:cs="Calibri"/>
                <w:color w:val="auto"/>
                <w:kern w:val="0"/>
                <w:sz w:val="28"/>
                <w:szCs w:val="28"/>
                <w:highlight w:val="none"/>
              </w:rPr>
            </w:pPr>
          </w:p>
        </w:tc>
        <w:tc>
          <w:tcPr>
            <w:tcW w:w="1048" w:type="dxa"/>
            <w:vAlign w:val="center"/>
          </w:tcPr>
          <w:p w14:paraId="2BEC0CFB">
            <w:pPr>
              <w:widowControl/>
              <w:adjustRightInd w:val="0"/>
              <w:snapToGrid w:val="0"/>
              <w:jc w:val="center"/>
              <w:rPr>
                <w:rFonts w:ascii="仿宋_GB2312" w:eastAsia="仿宋_GB2312" w:cs="Calibri"/>
                <w:color w:val="auto"/>
                <w:kern w:val="0"/>
                <w:sz w:val="28"/>
                <w:szCs w:val="28"/>
                <w:highlight w:val="none"/>
              </w:rPr>
            </w:pPr>
          </w:p>
        </w:tc>
        <w:tc>
          <w:tcPr>
            <w:tcW w:w="2825" w:type="dxa"/>
            <w:vAlign w:val="center"/>
          </w:tcPr>
          <w:p w14:paraId="31DF7C89">
            <w:pPr>
              <w:widowControl/>
              <w:adjustRightInd w:val="0"/>
              <w:snapToGrid w:val="0"/>
              <w:jc w:val="center"/>
              <w:rPr>
                <w:rFonts w:ascii="仿宋_GB2312" w:eastAsia="仿宋_GB2312" w:cs="Calibri"/>
                <w:color w:val="auto"/>
                <w:kern w:val="0"/>
                <w:sz w:val="28"/>
                <w:szCs w:val="28"/>
                <w:highlight w:val="none"/>
              </w:rPr>
            </w:pPr>
          </w:p>
        </w:tc>
        <w:tc>
          <w:tcPr>
            <w:tcW w:w="2462" w:type="dxa"/>
            <w:vAlign w:val="center"/>
          </w:tcPr>
          <w:p w14:paraId="0D23FFD2">
            <w:pPr>
              <w:widowControl/>
              <w:adjustRightInd w:val="0"/>
              <w:snapToGrid w:val="0"/>
              <w:jc w:val="center"/>
              <w:rPr>
                <w:rFonts w:ascii="仿宋_GB2312" w:eastAsia="仿宋_GB2312" w:cs="Calibri"/>
                <w:color w:val="auto"/>
                <w:kern w:val="0"/>
                <w:sz w:val="28"/>
                <w:szCs w:val="28"/>
                <w:highlight w:val="none"/>
              </w:rPr>
            </w:pPr>
          </w:p>
        </w:tc>
        <w:tc>
          <w:tcPr>
            <w:tcW w:w="1463" w:type="dxa"/>
            <w:vAlign w:val="center"/>
          </w:tcPr>
          <w:p w14:paraId="6000FF65">
            <w:pPr>
              <w:widowControl/>
              <w:adjustRightInd w:val="0"/>
              <w:snapToGrid w:val="0"/>
              <w:jc w:val="center"/>
              <w:rPr>
                <w:rFonts w:ascii="仿宋_GB2312" w:eastAsia="仿宋_GB2312" w:cs="Calibri"/>
                <w:color w:val="auto"/>
                <w:kern w:val="0"/>
                <w:sz w:val="28"/>
                <w:szCs w:val="28"/>
                <w:highlight w:val="none"/>
              </w:rPr>
            </w:pPr>
          </w:p>
        </w:tc>
        <w:tc>
          <w:tcPr>
            <w:tcW w:w="1287" w:type="dxa"/>
            <w:vAlign w:val="center"/>
          </w:tcPr>
          <w:p w14:paraId="01AD6310">
            <w:pPr>
              <w:widowControl/>
              <w:adjustRightInd w:val="0"/>
              <w:snapToGrid w:val="0"/>
              <w:jc w:val="center"/>
              <w:rPr>
                <w:rFonts w:ascii="仿宋_GB2312" w:eastAsia="仿宋_GB2312" w:cs="Calibri"/>
                <w:color w:val="auto"/>
                <w:kern w:val="0"/>
                <w:sz w:val="28"/>
                <w:szCs w:val="28"/>
                <w:highlight w:val="none"/>
              </w:rPr>
            </w:pPr>
          </w:p>
        </w:tc>
      </w:tr>
      <w:tr w14:paraId="3E38E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980" w:type="dxa"/>
            <w:gridSpan w:val="6"/>
            <w:vAlign w:val="center"/>
          </w:tcPr>
          <w:p w14:paraId="247179C2">
            <w:pPr>
              <w:widowControl/>
              <w:adjustRightInd w:val="0"/>
              <w:snapToGrid w:val="0"/>
              <w:jc w:val="center"/>
              <w:rPr>
                <w:rFonts w:ascii="仿宋_GB2312" w:hAnsi="宋体" w:eastAsia="仿宋_GB2312" w:cs="宋体"/>
                <w:color w:val="auto"/>
                <w:kern w:val="0"/>
                <w:sz w:val="28"/>
                <w:szCs w:val="28"/>
                <w:highlight w:val="none"/>
              </w:rPr>
            </w:pPr>
            <w:r>
              <w:rPr>
                <w:rFonts w:hint="eastAsia" w:ascii="仿宋_GB2312" w:hAnsi="宋体" w:eastAsia="仿宋_GB2312" w:cs="宋体"/>
                <w:color w:val="auto"/>
                <w:kern w:val="0"/>
                <w:sz w:val="28"/>
                <w:szCs w:val="28"/>
                <w:highlight w:val="none"/>
              </w:rPr>
              <w:t xml:space="preserve">经办人：           </w:t>
            </w:r>
            <w:r>
              <w:rPr>
                <w:rFonts w:ascii="仿宋_GB2312" w:hAnsi="宋体" w:eastAsia="仿宋_GB2312" w:cs="宋体"/>
                <w:color w:val="auto"/>
                <w:kern w:val="0"/>
                <w:sz w:val="28"/>
                <w:szCs w:val="28"/>
                <w:highlight w:val="none"/>
              </w:rPr>
              <w:t xml:space="preserve"> </w:t>
            </w:r>
            <w:r>
              <w:rPr>
                <w:rFonts w:hint="eastAsia" w:ascii="仿宋_GB2312" w:hAnsi="宋体" w:eastAsia="仿宋_GB2312" w:cs="宋体"/>
                <w:color w:val="auto"/>
                <w:kern w:val="0"/>
                <w:sz w:val="28"/>
                <w:szCs w:val="28"/>
                <w:highlight w:val="none"/>
              </w:rPr>
              <w:t>审核人：                部门负责人：</w:t>
            </w:r>
          </w:p>
        </w:tc>
      </w:tr>
      <w:tr w14:paraId="6D5B8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2" w:hRule="atLeast"/>
        </w:trPr>
        <w:tc>
          <w:tcPr>
            <w:tcW w:w="9980" w:type="dxa"/>
            <w:gridSpan w:val="6"/>
            <w:vAlign w:val="center"/>
          </w:tcPr>
          <w:p w14:paraId="044C2921">
            <w:pPr>
              <w:widowControl/>
              <w:adjustRightInd w:val="0"/>
              <w:snapToGrid w:val="0"/>
              <w:ind w:firstLine="560" w:firstLineChars="200"/>
              <w:rPr>
                <w:rFonts w:ascii="仿宋_GB2312" w:hAnsi="宋体" w:eastAsia="仿宋_GB2312" w:cs="宋体"/>
                <w:color w:val="auto"/>
                <w:kern w:val="0"/>
                <w:sz w:val="28"/>
                <w:szCs w:val="28"/>
                <w:highlight w:val="none"/>
              </w:rPr>
            </w:pPr>
            <w:r>
              <w:rPr>
                <w:rFonts w:hint="eastAsia" w:ascii="仿宋_GB2312" w:hAnsi="仿宋_GB2312" w:eastAsia="仿宋_GB2312" w:cs="仿宋_GB2312"/>
                <w:color w:val="auto"/>
                <w:kern w:val="0"/>
                <w:sz w:val="28"/>
                <w:szCs w:val="28"/>
                <w:highlight w:val="none"/>
              </w:rPr>
              <w:t>注：在编制</w:t>
            </w:r>
            <w:r>
              <w:rPr>
                <w:rFonts w:hint="eastAsia" w:ascii="仿宋_GB2312" w:hAnsi="仿宋_GB2312" w:eastAsia="仿宋_GB2312" w:cs="仿宋_GB2312"/>
                <w:color w:val="auto"/>
                <w:kern w:val="0"/>
                <w:sz w:val="28"/>
                <w:szCs w:val="28"/>
                <w:highlight w:val="none"/>
                <w:u w:val="single"/>
              </w:rPr>
              <w:t xml:space="preserve">      合同</w:t>
            </w:r>
            <w:r>
              <w:rPr>
                <w:rFonts w:hint="eastAsia" w:ascii="仿宋_GB2312" w:hAnsi="仿宋_GB2312" w:eastAsia="仿宋_GB2312" w:cs="仿宋_GB2312"/>
                <w:color w:val="auto"/>
                <w:kern w:val="0"/>
                <w:sz w:val="28"/>
                <w:szCs w:val="28"/>
                <w:highlight w:val="none"/>
              </w:rPr>
              <w:t>文件时，依据现行范本编制协议的，需要修改的条款、原因及建议尽量详细，如尚未确定修改的具体建议，可以将修改的方向或思路列明在修改建议项目中，该对比表必须详细、准确。</w:t>
            </w:r>
          </w:p>
        </w:tc>
      </w:tr>
    </w:tbl>
    <w:p w14:paraId="63CD983F">
      <w:pPr>
        <w:tabs>
          <w:tab w:val="left" w:pos="1134"/>
          <w:tab w:val="left" w:pos="8364"/>
        </w:tabs>
        <w:spacing w:before="0"/>
        <w:ind w:left="0" w:right="-57" w:firstLine="0"/>
        <w:rPr>
          <w:rFonts w:hint="eastAsia" w:ascii="宋体" w:hAnsi="宋体"/>
          <w:color w:val="auto"/>
          <w:highlight w:val="none"/>
        </w:rPr>
      </w:pPr>
    </w:p>
    <w:p w14:paraId="79EB8CFE">
      <w:pPr>
        <w:pStyle w:val="6"/>
        <w:pageBreakBefore/>
        <w:ind w:right="-57"/>
        <w:jc w:val="center"/>
        <w:rPr>
          <w:rStyle w:val="54"/>
          <w:rFonts w:hint="eastAsia" w:ascii="宋体" w:hAnsi="宋体" w:eastAsia="宋体"/>
          <w:b/>
          <w:bCs/>
          <w:color w:val="auto"/>
          <w:highlight w:val="none"/>
        </w:rPr>
      </w:pPr>
      <w:bookmarkStart w:id="1503" w:name="_Toc31873"/>
      <w:bookmarkStart w:id="1504" w:name="_Toc13167"/>
      <w:bookmarkStart w:id="1505" w:name="_Toc11320"/>
      <w:bookmarkStart w:id="1506" w:name="_Toc30920"/>
      <w:bookmarkStart w:id="1507" w:name="_Toc4374"/>
      <w:bookmarkStart w:id="1508" w:name="_Toc29546"/>
      <w:bookmarkStart w:id="1509" w:name="_Toc4807"/>
      <w:bookmarkStart w:id="1510" w:name="_Toc17261"/>
      <w:bookmarkStart w:id="1511" w:name="_Toc25306"/>
      <w:bookmarkStart w:id="1512" w:name="_Toc6151"/>
      <w:bookmarkStart w:id="1513" w:name="_Toc31574"/>
      <w:bookmarkStart w:id="1514" w:name="_Toc28285"/>
      <w:bookmarkStart w:id="1515" w:name="_Toc21689"/>
      <w:bookmarkStart w:id="1516" w:name="_Toc27263"/>
      <w:bookmarkStart w:id="1517" w:name="_Toc28677"/>
      <w:bookmarkStart w:id="1518" w:name="_Toc17396"/>
      <w:bookmarkStart w:id="1519" w:name="_Toc32011"/>
      <w:bookmarkStart w:id="1520" w:name="_Toc14790"/>
      <w:r>
        <w:rPr>
          <w:rStyle w:val="54"/>
          <w:rFonts w:hint="eastAsia" w:ascii="宋体" w:hAnsi="宋体" w:eastAsia="宋体"/>
          <w:b/>
          <w:bCs/>
          <w:color w:val="auto"/>
          <w:highlight w:val="none"/>
        </w:rPr>
        <w:t>第四章</w:t>
      </w:r>
      <w:r>
        <w:rPr>
          <w:rStyle w:val="54"/>
          <w:rFonts w:hint="eastAsia" w:ascii="宋体" w:hAnsi="宋体"/>
          <w:b/>
          <w:bCs/>
          <w:color w:val="auto"/>
          <w:highlight w:val="none"/>
        </w:rPr>
        <w:t xml:space="preserve">  </w:t>
      </w:r>
      <w:r>
        <w:rPr>
          <w:rStyle w:val="54"/>
          <w:rFonts w:hint="eastAsia" w:ascii="宋体" w:hAnsi="宋体" w:eastAsia="宋体"/>
          <w:b/>
          <w:bCs/>
          <w:color w:val="auto"/>
          <w:highlight w:val="none"/>
        </w:rPr>
        <w:t>比选申请文件格式</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p>
    <w:p w14:paraId="5C8CDEFD">
      <w:pPr>
        <w:pStyle w:val="6"/>
        <w:spacing w:after="100"/>
        <w:ind w:right="-57" w:firstLine="0"/>
        <w:jc w:val="center"/>
        <w:rPr>
          <w:color w:val="auto"/>
          <w:sz w:val="24"/>
          <w:szCs w:val="24"/>
          <w:highlight w:val="none"/>
        </w:rPr>
      </w:pPr>
      <w:bookmarkStart w:id="1521" w:name="_Toc7409"/>
      <w:bookmarkStart w:id="1522" w:name="_Toc12531"/>
      <w:bookmarkStart w:id="1523" w:name="_Toc114134662"/>
      <w:bookmarkStart w:id="1524" w:name="_Toc31535"/>
      <w:bookmarkStart w:id="1525" w:name="_Toc30705"/>
      <w:bookmarkStart w:id="1526" w:name="_Toc3396"/>
      <w:bookmarkStart w:id="1527" w:name="_Toc361"/>
      <w:bookmarkStart w:id="1528" w:name="_Toc22709"/>
      <w:bookmarkStart w:id="1529" w:name="_Toc4873"/>
      <w:bookmarkStart w:id="1530" w:name="_Toc32185"/>
      <w:bookmarkStart w:id="1531" w:name="_Toc31624"/>
      <w:bookmarkStart w:id="1532" w:name="_Toc12984805"/>
      <w:bookmarkStart w:id="1533" w:name="_Toc414290520"/>
      <w:bookmarkStart w:id="1534" w:name="_Toc12983549"/>
      <w:bookmarkStart w:id="1535" w:name="_Toc24824"/>
      <w:bookmarkStart w:id="1536" w:name="_Toc16671"/>
      <w:bookmarkStart w:id="1537" w:name="_Toc25325"/>
      <w:bookmarkStart w:id="1538" w:name="_Toc4027"/>
      <w:bookmarkStart w:id="1539" w:name="_Toc21274"/>
      <w:bookmarkStart w:id="1540" w:name="_Toc24453"/>
      <w:bookmarkStart w:id="1541" w:name="_Toc492478802"/>
      <w:bookmarkStart w:id="1542" w:name="_Toc23261"/>
      <w:bookmarkStart w:id="1543" w:name="_Toc19412"/>
      <w:bookmarkStart w:id="1544" w:name="_Toc6941"/>
      <w:r>
        <w:rPr>
          <w:color w:val="auto"/>
          <w:sz w:val="24"/>
          <w:szCs w:val="24"/>
          <w:highlight w:val="none"/>
        </w:rPr>
        <w:t>A  资格审查</w:t>
      </w:r>
      <w:r>
        <w:rPr>
          <w:rFonts w:hint="eastAsia"/>
          <w:color w:val="auto"/>
          <w:sz w:val="24"/>
          <w:szCs w:val="24"/>
          <w:highlight w:val="none"/>
        </w:rPr>
        <w:t>文件</w:t>
      </w:r>
      <w:bookmarkEnd w:id="1521"/>
      <w:bookmarkEnd w:id="1522"/>
      <w:bookmarkEnd w:id="1523"/>
    </w:p>
    <w:p w14:paraId="23536D59">
      <w:pPr>
        <w:spacing w:before="0" w:after="0" w:afterAutospacing="0"/>
        <w:ind w:left="0" w:right="0" w:firstLine="422" w:firstLineChars="200"/>
        <w:jc w:val="left"/>
        <w:rPr>
          <w:rFonts w:hint="eastAsia" w:ascii="宋体" w:hAnsi="宋体"/>
          <w:b/>
          <w:color w:val="auto"/>
          <w:highlight w:val="none"/>
        </w:rPr>
      </w:pPr>
      <w:r>
        <w:rPr>
          <w:rFonts w:ascii="宋体" w:hAnsi="宋体"/>
          <w:b/>
          <w:color w:val="auto"/>
          <w:highlight w:val="none"/>
        </w:rPr>
        <w:t>资格审查文件格式</w:t>
      </w:r>
    </w:p>
    <w:p w14:paraId="5296B637">
      <w:pPr>
        <w:tabs>
          <w:tab w:val="left" w:pos="1134"/>
        </w:tabs>
        <w:spacing w:before="0" w:after="0" w:afterAutospacing="0"/>
        <w:ind w:left="0" w:right="0" w:firstLine="420" w:firstLineChars="200"/>
        <w:rPr>
          <w:color w:val="auto"/>
          <w:highlight w:val="none"/>
        </w:rPr>
      </w:pPr>
      <w:r>
        <w:rPr>
          <w:rFonts w:hint="eastAsia" w:hAnsi="宋体"/>
          <w:color w:val="auto"/>
          <w:highlight w:val="none"/>
        </w:rPr>
        <w:t>（1）法定代表人授权书（格式见A1）及法定代表人资格证明书（如无授权时，只需提供法定代表人资格证明书，格式见A2），法定代表人及被授权人身份证复印件；</w:t>
      </w:r>
    </w:p>
    <w:p w14:paraId="7AD92F5F">
      <w:pPr>
        <w:tabs>
          <w:tab w:val="left" w:pos="1134"/>
        </w:tabs>
        <w:spacing w:before="0" w:after="0" w:afterAutospacing="0"/>
        <w:ind w:left="0" w:right="0" w:firstLine="420" w:firstLineChars="200"/>
        <w:rPr>
          <w:color w:val="auto"/>
          <w:highlight w:val="none"/>
        </w:rPr>
      </w:pPr>
      <w:r>
        <w:rPr>
          <w:rFonts w:hint="eastAsia" w:hAnsi="宋体"/>
          <w:color w:val="auto"/>
          <w:highlight w:val="none"/>
        </w:rPr>
        <w:t>（2）</w:t>
      </w:r>
      <w:r>
        <w:rPr>
          <w:rFonts w:hint="eastAsia"/>
          <w:color w:val="auto"/>
          <w:highlight w:val="none"/>
        </w:rPr>
        <w:t>比选申请人有效的营业执照</w:t>
      </w:r>
      <w:r>
        <w:rPr>
          <w:rFonts w:hint="eastAsia"/>
          <w:color w:val="auto"/>
          <w:highlight w:val="none"/>
          <w:lang w:eastAsia="zh-CN"/>
        </w:rPr>
        <w:t>、资质证书、认定证书等</w:t>
      </w:r>
      <w:r>
        <w:rPr>
          <w:rFonts w:hint="eastAsia"/>
          <w:color w:val="auto"/>
          <w:highlight w:val="none"/>
        </w:rPr>
        <w:t>复印件</w:t>
      </w:r>
      <w:r>
        <w:rPr>
          <w:rFonts w:hint="eastAsia" w:hAnsi="宋体"/>
          <w:color w:val="auto"/>
          <w:highlight w:val="none"/>
        </w:rPr>
        <w:t>；</w:t>
      </w:r>
    </w:p>
    <w:p w14:paraId="78FB5614">
      <w:pPr>
        <w:spacing w:before="0" w:after="0" w:afterAutospacing="0"/>
        <w:ind w:left="0" w:right="0" w:firstLine="420" w:firstLineChars="200"/>
        <w:rPr>
          <w:rFonts w:hint="eastAsia" w:hAnsi="宋体"/>
          <w:color w:val="auto"/>
          <w:highlight w:val="none"/>
        </w:rPr>
      </w:pPr>
      <w:r>
        <w:rPr>
          <w:rFonts w:hint="eastAsia" w:hAnsi="宋体"/>
          <w:color w:val="auto"/>
          <w:highlight w:val="none"/>
        </w:rPr>
        <w:t>（3）</w:t>
      </w:r>
      <w:r>
        <w:rPr>
          <w:rFonts w:hAnsi="宋体"/>
          <w:color w:val="auto"/>
          <w:highlight w:val="none"/>
        </w:rPr>
        <w:t>承诺书（格式见</w:t>
      </w:r>
      <w:r>
        <w:rPr>
          <w:color w:val="auto"/>
          <w:highlight w:val="none"/>
        </w:rPr>
        <w:t>A</w:t>
      </w:r>
      <w:r>
        <w:rPr>
          <w:rFonts w:hint="eastAsia"/>
          <w:color w:val="auto"/>
          <w:highlight w:val="none"/>
        </w:rPr>
        <w:t>3</w:t>
      </w:r>
      <w:r>
        <w:rPr>
          <w:rFonts w:hAnsi="宋体"/>
          <w:color w:val="auto"/>
          <w:highlight w:val="none"/>
        </w:rPr>
        <w:t>）；</w:t>
      </w:r>
    </w:p>
    <w:p w14:paraId="121F73D6">
      <w:pPr>
        <w:spacing w:before="0" w:after="0" w:afterAutospacing="0" w:line="276" w:lineRule="auto"/>
        <w:ind w:left="0" w:right="0" w:firstLine="420" w:firstLineChars="200"/>
        <w:rPr>
          <w:rFonts w:hint="eastAsia" w:ascii="Times New Roman" w:hAnsi="Times New Roman" w:eastAsia="宋体" w:cs="Times New Roman"/>
          <w:color w:val="auto"/>
          <w:highlight w:val="none"/>
          <w:lang w:eastAsia="zh-CN"/>
        </w:rPr>
      </w:pPr>
      <w:r>
        <w:rPr>
          <w:rFonts w:hint="eastAsia" w:ascii="Times New Roman" w:hAnsi="Times New Roman" w:cs="Times New Roman"/>
          <w:color w:val="auto"/>
          <w:highlight w:val="none"/>
          <w:lang w:eastAsia="zh-CN"/>
        </w:rPr>
        <w:t>（</w:t>
      </w:r>
      <w:r>
        <w:rPr>
          <w:rFonts w:hint="eastAsia" w:ascii="Times New Roman" w:hAnsi="Times New Roman" w:cs="Times New Roman"/>
          <w:color w:val="auto"/>
          <w:highlight w:val="none"/>
          <w:lang w:val="en-US" w:eastAsia="zh-CN"/>
        </w:rPr>
        <w:t>4</w:t>
      </w:r>
      <w:r>
        <w:rPr>
          <w:rFonts w:hint="eastAsia" w:ascii="Times New Roman" w:hAnsi="Times New Roman" w:cs="Times New Roman"/>
          <w:color w:val="auto"/>
          <w:highlight w:val="none"/>
          <w:lang w:eastAsia="zh-CN"/>
        </w:rPr>
        <w:t>）项目类似业绩表（</w:t>
      </w:r>
      <w:r>
        <w:rPr>
          <w:rFonts w:hint="eastAsia" w:ascii="Times New Roman" w:hAnsi="Times New Roman" w:cs="Times New Roman"/>
          <w:color w:val="auto"/>
          <w:highlight w:val="none"/>
          <w:lang w:val="en-US" w:eastAsia="zh-CN"/>
        </w:rPr>
        <w:t>A4</w:t>
      </w:r>
      <w:r>
        <w:rPr>
          <w:rFonts w:hint="eastAsia" w:ascii="Times New Roman" w:hAnsi="Times New Roman" w:cs="Times New Roman"/>
          <w:color w:val="auto"/>
          <w:highlight w:val="none"/>
          <w:lang w:eastAsia="zh-CN"/>
        </w:rPr>
        <w:t>）</w:t>
      </w:r>
    </w:p>
    <w:p w14:paraId="41AC88E9">
      <w:pPr>
        <w:spacing w:before="0" w:after="0" w:afterAutospacing="0" w:line="276" w:lineRule="auto"/>
        <w:ind w:left="0" w:right="0" w:firstLine="420" w:firstLineChars="200"/>
        <w:rPr>
          <w:rFonts w:hint="eastAsia" w:ascii="Times New Roman" w:hAnsi="Times New Roman" w:eastAsia="宋体" w:cs="Times New Roman"/>
          <w:color w:val="auto"/>
          <w:highlight w:val="none"/>
          <w:lang w:val="en-US" w:eastAsia="zh-CN"/>
        </w:rPr>
      </w:pPr>
      <w:r>
        <w:rPr>
          <w:rFonts w:hint="eastAsia"/>
          <w:color w:val="auto"/>
          <w:highlight w:val="none"/>
          <w:lang w:eastAsia="zh-CN"/>
        </w:rPr>
        <w:t>（</w:t>
      </w:r>
      <w:r>
        <w:rPr>
          <w:rFonts w:hint="eastAsia"/>
          <w:color w:val="auto"/>
          <w:highlight w:val="none"/>
          <w:lang w:val="en-US" w:eastAsia="zh-CN"/>
        </w:rPr>
        <w:t>5</w:t>
      </w:r>
      <w:r>
        <w:rPr>
          <w:rFonts w:hint="eastAsia"/>
          <w:color w:val="auto"/>
          <w:highlight w:val="none"/>
          <w:lang w:eastAsia="zh-CN"/>
        </w:rPr>
        <w:t>）</w:t>
      </w:r>
      <w:r>
        <w:rPr>
          <w:rFonts w:hint="eastAsia"/>
          <w:color w:val="auto"/>
          <w:highlight w:val="none"/>
          <w:lang w:val="en-US" w:eastAsia="zh-CN"/>
        </w:rPr>
        <w:t>项目负责人业绩证明材料</w:t>
      </w:r>
      <w:r>
        <w:rPr>
          <w:rFonts w:hint="eastAsia" w:ascii="Times New Roman" w:hAnsi="Times New Roman" w:eastAsia="宋体" w:cs="Times New Roman"/>
          <w:color w:val="auto"/>
          <w:highlight w:val="none"/>
          <w:lang w:val="en-US" w:eastAsia="zh-CN"/>
        </w:rPr>
        <w:t>：提供下述材料之一即可：①合同文件；②方案文本案例。所提供的材料须能明确反映类似项目特征，复印件加盖比选申请人公章</w:t>
      </w:r>
      <w:r>
        <w:rPr>
          <w:rFonts w:hint="eastAsia" w:ascii="Times New Roman" w:hAnsi="Times New Roman" w:cs="Times New Roman"/>
          <w:color w:val="auto"/>
          <w:highlight w:val="none"/>
          <w:lang w:eastAsia="zh-CN"/>
        </w:rPr>
        <w:t>（</w:t>
      </w:r>
      <w:r>
        <w:rPr>
          <w:rFonts w:hint="eastAsia" w:ascii="Times New Roman" w:hAnsi="Times New Roman" w:cs="Times New Roman"/>
          <w:color w:val="auto"/>
          <w:highlight w:val="none"/>
          <w:lang w:val="en-US" w:eastAsia="zh-CN"/>
        </w:rPr>
        <w:t>A5</w:t>
      </w:r>
      <w:r>
        <w:rPr>
          <w:rFonts w:hint="eastAsia" w:ascii="Times New Roman" w:hAnsi="Times New Roman" w:cs="Times New Roman"/>
          <w:color w:val="auto"/>
          <w:highlight w:val="none"/>
          <w:lang w:eastAsia="zh-CN"/>
        </w:rPr>
        <w:t>）</w:t>
      </w:r>
      <w:r>
        <w:rPr>
          <w:rFonts w:hint="eastAsia" w:ascii="Times New Roman" w:hAnsi="Times New Roman" w:eastAsia="宋体" w:cs="Times New Roman"/>
          <w:color w:val="auto"/>
          <w:highlight w:val="none"/>
          <w:lang w:val="en-US" w:eastAsia="zh-CN"/>
        </w:rPr>
        <w:t>。</w:t>
      </w:r>
    </w:p>
    <w:p w14:paraId="06EA6758">
      <w:pPr>
        <w:spacing w:before="0" w:after="0" w:afterAutospacing="0"/>
        <w:ind w:left="0" w:right="0" w:firstLine="420" w:firstLineChars="200"/>
        <w:rPr>
          <w:color w:val="auto"/>
          <w:highlight w:val="none"/>
        </w:rPr>
      </w:pPr>
      <w:r>
        <w:rPr>
          <w:rFonts w:hint="eastAsia"/>
          <w:color w:val="auto"/>
          <w:highlight w:val="none"/>
        </w:rPr>
        <w:t>（</w:t>
      </w:r>
      <w:r>
        <w:rPr>
          <w:rFonts w:hint="eastAsia"/>
          <w:color w:val="auto"/>
          <w:highlight w:val="none"/>
          <w:lang w:val="en-US" w:eastAsia="zh-CN"/>
        </w:rPr>
        <w:t>6</w:t>
      </w:r>
      <w:r>
        <w:rPr>
          <w:rFonts w:hint="eastAsia"/>
          <w:color w:val="auto"/>
          <w:highlight w:val="none"/>
        </w:rPr>
        <w:t>）比选申请人认为应提交的其他比选申请资料（如有</w:t>
      </w:r>
      <w:r>
        <w:rPr>
          <w:rFonts w:hint="eastAsia"/>
          <w:color w:val="auto"/>
          <w:highlight w:val="none"/>
          <w:lang w:eastAsia="zh-CN"/>
        </w:rPr>
        <w:t>）</w:t>
      </w:r>
      <w:r>
        <w:rPr>
          <w:rFonts w:hint="eastAsia" w:hAnsi="宋体"/>
          <w:color w:val="auto"/>
          <w:highlight w:val="none"/>
        </w:rPr>
        <w:t>。</w:t>
      </w:r>
    </w:p>
    <w:p w14:paraId="698B4347">
      <w:pPr>
        <w:spacing w:before="0" w:after="0" w:afterAutospacing="0"/>
        <w:ind w:left="0" w:right="0" w:firstLine="420" w:firstLineChars="200"/>
        <w:rPr>
          <w:rFonts w:hint="eastAsia" w:hAnsi="宋体"/>
          <w:color w:val="auto"/>
          <w:highlight w:val="none"/>
        </w:rPr>
      </w:pPr>
      <w:r>
        <w:rPr>
          <w:rFonts w:hint="eastAsia" w:hAnsi="宋体"/>
          <w:color w:val="auto"/>
          <w:highlight w:val="none"/>
        </w:rPr>
        <w:t>注：</w:t>
      </w:r>
      <w:r>
        <w:rPr>
          <w:rFonts w:hAnsi="宋体"/>
          <w:color w:val="auto"/>
          <w:highlight w:val="none"/>
        </w:rPr>
        <w:t>以上提供的复印件必须加盖比选申请人公章。</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1EA0F05C">
      <w:pPr>
        <w:spacing w:before="0" w:after="0" w:afterAutospacing="0"/>
        <w:ind w:left="0" w:right="0" w:firstLine="420" w:firstLineChars="200"/>
        <w:rPr>
          <w:rFonts w:hint="eastAsia" w:hAnsi="宋体"/>
          <w:color w:val="auto"/>
          <w:highlight w:val="none"/>
        </w:rPr>
        <w:sectPr>
          <w:footerReference r:id="rId11" w:type="default"/>
          <w:pgSz w:w="11905" w:h="16838"/>
          <w:pgMar w:top="1417" w:right="1417" w:bottom="1417" w:left="1417" w:header="454" w:footer="567" w:gutter="0"/>
          <w:pgBorders>
            <w:top w:val="none" w:sz="0" w:space="0"/>
            <w:left w:val="none" w:sz="0" w:space="0"/>
            <w:bottom w:val="none" w:sz="0" w:space="0"/>
            <w:right w:val="none" w:sz="0" w:space="0"/>
          </w:pgBorders>
          <w:cols w:space="720" w:num="1"/>
          <w:docGrid w:linePitch="312" w:charSpace="0"/>
        </w:sectPr>
      </w:pPr>
    </w:p>
    <w:p w14:paraId="1F31ACAD">
      <w:pPr>
        <w:snapToGrid w:val="0"/>
        <w:spacing w:before="0" w:line="240" w:lineRule="auto"/>
        <w:ind w:left="0" w:right="0" w:firstLine="0"/>
        <w:jc w:val="left"/>
        <w:outlineLvl w:val="0"/>
        <w:rPr>
          <w:rFonts w:hint="eastAsia" w:ascii="宋体" w:hAnsi="宋体"/>
          <w:b/>
          <w:color w:val="auto"/>
          <w:highlight w:val="none"/>
        </w:rPr>
      </w:pPr>
      <w:bookmarkStart w:id="1545" w:name="_Toc10789"/>
      <w:bookmarkStart w:id="1546" w:name="_Toc114134663"/>
      <w:bookmarkStart w:id="1547" w:name="_Toc9658"/>
      <w:bookmarkStart w:id="1548" w:name="_Toc7057"/>
      <w:bookmarkStart w:id="1549" w:name="_Toc13389"/>
      <w:bookmarkStart w:id="1550" w:name="_Toc15696"/>
      <w:bookmarkStart w:id="1551" w:name="_Toc12984807"/>
      <w:bookmarkStart w:id="1552" w:name="_Toc956"/>
      <w:bookmarkStart w:id="1553" w:name="_Toc375564351"/>
      <w:bookmarkStart w:id="1554" w:name="_Toc22533"/>
      <w:bookmarkStart w:id="1555" w:name="_Toc32455"/>
      <w:bookmarkStart w:id="1556" w:name="_Toc24436"/>
      <w:bookmarkStart w:id="1557" w:name="_Toc10433"/>
      <w:bookmarkStart w:id="1558" w:name="_Toc13270"/>
      <w:bookmarkStart w:id="1559" w:name="_Toc3499"/>
      <w:bookmarkStart w:id="1560" w:name="_Toc20029"/>
      <w:bookmarkStart w:id="1561" w:name="_Toc10238"/>
      <w:bookmarkStart w:id="1562" w:name="_Toc20283"/>
      <w:bookmarkStart w:id="1563" w:name="_Toc492478804"/>
      <w:bookmarkStart w:id="1564" w:name="_Toc20671"/>
      <w:bookmarkStart w:id="1565" w:name="_Toc25750675"/>
      <w:bookmarkStart w:id="1566" w:name="_Toc4125"/>
      <w:bookmarkStart w:id="1567" w:name="_Toc414290522"/>
      <w:bookmarkStart w:id="1568" w:name="_Toc8868"/>
      <w:bookmarkStart w:id="1569" w:name="_Toc16089"/>
      <w:bookmarkStart w:id="1570" w:name="_Toc29100"/>
      <w:r>
        <w:rPr>
          <w:rFonts w:hint="eastAsia" w:ascii="宋体" w:hAnsi="宋体"/>
          <w:b/>
          <w:color w:val="auto"/>
          <w:highlight w:val="none"/>
        </w:rPr>
        <w:t>A1</w:t>
      </w:r>
      <w:r>
        <w:rPr>
          <w:rFonts w:ascii="宋体" w:hAnsi="宋体"/>
          <w:b/>
          <w:color w:val="auto"/>
          <w:highlight w:val="none"/>
        </w:rPr>
        <w:t>法定代表人授权书格式</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p>
    <w:p w14:paraId="4FBA259D">
      <w:pPr>
        <w:spacing w:before="240" w:after="240"/>
        <w:ind w:right="0" w:firstLine="0"/>
        <w:jc w:val="center"/>
        <w:rPr>
          <w:rFonts w:hint="eastAsia" w:ascii="宋体" w:hAnsi="宋体"/>
          <w:b/>
          <w:color w:val="auto"/>
          <w:sz w:val="32"/>
          <w:szCs w:val="32"/>
          <w:highlight w:val="none"/>
        </w:rPr>
      </w:pPr>
    </w:p>
    <w:p w14:paraId="3341DDCA">
      <w:pPr>
        <w:spacing w:before="240" w:after="240"/>
        <w:ind w:right="0" w:firstLine="0"/>
        <w:jc w:val="center"/>
        <w:rPr>
          <w:rFonts w:hint="eastAsia" w:ascii="宋体" w:hAnsi="宋体"/>
          <w:b/>
          <w:color w:val="auto"/>
          <w:sz w:val="32"/>
          <w:szCs w:val="32"/>
          <w:highlight w:val="none"/>
        </w:rPr>
      </w:pPr>
      <w:r>
        <w:rPr>
          <w:rFonts w:ascii="宋体" w:hAnsi="宋体"/>
          <w:b/>
          <w:color w:val="auto"/>
          <w:sz w:val="32"/>
          <w:szCs w:val="32"/>
          <w:highlight w:val="none"/>
        </w:rPr>
        <w:t>法定代表人授权书</w:t>
      </w:r>
    </w:p>
    <w:p w14:paraId="00E65B7D">
      <w:pPr>
        <w:tabs>
          <w:tab w:val="left" w:pos="8364"/>
        </w:tabs>
        <w:snapToGrid w:val="0"/>
        <w:ind w:left="500" w:right="0" w:hanging="499"/>
        <w:rPr>
          <w:rFonts w:hint="eastAsia" w:ascii="宋体" w:hAnsi="宋体"/>
          <w:color w:val="auto"/>
          <w:highlight w:val="none"/>
        </w:rPr>
      </w:pPr>
      <w:r>
        <w:rPr>
          <w:rFonts w:ascii="宋体" w:hAnsi="宋体"/>
          <w:color w:val="auto"/>
          <w:highlight w:val="none"/>
        </w:rPr>
        <w:t>致：</w:t>
      </w:r>
      <w:r>
        <w:rPr>
          <w:rFonts w:hint="eastAsia" w:ascii="宋体" w:hAnsi="宋体"/>
          <w:color w:val="auto"/>
          <w:highlight w:val="none"/>
        </w:rPr>
        <w:t>南宁轨道盛拓天和房地产有限公司</w:t>
      </w:r>
    </w:p>
    <w:p w14:paraId="20507A5E">
      <w:pPr>
        <w:tabs>
          <w:tab w:val="left" w:pos="8364"/>
        </w:tabs>
        <w:snapToGrid w:val="0"/>
        <w:ind w:left="497" w:leftChars="200" w:right="0" w:hanging="77" w:hangingChars="37"/>
        <w:rPr>
          <w:rFonts w:hint="eastAsia" w:ascii="宋体" w:hAnsi="宋体"/>
          <w:color w:val="auto"/>
          <w:highlight w:val="none"/>
        </w:rPr>
      </w:pPr>
      <w:r>
        <w:rPr>
          <w:rFonts w:ascii="宋体" w:hAnsi="宋体"/>
          <w:color w:val="auto"/>
          <w:highlight w:val="none"/>
        </w:rPr>
        <w:t>本授权书声明：注册于</w:t>
      </w:r>
      <w:r>
        <w:rPr>
          <w:rFonts w:ascii="宋体" w:hAnsi="宋体"/>
          <w:color w:val="auto"/>
          <w:highlight w:val="none"/>
          <w:u w:val="single"/>
        </w:rPr>
        <w:t>(国家或地区)</w:t>
      </w:r>
      <w:r>
        <w:rPr>
          <w:rFonts w:ascii="宋体" w:hAnsi="宋体"/>
          <w:color w:val="auto"/>
          <w:highlight w:val="none"/>
        </w:rPr>
        <w:t>的</w:t>
      </w:r>
      <w:r>
        <w:rPr>
          <w:rFonts w:ascii="宋体" w:hAnsi="宋体"/>
          <w:color w:val="auto"/>
          <w:highlight w:val="none"/>
          <w:u w:val="single"/>
        </w:rPr>
        <w:t>（比选申请人名称）</w:t>
      </w:r>
      <w:r>
        <w:rPr>
          <w:rFonts w:ascii="宋体" w:hAnsi="宋体"/>
          <w:color w:val="auto"/>
          <w:highlight w:val="none"/>
        </w:rPr>
        <w:t>在下面签字</w:t>
      </w:r>
      <w:r>
        <w:rPr>
          <w:rFonts w:hint="eastAsia" w:ascii="宋体" w:hAnsi="宋体"/>
          <w:color w:val="auto"/>
          <w:highlight w:val="none"/>
        </w:rPr>
        <w:t>或盖章</w:t>
      </w:r>
      <w:r>
        <w:rPr>
          <w:rFonts w:ascii="宋体" w:hAnsi="宋体"/>
          <w:color w:val="auto"/>
          <w:highlight w:val="none"/>
        </w:rPr>
        <w:t>的</w:t>
      </w:r>
      <w:r>
        <w:rPr>
          <w:rFonts w:ascii="宋体" w:hAnsi="宋体"/>
          <w:color w:val="auto"/>
          <w:highlight w:val="none"/>
          <w:u w:val="single"/>
        </w:rPr>
        <w:t>（法定代表人姓名、职务）</w:t>
      </w:r>
      <w:r>
        <w:rPr>
          <w:rFonts w:ascii="宋体" w:hAnsi="宋体"/>
          <w:color w:val="auto"/>
          <w:highlight w:val="none"/>
        </w:rPr>
        <w:t>代表本公司授权在下面签字</w:t>
      </w:r>
      <w:r>
        <w:rPr>
          <w:rFonts w:hint="eastAsia" w:ascii="宋体" w:hAnsi="宋体"/>
          <w:color w:val="auto"/>
          <w:highlight w:val="none"/>
        </w:rPr>
        <w:t>或盖章</w:t>
      </w:r>
      <w:r>
        <w:rPr>
          <w:rFonts w:ascii="宋体" w:hAnsi="宋体"/>
          <w:color w:val="auto"/>
          <w:highlight w:val="none"/>
        </w:rPr>
        <w:t>的</w:t>
      </w:r>
      <w:r>
        <w:rPr>
          <w:rFonts w:ascii="宋体" w:hAnsi="宋体"/>
          <w:color w:val="auto"/>
          <w:highlight w:val="none"/>
          <w:u w:val="single"/>
        </w:rPr>
        <w:t>（被授权人的姓名、职务）</w:t>
      </w:r>
      <w:r>
        <w:rPr>
          <w:rFonts w:ascii="宋体" w:hAnsi="宋体"/>
          <w:color w:val="auto"/>
          <w:highlight w:val="none"/>
        </w:rPr>
        <w:t>为本公司的合法代理人，就</w:t>
      </w:r>
      <w:r>
        <w:rPr>
          <w:rFonts w:ascii="宋体" w:hAnsi="宋体"/>
          <w:color w:val="auto"/>
          <w:highlight w:val="none"/>
          <w:u w:val="single"/>
        </w:rPr>
        <w:t>XXXX</w:t>
      </w:r>
      <w:r>
        <w:rPr>
          <w:rFonts w:ascii="宋体" w:hAnsi="宋体"/>
          <w:color w:val="auto"/>
          <w:highlight w:val="none"/>
        </w:rPr>
        <w:t>项目的比选申请和合同执行，作为比选申请人代表以本公司的名义处理一切与之有关的事宜。</w:t>
      </w:r>
    </w:p>
    <w:p w14:paraId="4A732537">
      <w:pPr>
        <w:tabs>
          <w:tab w:val="left" w:pos="8364"/>
        </w:tabs>
        <w:snapToGrid w:val="0"/>
        <w:ind w:right="0" w:firstLine="200"/>
        <w:rPr>
          <w:rFonts w:hint="eastAsia" w:ascii="宋体" w:hAnsi="宋体"/>
          <w:color w:val="auto"/>
          <w:highlight w:val="none"/>
        </w:rPr>
      </w:pPr>
      <w:r>
        <w:rPr>
          <w:rFonts w:ascii="宋体" w:hAnsi="宋体"/>
          <w:color w:val="auto"/>
          <w:highlight w:val="none"/>
        </w:rPr>
        <w:t>本授权书于年月日签字生效，特此声明。</w:t>
      </w:r>
    </w:p>
    <w:p w14:paraId="3E6795BF">
      <w:pPr>
        <w:tabs>
          <w:tab w:val="left" w:pos="8364"/>
        </w:tabs>
        <w:snapToGrid w:val="0"/>
        <w:ind w:right="0" w:firstLine="200"/>
        <w:rPr>
          <w:rFonts w:hint="eastAsia" w:ascii="宋体" w:hAnsi="宋体"/>
          <w:color w:val="auto"/>
          <w:highlight w:val="none"/>
        </w:rPr>
      </w:pPr>
    </w:p>
    <w:p w14:paraId="26E88B9E">
      <w:pPr>
        <w:tabs>
          <w:tab w:val="left" w:pos="8364"/>
        </w:tabs>
        <w:snapToGrid w:val="0"/>
        <w:ind w:right="0" w:firstLine="200"/>
        <w:rPr>
          <w:rFonts w:hint="eastAsia" w:ascii="宋体" w:hAnsi="宋体"/>
          <w:color w:val="auto"/>
          <w:highlight w:val="none"/>
          <w:u w:val="single"/>
        </w:rPr>
      </w:pPr>
      <w:r>
        <w:rPr>
          <w:rFonts w:ascii="宋体" w:hAnsi="宋体"/>
          <w:color w:val="auto"/>
          <w:highlight w:val="none"/>
        </w:rPr>
        <w:t>法定代表人签字或盖章：</w:t>
      </w:r>
    </w:p>
    <w:p w14:paraId="4240EDF6">
      <w:pPr>
        <w:tabs>
          <w:tab w:val="left" w:pos="8364"/>
        </w:tabs>
        <w:snapToGrid w:val="0"/>
        <w:ind w:right="0" w:firstLine="200"/>
        <w:rPr>
          <w:rFonts w:hint="eastAsia" w:ascii="宋体" w:hAnsi="宋体"/>
          <w:color w:val="auto"/>
          <w:highlight w:val="none"/>
          <w:u w:val="single"/>
        </w:rPr>
      </w:pPr>
      <w:r>
        <w:rPr>
          <w:rFonts w:ascii="宋体" w:hAnsi="宋体"/>
          <w:color w:val="auto"/>
          <w:highlight w:val="none"/>
        </w:rPr>
        <w:t>职务：</w:t>
      </w:r>
    </w:p>
    <w:p w14:paraId="4FF5CDBC">
      <w:pPr>
        <w:tabs>
          <w:tab w:val="left" w:pos="8364"/>
        </w:tabs>
        <w:snapToGrid w:val="0"/>
        <w:ind w:right="0" w:firstLine="200"/>
        <w:rPr>
          <w:rFonts w:hint="eastAsia" w:ascii="宋体" w:hAnsi="宋体"/>
          <w:color w:val="auto"/>
          <w:highlight w:val="none"/>
        </w:rPr>
      </w:pPr>
      <w:r>
        <w:rPr>
          <w:rFonts w:ascii="宋体" w:hAnsi="宋体"/>
          <w:color w:val="auto"/>
          <w:highlight w:val="none"/>
        </w:rPr>
        <w:t>单位名称：</w:t>
      </w:r>
      <w:r>
        <w:rPr>
          <w:rFonts w:ascii="宋体" w:hAnsi="宋体"/>
          <w:color w:val="auto"/>
          <w:highlight w:val="none"/>
          <w:u w:val="single"/>
        </w:rPr>
        <w:t>（公章）</w:t>
      </w:r>
    </w:p>
    <w:p w14:paraId="23E27732">
      <w:pPr>
        <w:tabs>
          <w:tab w:val="left" w:pos="8364"/>
        </w:tabs>
        <w:snapToGrid w:val="0"/>
        <w:ind w:right="0" w:firstLine="200"/>
        <w:rPr>
          <w:rFonts w:hint="eastAsia" w:ascii="宋体" w:hAnsi="宋体"/>
          <w:color w:val="auto"/>
          <w:highlight w:val="none"/>
          <w:u w:val="single"/>
        </w:rPr>
      </w:pPr>
      <w:r>
        <w:rPr>
          <w:rFonts w:ascii="宋体" w:hAnsi="宋体"/>
          <w:color w:val="auto"/>
          <w:highlight w:val="none"/>
        </w:rPr>
        <w:t>地址：</w:t>
      </w:r>
    </w:p>
    <w:p w14:paraId="42038118">
      <w:pPr>
        <w:tabs>
          <w:tab w:val="left" w:pos="8364"/>
        </w:tabs>
        <w:snapToGrid w:val="0"/>
        <w:ind w:right="0" w:firstLine="200"/>
        <w:rPr>
          <w:rFonts w:hint="eastAsia" w:ascii="宋体" w:hAnsi="宋体"/>
          <w:color w:val="auto"/>
          <w:highlight w:val="none"/>
        </w:rPr>
      </w:pPr>
    </w:p>
    <w:p w14:paraId="1B7C5DF2">
      <w:pPr>
        <w:tabs>
          <w:tab w:val="left" w:pos="8364"/>
        </w:tabs>
        <w:snapToGrid w:val="0"/>
        <w:ind w:right="0" w:firstLine="200"/>
        <w:rPr>
          <w:rFonts w:hint="eastAsia" w:ascii="宋体" w:hAnsi="宋体"/>
          <w:color w:val="auto"/>
          <w:highlight w:val="none"/>
          <w:u w:val="single"/>
        </w:rPr>
      </w:pPr>
      <w:r>
        <w:rPr>
          <w:rFonts w:ascii="宋体" w:hAnsi="宋体"/>
          <w:color w:val="auto"/>
          <w:highlight w:val="none"/>
        </w:rPr>
        <w:t>比选申请人代表（被授权人）签字或盖章：</w:t>
      </w:r>
    </w:p>
    <w:p w14:paraId="0D2CD9CB">
      <w:pPr>
        <w:tabs>
          <w:tab w:val="left" w:pos="8364"/>
        </w:tabs>
        <w:snapToGrid w:val="0"/>
        <w:ind w:right="0" w:firstLine="200"/>
        <w:rPr>
          <w:rFonts w:hint="eastAsia" w:ascii="宋体" w:hAnsi="宋体"/>
          <w:color w:val="auto"/>
          <w:highlight w:val="none"/>
          <w:u w:val="single"/>
        </w:rPr>
      </w:pPr>
      <w:r>
        <w:rPr>
          <w:rFonts w:ascii="宋体" w:hAnsi="宋体"/>
          <w:color w:val="auto"/>
          <w:highlight w:val="none"/>
        </w:rPr>
        <w:t>职务：</w:t>
      </w:r>
    </w:p>
    <w:p w14:paraId="0CAC0229">
      <w:pPr>
        <w:tabs>
          <w:tab w:val="left" w:pos="8364"/>
        </w:tabs>
        <w:snapToGrid w:val="0"/>
        <w:ind w:right="0" w:firstLine="200"/>
        <w:rPr>
          <w:rFonts w:hint="eastAsia" w:ascii="宋体" w:hAnsi="宋体"/>
          <w:color w:val="auto"/>
          <w:highlight w:val="none"/>
        </w:rPr>
      </w:pPr>
      <w:r>
        <w:rPr>
          <w:rFonts w:ascii="宋体" w:hAnsi="宋体"/>
          <w:color w:val="auto"/>
          <w:highlight w:val="none"/>
        </w:rPr>
        <w:t>单位名称：</w:t>
      </w:r>
      <w:r>
        <w:rPr>
          <w:rFonts w:ascii="宋体" w:hAnsi="宋体"/>
          <w:color w:val="auto"/>
          <w:highlight w:val="none"/>
          <w:u w:val="single"/>
        </w:rPr>
        <w:t>（公章）</w:t>
      </w:r>
    </w:p>
    <w:p w14:paraId="3DDBA853">
      <w:pPr>
        <w:tabs>
          <w:tab w:val="left" w:pos="8364"/>
        </w:tabs>
        <w:snapToGrid w:val="0"/>
        <w:ind w:right="0" w:firstLine="200"/>
        <w:rPr>
          <w:rFonts w:hint="eastAsia" w:ascii="宋体" w:hAnsi="宋体"/>
          <w:color w:val="auto"/>
          <w:highlight w:val="none"/>
          <w:u w:val="single"/>
        </w:rPr>
      </w:pPr>
      <w:r>
        <w:rPr>
          <w:rFonts w:ascii="宋体" w:hAnsi="宋体"/>
          <w:color w:val="auto"/>
          <w:highlight w:val="none"/>
        </w:rPr>
        <w:t>地址：</w:t>
      </w:r>
    </w:p>
    <w:p w14:paraId="2ED5524B">
      <w:pPr>
        <w:spacing w:before="0"/>
        <w:ind w:right="0" w:firstLine="135"/>
        <w:rPr>
          <w:rFonts w:hint="eastAsia" w:ascii="宋体" w:hAnsi="宋体"/>
          <w:b/>
          <w:color w:val="auto"/>
          <w:highlight w:val="none"/>
        </w:rPr>
      </w:pPr>
      <w:r>
        <w:rPr>
          <w:rFonts w:hint="eastAsia" w:ascii="宋体" w:hAnsi="宋体"/>
          <w:b/>
          <w:color w:val="auto"/>
          <w:highlight w:val="none"/>
        </w:rPr>
        <w:t>附：授权代理人身份证复印件</w:t>
      </w:r>
    </w:p>
    <w:p w14:paraId="48C2CE6E">
      <w:pPr>
        <w:tabs>
          <w:tab w:val="left" w:pos="8364"/>
        </w:tabs>
        <w:snapToGrid w:val="0"/>
        <w:ind w:right="0" w:firstLine="200"/>
        <w:rPr>
          <w:rFonts w:hint="eastAsia" w:ascii="宋体" w:hAnsi="宋体"/>
          <w:color w:val="auto"/>
          <w:highlight w:val="none"/>
          <w:u w:val="single"/>
        </w:rPr>
      </w:pPr>
    </w:p>
    <w:p w14:paraId="74761ADD">
      <w:pPr>
        <w:snapToGrid w:val="0"/>
        <w:spacing w:before="0" w:line="240" w:lineRule="auto"/>
        <w:ind w:left="0" w:right="0" w:firstLine="0"/>
        <w:jc w:val="left"/>
        <w:outlineLvl w:val="0"/>
        <w:rPr>
          <w:rFonts w:hint="eastAsia" w:ascii="宋体" w:hAnsi="宋体"/>
          <w:b/>
          <w:color w:val="auto"/>
          <w:highlight w:val="none"/>
        </w:rPr>
      </w:pPr>
      <w:bookmarkStart w:id="1571" w:name="_Toc492478805"/>
      <w:bookmarkStart w:id="1572" w:name="_Toc12984808"/>
      <w:bookmarkStart w:id="1573" w:name="_Toc19744"/>
      <w:bookmarkStart w:id="1574" w:name="_Toc25750676"/>
      <w:bookmarkStart w:id="1575" w:name="_Toc414290523"/>
      <w:bookmarkStart w:id="1576" w:name="_Toc8654"/>
      <w:bookmarkStart w:id="1577" w:name="_Toc15572"/>
      <w:bookmarkStart w:id="1578" w:name="_Toc19305"/>
      <w:bookmarkStart w:id="1579" w:name="_Toc28450"/>
      <w:bookmarkStart w:id="1580" w:name="_Toc20436"/>
      <w:bookmarkStart w:id="1581" w:name="_Toc13798"/>
      <w:bookmarkStart w:id="1582" w:name="_Toc7753"/>
      <w:bookmarkStart w:id="1583" w:name="_Toc9583"/>
      <w:bookmarkStart w:id="1584" w:name="_Toc26713"/>
      <w:bookmarkStart w:id="1585" w:name="_Toc7273"/>
      <w:bookmarkStart w:id="1586" w:name="_Toc24322"/>
      <w:bookmarkStart w:id="1587" w:name="_Toc17964"/>
      <w:bookmarkStart w:id="1588" w:name="_Toc27722"/>
      <w:bookmarkStart w:id="1589" w:name="_Toc13634"/>
      <w:bookmarkStart w:id="1590" w:name="_Toc13606"/>
      <w:bookmarkStart w:id="1591" w:name="_Toc114134664"/>
      <w:bookmarkStart w:id="1592" w:name="_Toc9757"/>
      <w:bookmarkStart w:id="1593" w:name="_Toc15980"/>
      <w:bookmarkStart w:id="1594" w:name="_Toc31808"/>
      <w:bookmarkStart w:id="1595" w:name="_Toc27657"/>
      <w:bookmarkStart w:id="1596" w:name="_Toc375564352"/>
      <w:r>
        <w:rPr>
          <w:rFonts w:hint="eastAsia" w:ascii="宋体" w:hAnsi="宋体"/>
          <w:b/>
          <w:color w:val="auto"/>
          <w:highlight w:val="none"/>
        </w:rPr>
        <w:t>A2</w:t>
      </w:r>
      <w:r>
        <w:rPr>
          <w:rFonts w:ascii="宋体" w:hAnsi="宋体"/>
          <w:b/>
          <w:color w:val="auto"/>
          <w:highlight w:val="none"/>
        </w:rPr>
        <w:t>法定代表人资格证明书格式</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71F1865F">
      <w:pPr>
        <w:ind w:right="0" w:firstLine="200"/>
        <w:rPr>
          <w:rFonts w:hint="eastAsia" w:ascii="宋体" w:hAnsi="宋体"/>
          <w:color w:val="auto"/>
          <w:highlight w:val="none"/>
        </w:rPr>
      </w:pPr>
    </w:p>
    <w:p w14:paraId="59BCCE8A">
      <w:pPr>
        <w:spacing w:before="240" w:after="240"/>
        <w:ind w:right="0" w:firstLine="0"/>
        <w:jc w:val="center"/>
        <w:rPr>
          <w:rFonts w:hint="eastAsia" w:ascii="宋体" w:hAnsi="宋体"/>
          <w:b/>
          <w:color w:val="auto"/>
          <w:sz w:val="32"/>
          <w:szCs w:val="32"/>
          <w:highlight w:val="none"/>
        </w:rPr>
      </w:pPr>
      <w:r>
        <w:rPr>
          <w:rFonts w:ascii="宋体" w:hAnsi="宋体"/>
          <w:b/>
          <w:color w:val="auto"/>
          <w:sz w:val="32"/>
          <w:szCs w:val="32"/>
          <w:highlight w:val="none"/>
        </w:rPr>
        <w:t>法定代表人资格证明书</w:t>
      </w:r>
    </w:p>
    <w:p w14:paraId="3B4C70DB">
      <w:pPr>
        <w:ind w:right="0" w:firstLine="200"/>
        <w:rPr>
          <w:rFonts w:hint="eastAsia" w:ascii="宋体" w:hAnsi="宋体"/>
          <w:color w:val="auto"/>
          <w:highlight w:val="none"/>
          <w:u w:val="single"/>
        </w:rPr>
      </w:pPr>
      <w:r>
        <w:rPr>
          <w:rFonts w:ascii="宋体" w:hAnsi="宋体"/>
          <w:color w:val="auto"/>
          <w:highlight w:val="none"/>
        </w:rPr>
        <w:t>单位名称：</w:t>
      </w:r>
    </w:p>
    <w:p w14:paraId="7E924A89">
      <w:pPr>
        <w:ind w:right="0" w:firstLine="200"/>
        <w:rPr>
          <w:rFonts w:hint="eastAsia" w:ascii="宋体" w:hAnsi="宋体"/>
          <w:color w:val="auto"/>
          <w:highlight w:val="none"/>
          <w:u w:val="single"/>
        </w:rPr>
      </w:pPr>
      <w:r>
        <w:rPr>
          <w:rFonts w:ascii="宋体" w:hAnsi="宋体"/>
          <w:color w:val="auto"/>
          <w:highlight w:val="none"/>
        </w:rPr>
        <w:t>地址：</w:t>
      </w:r>
    </w:p>
    <w:p w14:paraId="4D4266D3">
      <w:pPr>
        <w:ind w:right="0" w:firstLine="200"/>
        <w:rPr>
          <w:rFonts w:hint="eastAsia" w:ascii="宋体" w:hAnsi="宋体"/>
          <w:color w:val="auto"/>
          <w:highlight w:val="none"/>
          <w:u w:val="single"/>
        </w:rPr>
      </w:pPr>
      <w:r>
        <w:rPr>
          <w:rFonts w:ascii="宋体" w:hAnsi="宋体"/>
          <w:color w:val="auto"/>
          <w:highlight w:val="none"/>
        </w:rPr>
        <w:t>姓名：性别：年龄：职务：</w:t>
      </w:r>
    </w:p>
    <w:p w14:paraId="076F8CA4">
      <w:pPr>
        <w:ind w:right="0" w:firstLine="200"/>
        <w:rPr>
          <w:rFonts w:hint="eastAsia" w:ascii="宋体" w:hAnsi="宋体"/>
          <w:color w:val="auto"/>
          <w:highlight w:val="none"/>
        </w:rPr>
      </w:pPr>
      <w:r>
        <w:rPr>
          <w:rFonts w:ascii="宋体" w:hAnsi="宋体"/>
          <w:color w:val="auto"/>
          <w:highlight w:val="none"/>
        </w:rPr>
        <w:t>系的法定代表人。</w:t>
      </w:r>
    </w:p>
    <w:p w14:paraId="5D7316D7">
      <w:pPr>
        <w:ind w:right="0" w:firstLine="200"/>
        <w:rPr>
          <w:rFonts w:hint="eastAsia" w:ascii="宋体" w:hAnsi="宋体"/>
          <w:color w:val="auto"/>
          <w:highlight w:val="none"/>
        </w:rPr>
      </w:pPr>
      <w:r>
        <w:rPr>
          <w:rFonts w:ascii="宋体" w:hAnsi="宋体"/>
          <w:color w:val="auto"/>
          <w:highlight w:val="none"/>
        </w:rPr>
        <w:t>特此证明。</w:t>
      </w:r>
    </w:p>
    <w:p w14:paraId="234016D7">
      <w:pPr>
        <w:ind w:right="0" w:firstLine="200"/>
        <w:rPr>
          <w:rFonts w:hint="eastAsia" w:ascii="宋体" w:hAnsi="宋体"/>
          <w:color w:val="auto"/>
          <w:highlight w:val="none"/>
        </w:rPr>
      </w:pPr>
    </w:p>
    <w:p w14:paraId="6CB8FCAF">
      <w:pPr>
        <w:ind w:right="0" w:firstLine="200"/>
        <w:rPr>
          <w:rFonts w:hint="eastAsia" w:ascii="宋体" w:hAnsi="宋体"/>
          <w:color w:val="auto"/>
          <w:highlight w:val="none"/>
          <w:u w:val="single"/>
        </w:rPr>
      </w:pPr>
      <w:r>
        <w:rPr>
          <w:rFonts w:ascii="宋体" w:hAnsi="宋体"/>
          <w:color w:val="auto"/>
          <w:highlight w:val="none"/>
        </w:rPr>
        <w:t>比选申请人：（盖章）</w:t>
      </w:r>
    </w:p>
    <w:p w14:paraId="0FC2C9D3">
      <w:pPr>
        <w:ind w:right="0" w:firstLine="200"/>
        <w:rPr>
          <w:rFonts w:hint="eastAsia" w:ascii="宋体" w:hAnsi="宋体"/>
          <w:color w:val="auto"/>
          <w:highlight w:val="none"/>
        </w:rPr>
      </w:pPr>
      <w:r>
        <w:rPr>
          <w:rFonts w:ascii="宋体" w:hAnsi="宋体"/>
          <w:color w:val="auto"/>
          <w:highlight w:val="none"/>
        </w:rPr>
        <w:t>日期：年月日</w:t>
      </w:r>
    </w:p>
    <w:p w14:paraId="3EC56E0E">
      <w:pPr>
        <w:rPr>
          <w:rFonts w:hint="eastAsia" w:ascii="宋体" w:hAnsi="宋体"/>
          <w:b/>
          <w:color w:val="auto"/>
          <w:highlight w:val="none"/>
        </w:rPr>
      </w:pPr>
      <w:bookmarkStart w:id="1597" w:name="_Toc12984809"/>
      <w:r>
        <w:rPr>
          <w:rFonts w:hint="eastAsia" w:ascii="宋体" w:hAnsi="宋体"/>
          <w:b/>
          <w:color w:val="auto"/>
          <w:highlight w:val="none"/>
        </w:rPr>
        <w:t>附</w:t>
      </w:r>
      <w:r>
        <w:rPr>
          <w:rFonts w:ascii="宋体" w:hAnsi="宋体"/>
          <w:b/>
          <w:color w:val="auto"/>
          <w:highlight w:val="none"/>
        </w:rPr>
        <w:t xml:space="preserve">: </w:t>
      </w:r>
      <w:r>
        <w:rPr>
          <w:rFonts w:hint="eastAsia" w:ascii="宋体" w:hAnsi="宋体"/>
          <w:b/>
          <w:color w:val="auto"/>
          <w:highlight w:val="none"/>
        </w:rPr>
        <w:t>法定代表人身份证复印件</w:t>
      </w:r>
    </w:p>
    <w:p w14:paraId="371BF716">
      <w:pPr>
        <w:pageBreakBefore/>
        <w:snapToGrid w:val="0"/>
        <w:ind w:right="0"/>
        <w:jc w:val="left"/>
        <w:outlineLvl w:val="0"/>
        <w:rPr>
          <w:rFonts w:hint="eastAsia" w:ascii="宋体" w:hAnsi="宋体"/>
          <w:b/>
          <w:color w:val="auto"/>
          <w:highlight w:val="none"/>
        </w:rPr>
      </w:pPr>
      <w:bookmarkStart w:id="1598" w:name="_Toc4894"/>
      <w:bookmarkStart w:id="1599" w:name="_Toc17745"/>
      <w:bookmarkStart w:id="1600" w:name="_Toc29246"/>
      <w:bookmarkStart w:id="1601" w:name="_Toc24848"/>
      <w:bookmarkStart w:id="1602" w:name="_Toc414290524"/>
      <w:bookmarkStart w:id="1603" w:name="_Toc6033"/>
      <w:bookmarkStart w:id="1604" w:name="_Toc7379"/>
      <w:bookmarkStart w:id="1605" w:name="_Toc15394"/>
      <w:bookmarkStart w:id="1606" w:name="_Toc19721"/>
      <w:bookmarkStart w:id="1607" w:name="_Toc16467"/>
      <w:bookmarkStart w:id="1608" w:name="_Toc11425"/>
      <w:bookmarkStart w:id="1609" w:name="_Toc7712"/>
      <w:bookmarkStart w:id="1610" w:name="_Toc13586"/>
      <w:bookmarkStart w:id="1611" w:name="_Toc15609"/>
      <w:bookmarkStart w:id="1612" w:name="_Toc375564353"/>
      <w:bookmarkStart w:id="1613" w:name="_Toc31448"/>
      <w:bookmarkStart w:id="1614" w:name="_Toc26907"/>
      <w:bookmarkStart w:id="1615" w:name="_Toc3426"/>
      <w:bookmarkStart w:id="1616" w:name="_Toc26097"/>
      <w:bookmarkStart w:id="1617" w:name="_Toc32062"/>
      <w:bookmarkStart w:id="1618" w:name="_Toc21307"/>
      <w:bookmarkStart w:id="1619" w:name="_Toc492478806"/>
      <w:bookmarkStart w:id="1620" w:name="_Toc1932"/>
      <w:bookmarkStart w:id="1621" w:name="_Toc25750677"/>
      <w:bookmarkStart w:id="1622" w:name="_Toc114134665"/>
      <w:r>
        <w:rPr>
          <w:rFonts w:hint="eastAsia" w:ascii="宋体" w:hAnsi="宋体"/>
          <w:b/>
          <w:color w:val="auto"/>
          <w:highlight w:val="none"/>
        </w:rPr>
        <w:t xml:space="preserve">A3 </w:t>
      </w:r>
      <w:r>
        <w:rPr>
          <w:rFonts w:ascii="宋体" w:hAnsi="宋体"/>
          <w:b/>
          <w:color w:val="auto"/>
          <w:highlight w:val="none"/>
        </w:rPr>
        <w:t>承诺书格式</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46E2E554">
      <w:pPr>
        <w:spacing w:before="240" w:after="240" w:line="360" w:lineRule="exact"/>
        <w:ind w:right="0" w:firstLine="0"/>
        <w:jc w:val="center"/>
        <w:rPr>
          <w:rFonts w:hint="eastAsia" w:ascii="宋体" w:hAnsi="宋体"/>
          <w:b/>
          <w:color w:val="auto"/>
          <w:sz w:val="32"/>
          <w:szCs w:val="32"/>
          <w:highlight w:val="none"/>
        </w:rPr>
      </w:pPr>
      <w:r>
        <w:rPr>
          <w:rFonts w:ascii="宋体" w:hAnsi="宋体"/>
          <w:b/>
          <w:color w:val="auto"/>
          <w:sz w:val="32"/>
          <w:szCs w:val="32"/>
          <w:highlight w:val="none"/>
        </w:rPr>
        <w:t>承诺书</w:t>
      </w:r>
    </w:p>
    <w:p w14:paraId="0984954B">
      <w:pPr>
        <w:spacing w:before="0" w:after="0" w:afterAutospacing="0"/>
        <w:ind w:left="0" w:right="0" w:firstLine="420" w:firstLineChars="200"/>
        <w:jc w:val="left"/>
        <w:rPr>
          <w:rFonts w:hint="eastAsia" w:ascii="宋体" w:hAnsi="宋体"/>
          <w:color w:val="auto"/>
          <w:highlight w:val="none"/>
        </w:rPr>
      </w:pPr>
      <w:r>
        <w:rPr>
          <w:rFonts w:ascii="宋体" w:hAnsi="宋体"/>
          <w:color w:val="auto"/>
          <w:highlight w:val="none"/>
        </w:rPr>
        <w:t>致：</w:t>
      </w:r>
      <w:r>
        <w:rPr>
          <w:rFonts w:hint="eastAsia" w:ascii="宋体" w:hAnsi="宋体"/>
          <w:color w:val="auto"/>
          <w:highlight w:val="none"/>
          <w:u w:val="single"/>
        </w:rPr>
        <w:t>南宁轨道盛拓天和房地产有限公司</w:t>
      </w:r>
    </w:p>
    <w:p w14:paraId="3E60268D">
      <w:pPr>
        <w:spacing w:before="0" w:after="0" w:afterAutospacing="0"/>
        <w:ind w:left="0" w:right="0" w:firstLine="420" w:firstLineChars="200"/>
        <w:jc w:val="left"/>
        <w:rPr>
          <w:rFonts w:hint="eastAsia" w:ascii="宋体" w:hAnsi="宋体"/>
          <w:color w:val="auto"/>
          <w:highlight w:val="none"/>
        </w:rPr>
      </w:pPr>
      <w:r>
        <w:rPr>
          <w:rFonts w:ascii="宋体" w:hAnsi="宋体"/>
          <w:color w:val="auto"/>
          <w:highlight w:val="none"/>
        </w:rPr>
        <w:t>1</w:t>
      </w:r>
      <w:r>
        <w:rPr>
          <w:rFonts w:hint="eastAsia" w:ascii="宋体" w:hAnsi="宋体"/>
          <w:color w:val="auto"/>
          <w:highlight w:val="none"/>
        </w:rPr>
        <w:t>.</w:t>
      </w:r>
      <w:r>
        <w:rPr>
          <w:rFonts w:ascii="宋体" w:hAnsi="宋体"/>
          <w:color w:val="auto"/>
          <w:highlight w:val="none"/>
        </w:rPr>
        <w:t>在认真研读</w:t>
      </w:r>
      <w:r>
        <w:rPr>
          <w:rFonts w:hint="eastAsia" w:ascii="宋体" w:hAnsi="宋体"/>
          <w:color w:val="auto"/>
          <w:highlight w:val="none"/>
        </w:rPr>
        <w:t>南宁轨道盛拓天和房地产有限公司的比选文件</w:t>
      </w:r>
      <w:r>
        <w:rPr>
          <w:rFonts w:ascii="宋体" w:hAnsi="宋体"/>
          <w:color w:val="auto"/>
          <w:highlight w:val="none"/>
        </w:rPr>
        <w:t>后，</w:t>
      </w:r>
      <w:r>
        <w:rPr>
          <w:rFonts w:hint="eastAsia" w:ascii="宋体" w:hAnsi="宋体"/>
          <w:color w:val="auto"/>
          <w:highlight w:val="none"/>
        </w:rPr>
        <w:t>我公司</w:t>
      </w:r>
      <w:r>
        <w:rPr>
          <w:rFonts w:ascii="宋体" w:hAnsi="宋体"/>
          <w:color w:val="auto"/>
          <w:highlight w:val="none"/>
        </w:rPr>
        <w:t>经慎重考虑，郑重承诺参加</w:t>
      </w:r>
      <w:r>
        <w:rPr>
          <w:rFonts w:hint="eastAsia" w:ascii="宋体" w:hAnsi="宋体"/>
          <w:color w:val="auto"/>
          <w:highlight w:val="none"/>
        </w:rPr>
        <w:t>项目的招比选申请</w:t>
      </w:r>
      <w:r>
        <w:rPr>
          <w:rFonts w:ascii="宋体" w:hAnsi="宋体"/>
          <w:color w:val="auto"/>
          <w:highlight w:val="none"/>
        </w:rPr>
        <w:t>活动。</w:t>
      </w:r>
    </w:p>
    <w:p w14:paraId="09B3D3EE">
      <w:pPr>
        <w:spacing w:before="0" w:after="0" w:afterAutospacing="0"/>
        <w:ind w:left="0" w:right="0" w:firstLine="420" w:firstLineChars="200"/>
        <w:jc w:val="left"/>
        <w:rPr>
          <w:rFonts w:hint="eastAsia" w:ascii="宋体" w:hAnsi="宋体"/>
          <w:color w:val="auto"/>
          <w:highlight w:val="none"/>
        </w:rPr>
      </w:pPr>
      <w:r>
        <w:rPr>
          <w:rFonts w:ascii="宋体" w:hAnsi="宋体"/>
          <w:color w:val="auto"/>
          <w:highlight w:val="none"/>
        </w:rPr>
        <w:t>2</w:t>
      </w:r>
      <w:r>
        <w:rPr>
          <w:rFonts w:hint="eastAsia" w:ascii="宋体" w:hAnsi="宋体"/>
          <w:color w:val="auto"/>
          <w:highlight w:val="none"/>
        </w:rPr>
        <w:t>.我公司</w:t>
      </w:r>
      <w:r>
        <w:rPr>
          <w:rFonts w:ascii="宋体" w:hAnsi="宋体"/>
          <w:color w:val="auto"/>
          <w:highlight w:val="none"/>
        </w:rPr>
        <w:t>按照</w:t>
      </w:r>
      <w:r>
        <w:rPr>
          <w:rFonts w:hint="eastAsia" w:ascii="宋体" w:hAnsi="宋体"/>
          <w:color w:val="auto"/>
          <w:highlight w:val="none"/>
        </w:rPr>
        <w:t>贵公司比选文件</w:t>
      </w:r>
      <w:r>
        <w:rPr>
          <w:rFonts w:ascii="宋体" w:hAnsi="宋体"/>
          <w:color w:val="auto"/>
          <w:highlight w:val="none"/>
        </w:rPr>
        <w:t>要求的内容与格式，已编制完成</w:t>
      </w:r>
      <w:r>
        <w:rPr>
          <w:rFonts w:hint="eastAsia" w:ascii="宋体" w:hAnsi="宋体"/>
          <w:color w:val="auto"/>
          <w:highlight w:val="none"/>
        </w:rPr>
        <w:t>比选申请文件</w:t>
      </w:r>
      <w:r>
        <w:rPr>
          <w:rFonts w:ascii="宋体" w:hAnsi="宋体"/>
          <w:color w:val="auto"/>
          <w:highlight w:val="none"/>
        </w:rPr>
        <w:t>，现报上。</w:t>
      </w:r>
    </w:p>
    <w:p w14:paraId="52D609BB">
      <w:pPr>
        <w:spacing w:before="0" w:after="0" w:afterAutospacing="0"/>
        <w:ind w:left="0" w:right="0" w:firstLine="420" w:firstLineChars="200"/>
        <w:jc w:val="left"/>
        <w:rPr>
          <w:rFonts w:hint="eastAsia" w:ascii="宋体" w:hAnsi="宋体"/>
          <w:color w:val="auto"/>
          <w:highlight w:val="none"/>
        </w:rPr>
      </w:pPr>
      <w:r>
        <w:rPr>
          <w:rFonts w:hint="eastAsia" w:ascii="宋体" w:hAnsi="宋体"/>
          <w:color w:val="auto"/>
          <w:highlight w:val="none"/>
        </w:rPr>
        <w:t>3.我公司</w:t>
      </w:r>
      <w:r>
        <w:rPr>
          <w:rFonts w:ascii="宋体" w:hAnsi="宋体"/>
          <w:color w:val="auto"/>
          <w:highlight w:val="none"/>
        </w:rPr>
        <w:t>承诺：在</w:t>
      </w:r>
      <w:r>
        <w:rPr>
          <w:rFonts w:hint="eastAsia" w:ascii="宋体" w:hAnsi="宋体"/>
          <w:color w:val="auto"/>
          <w:highlight w:val="none"/>
        </w:rPr>
        <w:t>评审</w:t>
      </w:r>
      <w:r>
        <w:rPr>
          <w:rFonts w:ascii="宋体" w:hAnsi="宋体"/>
          <w:color w:val="auto"/>
          <w:highlight w:val="none"/>
        </w:rPr>
        <w:t>过程中，</w:t>
      </w:r>
      <w:r>
        <w:rPr>
          <w:rFonts w:hint="eastAsia" w:ascii="宋体" w:hAnsi="宋体"/>
          <w:color w:val="auto"/>
          <w:highlight w:val="none"/>
        </w:rPr>
        <w:t>贵公司</w:t>
      </w:r>
      <w:r>
        <w:rPr>
          <w:rFonts w:ascii="宋体" w:hAnsi="宋体"/>
          <w:color w:val="auto"/>
          <w:highlight w:val="none"/>
        </w:rPr>
        <w:t>可调查、审核</w:t>
      </w:r>
      <w:r>
        <w:rPr>
          <w:rFonts w:hint="eastAsia" w:ascii="宋体" w:hAnsi="宋体"/>
          <w:color w:val="auto"/>
          <w:highlight w:val="none"/>
        </w:rPr>
        <w:t>我公司</w:t>
      </w:r>
      <w:r>
        <w:rPr>
          <w:rFonts w:ascii="宋体" w:hAnsi="宋体"/>
          <w:color w:val="auto"/>
          <w:highlight w:val="none"/>
        </w:rPr>
        <w:t>提交的与本</w:t>
      </w:r>
      <w:r>
        <w:rPr>
          <w:rFonts w:hint="eastAsia" w:ascii="宋体" w:hAnsi="宋体"/>
          <w:color w:val="auto"/>
          <w:highlight w:val="none"/>
        </w:rPr>
        <w:t>比选申请文件</w:t>
      </w:r>
      <w:r>
        <w:rPr>
          <w:rFonts w:ascii="宋体" w:hAnsi="宋体"/>
          <w:color w:val="auto"/>
          <w:highlight w:val="none"/>
        </w:rPr>
        <w:t>相关的声明、文件和资料，</w:t>
      </w:r>
      <w:r>
        <w:rPr>
          <w:rFonts w:hint="eastAsia" w:ascii="宋体" w:hAnsi="宋体"/>
          <w:color w:val="auto"/>
          <w:highlight w:val="none"/>
        </w:rPr>
        <w:t>我公司</w:t>
      </w:r>
      <w:r>
        <w:rPr>
          <w:rFonts w:ascii="宋体" w:hAnsi="宋体"/>
          <w:color w:val="auto"/>
          <w:highlight w:val="none"/>
        </w:rPr>
        <w:t>准备随时解答</w:t>
      </w:r>
      <w:r>
        <w:rPr>
          <w:rFonts w:hint="eastAsia" w:ascii="宋体" w:hAnsi="宋体"/>
          <w:color w:val="auto"/>
          <w:highlight w:val="none"/>
        </w:rPr>
        <w:t>贵公司</w:t>
      </w:r>
      <w:r>
        <w:rPr>
          <w:rFonts w:ascii="宋体" w:hAnsi="宋体"/>
          <w:color w:val="auto"/>
          <w:highlight w:val="none"/>
        </w:rPr>
        <w:t>提出的疑问。为此，我们授权任何相关的个人和公司向</w:t>
      </w:r>
      <w:r>
        <w:rPr>
          <w:rFonts w:hint="eastAsia" w:ascii="宋体" w:hAnsi="宋体"/>
          <w:color w:val="auto"/>
          <w:highlight w:val="none"/>
        </w:rPr>
        <w:t>贵公司</w:t>
      </w:r>
      <w:r>
        <w:rPr>
          <w:rFonts w:ascii="宋体" w:hAnsi="宋体"/>
          <w:color w:val="auto"/>
          <w:highlight w:val="none"/>
        </w:rPr>
        <w:t>提供要求的和必要的真实情况和资料以证实我们所填报的各项内容。</w:t>
      </w:r>
    </w:p>
    <w:p w14:paraId="78403494">
      <w:pPr>
        <w:spacing w:before="0" w:after="0" w:afterAutospacing="0"/>
        <w:ind w:left="0" w:right="0" w:firstLine="420" w:firstLineChars="200"/>
        <w:jc w:val="left"/>
        <w:rPr>
          <w:rFonts w:hint="eastAsia" w:ascii="宋体" w:hAnsi="宋体"/>
          <w:b/>
          <w:color w:val="auto"/>
          <w:highlight w:val="none"/>
        </w:rPr>
      </w:pPr>
      <w:r>
        <w:rPr>
          <w:rFonts w:hint="eastAsia" w:ascii="宋体" w:hAnsi="宋体"/>
          <w:color w:val="auto"/>
          <w:highlight w:val="none"/>
        </w:rPr>
        <w:t>4.我公司</w:t>
      </w:r>
      <w:r>
        <w:rPr>
          <w:rFonts w:ascii="宋体" w:hAnsi="宋体"/>
          <w:color w:val="auto"/>
          <w:highlight w:val="none"/>
        </w:rPr>
        <w:t>郑重承诺：</w:t>
      </w:r>
      <w:r>
        <w:rPr>
          <w:rFonts w:hint="eastAsia" w:ascii="宋体" w:hAnsi="宋体"/>
          <w:b/>
          <w:color w:val="auto"/>
          <w:highlight w:val="none"/>
        </w:rPr>
        <w:t>我公司</w:t>
      </w:r>
      <w:r>
        <w:rPr>
          <w:rFonts w:ascii="宋体" w:hAnsi="宋体"/>
          <w:b/>
          <w:color w:val="auto"/>
          <w:highlight w:val="none"/>
        </w:rPr>
        <w:t>保证</w:t>
      </w:r>
      <w:r>
        <w:rPr>
          <w:rFonts w:hint="eastAsia" w:ascii="宋体" w:hAnsi="宋体"/>
          <w:b/>
          <w:color w:val="auto"/>
          <w:highlight w:val="none"/>
        </w:rPr>
        <w:t>没有处于被责令停业，或比选申请资格被住建部、国家安监总局、广西区或南宁市建设行政主管部门取消，或财产被接管、冻结、破产状态</w:t>
      </w:r>
      <w:r>
        <w:rPr>
          <w:rFonts w:ascii="宋体" w:hAnsi="宋体"/>
          <w:b/>
          <w:color w:val="auto"/>
          <w:highlight w:val="none"/>
        </w:rPr>
        <w:t>；在</w:t>
      </w:r>
      <w:r>
        <w:rPr>
          <w:rFonts w:hint="eastAsia" w:ascii="宋体" w:hAnsi="宋体"/>
          <w:b/>
          <w:color w:val="auto"/>
          <w:highlight w:val="none"/>
        </w:rPr>
        <w:t>比选申请截止时间前</w:t>
      </w:r>
      <w:r>
        <w:rPr>
          <w:rFonts w:ascii="宋体" w:hAnsi="宋体"/>
          <w:b/>
          <w:color w:val="auto"/>
          <w:highlight w:val="none"/>
        </w:rPr>
        <w:t>3年内没有骗取中选</w:t>
      </w:r>
      <w:r>
        <w:rPr>
          <w:rFonts w:hint="eastAsia" w:ascii="宋体" w:hAnsi="宋体"/>
          <w:b/>
          <w:color w:val="auto"/>
          <w:highlight w:val="none"/>
        </w:rPr>
        <w:t>、严重违约或重大质量安全责任事故。</w:t>
      </w:r>
    </w:p>
    <w:p w14:paraId="522E1650">
      <w:pPr>
        <w:spacing w:before="0" w:after="0" w:afterAutospacing="0"/>
        <w:ind w:left="0" w:right="0" w:firstLine="422" w:firstLineChars="200"/>
        <w:jc w:val="left"/>
        <w:rPr>
          <w:rFonts w:hint="eastAsia" w:ascii="宋体" w:hAnsi="宋体"/>
          <w:color w:val="auto"/>
          <w:highlight w:val="none"/>
        </w:rPr>
      </w:pPr>
      <w:r>
        <w:rPr>
          <w:rFonts w:hint="eastAsia" w:ascii="宋体" w:hAnsi="宋体"/>
          <w:b/>
          <w:color w:val="auto"/>
          <w:highlight w:val="none"/>
        </w:rPr>
        <w:t>5.</w:t>
      </w:r>
      <w:r>
        <w:rPr>
          <w:rFonts w:ascii="宋体" w:hAnsi="宋体"/>
          <w:color w:val="auto"/>
          <w:highlight w:val="none"/>
        </w:rPr>
        <w:t>如果</w:t>
      </w:r>
      <w:r>
        <w:rPr>
          <w:rFonts w:hint="eastAsia" w:ascii="宋体" w:hAnsi="宋体"/>
          <w:color w:val="auto"/>
          <w:highlight w:val="none"/>
        </w:rPr>
        <w:t>我公司</w:t>
      </w:r>
      <w:r>
        <w:rPr>
          <w:rFonts w:ascii="宋体" w:hAnsi="宋体"/>
          <w:color w:val="auto"/>
          <w:highlight w:val="none"/>
        </w:rPr>
        <w:t>在该项目</w:t>
      </w:r>
      <w:r>
        <w:rPr>
          <w:rFonts w:hint="eastAsia" w:ascii="宋体" w:hAnsi="宋体"/>
          <w:color w:val="auto"/>
          <w:highlight w:val="none"/>
        </w:rPr>
        <w:t>报名、</w:t>
      </w:r>
      <w:r>
        <w:rPr>
          <w:rFonts w:ascii="宋体" w:hAnsi="宋体"/>
          <w:color w:val="auto"/>
          <w:highlight w:val="none"/>
        </w:rPr>
        <w:t>比选申请过程中或者在中选后，</w:t>
      </w:r>
      <w:r>
        <w:rPr>
          <w:rFonts w:hint="eastAsia" w:ascii="宋体" w:hAnsi="宋体"/>
          <w:color w:val="auto"/>
          <w:highlight w:val="none"/>
        </w:rPr>
        <w:t>贵公司</w:t>
      </w:r>
      <w:r>
        <w:rPr>
          <w:rFonts w:ascii="宋体" w:hAnsi="宋体"/>
          <w:color w:val="auto"/>
          <w:highlight w:val="none"/>
        </w:rPr>
        <w:t>或者有管辖权的行政监管机构发现并查实我公司在所填报的该项目</w:t>
      </w:r>
      <w:r>
        <w:rPr>
          <w:rFonts w:hint="eastAsia" w:ascii="宋体" w:hAnsi="宋体"/>
          <w:color w:val="auto"/>
          <w:highlight w:val="none"/>
        </w:rPr>
        <w:t>比选申请文件</w:t>
      </w:r>
      <w:r>
        <w:rPr>
          <w:rFonts w:ascii="宋体" w:hAnsi="宋体"/>
          <w:color w:val="auto"/>
          <w:highlight w:val="none"/>
        </w:rPr>
        <w:t>中存在提供虚假或不真实的信息或者伪造数据、资料或证书等情况，</w:t>
      </w:r>
      <w:r>
        <w:rPr>
          <w:rFonts w:hint="eastAsia" w:ascii="宋体" w:hAnsi="宋体"/>
          <w:color w:val="auto"/>
          <w:highlight w:val="none"/>
        </w:rPr>
        <w:t>视为我公司违约，我公司愿意接受贵公司</w:t>
      </w:r>
      <w:r>
        <w:rPr>
          <w:rFonts w:ascii="宋体" w:hAnsi="宋体"/>
          <w:color w:val="auto"/>
          <w:highlight w:val="none"/>
        </w:rPr>
        <w:t>或有管辖权的监管机构的处罚；如果我公司已</w:t>
      </w:r>
      <w:r>
        <w:rPr>
          <w:rFonts w:hint="eastAsia" w:ascii="宋体" w:hAnsi="宋体"/>
          <w:color w:val="auto"/>
          <w:highlight w:val="none"/>
        </w:rPr>
        <w:t>与贵公司签订合同，则视为我公司违约，履约保证金由贵公司没收</w:t>
      </w:r>
      <w:r>
        <w:rPr>
          <w:rFonts w:ascii="宋体" w:hAnsi="宋体"/>
          <w:color w:val="auto"/>
          <w:highlight w:val="none"/>
        </w:rPr>
        <w:t>；由此造成的任何后果和损失均由我公司承担。本段承诺既是我公司</w:t>
      </w:r>
      <w:r>
        <w:rPr>
          <w:rFonts w:hint="eastAsia" w:ascii="宋体" w:hAnsi="宋体"/>
          <w:color w:val="auto"/>
          <w:highlight w:val="none"/>
        </w:rPr>
        <w:t>比选申请文件</w:t>
      </w:r>
      <w:r>
        <w:rPr>
          <w:rFonts w:ascii="宋体" w:hAnsi="宋体"/>
          <w:color w:val="auto"/>
          <w:highlight w:val="none"/>
        </w:rPr>
        <w:t>的有效组成内容，也是我公司真实意思的表示，对我公司在与该项目有关的任何行为中始终具有优先的法律约束力。</w:t>
      </w:r>
    </w:p>
    <w:p w14:paraId="4D1AE157">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6.我公司</w:t>
      </w:r>
      <w:r>
        <w:rPr>
          <w:rFonts w:ascii="宋体" w:hAnsi="宋体"/>
          <w:color w:val="auto"/>
          <w:highlight w:val="none"/>
        </w:rPr>
        <w:t>了解：无论</w:t>
      </w:r>
      <w:r>
        <w:rPr>
          <w:rFonts w:hint="eastAsia" w:ascii="宋体" w:hAnsi="宋体"/>
          <w:color w:val="auto"/>
          <w:highlight w:val="none"/>
        </w:rPr>
        <w:t>是否中选</w:t>
      </w:r>
      <w:r>
        <w:rPr>
          <w:rFonts w:ascii="宋体" w:hAnsi="宋体"/>
          <w:color w:val="auto"/>
          <w:highlight w:val="none"/>
        </w:rPr>
        <w:t>，</w:t>
      </w:r>
      <w:r>
        <w:rPr>
          <w:rFonts w:hint="eastAsia" w:ascii="宋体" w:hAnsi="宋体"/>
          <w:color w:val="auto"/>
          <w:highlight w:val="none"/>
        </w:rPr>
        <w:t>我公司</w:t>
      </w:r>
      <w:r>
        <w:rPr>
          <w:rFonts w:ascii="宋体" w:hAnsi="宋体"/>
          <w:color w:val="auto"/>
          <w:highlight w:val="none"/>
        </w:rPr>
        <w:t>将自行承担与</w:t>
      </w:r>
      <w:r>
        <w:rPr>
          <w:rFonts w:hint="eastAsia" w:ascii="宋体" w:hAnsi="宋体"/>
          <w:color w:val="auto"/>
          <w:highlight w:val="none"/>
        </w:rPr>
        <w:t>招比选申请</w:t>
      </w:r>
      <w:r>
        <w:rPr>
          <w:rFonts w:ascii="宋体" w:hAnsi="宋体"/>
          <w:color w:val="auto"/>
          <w:highlight w:val="none"/>
        </w:rPr>
        <w:t>活动所需的一切费用。</w:t>
      </w:r>
    </w:p>
    <w:p w14:paraId="1B439E20">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7.我公司保证本次比选申请的产品拥有合法的生产或销售权，并保证贵公司在中华人民共和国使用该比选申请货物及服务或其任何一部分时，免受第三方提出侵犯其任何专利权、著作权、注册商标专有使用权或计算机软件登记或反不正当竞争的起诉及索赔。</w:t>
      </w:r>
    </w:p>
    <w:p w14:paraId="0C15EB19">
      <w:pPr>
        <w:spacing w:before="0" w:after="0" w:afterAutospacing="0"/>
        <w:ind w:left="0" w:right="0" w:firstLine="420" w:firstLineChars="200"/>
        <w:jc w:val="left"/>
        <w:rPr>
          <w:rFonts w:hint="eastAsia" w:ascii="宋体" w:hAnsi="宋体"/>
          <w:color w:val="auto"/>
          <w:highlight w:val="none"/>
        </w:rPr>
      </w:pPr>
      <w:r>
        <w:rPr>
          <w:rFonts w:hint="eastAsia" w:ascii="宋体" w:hAnsi="宋体"/>
          <w:color w:val="auto"/>
          <w:highlight w:val="none"/>
        </w:rPr>
        <w:t>我公司</w:t>
      </w:r>
      <w:r>
        <w:rPr>
          <w:rFonts w:ascii="宋体" w:hAnsi="宋体"/>
          <w:color w:val="auto"/>
          <w:highlight w:val="none"/>
        </w:rPr>
        <w:t>声明，我们所填报的资料是完全真实和准确的，并愿为此承担任何相关的法律责任。</w:t>
      </w:r>
    </w:p>
    <w:p w14:paraId="3FE8DDC5">
      <w:pPr>
        <w:spacing w:before="0" w:after="0" w:afterAutospacing="0" w:line="480" w:lineRule="auto"/>
        <w:ind w:left="0" w:right="0" w:firstLine="200"/>
        <w:rPr>
          <w:rFonts w:hint="eastAsia" w:ascii="宋体" w:hAnsi="宋体"/>
          <w:color w:val="auto"/>
          <w:highlight w:val="none"/>
          <w:u w:val="single"/>
        </w:rPr>
      </w:pPr>
      <w:r>
        <w:rPr>
          <w:rFonts w:hint="eastAsia" w:ascii="宋体" w:hAnsi="宋体"/>
          <w:color w:val="auto"/>
          <w:highlight w:val="none"/>
        </w:rPr>
        <w:t>比选申请人</w:t>
      </w:r>
      <w:r>
        <w:rPr>
          <w:rFonts w:ascii="宋体" w:hAnsi="宋体"/>
          <w:color w:val="auto"/>
          <w:highlight w:val="none"/>
        </w:rPr>
        <w:t>地址：</w:t>
      </w:r>
    </w:p>
    <w:p w14:paraId="6390B78A">
      <w:pPr>
        <w:spacing w:before="0" w:after="0" w:afterAutospacing="0" w:line="480" w:lineRule="auto"/>
        <w:ind w:left="0" w:right="0" w:firstLine="200"/>
        <w:rPr>
          <w:rFonts w:hint="eastAsia" w:ascii="宋体" w:hAnsi="宋体"/>
          <w:color w:val="auto"/>
          <w:highlight w:val="none"/>
        </w:rPr>
      </w:pPr>
      <w:r>
        <w:rPr>
          <w:rFonts w:hint="eastAsia" w:ascii="宋体" w:hAnsi="宋体"/>
          <w:color w:val="auto"/>
          <w:highlight w:val="none"/>
        </w:rPr>
        <w:t>比选申请人</w:t>
      </w:r>
      <w:r>
        <w:rPr>
          <w:rFonts w:ascii="宋体" w:hAnsi="宋体"/>
          <w:color w:val="auto"/>
          <w:highlight w:val="none"/>
          <w:u w:val="single"/>
        </w:rPr>
        <w:t xml:space="preserve">    (</w:t>
      </w:r>
      <w:r>
        <w:rPr>
          <w:rFonts w:hint="eastAsia" w:ascii="宋体" w:hAnsi="宋体"/>
          <w:color w:val="auto"/>
          <w:highlight w:val="none"/>
          <w:u w:val="single"/>
        </w:rPr>
        <w:t>盖单位公章</w:t>
      </w:r>
      <w:r>
        <w:rPr>
          <w:rFonts w:ascii="宋体" w:hAnsi="宋体"/>
          <w:color w:val="auto"/>
          <w:highlight w:val="none"/>
          <w:u w:val="single"/>
        </w:rPr>
        <w:t>)</w:t>
      </w:r>
    </w:p>
    <w:p w14:paraId="41DE1554">
      <w:pPr>
        <w:spacing w:before="0" w:after="0" w:afterAutospacing="0" w:line="480" w:lineRule="auto"/>
        <w:ind w:left="0" w:right="0" w:firstLine="200"/>
        <w:rPr>
          <w:rFonts w:hint="eastAsia" w:ascii="宋体" w:hAnsi="宋体"/>
          <w:color w:val="auto"/>
          <w:highlight w:val="none"/>
          <w:u w:val="single"/>
        </w:rPr>
      </w:pPr>
      <w:r>
        <w:rPr>
          <w:rFonts w:ascii="宋体" w:hAnsi="宋体"/>
          <w:color w:val="auto"/>
          <w:highlight w:val="none"/>
        </w:rPr>
        <w:t>邮政编码：</w:t>
      </w:r>
    </w:p>
    <w:p w14:paraId="7FE51C71">
      <w:pPr>
        <w:spacing w:before="0" w:after="0" w:afterAutospacing="0" w:line="480" w:lineRule="auto"/>
        <w:ind w:left="0" w:right="0" w:firstLine="200"/>
        <w:rPr>
          <w:rFonts w:hint="eastAsia"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14:paraId="13810E98">
      <w:pPr>
        <w:spacing w:before="0" w:after="0" w:afterAutospacing="0" w:line="480" w:lineRule="auto"/>
        <w:ind w:left="0" w:right="0" w:firstLine="200"/>
        <w:rPr>
          <w:rFonts w:hint="eastAsia" w:ascii="宋体" w:hAnsi="宋体"/>
          <w:color w:val="auto"/>
          <w:highlight w:val="none"/>
          <w:u w:val="single"/>
        </w:rPr>
      </w:pPr>
      <w:r>
        <w:rPr>
          <w:rFonts w:ascii="宋体" w:hAnsi="宋体"/>
          <w:color w:val="auto"/>
          <w:highlight w:val="none"/>
        </w:rPr>
        <w:t>电话：</w:t>
      </w:r>
      <w:r>
        <w:rPr>
          <w:rFonts w:ascii="宋体" w:hAnsi="宋体"/>
          <w:color w:val="auto"/>
          <w:highlight w:val="none"/>
          <w:u w:val="single"/>
        </w:rPr>
        <w:t>　　</w:t>
      </w:r>
    </w:p>
    <w:p w14:paraId="5919944A">
      <w:pPr>
        <w:spacing w:before="0" w:after="0" w:afterAutospacing="0" w:line="480" w:lineRule="auto"/>
        <w:ind w:left="0" w:right="0" w:firstLine="200"/>
        <w:rPr>
          <w:rFonts w:hint="eastAsia" w:ascii="宋体" w:hAnsi="宋体"/>
          <w:color w:val="auto"/>
          <w:highlight w:val="none"/>
          <w:u w:val="single"/>
        </w:rPr>
      </w:pPr>
      <w:r>
        <w:rPr>
          <w:rFonts w:ascii="宋体" w:hAnsi="宋体"/>
          <w:color w:val="auto"/>
          <w:highlight w:val="none"/>
        </w:rPr>
        <w:t>传真：</w:t>
      </w:r>
    </w:p>
    <w:p w14:paraId="455AC821">
      <w:pPr>
        <w:spacing w:before="0" w:after="0" w:afterAutospacing="0" w:line="480" w:lineRule="auto"/>
        <w:ind w:left="0" w:right="0" w:firstLine="200"/>
        <w:rPr>
          <w:rFonts w:ascii="宋体" w:hAnsi="宋体"/>
          <w:color w:val="auto"/>
          <w:highlight w:val="none"/>
        </w:rPr>
      </w:pPr>
      <w:r>
        <w:rPr>
          <w:rFonts w:ascii="宋体" w:hAnsi="宋体"/>
          <w:color w:val="auto"/>
          <w:highlight w:val="none"/>
        </w:rPr>
        <w:t>日期：年月日</w:t>
      </w:r>
    </w:p>
    <w:p w14:paraId="0AB29040">
      <w:pPr>
        <w:pageBreakBefore/>
        <w:snapToGrid w:val="0"/>
        <w:ind w:right="0"/>
        <w:jc w:val="left"/>
        <w:outlineLvl w:val="0"/>
        <w:rPr>
          <w:rFonts w:ascii="宋体" w:hAnsi="宋体"/>
          <w:b/>
          <w:color w:val="auto"/>
          <w:highlight w:val="none"/>
        </w:rPr>
      </w:pPr>
      <w:bookmarkStart w:id="1623" w:name="_Toc22377"/>
      <w:bookmarkStart w:id="1624" w:name="_Toc25750678"/>
      <w:bookmarkStart w:id="1625" w:name="_Toc12981"/>
      <w:bookmarkStart w:id="1626" w:name="_Toc114134666"/>
      <w:r>
        <w:rPr>
          <w:rFonts w:ascii="宋体" w:hAnsi="宋体"/>
          <w:b/>
          <w:color w:val="auto"/>
          <w:highlight w:val="none"/>
        </w:rPr>
        <w:t>A</w:t>
      </w:r>
      <w:r>
        <w:rPr>
          <w:rFonts w:hint="eastAsia" w:ascii="宋体" w:hAnsi="宋体"/>
          <w:b/>
          <w:color w:val="auto"/>
          <w:highlight w:val="none"/>
        </w:rPr>
        <w:t>4</w:t>
      </w:r>
      <w:r>
        <w:rPr>
          <w:rFonts w:hint="eastAsia" w:ascii="宋体" w:hAnsi="宋体"/>
          <w:b/>
          <w:color w:val="auto"/>
          <w:highlight w:val="none"/>
          <w:lang w:val="en-US" w:eastAsia="zh-CN"/>
        </w:rPr>
        <w:t xml:space="preserve">  </w:t>
      </w:r>
      <w:r>
        <w:rPr>
          <w:rFonts w:hint="eastAsia" w:ascii="宋体" w:hAnsi="宋体"/>
          <w:b/>
          <w:color w:val="auto"/>
          <w:highlight w:val="none"/>
        </w:rPr>
        <w:t>类似项目</w:t>
      </w:r>
      <w:r>
        <w:rPr>
          <w:rFonts w:ascii="宋体" w:hAnsi="宋体"/>
          <w:b/>
          <w:color w:val="auto"/>
          <w:highlight w:val="none"/>
        </w:rPr>
        <w:t>业绩表格式</w:t>
      </w:r>
      <w:bookmarkEnd w:id="1623"/>
      <w:bookmarkEnd w:id="1624"/>
      <w:bookmarkEnd w:id="1625"/>
      <w:bookmarkEnd w:id="1626"/>
    </w:p>
    <w:p w14:paraId="48E6AFF7">
      <w:pPr>
        <w:spacing w:before="0"/>
        <w:ind w:right="-57" w:firstLine="0"/>
        <w:jc w:val="center"/>
        <w:rPr>
          <w:rFonts w:ascii="宋体" w:hAnsi="宋体"/>
          <w:b/>
          <w:color w:val="auto"/>
          <w:spacing w:val="20"/>
          <w:highlight w:val="none"/>
        </w:rPr>
      </w:pPr>
      <w:r>
        <w:rPr>
          <w:rFonts w:hint="eastAsia" w:ascii="宋体" w:hAnsi="宋体"/>
          <w:b/>
          <w:color w:val="auto"/>
          <w:spacing w:val="20"/>
          <w:highlight w:val="none"/>
        </w:rPr>
        <w:t>类似项目</w:t>
      </w:r>
      <w:r>
        <w:rPr>
          <w:rFonts w:ascii="宋体" w:hAnsi="宋体"/>
          <w:b/>
          <w:color w:val="auto"/>
          <w:spacing w:val="20"/>
          <w:highlight w:val="none"/>
        </w:rPr>
        <w:t>业绩表</w:t>
      </w:r>
    </w:p>
    <w:tbl>
      <w:tblPr>
        <w:tblStyle w:val="36"/>
        <w:tblW w:w="8940"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99"/>
        <w:gridCol w:w="1092"/>
        <w:gridCol w:w="1789"/>
        <w:gridCol w:w="992"/>
        <w:gridCol w:w="993"/>
        <w:gridCol w:w="1388"/>
        <w:gridCol w:w="1044"/>
        <w:gridCol w:w="1043"/>
      </w:tblGrid>
      <w:tr w14:paraId="5FAD86D7">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599" w:type="dxa"/>
            <w:tcBorders>
              <w:top w:val="double" w:color="auto" w:sz="4" w:space="0"/>
            </w:tcBorders>
            <w:vAlign w:val="center"/>
          </w:tcPr>
          <w:p w14:paraId="14018D2E">
            <w:pPr>
              <w:ind w:left="0" w:firstLine="0"/>
              <w:rPr>
                <w:rFonts w:ascii="宋体" w:hAnsi="宋体"/>
                <w:color w:val="auto"/>
                <w:highlight w:val="none"/>
              </w:rPr>
            </w:pPr>
            <w:r>
              <w:rPr>
                <w:rFonts w:hint="eastAsia" w:ascii="宋体" w:hAnsi="宋体"/>
                <w:color w:val="auto"/>
                <w:highlight w:val="none"/>
              </w:rPr>
              <w:t>序号</w:t>
            </w:r>
          </w:p>
        </w:tc>
        <w:tc>
          <w:tcPr>
            <w:tcW w:w="1092" w:type="dxa"/>
            <w:tcBorders>
              <w:top w:val="double" w:color="auto" w:sz="4" w:space="0"/>
            </w:tcBorders>
            <w:vAlign w:val="center"/>
          </w:tcPr>
          <w:p w14:paraId="6436B6D5">
            <w:pPr>
              <w:ind w:left="0" w:firstLine="0"/>
              <w:rPr>
                <w:rFonts w:ascii="宋体" w:hAnsi="宋体"/>
                <w:color w:val="auto"/>
                <w:highlight w:val="none"/>
              </w:rPr>
            </w:pPr>
            <w:r>
              <w:rPr>
                <w:rFonts w:hint="eastAsia" w:ascii="宋体" w:hAnsi="宋体"/>
                <w:color w:val="auto"/>
                <w:highlight w:val="none"/>
              </w:rPr>
              <w:t>项目名称</w:t>
            </w:r>
          </w:p>
        </w:tc>
        <w:tc>
          <w:tcPr>
            <w:tcW w:w="1789" w:type="dxa"/>
            <w:tcBorders>
              <w:top w:val="double" w:color="auto" w:sz="4" w:space="0"/>
            </w:tcBorders>
            <w:vAlign w:val="center"/>
          </w:tcPr>
          <w:p w14:paraId="5B615F60">
            <w:pPr>
              <w:ind w:left="0" w:firstLine="0"/>
              <w:rPr>
                <w:rFonts w:ascii="宋体" w:hAnsi="宋体"/>
                <w:color w:val="auto"/>
                <w:highlight w:val="none"/>
              </w:rPr>
            </w:pPr>
            <w:r>
              <w:rPr>
                <w:rFonts w:hint="eastAsia" w:ascii="宋体" w:hAnsi="宋体"/>
                <w:color w:val="auto"/>
                <w:highlight w:val="none"/>
              </w:rPr>
              <w:t>合同内容（简述：含设计面积及单方造价等内容）</w:t>
            </w:r>
          </w:p>
        </w:tc>
        <w:tc>
          <w:tcPr>
            <w:tcW w:w="992" w:type="dxa"/>
            <w:tcBorders>
              <w:top w:val="double" w:color="auto" w:sz="4" w:space="0"/>
            </w:tcBorders>
            <w:vAlign w:val="center"/>
          </w:tcPr>
          <w:p w14:paraId="20090556">
            <w:pPr>
              <w:ind w:left="0" w:firstLine="0"/>
              <w:jc w:val="center"/>
              <w:rPr>
                <w:rFonts w:ascii="宋体" w:hAnsi="宋体"/>
                <w:color w:val="auto"/>
                <w:highlight w:val="none"/>
              </w:rPr>
            </w:pPr>
            <w:r>
              <w:rPr>
                <w:rFonts w:hint="eastAsia" w:ascii="宋体" w:hAnsi="宋体"/>
                <w:color w:val="auto"/>
                <w:highlight w:val="none"/>
              </w:rPr>
              <w:t>合同</w:t>
            </w:r>
            <w:r>
              <w:rPr>
                <w:rFonts w:ascii="宋体" w:hAnsi="宋体"/>
                <w:color w:val="auto"/>
                <w:highlight w:val="none"/>
              </w:rPr>
              <w:br w:type="textWrapping"/>
            </w:r>
            <w:r>
              <w:rPr>
                <w:rFonts w:hint="eastAsia" w:ascii="宋体" w:hAnsi="宋体"/>
                <w:color w:val="auto"/>
                <w:highlight w:val="none"/>
              </w:rPr>
              <w:t>金额（元）</w:t>
            </w:r>
          </w:p>
        </w:tc>
        <w:tc>
          <w:tcPr>
            <w:tcW w:w="993" w:type="dxa"/>
            <w:tcBorders>
              <w:top w:val="double" w:color="auto" w:sz="4" w:space="0"/>
            </w:tcBorders>
            <w:vAlign w:val="center"/>
          </w:tcPr>
          <w:p w14:paraId="66E775F6">
            <w:pPr>
              <w:ind w:left="0" w:firstLine="0"/>
              <w:jc w:val="center"/>
              <w:rPr>
                <w:rFonts w:ascii="宋体" w:hAnsi="宋体"/>
                <w:color w:val="auto"/>
                <w:highlight w:val="none"/>
              </w:rPr>
            </w:pPr>
            <w:r>
              <w:rPr>
                <w:rFonts w:hint="eastAsia" w:ascii="宋体" w:hAnsi="宋体"/>
                <w:color w:val="auto"/>
                <w:highlight w:val="none"/>
              </w:rPr>
              <w:t>签订</w:t>
            </w:r>
            <w:r>
              <w:rPr>
                <w:rFonts w:ascii="宋体" w:hAnsi="宋体"/>
                <w:color w:val="auto"/>
                <w:highlight w:val="none"/>
              </w:rPr>
              <w:br w:type="textWrapping"/>
            </w:r>
            <w:r>
              <w:rPr>
                <w:rFonts w:hint="eastAsia" w:ascii="宋体" w:hAnsi="宋体"/>
                <w:color w:val="auto"/>
                <w:highlight w:val="none"/>
              </w:rPr>
              <w:t>时间</w:t>
            </w:r>
          </w:p>
        </w:tc>
        <w:tc>
          <w:tcPr>
            <w:tcW w:w="1388" w:type="dxa"/>
            <w:tcBorders>
              <w:top w:val="double" w:color="auto" w:sz="4" w:space="0"/>
            </w:tcBorders>
            <w:vAlign w:val="center"/>
          </w:tcPr>
          <w:p w14:paraId="36E2ADB4">
            <w:pPr>
              <w:ind w:left="0" w:firstLine="0"/>
              <w:jc w:val="center"/>
              <w:rPr>
                <w:rFonts w:ascii="宋体" w:hAnsi="宋体"/>
                <w:color w:val="auto"/>
                <w:highlight w:val="none"/>
              </w:rPr>
            </w:pPr>
            <w:r>
              <w:rPr>
                <w:rFonts w:hint="eastAsia" w:ascii="宋体" w:hAnsi="宋体"/>
                <w:color w:val="auto"/>
                <w:highlight w:val="none"/>
              </w:rPr>
              <w:t>供货、</w:t>
            </w:r>
            <w:r>
              <w:rPr>
                <w:rFonts w:hint="eastAsia"/>
                <w:color w:val="auto"/>
                <w:highlight w:val="none"/>
              </w:rPr>
              <w:t>工期或服务</w:t>
            </w:r>
            <w:r>
              <w:rPr>
                <w:rFonts w:hint="eastAsia" w:ascii="宋体" w:hAnsi="宋体"/>
                <w:color w:val="auto"/>
                <w:highlight w:val="none"/>
              </w:rPr>
              <w:t>时间</w:t>
            </w:r>
          </w:p>
        </w:tc>
        <w:tc>
          <w:tcPr>
            <w:tcW w:w="1044" w:type="dxa"/>
            <w:tcBorders>
              <w:top w:val="double" w:color="auto" w:sz="4" w:space="0"/>
            </w:tcBorders>
            <w:vAlign w:val="center"/>
          </w:tcPr>
          <w:p w14:paraId="29017CF0">
            <w:pPr>
              <w:ind w:left="0" w:firstLine="0"/>
              <w:rPr>
                <w:rFonts w:ascii="宋体" w:hAnsi="宋体"/>
                <w:color w:val="auto"/>
                <w:highlight w:val="none"/>
              </w:rPr>
            </w:pPr>
            <w:r>
              <w:rPr>
                <w:rFonts w:hint="eastAsia" w:ascii="宋体" w:hAnsi="宋体"/>
                <w:color w:val="auto"/>
                <w:highlight w:val="none"/>
              </w:rPr>
              <w:t>业主单位</w:t>
            </w:r>
          </w:p>
        </w:tc>
        <w:tc>
          <w:tcPr>
            <w:tcW w:w="1043" w:type="dxa"/>
            <w:tcBorders>
              <w:top w:val="double" w:color="auto" w:sz="4" w:space="0"/>
            </w:tcBorders>
            <w:vAlign w:val="center"/>
          </w:tcPr>
          <w:p w14:paraId="33265063">
            <w:pPr>
              <w:ind w:left="0" w:firstLine="0"/>
              <w:rPr>
                <w:rFonts w:ascii="宋体" w:hAnsi="宋体"/>
                <w:color w:val="auto"/>
                <w:highlight w:val="none"/>
              </w:rPr>
            </w:pPr>
            <w:r>
              <w:rPr>
                <w:rFonts w:hint="eastAsia" w:ascii="宋体" w:hAnsi="宋体"/>
                <w:color w:val="auto"/>
                <w:highlight w:val="none"/>
              </w:rPr>
              <w:t>联系电话</w:t>
            </w:r>
          </w:p>
        </w:tc>
      </w:tr>
      <w:tr w14:paraId="6C0973B8">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599" w:type="dxa"/>
          </w:tcPr>
          <w:p w14:paraId="3FCB5B86">
            <w:pPr>
              <w:ind w:left="0" w:firstLine="0"/>
              <w:rPr>
                <w:rFonts w:ascii="宋体" w:hAnsi="宋体"/>
                <w:color w:val="auto"/>
                <w:highlight w:val="none"/>
              </w:rPr>
            </w:pPr>
          </w:p>
        </w:tc>
        <w:tc>
          <w:tcPr>
            <w:tcW w:w="1092" w:type="dxa"/>
          </w:tcPr>
          <w:p w14:paraId="25D9634D">
            <w:pPr>
              <w:ind w:left="0" w:firstLine="0"/>
              <w:rPr>
                <w:rFonts w:ascii="宋体" w:hAnsi="宋体"/>
                <w:color w:val="auto"/>
                <w:highlight w:val="none"/>
              </w:rPr>
            </w:pPr>
          </w:p>
        </w:tc>
        <w:tc>
          <w:tcPr>
            <w:tcW w:w="1789" w:type="dxa"/>
          </w:tcPr>
          <w:p w14:paraId="0A392AEE">
            <w:pPr>
              <w:ind w:left="0" w:firstLine="0"/>
              <w:rPr>
                <w:rFonts w:ascii="宋体" w:hAnsi="宋体"/>
                <w:color w:val="auto"/>
                <w:highlight w:val="none"/>
              </w:rPr>
            </w:pPr>
          </w:p>
        </w:tc>
        <w:tc>
          <w:tcPr>
            <w:tcW w:w="992" w:type="dxa"/>
          </w:tcPr>
          <w:p w14:paraId="7920BFB9">
            <w:pPr>
              <w:ind w:left="0" w:firstLine="0"/>
              <w:rPr>
                <w:rFonts w:ascii="宋体" w:hAnsi="宋体"/>
                <w:color w:val="auto"/>
                <w:highlight w:val="none"/>
              </w:rPr>
            </w:pPr>
          </w:p>
        </w:tc>
        <w:tc>
          <w:tcPr>
            <w:tcW w:w="993" w:type="dxa"/>
          </w:tcPr>
          <w:p w14:paraId="0F29D99C">
            <w:pPr>
              <w:ind w:left="0" w:firstLine="0"/>
              <w:rPr>
                <w:rFonts w:ascii="宋体" w:hAnsi="宋体"/>
                <w:color w:val="auto"/>
                <w:highlight w:val="none"/>
              </w:rPr>
            </w:pPr>
          </w:p>
        </w:tc>
        <w:tc>
          <w:tcPr>
            <w:tcW w:w="1388" w:type="dxa"/>
          </w:tcPr>
          <w:p w14:paraId="6881F928">
            <w:pPr>
              <w:ind w:left="0" w:firstLine="0"/>
              <w:rPr>
                <w:rFonts w:ascii="宋体" w:hAnsi="宋体"/>
                <w:color w:val="auto"/>
                <w:highlight w:val="none"/>
              </w:rPr>
            </w:pPr>
          </w:p>
        </w:tc>
        <w:tc>
          <w:tcPr>
            <w:tcW w:w="1044" w:type="dxa"/>
          </w:tcPr>
          <w:p w14:paraId="7B932EC1">
            <w:pPr>
              <w:ind w:left="0" w:firstLine="0"/>
              <w:rPr>
                <w:rFonts w:ascii="宋体" w:hAnsi="宋体"/>
                <w:color w:val="auto"/>
                <w:highlight w:val="none"/>
              </w:rPr>
            </w:pPr>
          </w:p>
        </w:tc>
        <w:tc>
          <w:tcPr>
            <w:tcW w:w="1043" w:type="dxa"/>
          </w:tcPr>
          <w:p w14:paraId="7C04D9DB">
            <w:pPr>
              <w:ind w:left="0" w:firstLine="0"/>
              <w:rPr>
                <w:rFonts w:ascii="宋体" w:hAnsi="宋体"/>
                <w:color w:val="auto"/>
                <w:highlight w:val="none"/>
              </w:rPr>
            </w:pPr>
          </w:p>
        </w:tc>
      </w:tr>
      <w:tr w14:paraId="5E3F51B4">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05EAFF8B">
            <w:pPr>
              <w:ind w:left="0" w:firstLine="0"/>
              <w:rPr>
                <w:rFonts w:ascii="宋体" w:hAnsi="宋体"/>
                <w:color w:val="auto"/>
                <w:highlight w:val="none"/>
              </w:rPr>
            </w:pPr>
          </w:p>
        </w:tc>
        <w:tc>
          <w:tcPr>
            <w:tcW w:w="1092" w:type="dxa"/>
            <w:vAlign w:val="center"/>
          </w:tcPr>
          <w:p w14:paraId="402008F8">
            <w:pPr>
              <w:ind w:left="0" w:firstLine="0"/>
              <w:rPr>
                <w:rFonts w:ascii="宋体" w:hAnsi="宋体"/>
                <w:color w:val="auto"/>
                <w:highlight w:val="none"/>
              </w:rPr>
            </w:pPr>
          </w:p>
        </w:tc>
        <w:tc>
          <w:tcPr>
            <w:tcW w:w="1789" w:type="dxa"/>
            <w:vAlign w:val="center"/>
          </w:tcPr>
          <w:p w14:paraId="256B34F8">
            <w:pPr>
              <w:ind w:left="0" w:firstLine="0"/>
              <w:rPr>
                <w:rFonts w:ascii="宋体" w:hAnsi="宋体"/>
                <w:color w:val="auto"/>
                <w:highlight w:val="none"/>
              </w:rPr>
            </w:pPr>
          </w:p>
        </w:tc>
        <w:tc>
          <w:tcPr>
            <w:tcW w:w="992" w:type="dxa"/>
            <w:vAlign w:val="center"/>
          </w:tcPr>
          <w:p w14:paraId="5E6CCEFF">
            <w:pPr>
              <w:ind w:left="0" w:firstLine="0"/>
              <w:rPr>
                <w:rFonts w:ascii="宋体" w:hAnsi="宋体"/>
                <w:color w:val="auto"/>
                <w:highlight w:val="none"/>
              </w:rPr>
            </w:pPr>
          </w:p>
        </w:tc>
        <w:tc>
          <w:tcPr>
            <w:tcW w:w="993" w:type="dxa"/>
            <w:vAlign w:val="center"/>
          </w:tcPr>
          <w:p w14:paraId="6DD9CF39">
            <w:pPr>
              <w:ind w:left="0" w:firstLine="0"/>
              <w:rPr>
                <w:rFonts w:ascii="宋体" w:hAnsi="宋体"/>
                <w:color w:val="auto"/>
                <w:highlight w:val="none"/>
              </w:rPr>
            </w:pPr>
          </w:p>
        </w:tc>
        <w:tc>
          <w:tcPr>
            <w:tcW w:w="1388" w:type="dxa"/>
          </w:tcPr>
          <w:p w14:paraId="5C4401B1">
            <w:pPr>
              <w:ind w:left="0" w:firstLine="0"/>
              <w:rPr>
                <w:rFonts w:ascii="宋体" w:hAnsi="宋体"/>
                <w:color w:val="auto"/>
                <w:highlight w:val="none"/>
              </w:rPr>
            </w:pPr>
          </w:p>
        </w:tc>
        <w:tc>
          <w:tcPr>
            <w:tcW w:w="1044" w:type="dxa"/>
            <w:vAlign w:val="center"/>
          </w:tcPr>
          <w:p w14:paraId="380644E3">
            <w:pPr>
              <w:ind w:left="0" w:firstLine="0"/>
              <w:rPr>
                <w:rFonts w:ascii="宋体" w:hAnsi="宋体"/>
                <w:color w:val="auto"/>
                <w:highlight w:val="none"/>
              </w:rPr>
            </w:pPr>
          </w:p>
        </w:tc>
        <w:tc>
          <w:tcPr>
            <w:tcW w:w="1043" w:type="dxa"/>
            <w:vAlign w:val="center"/>
          </w:tcPr>
          <w:p w14:paraId="60C21AD4">
            <w:pPr>
              <w:ind w:left="0" w:firstLine="0"/>
              <w:rPr>
                <w:rFonts w:ascii="宋体" w:hAnsi="宋体"/>
                <w:color w:val="auto"/>
                <w:highlight w:val="none"/>
              </w:rPr>
            </w:pPr>
          </w:p>
        </w:tc>
      </w:tr>
      <w:tr w14:paraId="18369556">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4A726819">
            <w:pPr>
              <w:ind w:left="0" w:firstLine="0"/>
              <w:rPr>
                <w:rFonts w:ascii="宋体" w:hAnsi="宋体"/>
                <w:color w:val="auto"/>
                <w:highlight w:val="none"/>
              </w:rPr>
            </w:pPr>
          </w:p>
        </w:tc>
        <w:tc>
          <w:tcPr>
            <w:tcW w:w="1092" w:type="dxa"/>
            <w:vAlign w:val="center"/>
          </w:tcPr>
          <w:p w14:paraId="161D2008">
            <w:pPr>
              <w:ind w:left="0" w:firstLine="0"/>
              <w:rPr>
                <w:rFonts w:ascii="宋体" w:hAnsi="宋体"/>
                <w:color w:val="auto"/>
                <w:highlight w:val="none"/>
              </w:rPr>
            </w:pPr>
          </w:p>
        </w:tc>
        <w:tc>
          <w:tcPr>
            <w:tcW w:w="1789" w:type="dxa"/>
            <w:vAlign w:val="center"/>
          </w:tcPr>
          <w:p w14:paraId="0943837D">
            <w:pPr>
              <w:ind w:left="0" w:firstLine="0"/>
              <w:rPr>
                <w:rFonts w:ascii="宋体" w:hAnsi="宋体"/>
                <w:color w:val="auto"/>
                <w:highlight w:val="none"/>
              </w:rPr>
            </w:pPr>
          </w:p>
        </w:tc>
        <w:tc>
          <w:tcPr>
            <w:tcW w:w="992" w:type="dxa"/>
            <w:vAlign w:val="center"/>
          </w:tcPr>
          <w:p w14:paraId="0728D7FB">
            <w:pPr>
              <w:ind w:left="0" w:firstLine="0"/>
              <w:rPr>
                <w:rFonts w:ascii="宋体" w:hAnsi="宋体"/>
                <w:color w:val="auto"/>
                <w:highlight w:val="none"/>
              </w:rPr>
            </w:pPr>
          </w:p>
        </w:tc>
        <w:tc>
          <w:tcPr>
            <w:tcW w:w="993" w:type="dxa"/>
            <w:vAlign w:val="center"/>
          </w:tcPr>
          <w:p w14:paraId="222397D6">
            <w:pPr>
              <w:ind w:left="0" w:firstLine="0"/>
              <w:rPr>
                <w:rFonts w:ascii="宋体" w:hAnsi="宋体"/>
                <w:color w:val="auto"/>
                <w:highlight w:val="none"/>
              </w:rPr>
            </w:pPr>
          </w:p>
        </w:tc>
        <w:tc>
          <w:tcPr>
            <w:tcW w:w="1388" w:type="dxa"/>
          </w:tcPr>
          <w:p w14:paraId="1AE226D8">
            <w:pPr>
              <w:ind w:left="0" w:firstLine="0"/>
              <w:rPr>
                <w:rFonts w:ascii="宋体" w:hAnsi="宋体"/>
                <w:color w:val="auto"/>
                <w:highlight w:val="none"/>
              </w:rPr>
            </w:pPr>
          </w:p>
        </w:tc>
        <w:tc>
          <w:tcPr>
            <w:tcW w:w="1044" w:type="dxa"/>
            <w:vAlign w:val="center"/>
          </w:tcPr>
          <w:p w14:paraId="7735A0D2">
            <w:pPr>
              <w:ind w:left="0" w:firstLine="0"/>
              <w:rPr>
                <w:rFonts w:ascii="宋体" w:hAnsi="宋体"/>
                <w:color w:val="auto"/>
                <w:highlight w:val="none"/>
              </w:rPr>
            </w:pPr>
          </w:p>
        </w:tc>
        <w:tc>
          <w:tcPr>
            <w:tcW w:w="1043" w:type="dxa"/>
            <w:vAlign w:val="center"/>
          </w:tcPr>
          <w:p w14:paraId="1047A15F">
            <w:pPr>
              <w:ind w:left="0" w:firstLine="0"/>
              <w:rPr>
                <w:rFonts w:ascii="宋体" w:hAnsi="宋体"/>
                <w:color w:val="auto"/>
                <w:highlight w:val="none"/>
              </w:rPr>
            </w:pPr>
          </w:p>
        </w:tc>
      </w:tr>
      <w:tr w14:paraId="317C31DE">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6F85E144">
            <w:pPr>
              <w:ind w:left="0" w:firstLine="0"/>
              <w:rPr>
                <w:rFonts w:ascii="宋体" w:hAnsi="宋体"/>
                <w:color w:val="auto"/>
                <w:highlight w:val="none"/>
              </w:rPr>
            </w:pPr>
          </w:p>
        </w:tc>
        <w:tc>
          <w:tcPr>
            <w:tcW w:w="1092" w:type="dxa"/>
            <w:vAlign w:val="center"/>
          </w:tcPr>
          <w:p w14:paraId="080C65BA">
            <w:pPr>
              <w:ind w:left="0" w:firstLine="0"/>
              <w:rPr>
                <w:rFonts w:ascii="宋体" w:hAnsi="宋体"/>
                <w:color w:val="auto"/>
                <w:highlight w:val="none"/>
              </w:rPr>
            </w:pPr>
          </w:p>
        </w:tc>
        <w:tc>
          <w:tcPr>
            <w:tcW w:w="1789" w:type="dxa"/>
            <w:vAlign w:val="center"/>
          </w:tcPr>
          <w:p w14:paraId="36BF5B74">
            <w:pPr>
              <w:ind w:left="0" w:firstLine="0"/>
              <w:rPr>
                <w:rFonts w:ascii="宋体" w:hAnsi="宋体"/>
                <w:color w:val="auto"/>
                <w:highlight w:val="none"/>
              </w:rPr>
            </w:pPr>
          </w:p>
        </w:tc>
        <w:tc>
          <w:tcPr>
            <w:tcW w:w="992" w:type="dxa"/>
            <w:vAlign w:val="center"/>
          </w:tcPr>
          <w:p w14:paraId="2E99BDF8">
            <w:pPr>
              <w:ind w:left="0" w:firstLine="0"/>
              <w:rPr>
                <w:rFonts w:ascii="宋体" w:hAnsi="宋体"/>
                <w:color w:val="auto"/>
                <w:highlight w:val="none"/>
              </w:rPr>
            </w:pPr>
          </w:p>
        </w:tc>
        <w:tc>
          <w:tcPr>
            <w:tcW w:w="993" w:type="dxa"/>
            <w:vAlign w:val="center"/>
          </w:tcPr>
          <w:p w14:paraId="27572629">
            <w:pPr>
              <w:ind w:left="0" w:firstLine="0"/>
              <w:rPr>
                <w:rFonts w:ascii="宋体" w:hAnsi="宋体"/>
                <w:color w:val="auto"/>
                <w:highlight w:val="none"/>
              </w:rPr>
            </w:pPr>
          </w:p>
        </w:tc>
        <w:tc>
          <w:tcPr>
            <w:tcW w:w="1388" w:type="dxa"/>
          </w:tcPr>
          <w:p w14:paraId="43898898">
            <w:pPr>
              <w:ind w:left="0" w:firstLine="0"/>
              <w:rPr>
                <w:rFonts w:ascii="宋体" w:hAnsi="宋体"/>
                <w:color w:val="auto"/>
                <w:highlight w:val="none"/>
              </w:rPr>
            </w:pPr>
          </w:p>
        </w:tc>
        <w:tc>
          <w:tcPr>
            <w:tcW w:w="1044" w:type="dxa"/>
            <w:vAlign w:val="center"/>
          </w:tcPr>
          <w:p w14:paraId="30C78F6F">
            <w:pPr>
              <w:ind w:left="0" w:firstLine="0"/>
              <w:rPr>
                <w:rFonts w:ascii="宋体" w:hAnsi="宋体"/>
                <w:color w:val="auto"/>
                <w:highlight w:val="none"/>
              </w:rPr>
            </w:pPr>
          </w:p>
        </w:tc>
        <w:tc>
          <w:tcPr>
            <w:tcW w:w="1043" w:type="dxa"/>
            <w:vAlign w:val="center"/>
          </w:tcPr>
          <w:p w14:paraId="4F051877">
            <w:pPr>
              <w:ind w:left="0" w:firstLine="0"/>
              <w:rPr>
                <w:rFonts w:ascii="宋体" w:hAnsi="宋体"/>
                <w:color w:val="auto"/>
                <w:highlight w:val="none"/>
              </w:rPr>
            </w:pPr>
          </w:p>
        </w:tc>
      </w:tr>
      <w:tr w14:paraId="4742FF2F">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012C348B">
            <w:pPr>
              <w:ind w:left="0" w:firstLine="0"/>
              <w:rPr>
                <w:rFonts w:ascii="宋体" w:hAnsi="宋体"/>
                <w:color w:val="auto"/>
                <w:highlight w:val="none"/>
              </w:rPr>
            </w:pPr>
          </w:p>
        </w:tc>
        <w:tc>
          <w:tcPr>
            <w:tcW w:w="1092" w:type="dxa"/>
            <w:vAlign w:val="center"/>
          </w:tcPr>
          <w:p w14:paraId="3C17BBC4">
            <w:pPr>
              <w:ind w:left="0" w:firstLine="0"/>
              <w:rPr>
                <w:rFonts w:ascii="宋体" w:hAnsi="宋体"/>
                <w:color w:val="auto"/>
                <w:highlight w:val="none"/>
              </w:rPr>
            </w:pPr>
          </w:p>
        </w:tc>
        <w:tc>
          <w:tcPr>
            <w:tcW w:w="1789" w:type="dxa"/>
            <w:vAlign w:val="center"/>
          </w:tcPr>
          <w:p w14:paraId="555149BB">
            <w:pPr>
              <w:ind w:left="0" w:firstLine="0"/>
              <w:rPr>
                <w:rFonts w:ascii="宋体" w:hAnsi="宋体"/>
                <w:color w:val="auto"/>
                <w:highlight w:val="none"/>
              </w:rPr>
            </w:pPr>
          </w:p>
        </w:tc>
        <w:tc>
          <w:tcPr>
            <w:tcW w:w="992" w:type="dxa"/>
            <w:vAlign w:val="center"/>
          </w:tcPr>
          <w:p w14:paraId="76F701D7">
            <w:pPr>
              <w:ind w:left="0" w:firstLine="0"/>
              <w:rPr>
                <w:rFonts w:ascii="宋体" w:hAnsi="宋体"/>
                <w:color w:val="auto"/>
                <w:highlight w:val="none"/>
              </w:rPr>
            </w:pPr>
          </w:p>
        </w:tc>
        <w:tc>
          <w:tcPr>
            <w:tcW w:w="993" w:type="dxa"/>
            <w:vAlign w:val="center"/>
          </w:tcPr>
          <w:p w14:paraId="0D07B0C5">
            <w:pPr>
              <w:ind w:left="0" w:firstLine="0"/>
              <w:rPr>
                <w:rFonts w:ascii="宋体" w:hAnsi="宋体"/>
                <w:color w:val="auto"/>
                <w:highlight w:val="none"/>
              </w:rPr>
            </w:pPr>
          </w:p>
        </w:tc>
        <w:tc>
          <w:tcPr>
            <w:tcW w:w="1388" w:type="dxa"/>
          </w:tcPr>
          <w:p w14:paraId="2609C67C">
            <w:pPr>
              <w:ind w:left="0" w:firstLine="0"/>
              <w:rPr>
                <w:rFonts w:ascii="宋体" w:hAnsi="宋体"/>
                <w:color w:val="auto"/>
                <w:highlight w:val="none"/>
              </w:rPr>
            </w:pPr>
          </w:p>
        </w:tc>
        <w:tc>
          <w:tcPr>
            <w:tcW w:w="1044" w:type="dxa"/>
            <w:vAlign w:val="center"/>
          </w:tcPr>
          <w:p w14:paraId="4559F87A">
            <w:pPr>
              <w:ind w:left="0" w:firstLine="0"/>
              <w:rPr>
                <w:rFonts w:ascii="宋体" w:hAnsi="宋体"/>
                <w:color w:val="auto"/>
                <w:highlight w:val="none"/>
              </w:rPr>
            </w:pPr>
          </w:p>
        </w:tc>
        <w:tc>
          <w:tcPr>
            <w:tcW w:w="1043" w:type="dxa"/>
            <w:vAlign w:val="center"/>
          </w:tcPr>
          <w:p w14:paraId="4FD1F51F">
            <w:pPr>
              <w:ind w:left="0" w:firstLine="0"/>
              <w:rPr>
                <w:rFonts w:ascii="宋体" w:hAnsi="宋体"/>
                <w:color w:val="auto"/>
                <w:highlight w:val="none"/>
              </w:rPr>
            </w:pPr>
          </w:p>
        </w:tc>
      </w:tr>
      <w:tr w14:paraId="4076BF44">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0EB7BC73">
            <w:pPr>
              <w:ind w:left="0" w:firstLine="0"/>
              <w:rPr>
                <w:rFonts w:ascii="宋体" w:hAnsi="宋体"/>
                <w:color w:val="auto"/>
                <w:highlight w:val="none"/>
              </w:rPr>
            </w:pPr>
          </w:p>
        </w:tc>
        <w:tc>
          <w:tcPr>
            <w:tcW w:w="1092" w:type="dxa"/>
            <w:vAlign w:val="center"/>
          </w:tcPr>
          <w:p w14:paraId="3BA5D0B1">
            <w:pPr>
              <w:ind w:left="0" w:firstLine="0"/>
              <w:rPr>
                <w:rFonts w:ascii="宋体" w:hAnsi="宋体"/>
                <w:color w:val="auto"/>
                <w:highlight w:val="none"/>
              </w:rPr>
            </w:pPr>
          </w:p>
        </w:tc>
        <w:tc>
          <w:tcPr>
            <w:tcW w:w="1789" w:type="dxa"/>
            <w:vAlign w:val="center"/>
          </w:tcPr>
          <w:p w14:paraId="1DB810E9">
            <w:pPr>
              <w:ind w:left="0" w:firstLine="0"/>
              <w:rPr>
                <w:rFonts w:ascii="宋体" w:hAnsi="宋体"/>
                <w:color w:val="auto"/>
                <w:highlight w:val="none"/>
              </w:rPr>
            </w:pPr>
          </w:p>
        </w:tc>
        <w:tc>
          <w:tcPr>
            <w:tcW w:w="992" w:type="dxa"/>
            <w:vAlign w:val="center"/>
          </w:tcPr>
          <w:p w14:paraId="4A7D4865">
            <w:pPr>
              <w:ind w:left="0" w:firstLine="0"/>
              <w:rPr>
                <w:rFonts w:ascii="宋体" w:hAnsi="宋体"/>
                <w:color w:val="auto"/>
                <w:highlight w:val="none"/>
              </w:rPr>
            </w:pPr>
          </w:p>
        </w:tc>
        <w:tc>
          <w:tcPr>
            <w:tcW w:w="993" w:type="dxa"/>
            <w:vAlign w:val="center"/>
          </w:tcPr>
          <w:p w14:paraId="53C8BD8C">
            <w:pPr>
              <w:ind w:left="0" w:firstLine="0"/>
              <w:rPr>
                <w:rFonts w:ascii="宋体" w:hAnsi="宋体"/>
                <w:color w:val="auto"/>
                <w:highlight w:val="none"/>
              </w:rPr>
            </w:pPr>
          </w:p>
        </w:tc>
        <w:tc>
          <w:tcPr>
            <w:tcW w:w="1388" w:type="dxa"/>
          </w:tcPr>
          <w:p w14:paraId="3C738020">
            <w:pPr>
              <w:ind w:left="0" w:firstLine="0"/>
              <w:rPr>
                <w:rFonts w:ascii="宋体" w:hAnsi="宋体"/>
                <w:color w:val="auto"/>
                <w:highlight w:val="none"/>
              </w:rPr>
            </w:pPr>
          </w:p>
        </w:tc>
        <w:tc>
          <w:tcPr>
            <w:tcW w:w="1044" w:type="dxa"/>
            <w:vAlign w:val="center"/>
          </w:tcPr>
          <w:p w14:paraId="5DD03E6B">
            <w:pPr>
              <w:ind w:left="0" w:firstLine="0"/>
              <w:rPr>
                <w:rFonts w:ascii="宋体" w:hAnsi="宋体"/>
                <w:color w:val="auto"/>
                <w:highlight w:val="none"/>
              </w:rPr>
            </w:pPr>
          </w:p>
        </w:tc>
        <w:tc>
          <w:tcPr>
            <w:tcW w:w="1043" w:type="dxa"/>
            <w:vAlign w:val="center"/>
          </w:tcPr>
          <w:p w14:paraId="2D2F1E50">
            <w:pPr>
              <w:ind w:left="0" w:firstLine="0"/>
              <w:rPr>
                <w:rFonts w:ascii="宋体" w:hAnsi="宋体"/>
                <w:color w:val="auto"/>
                <w:highlight w:val="none"/>
              </w:rPr>
            </w:pPr>
          </w:p>
        </w:tc>
      </w:tr>
      <w:tr w14:paraId="42C8F7D4">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6059A031">
            <w:pPr>
              <w:ind w:left="0" w:firstLine="0"/>
              <w:rPr>
                <w:rFonts w:ascii="宋体" w:hAnsi="宋体"/>
                <w:color w:val="auto"/>
                <w:highlight w:val="none"/>
              </w:rPr>
            </w:pPr>
          </w:p>
        </w:tc>
        <w:tc>
          <w:tcPr>
            <w:tcW w:w="1092" w:type="dxa"/>
            <w:vAlign w:val="center"/>
          </w:tcPr>
          <w:p w14:paraId="4510F066">
            <w:pPr>
              <w:ind w:left="0" w:firstLine="0"/>
              <w:rPr>
                <w:rFonts w:ascii="宋体" w:hAnsi="宋体"/>
                <w:color w:val="auto"/>
                <w:highlight w:val="none"/>
              </w:rPr>
            </w:pPr>
          </w:p>
        </w:tc>
        <w:tc>
          <w:tcPr>
            <w:tcW w:w="1789" w:type="dxa"/>
            <w:vAlign w:val="center"/>
          </w:tcPr>
          <w:p w14:paraId="21ED6A1D">
            <w:pPr>
              <w:ind w:left="0" w:firstLine="0"/>
              <w:rPr>
                <w:rFonts w:ascii="宋体" w:hAnsi="宋体"/>
                <w:color w:val="auto"/>
                <w:highlight w:val="none"/>
              </w:rPr>
            </w:pPr>
          </w:p>
        </w:tc>
        <w:tc>
          <w:tcPr>
            <w:tcW w:w="992" w:type="dxa"/>
            <w:vAlign w:val="center"/>
          </w:tcPr>
          <w:p w14:paraId="2C51B043">
            <w:pPr>
              <w:ind w:left="0" w:firstLine="0"/>
              <w:rPr>
                <w:rFonts w:ascii="宋体" w:hAnsi="宋体"/>
                <w:color w:val="auto"/>
                <w:highlight w:val="none"/>
              </w:rPr>
            </w:pPr>
          </w:p>
        </w:tc>
        <w:tc>
          <w:tcPr>
            <w:tcW w:w="993" w:type="dxa"/>
            <w:vAlign w:val="center"/>
          </w:tcPr>
          <w:p w14:paraId="506BE3D9">
            <w:pPr>
              <w:ind w:left="0" w:firstLine="0"/>
              <w:rPr>
                <w:rFonts w:ascii="宋体" w:hAnsi="宋体"/>
                <w:color w:val="auto"/>
                <w:highlight w:val="none"/>
              </w:rPr>
            </w:pPr>
          </w:p>
        </w:tc>
        <w:tc>
          <w:tcPr>
            <w:tcW w:w="1388" w:type="dxa"/>
          </w:tcPr>
          <w:p w14:paraId="7992EE30">
            <w:pPr>
              <w:ind w:left="0" w:firstLine="0"/>
              <w:rPr>
                <w:rFonts w:ascii="宋体" w:hAnsi="宋体"/>
                <w:color w:val="auto"/>
                <w:highlight w:val="none"/>
              </w:rPr>
            </w:pPr>
          </w:p>
        </w:tc>
        <w:tc>
          <w:tcPr>
            <w:tcW w:w="1044" w:type="dxa"/>
            <w:vAlign w:val="center"/>
          </w:tcPr>
          <w:p w14:paraId="3C27B43C">
            <w:pPr>
              <w:ind w:left="0" w:firstLine="0"/>
              <w:rPr>
                <w:rFonts w:ascii="宋体" w:hAnsi="宋体"/>
                <w:color w:val="auto"/>
                <w:highlight w:val="none"/>
              </w:rPr>
            </w:pPr>
          </w:p>
        </w:tc>
        <w:tc>
          <w:tcPr>
            <w:tcW w:w="1043" w:type="dxa"/>
            <w:vAlign w:val="center"/>
          </w:tcPr>
          <w:p w14:paraId="1C58E362">
            <w:pPr>
              <w:ind w:left="0" w:firstLine="0"/>
              <w:rPr>
                <w:rFonts w:ascii="宋体" w:hAnsi="宋体"/>
                <w:color w:val="auto"/>
                <w:highlight w:val="none"/>
              </w:rPr>
            </w:pPr>
          </w:p>
        </w:tc>
      </w:tr>
      <w:tr w14:paraId="451DC73A">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07D36971">
            <w:pPr>
              <w:ind w:left="0" w:firstLine="0"/>
              <w:rPr>
                <w:rFonts w:ascii="宋体" w:hAnsi="宋体"/>
                <w:color w:val="auto"/>
                <w:highlight w:val="none"/>
              </w:rPr>
            </w:pPr>
          </w:p>
        </w:tc>
        <w:tc>
          <w:tcPr>
            <w:tcW w:w="1092" w:type="dxa"/>
            <w:vAlign w:val="center"/>
          </w:tcPr>
          <w:p w14:paraId="33F0E129">
            <w:pPr>
              <w:ind w:left="0" w:firstLine="0"/>
              <w:rPr>
                <w:rFonts w:ascii="宋体" w:hAnsi="宋体"/>
                <w:color w:val="auto"/>
                <w:highlight w:val="none"/>
              </w:rPr>
            </w:pPr>
          </w:p>
        </w:tc>
        <w:tc>
          <w:tcPr>
            <w:tcW w:w="1789" w:type="dxa"/>
            <w:vAlign w:val="center"/>
          </w:tcPr>
          <w:p w14:paraId="441DDFF6">
            <w:pPr>
              <w:ind w:left="0" w:firstLine="0"/>
              <w:rPr>
                <w:rFonts w:ascii="宋体" w:hAnsi="宋体"/>
                <w:color w:val="auto"/>
                <w:highlight w:val="none"/>
              </w:rPr>
            </w:pPr>
          </w:p>
        </w:tc>
        <w:tc>
          <w:tcPr>
            <w:tcW w:w="992" w:type="dxa"/>
            <w:vAlign w:val="center"/>
          </w:tcPr>
          <w:p w14:paraId="6BA83C45">
            <w:pPr>
              <w:ind w:left="0" w:firstLine="0"/>
              <w:rPr>
                <w:rFonts w:ascii="宋体" w:hAnsi="宋体"/>
                <w:color w:val="auto"/>
                <w:highlight w:val="none"/>
              </w:rPr>
            </w:pPr>
          </w:p>
        </w:tc>
        <w:tc>
          <w:tcPr>
            <w:tcW w:w="993" w:type="dxa"/>
            <w:vAlign w:val="center"/>
          </w:tcPr>
          <w:p w14:paraId="3E92B18A">
            <w:pPr>
              <w:ind w:left="0" w:firstLine="0"/>
              <w:rPr>
                <w:rFonts w:ascii="宋体" w:hAnsi="宋体"/>
                <w:color w:val="auto"/>
                <w:highlight w:val="none"/>
              </w:rPr>
            </w:pPr>
          </w:p>
        </w:tc>
        <w:tc>
          <w:tcPr>
            <w:tcW w:w="1388" w:type="dxa"/>
          </w:tcPr>
          <w:p w14:paraId="1491B5EB">
            <w:pPr>
              <w:ind w:left="0" w:firstLine="0"/>
              <w:rPr>
                <w:rFonts w:ascii="宋体" w:hAnsi="宋体"/>
                <w:color w:val="auto"/>
                <w:highlight w:val="none"/>
              </w:rPr>
            </w:pPr>
          </w:p>
        </w:tc>
        <w:tc>
          <w:tcPr>
            <w:tcW w:w="1044" w:type="dxa"/>
            <w:vAlign w:val="center"/>
          </w:tcPr>
          <w:p w14:paraId="2A25E41A">
            <w:pPr>
              <w:ind w:left="0" w:firstLine="0"/>
              <w:rPr>
                <w:rFonts w:ascii="宋体" w:hAnsi="宋体"/>
                <w:color w:val="auto"/>
                <w:highlight w:val="none"/>
              </w:rPr>
            </w:pPr>
          </w:p>
        </w:tc>
        <w:tc>
          <w:tcPr>
            <w:tcW w:w="1043" w:type="dxa"/>
            <w:vAlign w:val="center"/>
          </w:tcPr>
          <w:p w14:paraId="658AC1CE">
            <w:pPr>
              <w:ind w:left="0" w:firstLine="0"/>
              <w:rPr>
                <w:rFonts w:ascii="宋体" w:hAnsi="宋体"/>
                <w:color w:val="auto"/>
                <w:highlight w:val="none"/>
              </w:rPr>
            </w:pPr>
          </w:p>
        </w:tc>
      </w:tr>
      <w:tr w14:paraId="77F73228">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82" w:hRule="atLeast"/>
          <w:jc w:val="center"/>
        </w:trPr>
        <w:tc>
          <w:tcPr>
            <w:tcW w:w="599" w:type="dxa"/>
            <w:vAlign w:val="center"/>
          </w:tcPr>
          <w:p w14:paraId="39431FF7">
            <w:pPr>
              <w:ind w:left="0" w:firstLine="0"/>
              <w:rPr>
                <w:rFonts w:ascii="宋体" w:hAnsi="宋体"/>
                <w:color w:val="auto"/>
                <w:highlight w:val="none"/>
              </w:rPr>
            </w:pPr>
          </w:p>
        </w:tc>
        <w:tc>
          <w:tcPr>
            <w:tcW w:w="1092" w:type="dxa"/>
            <w:vAlign w:val="center"/>
          </w:tcPr>
          <w:p w14:paraId="220D3E30">
            <w:pPr>
              <w:ind w:left="0" w:firstLine="0"/>
              <w:rPr>
                <w:rFonts w:ascii="宋体" w:hAnsi="宋体"/>
                <w:color w:val="auto"/>
                <w:highlight w:val="none"/>
              </w:rPr>
            </w:pPr>
          </w:p>
        </w:tc>
        <w:tc>
          <w:tcPr>
            <w:tcW w:w="1789" w:type="dxa"/>
            <w:vAlign w:val="center"/>
          </w:tcPr>
          <w:p w14:paraId="749BF2DE">
            <w:pPr>
              <w:ind w:left="0" w:firstLine="0"/>
              <w:rPr>
                <w:rFonts w:ascii="宋体" w:hAnsi="宋体"/>
                <w:color w:val="auto"/>
                <w:highlight w:val="none"/>
              </w:rPr>
            </w:pPr>
          </w:p>
        </w:tc>
        <w:tc>
          <w:tcPr>
            <w:tcW w:w="992" w:type="dxa"/>
            <w:vAlign w:val="center"/>
          </w:tcPr>
          <w:p w14:paraId="2129940C">
            <w:pPr>
              <w:ind w:left="0" w:firstLine="0"/>
              <w:rPr>
                <w:rFonts w:ascii="宋体" w:hAnsi="宋体"/>
                <w:color w:val="auto"/>
                <w:highlight w:val="none"/>
              </w:rPr>
            </w:pPr>
          </w:p>
        </w:tc>
        <w:tc>
          <w:tcPr>
            <w:tcW w:w="993" w:type="dxa"/>
            <w:vAlign w:val="center"/>
          </w:tcPr>
          <w:p w14:paraId="16EAAC81">
            <w:pPr>
              <w:ind w:left="0" w:firstLine="0"/>
              <w:rPr>
                <w:rFonts w:ascii="宋体" w:hAnsi="宋体"/>
                <w:color w:val="auto"/>
                <w:highlight w:val="none"/>
              </w:rPr>
            </w:pPr>
          </w:p>
        </w:tc>
        <w:tc>
          <w:tcPr>
            <w:tcW w:w="1388" w:type="dxa"/>
          </w:tcPr>
          <w:p w14:paraId="421BC7FE">
            <w:pPr>
              <w:ind w:left="0" w:firstLine="0"/>
              <w:rPr>
                <w:rFonts w:ascii="宋体" w:hAnsi="宋体"/>
                <w:color w:val="auto"/>
                <w:highlight w:val="none"/>
              </w:rPr>
            </w:pPr>
          </w:p>
        </w:tc>
        <w:tc>
          <w:tcPr>
            <w:tcW w:w="1044" w:type="dxa"/>
            <w:vAlign w:val="center"/>
          </w:tcPr>
          <w:p w14:paraId="14028724">
            <w:pPr>
              <w:ind w:left="0" w:firstLine="0"/>
              <w:rPr>
                <w:rFonts w:ascii="宋体" w:hAnsi="宋体"/>
                <w:color w:val="auto"/>
                <w:highlight w:val="none"/>
              </w:rPr>
            </w:pPr>
          </w:p>
        </w:tc>
        <w:tc>
          <w:tcPr>
            <w:tcW w:w="1043" w:type="dxa"/>
            <w:vAlign w:val="center"/>
          </w:tcPr>
          <w:p w14:paraId="1E355CD1">
            <w:pPr>
              <w:ind w:left="0" w:firstLine="0"/>
              <w:rPr>
                <w:rFonts w:ascii="宋体" w:hAnsi="宋体"/>
                <w:color w:val="auto"/>
                <w:highlight w:val="none"/>
              </w:rPr>
            </w:pPr>
          </w:p>
        </w:tc>
      </w:tr>
    </w:tbl>
    <w:p w14:paraId="04960FF7">
      <w:pPr>
        <w:spacing w:before="0" w:after="0" w:afterAutospacing="0"/>
        <w:ind w:left="0" w:leftChars="0" w:right="0" w:firstLine="420" w:firstLineChars="200"/>
        <w:rPr>
          <w:rFonts w:ascii="宋体" w:hAnsi="宋体"/>
          <w:color w:val="auto"/>
          <w:highlight w:val="none"/>
        </w:rPr>
      </w:pPr>
    </w:p>
    <w:p w14:paraId="6F24AC36">
      <w:pPr>
        <w:spacing w:before="0" w:after="0" w:afterAutospacing="0"/>
        <w:ind w:left="0" w:leftChars="0" w:right="0" w:firstLine="420" w:firstLineChars="200"/>
        <w:rPr>
          <w:rFonts w:ascii="宋体" w:hAnsi="宋体"/>
          <w:color w:val="auto"/>
          <w:highlight w:val="none"/>
        </w:rPr>
      </w:pPr>
      <w:r>
        <w:rPr>
          <w:rFonts w:ascii="宋体" w:hAnsi="宋体"/>
          <w:color w:val="auto"/>
          <w:highlight w:val="none"/>
        </w:rPr>
        <w:t>注：</w:t>
      </w:r>
    </w:p>
    <w:p w14:paraId="2C9F0025">
      <w:pPr>
        <w:spacing w:before="0" w:after="0" w:afterAutospacing="0"/>
        <w:ind w:left="0" w:leftChars="0" w:right="0" w:firstLine="420" w:firstLineChars="200"/>
        <w:rPr>
          <w:rFonts w:hint="eastAsia" w:eastAsia="宋体"/>
          <w:color w:val="auto"/>
          <w:highlight w:val="none"/>
          <w:lang w:eastAsia="zh-CN"/>
        </w:rPr>
      </w:pPr>
      <w:r>
        <w:rPr>
          <w:rFonts w:hint="eastAsia" w:ascii="宋体" w:hAnsi="宋体"/>
          <w:color w:val="auto"/>
          <w:highlight w:val="none"/>
          <w:lang w:val="en-US" w:eastAsia="zh-CN"/>
        </w:rPr>
        <w:t>1.</w:t>
      </w:r>
      <w:r>
        <w:rPr>
          <w:rFonts w:hint="eastAsia" w:ascii="宋体" w:hAnsi="宋体"/>
          <w:color w:val="auto"/>
          <w:highlight w:val="none"/>
          <w:lang w:eastAsia="zh-CN"/>
        </w:rPr>
        <w:t>比选申请人自2023年1月1日至比选申请截止时间前，承接过（完工/在建项目）1个以上样板房装修设计项目，单个业绩合同金额设计单价达1300元/㎡及以上的设计业绩</w:t>
      </w:r>
      <w:r>
        <w:rPr>
          <w:rFonts w:hint="eastAsia" w:ascii="宋体" w:hAnsi="宋体"/>
          <w:color w:val="auto"/>
          <w:highlight w:val="none"/>
        </w:rPr>
        <w:t>。</w:t>
      </w:r>
      <w:r>
        <w:rPr>
          <w:color w:val="auto"/>
          <w:highlight w:val="none"/>
        </w:rPr>
        <w:t>（提供相应的业绩证明材料：提供下述材料之一即可：</w:t>
      </w:r>
      <w:r>
        <w:rPr>
          <w:rFonts w:hint="eastAsia" w:ascii="宋体" w:hAnsi="宋体" w:cs="宋体"/>
          <w:color w:val="auto"/>
          <w:highlight w:val="none"/>
        </w:rPr>
        <w:t>①</w:t>
      </w:r>
      <w:r>
        <w:rPr>
          <w:color w:val="auto"/>
          <w:highlight w:val="none"/>
        </w:rPr>
        <w:t>合同文件；</w:t>
      </w:r>
      <w:r>
        <w:rPr>
          <w:rFonts w:hint="eastAsia" w:ascii="宋体" w:hAnsi="宋体" w:cs="宋体"/>
          <w:color w:val="auto"/>
          <w:highlight w:val="none"/>
        </w:rPr>
        <w:t>②</w:t>
      </w:r>
      <w:r>
        <w:rPr>
          <w:color w:val="auto"/>
          <w:highlight w:val="none"/>
        </w:rPr>
        <w:t>业主（采购方）开具的证明材料，但所提供的材料须能明确反映项目特征（</w:t>
      </w:r>
      <w:r>
        <w:rPr>
          <w:rFonts w:hint="eastAsia"/>
          <w:color w:val="auto"/>
          <w:highlight w:val="none"/>
        </w:rPr>
        <w:t>设计面积</w:t>
      </w:r>
      <w:r>
        <w:rPr>
          <w:color w:val="auto"/>
          <w:highlight w:val="none"/>
        </w:rPr>
        <w:t>及单方造价</w:t>
      </w:r>
      <w:r>
        <w:rPr>
          <w:rFonts w:hint="eastAsia"/>
          <w:color w:val="auto"/>
          <w:highlight w:val="none"/>
        </w:rPr>
        <w:t>等</w:t>
      </w:r>
      <w:r>
        <w:rPr>
          <w:color w:val="auto"/>
          <w:highlight w:val="none"/>
        </w:rPr>
        <w:t>），复印件加盖比选申请人公章，提供合同文件或甲方证明，提供复印件，原件备查）</w:t>
      </w:r>
      <w:r>
        <w:rPr>
          <w:rFonts w:hint="eastAsia"/>
          <w:color w:val="auto"/>
          <w:highlight w:val="none"/>
          <w:lang w:eastAsia="zh-CN"/>
        </w:rPr>
        <w:t>。</w:t>
      </w:r>
    </w:p>
    <w:p w14:paraId="3F17A75A">
      <w:pPr>
        <w:spacing w:before="0" w:after="0" w:afterAutospacing="0"/>
        <w:ind w:left="705" w:leftChars="200" w:right="0" w:hanging="285" w:hangingChars="136"/>
        <w:rPr>
          <w:rFonts w:ascii="宋体" w:hAnsi="宋体"/>
          <w:color w:val="auto"/>
          <w:highlight w:val="none"/>
        </w:rPr>
      </w:pPr>
      <w:r>
        <w:rPr>
          <w:rFonts w:ascii="宋体" w:hAnsi="宋体"/>
          <w:color w:val="auto"/>
          <w:highlight w:val="none"/>
        </w:rPr>
        <w:t>2.</w:t>
      </w:r>
      <w:r>
        <w:rPr>
          <w:rFonts w:hint="eastAsia" w:ascii="宋体" w:hAnsi="宋体"/>
          <w:color w:val="auto"/>
          <w:highlight w:val="none"/>
        </w:rPr>
        <w:t>项目按照时间顺序排列，时间以合同签订时间为准。</w:t>
      </w:r>
    </w:p>
    <w:p w14:paraId="18D50D8B">
      <w:pPr>
        <w:snapToGrid w:val="0"/>
        <w:spacing w:after="50" w:line="280" w:lineRule="exact"/>
        <w:ind w:left="0" w:right="-817" w:firstLine="0"/>
        <w:rPr>
          <w:rFonts w:ascii="宋体" w:hAnsi="宋体"/>
          <w:color w:val="auto"/>
          <w:highlight w:val="none"/>
        </w:rPr>
      </w:pPr>
    </w:p>
    <w:p w14:paraId="5B8F3E09">
      <w:pPr>
        <w:snapToGrid w:val="0"/>
        <w:spacing w:after="50" w:line="280" w:lineRule="exact"/>
        <w:ind w:left="955" w:right="-817" w:firstLine="2520" w:firstLineChars="1200"/>
        <w:rPr>
          <w:rFonts w:ascii="宋体" w:hAnsi="宋体"/>
          <w:color w:val="auto"/>
          <w:highlight w:val="none"/>
          <w:u w:val="single"/>
        </w:rPr>
      </w:pPr>
      <w:r>
        <w:rPr>
          <w:rFonts w:hint="eastAsia" w:ascii="宋体" w:hAnsi="宋体"/>
          <w:color w:val="auto"/>
          <w:highlight w:val="none"/>
        </w:rPr>
        <w:t>比选申请人名称（盖章）：</w:t>
      </w:r>
    </w:p>
    <w:p w14:paraId="31245A83">
      <w:pPr>
        <w:snapToGrid w:val="0"/>
        <w:spacing w:after="50" w:line="280" w:lineRule="exact"/>
        <w:ind w:right="-817" w:firstLine="2625" w:firstLineChars="1250"/>
        <w:rPr>
          <w:rFonts w:ascii="宋体" w:hAnsi="宋体"/>
          <w:color w:val="auto"/>
          <w:highlight w:val="none"/>
          <w:u w:val="single"/>
        </w:rPr>
      </w:pPr>
      <w:r>
        <w:rPr>
          <w:rFonts w:hint="eastAsia" w:ascii="宋体" w:hAnsi="宋体"/>
          <w:color w:val="auto"/>
          <w:highlight w:val="none"/>
        </w:rPr>
        <w:t xml:space="preserve"> 法定代表人或被授权人（签字）：</w:t>
      </w:r>
    </w:p>
    <w:p w14:paraId="16C25DF9">
      <w:pPr>
        <w:ind w:left="710" w:leftChars="338" w:right="-57" w:firstLine="3234" w:firstLineChars="1540"/>
        <w:jc w:val="left"/>
        <w:rPr>
          <w:rFonts w:ascii="宋体" w:hAnsi="宋体"/>
          <w:color w:val="auto"/>
          <w:highlight w:val="none"/>
        </w:rPr>
      </w:pPr>
      <w:r>
        <w:rPr>
          <w:rFonts w:hint="eastAsia" w:ascii="宋体" w:hAnsi="宋体"/>
          <w:color w:val="auto"/>
          <w:highlight w:val="none"/>
        </w:rPr>
        <w:t>日  期：年月日</w:t>
      </w:r>
    </w:p>
    <w:p w14:paraId="4A7A275A">
      <w:pPr>
        <w:spacing w:before="0" w:after="0" w:afterAutospacing="0" w:line="480" w:lineRule="auto"/>
        <w:ind w:left="0" w:right="0" w:firstLine="200"/>
        <w:rPr>
          <w:rFonts w:hint="eastAsia" w:ascii="Times New Roman" w:hAnsi="Times New Roman" w:eastAsia="宋体" w:cs="Times New Roman"/>
          <w:color w:val="auto"/>
          <w:highlight w:val="none"/>
          <w:lang w:val="en-US" w:eastAsia="zh-CN"/>
        </w:rPr>
      </w:pPr>
      <w:r>
        <w:rPr>
          <w:rFonts w:hint="eastAsia" w:ascii="宋体" w:hAnsi="宋体"/>
          <w:b/>
          <w:bCs/>
          <w:color w:val="auto"/>
          <w:highlight w:val="none"/>
          <w:lang w:val="en-US" w:eastAsia="zh-CN"/>
        </w:rPr>
        <w:t xml:space="preserve">A5     </w:t>
      </w:r>
      <w:r>
        <w:rPr>
          <w:rFonts w:hint="eastAsia"/>
          <w:b/>
          <w:bCs/>
          <w:color w:val="auto"/>
          <w:highlight w:val="none"/>
          <w:lang w:val="en-US" w:eastAsia="zh-CN"/>
        </w:rPr>
        <w:t>项目负责人业绩证明材料</w:t>
      </w:r>
      <w:r>
        <w:rPr>
          <w:rFonts w:hint="eastAsia" w:ascii="Times New Roman" w:hAnsi="Times New Roman" w:eastAsia="宋体" w:cs="Times New Roman"/>
          <w:color w:val="auto"/>
          <w:highlight w:val="none"/>
          <w:lang w:val="en-US" w:eastAsia="zh-CN"/>
        </w:rPr>
        <w:t>：提供下述材料之一即可：①合同文件；②方案文本案例。所提供的材料须能明确反映类似项目特征，复印件加盖比选申请人公章。</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0"/>
        <w:gridCol w:w="1061"/>
        <w:gridCol w:w="940"/>
        <w:gridCol w:w="976"/>
        <w:gridCol w:w="1024"/>
        <w:gridCol w:w="1037"/>
        <w:gridCol w:w="1024"/>
        <w:gridCol w:w="1168"/>
        <w:gridCol w:w="1209"/>
      </w:tblGrid>
      <w:tr w14:paraId="1F4AF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14:paraId="392A0A6C">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序号</w:t>
            </w:r>
          </w:p>
        </w:tc>
        <w:tc>
          <w:tcPr>
            <w:tcW w:w="1088" w:type="dxa"/>
          </w:tcPr>
          <w:p w14:paraId="1EEAD243">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姓名</w:t>
            </w:r>
          </w:p>
        </w:tc>
        <w:tc>
          <w:tcPr>
            <w:tcW w:w="962" w:type="dxa"/>
          </w:tcPr>
          <w:p w14:paraId="69FFA756">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年龄</w:t>
            </w:r>
          </w:p>
        </w:tc>
        <w:tc>
          <w:tcPr>
            <w:tcW w:w="1000" w:type="dxa"/>
          </w:tcPr>
          <w:p w14:paraId="232AE6DA">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性别</w:t>
            </w:r>
          </w:p>
        </w:tc>
        <w:tc>
          <w:tcPr>
            <w:tcW w:w="1050" w:type="dxa"/>
          </w:tcPr>
          <w:p w14:paraId="6409ABF3">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学历</w:t>
            </w:r>
          </w:p>
        </w:tc>
        <w:tc>
          <w:tcPr>
            <w:tcW w:w="1063" w:type="dxa"/>
          </w:tcPr>
          <w:p w14:paraId="0B9B5267">
            <w:pPr>
              <w:pStyle w:val="2"/>
              <w:ind w:left="0" w:leftChars="0" w:firstLine="0" w:firstLineChars="0"/>
              <w:jc w:val="center"/>
              <w:rPr>
                <w:rFonts w:hint="eastAsia" w:eastAsia="宋体"/>
                <w:b/>
                <w:bCs/>
                <w:color w:val="auto"/>
                <w:sz w:val="22"/>
                <w:szCs w:val="22"/>
                <w:highlight w:val="none"/>
                <w:lang w:eastAsia="zh-CN"/>
              </w:rPr>
            </w:pPr>
            <w:r>
              <w:rPr>
                <w:rFonts w:hint="eastAsia" w:eastAsia="宋体"/>
                <w:b/>
                <w:bCs/>
                <w:color w:val="auto"/>
                <w:sz w:val="22"/>
                <w:szCs w:val="22"/>
                <w:highlight w:val="none"/>
                <w:lang w:val="en-US" w:eastAsia="zh-CN"/>
              </w:rPr>
              <w:t>项目业绩</w:t>
            </w:r>
          </w:p>
        </w:tc>
        <w:tc>
          <w:tcPr>
            <w:tcW w:w="1050" w:type="dxa"/>
          </w:tcPr>
          <w:p w14:paraId="236B769B">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相关证书</w:t>
            </w:r>
          </w:p>
        </w:tc>
        <w:tc>
          <w:tcPr>
            <w:tcW w:w="1200" w:type="dxa"/>
          </w:tcPr>
          <w:p w14:paraId="37895259">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工作职责分工</w:t>
            </w:r>
          </w:p>
        </w:tc>
        <w:tc>
          <w:tcPr>
            <w:tcW w:w="1243" w:type="dxa"/>
          </w:tcPr>
          <w:p w14:paraId="5150918B">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联系电话</w:t>
            </w:r>
          </w:p>
        </w:tc>
      </w:tr>
      <w:tr w14:paraId="6CB61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14:paraId="32F4B891">
            <w:pPr>
              <w:pStyle w:val="2"/>
              <w:ind w:firstLine="482"/>
              <w:rPr>
                <w:b/>
                <w:bCs/>
                <w:color w:val="auto"/>
                <w:szCs w:val="24"/>
                <w:highlight w:val="none"/>
              </w:rPr>
            </w:pPr>
          </w:p>
        </w:tc>
        <w:tc>
          <w:tcPr>
            <w:tcW w:w="1088" w:type="dxa"/>
          </w:tcPr>
          <w:p w14:paraId="0D4F7728">
            <w:pPr>
              <w:pStyle w:val="2"/>
              <w:ind w:firstLine="482"/>
              <w:rPr>
                <w:b/>
                <w:bCs/>
                <w:color w:val="auto"/>
                <w:szCs w:val="24"/>
                <w:highlight w:val="none"/>
              </w:rPr>
            </w:pPr>
          </w:p>
        </w:tc>
        <w:tc>
          <w:tcPr>
            <w:tcW w:w="962" w:type="dxa"/>
          </w:tcPr>
          <w:p w14:paraId="0C2286D0">
            <w:pPr>
              <w:pStyle w:val="2"/>
              <w:ind w:firstLine="482"/>
              <w:rPr>
                <w:b/>
                <w:bCs/>
                <w:color w:val="auto"/>
                <w:szCs w:val="24"/>
                <w:highlight w:val="none"/>
              </w:rPr>
            </w:pPr>
          </w:p>
        </w:tc>
        <w:tc>
          <w:tcPr>
            <w:tcW w:w="1000" w:type="dxa"/>
          </w:tcPr>
          <w:p w14:paraId="25084AC4">
            <w:pPr>
              <w:pStyle w:val="2"/>
              <w:ind w:firstLine="482"/>
              <w:rPr>
                <w:b/>
                <w:bCs/>
                <w:color w:val="auto"/>
                <w:szCs w:val="24"/>
                <w:highlight w:val="none"/>
              </w:rPr>
            </w:pPr>
          </w:p>
        </w:tc>
        <w:tc>
          <w:tcPr>
            <w:tcW w:w="1050" w:type="dxa"/>
          </w:tcPr>
          <w:p w14:paraId="41E700AC">
            <w:pPr>
              <w:pStyle w:val="2"/>
              <w:ind w:firstLine="482"/>
              <w:rPr>
                <w:b/>
                <w:bCs/>
                <w:color w:val="auto"/>
                <w:szCs w:val="24"/>
                <w:highlight w:val="none"/>
              </w:rPr>
            </w:pPr>
          </w:p>
        </w:tc>
        <w:tc>
          <w:tcPr>
            <w:tcW w:w="1063" w:type="dxa"/>
          </w:tcPr>
          <w:p w14:paraId="0E407E5B">
            <w:pPr>
              <w:pStyle w:val="2"/>
              <w:ind w:firstLine="482"/>
              <w:rPr>
                <w:b/>
                <w:bCs/>
                <w:color w:val="auto"/>
                <w:szCs w:val="24"/>
                <w:highlight w:val="none"/>
              </w:rPr>
            </w:pPr>
          </w:p>
        </w:tc>
        <w:tc>
          <w:tcPr>
            <w:tcW w:w="1050" w:type="dxa"/>
          </w:tcPr>
          <w:p w14:paraId="7DD04149">
            <w:pPr>
              <w:pStyle w:val="2"/>
              <w:ind w:firstLine="482"/>
              <w:rPr>
                <w:b/>
                <w:bCs/>
                <w:color w:val="auto"/>
                <w:szCs w:val="24"/>
                <w:highlight w:val="none"/>
              </w:rPr>
            </w:pPr>
          </w:p>
        </w:tc>
        <w:tc>
          <w:tcPr>
            <w:tcW w:w="1200" w:type="dxa"/>
          </w:tcPr>
          <w:p w14:paraId="5F622DEC">
            <w:pPr>
              <w:pStyle w:val="2"/>
              <w:ind w:firstLine="482"/>
              <w:rPr>
                <w:b/>
                <w:bCs/>
                <w:color w:val="auto"/>
                <w:szCs w:val="24"/>
                <w:highlight w:val="none"/>
              </w:rPr>
            </w:pPr>
          </w:p>
        </w:tc>
        <w:tc>
          <w:tcPr>
            <w:tcW w:w="1243" w:type="dxa"/>
          </w:tcPr>
          <w:p w14:paraId="794F6829">
            <w:pPr>
              <w:pStyle w:val="2"/>
              <w:ind w:firstLine="482"/>
              <w:rPr>
                <w:b/>
                <w:bCs/>
                <w:color w:val="auto"/>
                <w:szCs w:val="24"/>
                <w:highlight w:val="none"/>
              </w:rPr>
            </w:pPr>
          </w:p>
        </w:tc>
      </w:tr>
      <w:tr w14:paraId="74458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14:paraId="2DB42226">
            <w:pPr>
              <w:pStyle w:val="2"/>
              <w:ind w:firstLine="482"/>
              <w:rPr>
                <w:b/>
                <w:bCs/>
                <w:color w:val="auto"/>
                <w:szCs w:val="24"/>
                <w:highlight w:val="none"/>
              </w:rPr>
            </w:pPr>
          </w:p>
        </w:tc>
        <w:tc>
          <w:tcPr>
            <w:tcW w:w="1088" w:type="dxa"/>
          </w:tcPr>
          <w:p w14:paraId="1E94B67B">
            <w:pPr>
              <w:pStyle w:val="2"/>
              <w:ind w:firstLine="482"/>
              <w:rPr>
                <w:b/>
                <w:bCs/>
                <w:color w:val="auto"/>
                <w:szCs w:val="24"/>
                <w:highlight w:val="none"/>
              </w:rPr>
            </w:pPr>
          </w:p>
        </w:tc>
        <w:tc>
          <w:tcPr>
            <w:tcW w:w="962" w:type="dxa"/>
          </w:tcPr>
          <w:p w14:paraId="35CBB51D">
            <w:pPr>
              <w:pStyle w:val="2"/>
              <w:ind w:firstLine="482"/>
              <w:rPr>
                <w:b/>
                <w:bCs/>
                <w:color w:val="auto"/>
                <w:szCs w:val="24"/>
                <w:highlight w:val="none"/>
              </w:rPr>
            </w:pPr>
          </w:p>
        </w:tc>
        <w:tc>
          <w:tcPr>
            <w:tcW w:w="1000" w:type="dxa"/>
          </w:tcPr>
          <w:p w14:paraId="1820C66A">
            <w:pPr>
              <w:pStyle w:val="2"/>
              <w:ind w:firstLine="482"/>
              <w:rPr>
                <w:b/>
                <w:bCs/>
                <w:color w:val="auto"/>
                <w:szCs w:val="24"/>
                <w:highlight w:val="none"/>
              </w:rPr>
            </w:pPr>
          </w:p>
        </w:tc>
        <w:tc>
          <w:tcPr>
            <w:tcW w:w="1050" w:type="dxa"/>
          </w:tcPr>
          <w:p w14:paraId="61B7D32A">
            <w:pPr>
              <w:pStyle w:val="2"/>
              <w:ind w:firstLine="482"/>
              <w:rPr>
                <w:b/>
                <w:bCs/>
                <w:color w:val="auto"/>
                <w:szCs w:val="24"/>
                <w:highlight w:val="none"/>
              </w:rPr>
            </w:pPr>
          </w:p>
        </w:tc>
        <w:tc>
          <w:tcPr>
            <w:tcW w:w="1063" w:type="dxa"/>
          </w:tcPr>
          <w:p w14:paraId="786CC856">
            <w:pPr>
              <w:pStyle w:val="2"/>
              <w:ind w:firstLine="482"/>
              <w:rPr>
                <w:b/>
                <w:bCs/>
                <w:color w:val="auto"/>
                <w:szCs w:val="24"/>
                <w:highlight w:val="none"/>
              </w:rPr>
            </w:pPr>
          </w:p>
        </w:tc>
        <w:tc>
          <w:tcPr>
            <w:tcW w:w="1050" w:type="dxa"/>
          </w:tcPr>
          <w:p w14:paraId="3E07D1D4">
            <w:pPr>
              <w:pStyle w:val="2"/>
              <w:ind w:firstLine="482"/>
              <w:rPr>
                <w:b/>
                <w:bCs/>
                <w:color w:val="auto"/>
                <w:szCs w:val="24"/>
                <w:highlight w:val="none"/>
              </w:rPr>
            </w:pPr>
          </w:p>
        </w:tc>
        <w:tc>
          <w:tcPr>
            <w:tcW w:w="1200" w:type="dxa"/>
          </w:tcPr>
          <w:p w14:paraId="5B7DB825">
            <w:pPr>
              <w:pStyle w:val="2"/>
              <w:ind w:firstLine="482"/>
              <w:rPr>
                <w:b/>
                <w:bCs/>
                <w:color w:val="auto"/>
                <w:szCs w:val="24"/>
                <w:highlight w:val="none"/>
              </w:rPr>
            </w:pPr>
          </w:p>
        </w:tc>
        <w:tc>
          <w:tcPr>
            <w:tcW w:w="1243" w:type="dxa"/>
          </w:tcPr>
          <w:p w14:paraId="4DA1ACBF">
            <w:pPr>
              <w:pStyle w:val="2"/>
              <w:ind w:firstLine="482"/>
              <w:rPr>
                <w:b/>
                <w:bCs/>
                <w:color w:val="auto"/>
                <w:szCs w:val="24"/>
                <w:highlight w:val="none"/>
              </w:rPr>
            </w:pPr>
          </w:p>
        </w:tc>
      </w:tr>
      <w:tr w14:paraId="365E7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14:paraId="5B47AE69">
            <w:pPr>
              <w:pStyle w:val="2"/>
              <w:ind w:firstLine="482"/>
              <w:rPr>
                <w:b/>
                <w:bCs/>
                <w:color w:val="auto"/>
                <w:szCs w:val="24"/>
                <w:highlight w:val="none"/>
              </w:rPr>
            </w:pPr>
          </w:p>
        </w:tc>
        <w:tc>
          <w:tcPr>
            <w:tcW w:w="1088" w:type="dxa"/>
          </w:tcPr>
          <w:p w14:paraId="57822C3A">
            <w:pPr>
              <w:pStyle w:val="2"/>
              <w:ind w:firstLine="482"/>
              <w:rPr>
                <w:b/>
                <w:bCs/>
                <w:color w:val="auto"/>
                <w:szCs w:val="24"/>
                <w:highlight w:val="none"/>
              </w:rPr>
            </w:pPr>
          </w:p>
        </w:tc>
        <w:tc>
          <w:tcPr>
            <w:tcW w:w="962" w:type="dxa"/>
          </w:tcPr>
          <w:p w14:paraId="42BB1853">
            <w:pPr>
              <w:pStyle w:val="2"/>
              <w:ind w:firstLine="482"/>
              <w:rPr>
                <w:b/>
                <w:bCs/>
                <w:color w:val="auto"/>
                <w:szCs w:val="24"/>
                <w:highlight w:val="none"/>
              </w:rPr>
            </w:pPr>
          </w:p>
        </w:tc>
        <w:tc>
          <w:tcPr>
            <w:tcW w:w="1000" w:type="dxa"/>
          </w:tcPr>
          <w:p w14:paraId="5D2504A0">
            <w:pPr>
              <w:pStyle w:val="2"/>
              <w:ind w:firstLine="482"/>
              <w:rPr>
                <w:b/>
                <w:bCs/>
                <w:color w:val="auto"/>
                <w:szCs w:val="24"/>
                <w:highlight w:val="none"/>
              </w:rPr>
            </w:pPr>
          </w:p>
        </w:tc>
        <w:tc>
          <w:tcPr>
            <w:tcW w:w="1050" w:type="dxa"/>
          </w:tcPr>
          <w:p w14:paraId="26A77CFE">
            <w:pPr>
              <w:pStyle w:val="2"/>
              <w:ind w:firstLine="482"/>
              <w:rPr>
                <w:b/>
                <w:bCs/>
                <w:color w:val="auto"/>
                <w:szCs w:val="24"/>
                <w:highlight w:val="none"/>
              </w:rPr>
            </w:pPr>
          </w:p>
        </w:tc>
        <w:tc>
          <w:tcPr>
            <w:tcW w:w="1063" w:type="dxa"/>
          </w:tcPr>
          <w:p w14:paraId="0FE8A764">
            <w:pPr>
              <w:pStyle w:val="2"/>
              <w:ind w:firstLine="482"/>
              <w:rPr>
                <w:b/>
                <w:bCs/>
                <w:color w:val="auto"/>
                <w:szCs w:val="24"/>
                <w:highlight w:val="none"/>
              </w:rPr>
            </w:pPr>
          </w:p>
        </w:tc>
        <w:tc>
          <w:tcPr>
            <w:tcW w:w="1050" w:type="dxa"/>
          </w:tcPr>
          <w:p w14:paraId="5CACA91F">
            <w:pPr>
              <w:pStyle w:val="2"/>
              <w:ind w:firstLine="482"/>
              <w:rPr>
                <w:b/>
                <w:bCs/>
                <w:color w:val="auto"/>
                <w:szCs w:val="24"/>
                <w:highlight w:val="none"/>
              </w:rPr>
            </w:pPr>
          </w:p>
        </w:tc>
        <w:tc>
          <w:tcPr>
            <w:tcW w:w="1200" w:type="dxa"/>
          </w:tcPr>
          <w:p w14:paraId="4BDDAD5E">
            <w:pPr>
              <w:pStyle w:val="2"/>
              <w:ind w:firstLine="482"/>
              <w:rPr>
                <w:b/>
                <w:bCs/>
                <w:color w:val="auto"/>
                <w:szCs w:val="24"/>
                <w:highlight w:val="none"/>
              </w:rPr>
            </w:pPr>
          </w:p>
        </w:tc>
        <w:tc>
          <w:tcPr>
            <w:tcW w:w="1243" w:type="dxa"/>
          </w:tcPr>
          <w:p w14:paraId="36359BC3">
            <w:pPr>
              <w:pStyle w:val="2"/>
              <w:ind w:firstLine="482"/>
              <w:rPr>
                <w:b/>
                <w:bCs/>
                <w:color w:val="auto"/>
                <w:szCs w:val="24"/>
                <w:highlight w:val="none"/>
              </w:rPr>
            </w:pPr>
          </w:p>
        </w:tc>
      </w:tr>
      <w:tr w14:paraId="7E065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14:paraId="14CAB9DC">
            <w:pPr>
              <w:pStyle w:val="2"/>
              <w:ind w:firstLine="482"/>
              <w:rPr>
                <w:b/>
                <w:bCs/>
                <w:color w:val="auto"/>
                <w:szCs w:val="24"/>
                <w:highlight w:val="none"/>
              </w:rPr>
            </w:pPr>
          </w:p>
        </w:tc>
        <w:tc>
          <w:tcPr>
            <w:tcW w:w="1088" w:type="dxa"/>
          </w:tcPr>
          <w:p w14:paraId="4E296A7A">
            <w:pPr>
              <w:pStyle w:val="2"/>
              <w:ind w:firstLine="482"/>
              <w:rPr>
                <w:b/>
                <w:bCs/>
                <w:color w:val="auto"/>
                <w:szCs w:val="24"/>
                <w:highlight w:val="none"/>
              </w:rPr>
            </w:pPr>
          </w:p>
        </w:tc>
        <w:tc>
          <w:tcPr>
            <w:tcW w:w="962" w:type="dxa"/>
          </w:tcPr>
          <w:p w14:paraId="407C76BF">
            <w:pPr>
              <w:pStyle w:val="2"/>
              <w:ind w:firstLine="482"/>
              <w:rPr>
                <w:b/>
                <w:bCs/>
                <w:color w:val="auto"/>
                <w:szCs w:val="24"/>
                <w:highlight w:val="none"/>
              </w:rPr>
            </w:pPr>
          </w:p>
        </w:tc>
        <w:tc>
          <w:tcPr>
            <w:tcW w:w="1000" w:type="dxa"/>
          </w:tcPr>
          <w:p w14:paraId="46884B89">
            <w:pPr>
              <w:pStyle w:val="2"/>
              <w:ind w:firstLine="482"/>
              <w:rPr>
                <w:b/>
                <w:bCs/>
                <w:color w:val="auto"/>
                <w:szCs w:val="24"/>
                <w:highlight w:val="none"/>
              </w:rPr>
            </w:pPr>
          </w:p>
        </w:tc>
        <w:tc>
          <w:tcPr>
            <w:tcW w:w="1050" w:type="dxa"/>
          </w:tcPr>
          <w:p w14:paraId="63D35977">
            <w:pPr>
              <w:pStyle w:val="2"/>
              <w:ind w:firstLine="482"/>
              <w:rPr>
                <w:b/>
                <w:bCs/>
                <w:color w:val="auto"/>
                <w:szCs w:val="24"/>
                <w:highlight w:val="none"/>
              </w:rPr>
            </w:pPr>
          </w:p>
        </w:tc>
        <w:tc>
          <w:tcPr>
            <w:tcW w:w="1063" w:type="dxa"/>
          </w:tcPr>
          <w:p w14:paraId="7B24A855">
            <w:pPr>
              <w:pStyle w:val="2"/>
              <w:ind w:firstLine="482"/>
              <w:rPr>
                <w:b/>
                <w:bCs/>
                <w:color w:val="auto"/>
                <w:szCs w:val="24"/>
                <w:highlight w:val="none"/>
              </w:rPr>
            </w:pPr>
          </w:p>
        </w:tc>
        <w:tc>
          <w:tcPr>
            <w:tcW w:w="1050" w:type="dxa"/>
          </w:tcPr>
          <w:p w14:paraId="571D5161">
            <w:pPr>
              <w:pStyle w:val="2"/>
              <w:ind w:firstLine="482"/>
              <w:rPr>
                <w:b/>
                <w:bCs/>
                <w:color w:val="auto"/>
                <w:szCs w:val="24"/>
                <w:highlight w:val="none"/>
              </w:rPr>
            </w:pPr>
          </w:p>
        </w:tc>
        <w:tc>
          <w:tcPr>
            <w:tcW w:w="1200" w:type="dxa"/>
          </w:tcPr>
          <w:p w14:paraId="6CF88043">
            <w:pPr>
              <w:pStyle w:val="2"/>
              <w:ind w:firstLine="482"/>
              <w:rPr>
                <w:b/>
                <w:bCs/>
                <w:color w:val="auto"/>
                <w:szCs w:val="24"/>
                <w:highlight w:val="none"/>
              </w:rPr>
            </w:pPr>
          </w:p>
        </w:tc>
        <w:tc>
          <w:tcPr>
            <w:tcW w:w="1243" w:type="dxa"/>
          </w:tcPr>
          <w:p w14:paraId="2E243764">
            <w:pPr>
              <w:pStyle w:val="2"/>
              <w:ind w:firstLine="482"/>
              <w:rPr>
                <w:b/>
                <w:bCs/>
                <w:color w:val="auto"/>
                <w:szCs w:val="24"/>
                <w:highlight w:val="none"/>
              </w:rPr>
            </w:pPr>
          </w:p>
        </w:tc>
      </w:tr>
    </w:tbl>
    <w:p w14:paraId="2D3D90BB">
      <w:pPr>
        <w:spacing w:beforeLines="50"/>
        <w:ind w:left="755" w:leftChars="23" w:right="-57" w:rightChars="-27" w:hanging="707" w:hangingChars="337"/>
        <w:jc w:val="left"/>
        <w:rPr>
          <w:rFonts w:eastAsia="Times New Roman"/>
          <w:color w:val="auto"/>
          <w:sz w:val="24"/>
          <w:highlight w:val="none"/>
        </w:rPr>
      </w:pPr>
      <w:r>
        <w:rPr>
          <w:rFonts w:hint="eastAsia" w:cs="宋体"/>
          <w:color w:val="auto"/>
          <w:szCs w:val="18"/>
          <w:highlight w:val="none"/>
          <w:lang w:bidi="ar"/>
        </w:rPr>
        <w:t>注：</w:t>
      </w:r>
      <w:r>
        <w:rPr>
          <w:rFonts w:hint="eastAsia" w:cs="宋体"/>
          <w:color w:val="auto"/>
          <w:highlight w:val="none"/>
          <w:lang w:bidi="ar"/>
        </w:rPr>
        <w:t>此表应后附比选文件要求提供的相应人员</w:t>
      </w:r>
      <w:r>
        <w:rPr>
          <w:rFonts w:hint="eastAsia"/>
          <w:b/>
          <w:bCs/>
          <w:color w:val="auto"/>
          <w:highlight w:val="none"/>
          <w:lang w:val="en-US" w:eastAsia="zh-CN"/>
        </w:rPr>
        <w:t>业绩证明</w:t>
      </w:r>
      <w:r>
        <w:rPr>
          <w:rFonts w:hint="eastAsia" w:cs="宋体"/>
          <w:b/>
          <w:bCs/>
          <w:color w:val="auto"/>
          <w:highlight w:val="none"/>
          <w:lang w:bidi="ar"/>
        </w:rPr>
        <w:t>文件</w:t>
      </w:r>
      <w:r>
        <w:rPr>
          <w:rFonts w:hint="eastAsia" w:cs="宋体"/>
          <w:color w:val="auto"/>
          <w:highlight w:val="none"/>
          <w:lang w:bidi="ar"/>
        </w:rPr>
        <w:t>。</w:t>
      </w:r>
    </w:p>
    <w:p w14:paraId="207D55BE">
      <w:pPr>
        <w:spacing w:before="0" w:after="0" w:afterAutospacing="0" w:line="480" w:lineRule="auto"/>
        <w:ind w:left="0" w:right="0" w:firstLine="200"/>
        <w:rPr>
          <w:rFonts w:hint="default" w:ascii="Times New Roman" w:hAnsi="Times New Roman" w:eastAsia="宋体" w:cs="Times New Roman"/>
          <w:color w:val="auto"/>
          <w:highlight w:val="none"/>
          <w:lang w:val="en-US" w:eastAsia="zh-CN"/>
        </w:rPr>
      </w:pPr>
    </w:p>
    <w:p w14:paraId="1D8F3965">
      <w:pPr>
        <w:pStyle w:val="6"/>
        <w:pageBreakBefore/>
        <w:spacing w:after="100"/>
        <w:ind w:left="0" w:right="-57" w:firstLine="0"/>
        <w:jc w:val="center"/>
        <w:rPr>
          <w:rFonts w:hint="eastAsia" w:ascii="宋体" w:hAnsi="宋体"/>
          <w:color w:val="auto"/>
          <w:sz w:val="24"/>
          <w:szCs w:val="24"/>
          <w:highlight w:val="none"/>
        </w:rPr>
      </w:pPr>
      <w:bookmarkStart w:id="1627" w:name="_Toc29358"/>
      <w:bookmarkStart w:id="1628" w:name="_Toc17687"/>
      <w:bookmarkStart w:id="1629" w:name="_Toc16676"/>
      <w:bookmarkStart w:id="1630" w:name="_Toc23770"/>
      <w:bookmarkStart w:id="1631" w:name="_Toc28662"/>
      <w:bookmarkStart w:id="1632" w:name="_Toc12983551"/>
      <w:bookmarkStart w:id="1633" w:name="_Toc492478807"/>
      <w:bookmarkStart w:id="1634" w:name="_Toc414290525"/>
      <w:bookmarkStart w:id="1635" w:name="_Toc14586"/>
      <w:bookmarkStart w:id="1636" w:name="_Toc13328"/>
      <w:bookmarkStart w:id="1637" w:name="_Toc14988"/>
      <w:bookmarkStart w:id="1638" w:name="_Toc27820"/>
      <w:bookmarkStart w:id="1639" w:name="_Toc10812"/>
      <w:bookmarkStart w:id="1640" w:name="_Toc12677"/>
      <w:bookmarkStart w:id="1641" w:name="_Toc12984811"/>
      <w:bookmarkStart w:id="1642" w:name="_Toc8451"/>
      <w:bookmarkStart w:id="1643" w:name="_Toc24971"/>
      <w:bookmarkStart w:id="1644" w:name="_Toc8914"/>
      <w:bookmarkStart w:id="1645" w:name="_Toc8874"/>
      <w:bookmarkStart w:id="1646" w:name="_Toc11582"/>
      <w:bookmarkStart w:id="1647" w:name="_Toc18876"/>
      <w:bookmarkStart w:id="1648" w:name="_Toc6943"/>
      <w:bookmarkStart w:id="1649" w:name="_Toc114134667"/>
      <w:bookmarkStart w:id="1650" w:name="_Toc18086"/>
      <w:r>
        <w:rPr>
          <w:rFonts w:ascii="宋体" w:hAnsi="宋体"/>
          <w:color w:val="auto"/>
          <w:sz w:val="24"/>
          <w:szCs w:val="24"/>
          <w:highlight w:val="none"/>
        </w:rPr>
        <w:t xml:space="preserve">B </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r>
        <w:rPr>
          <w:rFonts w:hint="eastAsia" w:ascii="宋体" w:hAnsi="宋体"/>
          <w:color w:val="auto"/>
          <w:sz w:val="24"/>
          <w:szCs w:val="24"/>
          <w:highlight w:val="none"/>
        </w:rPr>
        <w:t>价格文件</w:t>
      </w:r>
      <w:bookmarkEnd w:id="1648"/>
      <w:bookmarkEnd w:id="1649"/>
      <w:bookmarkEnd w:id="1650"/>
    </w:p>
    <w:p w14:paraId="1A9992D0">
      <w:pPr>
        <w:spacing w:before="0" w:after="0" w:afterAutospacing="0"/>
        <w:ind w:left="0" w:right="0" w:firstLine="422" w:firstLineChars="200"/>
        <w:jc w:val="left"/>
        <w:rPr>
          <w:rFonts w:hint="eastAsia" w:ascii="宋体" w:hAnsi="宋体"/>
          <w:b/>
          <w:color w:val="auto"/>
          <w:highlight w:val="none"/>
        </w:rPr>
      </w:pPr>
      <w:r>
        <w:rPr>
          <w:rFonts w:hint="eastAsia" w:ascii="宋体" w:hAnsi="宋体"/>
          <w:b/>
          <w:color w:val="auto"/>
          <w:highlight w:val="none"/>
        </w:rPr>
        <w:t>价格文件格式</w:t>
      </w:r>
    </w:p>
    <w:p w14:paraId="10A1F51B">
      <w:pPr>
        <w:spacing w:before="0" w:after="0" w:afterAutospacing="0" w:line="276" w:lineRule="auto"/>
        <w:ind w:left="0" w:right="0" w:firstLine="420" w:firstLineChars="200"/>
        <w:rPr>
          <w:color w:val="auto"/>
          <w:highlight w:val="none"/>
        </w:rPr>
      </w:pPr>
      <w:r>
        <w:rPr>
          <w:rFonts w:hint="eastAsia"/>
          <w:color w:val="auto"/>
          <w:highlight w:val="none"/>
        </w:rPr>
        <w:t>（</w:t>
      </w:r>
      <w:r>
        <w:rPr>
          <w:color w:val="auto"/>
          <w:highlight w:val="none"/>
        </w:rPr>
        <w:t>1</w:t>
      </w:r>
      <w:r>
        <w:rPr>
          <w:rFonts w:hint="eastAsia"/>
          <w:color w:val="auto"/>
          <w:highlight w:val="none"/>
        </w:rPr>
        <w:t>）比选申请报价一览表（格式见B1）；</w:t>
      </w:r>
    </w:p>
    <w:p w14:paraId="3044C17C">
      <w:pPr>
        <w:spacing w:before="0" w:after="0" w:afterAutospacing="0" w:line="276" w:lineRule="auto"/>
        <w:ind w:left="0" w:right="0" w:firstLine="420" w:firstLineChars="200"/>
        <w:rPr>
          <w:color w:val="auto"/>
          <w:highlight w:val="none"/>
        </w:rPr>
      </w:pPr>
      <w:r>
        <w:rPr>
          <w:rFonts w:hint="eastAsia"/>
          <w:color w:val="auto"/>
          <w:highlight w:val="none"/>
        </w:rPr>
        <w:t>（</w:t>
      </w:r>
      <w:r>
        <w:rPr>
          <w:color w:val="auto"/>
          <w:highlight w:val="none"/>
        </w:rPr>
        <w:t>2</w:t>
      </w:r>
      <w:r>
        <w:rPr>
          <w:rFonts w:hint="eastAsia"/>
          <w:color w:val="auto"/>
          <w:highlight w:val="none"/>
        </w:rPr>
        <w:t>）比选申请函（格式见B2）；</w:t>
      </w:r>
    </w:p>
    <w:p w14:paraId="58BF801F">
      <w:pPr>
        <w:spacing w:before="0" w:after="0" w:afterAutospacing="0"/>
        <w:ind w:left="0" w:right="0" w:firstLine="420" w:firstLineChars="200"/>
        <w:rPr>
          <w:rFonts w:hint="eastAsia" w:ascii="宋体" w:hAnsi="宋体" w:cs="Arial"/>
          <w:color w:val="auto"/>
          <w:highlight w:val="none"/>
        </w:rPr>
      </w:pPr>
      <w:r>
        <w:rPr>
          <w:rFonts w:hint="eastAsia"/>
          <w:color w:val="auto"/>
          <w:highlight w:val="none"/>
        </w:rPr>
        <w:t>（3）比选申请人认为应提交的其他比选申请资料（如有）。</w:t>
      </w:r>
    </w:p>
    <w:p w14:paraId="45A30971">
      <w:pPr>
        <w:pStyle w:val="7"/>
        <w:tabs>
          <w:tab w:val="left" w:pos="567"/>
          <w:tab w:val="left" w:pos="720"/>
        </w:tabs>
        <w:snapToGrid w:val="0"/>
        <w:spacing w:after="0" w:line="360" w:lineRule="auto"/>
        <w:ind w:right="-57"/>
        <w:jc w:val="left"/>
        <w:rPr>
          <w:rFonts w:hint="eastAsia" w:ascii="宋体" w:hAnsi="宋体" w:eastAsia="宋体"/>
          <w:color w:val="auto"/>
          <w:sz w:val="21"/>
          <w:szCs w:val="21"/>
          <w:highlight w:val="none"/>
        </w:rPr>
      </w:pPr>
      <w:r>
        <w:rPr>
          <w:rFonts w:ascii="宋体" w:hAnsi="宋体" w:eastAsia="宋体"/>
          <w:color w:val="auto"/>
          <w:highlight w:val="none"/>
        </w:rPr>
        <w:br w:type="page"/>
      </w:r>
      <w:bookmarkStart w:id="1651" w:name="_Toc23615"/>
      <w:bookmarkStart w:id="1652" w:name="_Toc6992"/>
      <w:bookmarkStart w:id="1653" w:name="_Toc16489"/>
      <w:bookmarkStart w:id="1654" w:name="_Toc25750680"/>
      <w:bookmarkStart w:id="1655" w:name="_Toc12951"/>
      <w:bookmarkStart w:id="1656" w:name="_Toc13980"/>
      <w:bookmarkStart w:id="1657" w:name="_Toc29688"/>
      <w:bookmarkStart w:id="1658" w:name="_Toc114134668"/>
      <w:bookmarkStart w:id="1659" w:name="_Toc12983552"/>
      <w:bookmarkStart w:id="1660" w:name="_Toc18516"/>
      <w:bookmarkStart w:id="1661" w:name="_Toc29231"/>
      <w:bookmarkStart w:id="1662" w:name="_Toc22936"/>
      <w:bookmarkStart w:id="1663" w:name="_Toc375564355"/>
      <w:bookmarkStart w:id="1664" w:name="_Toc10991"/>
      <w:bookmarkStart w:id="1665" w:name="_Toc414290526"/>
      <w:bookmarkStart w:id="1666" w:name="_Toc25419"/>
      <w:bookmarkStart w:id="1667" w:name="_Toc24326"/>
      <w:bookmarkStart w:id="1668" w:name="_Toc24487"/>
      <w:bookmarkStart w:id="1669" w:name="_Toc27610"/>
      <w:bookmarkStart w:id="1670" w:name="_Toc9560"/>
      <w:bookmarkStart w:id="1671" w:name="_Toc9861"/>
      <w:bookmarkStart w:id="1672" w:name="_Toc18340"/>
      <w:bookmarkStart w:id="1673" w:name="_Toc492478808"/>
      <w:bookmarkStart w:id="1674" w:name="_Toc1158"/>
      <w:bookmarkStart w:id="1675" w:name="_Toc7004"/>
      <w:bookmarkStart w:id="1676" w:name="_Toc3806"/>
      <w:bookmarkStart w:id="1677" w:name="_Toc12984812"/>
      <w:r>
        <w:rPr>
          <w:rFonts w:ascii="宋体" w:hAnsi="宋体" w:eastAsia="宋体"/>
          <w:color w:val="auto"/>
          <w:sz w:val="21"/>
          <w:szCs w:val="21"/>
          <w:highlight w:val="none"/>
        </w:rPr>
        <w:t>B1比选申请报价一览表</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1AAE0846">
      <w:pPr>
        <w:snapToGrid w:val="0"/>
        <w:spacing w:after="50"/>
        <w:ind w:right="-57" w:firstLine="0"/>
        <w:jc w:val="center"/>
        <w:rPr>
          <w:rFonts w:hint="eastAsia" w:ascii="宋体" w:hAnsi="宋体"/>
          <w:b/>
          <w:color w:val="auto"/>
          <w:sz w:val="24"/>
          <w:szCs w:val="24"/>
          <w:highlight w:val="none"/>
        </w:rPr>
      </w:pPr>
      <w:r>
        <w:rPr>
          <w:rFonts w:hint="eastAsia" w:ascii="宋体" w:hAnsi="宋体"/>
          <w:b/>
          <w:color w:val="auto"/>
          <w:sz w:val="24"/>
          <w:szCs w:val="24"/>
          <w:highlight w:val="none"/>
        </w:rPr>
        <w:t>比选申请报价一览表</w:t>
      </w:r>
    </w:p>
    <w:p w14:paraId="21801F34">
      <w:pPr>
        <w:widowControl w:val="0"/>
        <w:snapToGrid w:val="0"/>
        <w:spacing w:before="0" w:after="0" w:afterAutospacing="0"/>
        <w:ind w:left="0" w:right="-57" w:rightChars="-27" w:firstLine="0"/>
        <w:rPr>
          <w:rFonts w:hint="eastAsia" w:ascii="宋体" w:hAnsi="宋体" w:eastAsia="宋体"/>
          <w:color w:val="auto"/>
          <w:highlight w:val="none"/>
          <w:u w:val="single"/>
          <w:lang w:eastAsia="zh-CN"/>
        </w:rPr>
      </w:pPr>
      <w:r>
        <w:rPr>
          <w:rFonts w:hint="eastAsia" w:ascii="宋体" w:hAnsi="宋体"/>
          <w:color w:val="auto"/>
          <w:kern w:val="2"/>
          <w:highlight w:val="none"/>
        </w:rPr>
        <w:t>项目名称：</w:t>
      </w:r>
      <w:r>
        <w:rPr>
          <w:rFonts w:hint="eastAsia" w:ascii="宋体" w:hAnsi="宋体"/>
          <w:color w:val="auto"/>
          <w:kern w:val="2"/>
          <w:highlight w:val="none"/>
          <w:lang w:eastAsia="zh-CN"/>
        </w:rPr>
        <w:t>轨道云著（北区）项目样板房（125及102户型）精装修设计</w:t>
      </w:r>
    </w:p>
    <w:p w14:paraId="4B39C317">
      <w:pPr>
        <w:widowControl w:val="0"/>
        <w:snapToGrid w:val="0"/>
        <w:spacing w:before="0" w:after="0" w:afterAutospacing="0"/>
        <w:ind w:right="-57" w:rightChars="-27"/>
        <w:rPr>
          <w:rFonts w:hint="eastAsia" w:ascii="宋体" w:hAnsi="宋体"/>
          <w:color w:val="auto"/>
          <w:kern w:val="2"/>
          <w:highlight w:val="none"/>
        </w:rPr>
      </w:pPr>
      <w:r>
        <w:rPr>
          <w:rFonts w:hint="eastAsia" w:ascii="宋体" w:hAnsi="宋体"/>
          <w:color w:val="auto"/>
          <w:kern w:val="2"/>
          <w:highlight w:val="none"/>
        </w:rPr>
        <w:t>比选申请人名称：                     单位：元</w:t>
      </w:r>
    </w:p>
    <w:p w14:paraId="01FE21DA">
      <w:pPr>
        <w:widowControl w:val="0"/>
        <w:snapToGrid w:val="0"/>
        <w:spacing w:before="0" w:after="0" w:afterAutospacing="0"/>
        <w:ind w:right="-57" w:rightChars="-27"/>
        <w:rPr>
          <w:rFonts w:hint="eastAsia" w:ascii="宋体" w:hAnsi="宋体" w:eastAsia="宋体"/>
          <w:color w:val="auto"/>
          <w:kern w:val="2"/>
          <w:highlight w:val="none"/>
          <w:lang w:eastAsia="zh-CN"/>
        </w:rPr>
      </w:pPr>
      <w:r>
        <w:rPr>
          <w:rFonts w:hint="eastAsia" w:ascii="宋体" w:hAnsi="宋体"/>
          <w:color w:val="auto"/>
          <w:kern w:val="2"/>
          <w:highlight w:val="none"/>
        </w:rPr>
        <w:t>报价形式：</w:t>
      </w:r>
      <w:r>
        <w:rPr>
          <w:rFonts w:hint="eastAsia" w:ascii="宋体" w:hAnsi="宋体"/>
          <w:color w:val="auto"/>
          <w:kern w:val="2"/>
          <w:highlight w:val="none"/>
          <w:lang w:val="en-US" w:eastAsia="zh-CN"/>
        </w:rPr>
        <w:t>单价</w:t>
      </w:r>
    </w:p>
    <w:tbl>
      <w:tblPr>
        <w:tblStyle w:val="36"/>
        <w:tblW w:w="494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73"/>
        <w:gridCol w:w="6177"/>
      </w:tblGrid>
      <w:tr w14:paraId="75D99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trPr>
        <w:tc>
          <w:tcPr>
            <w:tcW w:w="1549" w:type="pct"/>
            <w:tcBorders>
              <w:top w:val="single" w:color="auto" w:sz="4" w:space="0"/>
              <w:left w:val="single" w:color="auto" w:sz="4" w:space="0"/>
              <w:bottom w:val="single" w:color="auto" w:sz="4" w:space="0"/>
              <w:right w:val="single" w:color="auto" w:sz="4" w:space="0"/>
            </w:tcBorders>
            <w:vAlign w:val="center"/>
          </w:tcPr>
          <w:p w14:paraId="12F3FE3F">
            <w:pPr>
              <w:widowControl w:val="0"/>
              <w:snapToGrid w:val="0"/>
              <w:spacing w:line="500" w:lineRule="exact"/>
              <w:jc w:val="center"/>
              <w:rPr>
                <w:rFonts w:hint="eastAsia" w:ascii="宋体" w:hAnsi="宋体" w:eastAsia="宋体"/>
                <w:b/>
                <w:bCs/>
                <w:color w:val="auto"/>
                <w:kern w:val="2"/>
                <w:sz w:val="24"/>
                <w:szCs w:val="24"/>
                <w:highlight w:val="none"/>
                <w:lang w:eastAsia="zh-CN"/>
              </w:rPr>
            </w:pPr>
            <w:r>
              <w:rPr>
                <w:rFonts w:hint="eastAsia" w:ascii="宋体" w:hAnsi="宋体"/>
                <w:b/>
                <w:bCs/>
                <w:color w:val="auto"/>
                <w:sz w:val="24"/>
                <w:szCs w:val="24"/>
                <w:highlight w:val="none"/>
              </w:rPr>
              <w:t>暂定设计面积</w:t>
            </w:r>
            <w:r>
              <w:rPr>
                <w:rFonts w:hint="eastAsia" w:ascii="宋体" w:hAnsi="宋体"/>
                <w:b/>
                <w:bCs/>
                <w:color w:val="auto"/>
                <w:sz w:val="24"/>
                <w:szCs w:val="24"/>
                <w:highlight w:val="none"/>
                <w:lang w:eastAsia="zh-CN"/>
              </w:rPr>
              <w:t>（</w:t>
            </w:r>
            <w:r>
              <w:rPr>
                <w:rFonts w:hint="eastAsia" w:ascii="宋体" w:hAnsi="宋体"/>
                <w:b/>
                <w:bCs/>
                <w:color w:val="auto"/>
                <w:sz w:val="24"/>
                <w:szCs w:val="24"/>
                <w:highlight w:val="none"/>
                <w:lang w:val="en-US" w:eastAsia="zh-CN"/>
              </w:rPr>
              <w:t>m</w:t>
            </w:r>
            <w:r>
              <w:rPr>
                <w:rFonts w:hint="eastAsia" w:ascii="宋体" w:hAnsi="宋体"/>
                <w:b/>
                <w:bCs/>
                <w:color w:val="auto"/>
                <w:sz w:val="24"/>
                <w:szCs w:val="24"/>
                <w:highlight w:val="none"/>
                <w:vertAlign w:val="superscript"/>
                <w:lang w:val="en-US" w:eastAsia="zh-CN"/>
              </w:rPr>
              <w:t>2</w:t>
            </w:r>
            <w:r>
              <w:rPr>
                <w:rFonts w:hint="eastAsia" w:ascii="宋体" w:hAnsi="宋体"/>
                <w:b/>
                <w:bCs/>
                <w:color w:val="auto"/>
                <w:sz w:val="24"/>
                <w:szCs w:val="24"/>
                <w:highlight w:val="none"/>
                <w:lang w:eastAsia="zh-CN"/>
              </w:rPr>
              <w:t>）</w:t>
            </w:r>
          </w:p>
        </w:tc>
        <w:tc>
          <w:tcPr>
            <w:tcW w:w="3450" w:type="pct"/>
            <w:tcBorders>
              <w:top w:val="single" w:color="auto" w:sz="4" w:space="0"/>
              <w:left w:val="single" w:color="auto" w:sz="4" w:space="0"/>
              <w:bottom w:val="single" w:color="auto" w:sz="4" w:space="0"/>
              <w:right w:val="single" w:color="auto" w:sz="4" w:space="0"/>
            </w:tcBorders>
            <w:vAlign w:val="center"/>
          </w:tcPr>
          <w:p w14:paraId="0FB1F9AE">
            <w:pPr>
              <w:jc w:val="center"/>
              <w:textAlignment w:val="center"/>
              <w:rPr>
                <w:rFonts w:hint="default" w:ascii="宋体" w:hAnsi="宋体" w:eastAsia="宋体"/>
                <w:color w:val="auto"/>
                <w:kern w:val="2"/>
                <w:sz w:val="22"/>
                <w:szCs w:val="22"/>
                <w:highlight w:val="none"/>
                <w:lang w:val="en-US" w:eastAsia="zh-CN"/>
              </w:rPr>
            </w:pPr>
            <w:r>
              <w:rPr>
                <w:rFonts w:hint="eastAsia"/>
                <w:color w:val="auto"/>
                <w:highlight w:val="none"/>
                <w:lang w:val="en-US" w:eastAsia="zh-CN"/>
              </w:rPr>
              <w:t>352</w:t>
            </w:r>
          </w:p>
        </w:tc>
      </w:tr>
      <w:tr w14:paraId="7A658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trPr>
        <w:tc>
          <w:tcPr>
            <w:tcW w:w="1549" w:type="pct"/>
            <w:tcBorders>
              <w:top w:val="single" w:color="auto" w:sz="4" w:space="0"/>
              <w:left w:val="single" w:color="auto" w:sz="4" w:space="0"/>
              <w:bottom w:val="single" w:color="auto" w:sz="4" w:space="0"/>
              <w:right w:val="single" w:color="auto" w:sz="4" w:space="0"/>
            </w:tcBorders>
            <w:vAlign w:val="center"/>
          </w:tcPr>
          <w:p w14:paraId="650CC886">
            <w:pPr>
              <w:widowControl w:val="0"/>
              <w:snapToGrid w:val="0"/>
              <w:spacing w:line="500" w:lineRule="exact"/>
              <w:ind w:left="709" w:leftChars="0" w:right="-27" w:rightChars="0" w:hanging="709" w:firstLineChars="0"/>
              <w:jc w:val="center"/>
              <w:rPr>
                <w:rFonts w:hint="eastAsia" w:ascii="宋体" w:hAnsi="宋体"/>
                <w:b/>
                <w:bCs/>
                <w:color w:val="auto"/>
                <w:sz w:val="24"/>
                <w:szCs w:val="24"/>
                <w:highlight w:val="none"/>
              </w:rPr>
            </w:pPr>
            <w:r>
              <w:rPr>
                <w:rFonts w:hint="eastAsia" w:ascii="宋体" w:hAnsi="宋体"/>
                <w:b/>
                <w:bCs/>
                <w:color w:val="auto"/>
                <w:sz w:val="24"/>
                <w:szCs w:val="24"/>
                <w:highlight w:val="none"/>
                <w:lang w:val="en-US" w:eastAsia="zh-CN"/>
              </w:rPr>
              <w:t>不含税固定单价</w:t>
            </w:r>
            <w:r>
              <w:rPr>
                <w:rFonts w:hint="eastAsia" w:ascii="宋体" w:hAnsi="宋体"/>
                <w:b/>
                <w:bCs/>
                <w:color w:val="auto"/>
                <w:sz w:val="24"/>
                <w:szCs w:val="24"/>
                <w:highlight w:val="none"/>
                <w:lang w:eastAsia="zh-CN"/>
              </w:rPr>
              <w:t>（</w:t>
            </w:r>
            <w:r>
              <w:rPr>
                <w:rFonts w:hint="eastAsia" w:ascii="宋体" w:hAnsi="宋体"/>
                <w:b/>
                <w:bCs/>
                <w:color w:val="auto"/>
                <w:sz w:val="24"/>
                <w:szCs w:val="24"/>
                <w:highlight w:val="none"/>
                <w:lang w:val="en-US" w:eastAsia="zh-CN"/>
              </w:rPr>
              <w:t>元/m</w:t>
            </w:r>
            <w:r>
              <w:rPr>
                <w:rFonts w:hint="eastAsia" w:ascii="宋体" w:hAnsi="宋体"/>
                <w:b/>
                <w:bCs/>
                <w:color w:val="auto"/>
                <w:sz w:val="24"/>
                <w:szCs w:val="24"/>
                <w:highlight w:val="none"/>
                <w:vertAlign w:val="superscript"/>
                <w:lang w:val="en-US" w:eastAsia="zh-CN"/>
              </w:rPr>
              <w:t>2</w:t>
            </w:r>
            <w:r>
              <w:rPr>
                <w:rFonts w:hint="eastAsia" w:ascii="宋体" w:hAnsi="宋体"/>
                <w:b/>
                <w:bCs/>
                <w:color w:val="auto"/>
                <w:sz w:val="24"/>
                <w:szCs w:val="24"/>
                <w:highlight w:val="none"/>
                <w:lang w:eastAsia="zh-CN"/>
              </w:rPr>
              <w:t>）</w:t>
            </w:r>
          </w:p>
        </w:tc>
        <w:tc>
          <w:tcPr>
            <w:tcW w:w="3450" w:type="pct"/>
            <w:tcBorders>
              <w:top w:val="single" w:color="auto" w:sz="4" w:space="0"/>
              <w:left w:val="single" w:color="auto" w:sz="4" w:space="0"/>
              <w:bottom w:val="single" w:color="auto" w:sz="4" w:space="0"/>
              <w:right w:val="single" w:color="auto" w:sz="4" w:space="0"/>
            </w:tcBorders>
            <w:vAlign w:val="center"/>
          </w:tcPr>
          <w:p w14:paraId="69056FC4">
            <w:pPr>
              <w:snapToGrid w:val="0"/>
              <w:spacing w:line="500" w:lineRule="exact"/>
              <w:ind w:left="735" w:leftChars="350" w:right="-27" w:rightChars="0" w:firstLine="590" w:firstLineChars="245"/>
              <w:rPr>
                <w:rFonts w:ascii="宋体" w:hAnsi="宋体" w:eastAsia="宋体" w:cs="Times New Roman"/>
                <w:b/>
                <w:bCs/>
                <w:color w:val="auto"/>
                <w:sz w:val="24"/>
                <w:szCs w:val="24"/>
                <w:highlight w:val="none"/>
                <w:u w:val="single"/>
                <w:lang w:val="en-US" w:eastAsia="zh-CN" w:bidi="ar-SA"/>
              </w:rPr>
            </w:pPr>
          </w:p>
        </w:tc>
      </w:tr>
      <w:tr w14:paraId="3A611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trPr>
        <w:tc>
          <w:tcPr>
            <w:tcW w:w="1549" w:type="pct"/>
            <w:tcBorders>
              <w:top w:val="single" w:color="auto" w:sz="4" w:space="0"/>
              <w:left w:val="single" w:color="auto" w:sz="4" w:space="0"/>
              <w:bottom w:val="single" w:color="auto" w:sz="4" w:space="0"/>
              <w:right w:val="single" w:color="auto" w:sz="4" w:space="0"/>
            </w:tcBorders>
            <w:vAlign w:val="center"/>
          </w:tcPr>
          <w:p w14:paraId="200F3FC6">
            <w:pPr>
              <w:widowControl w:val="0"/>
              <w:snapToGrid w:val="0"/>
              <w:spacing w:line="500" w:lineRule="exact"/>
              <w:ind w:left="709" w:leftChars="0" w:right="-27" w:rightChars="0" w:hanging="709" w:firstLineChars="0"/>
              <w:jc w:val="center"/>
              <w:rPr>
                <w:rFonts w:hint="eastAsia" w:ascii="宋体" w:hAnsi="宋体" w:eastAsia="宋体" w:cs="Times New Roman"/>
                <w:b/>
                <w:bCs/>
                <w:color w:val="auto"/>
                <w:sz w:val="24"/>
                <w:szCs w:val="24"/>
                <w:highlight w:val="none"/>
                <w:lang w:val="en-US" w:eastAsia="zh-CN" w:bidi="ar-SA"/>
              </w:rPr>
            </w:pPr>
            <w:r>
              <w:rPr>
                <w:rFonts w:hint="eastAsia" w:ascii="宋体" w:hAnsi="宋体"/>
                <w:b/>
                <w:bCs/>
                <w:color w:val="auto"/>
                <w:sz w:val="24"/>
                <w:szCs w:val="24"/>
                <w:highlight w:val="none"/>
                <w:lang w:val="en-US" w:eastAsia="zh-CN"/>
              </w:rPr>
              <w:t>含税固定单价</w:t>
            </w:r>
            <w:r>
              <w:rPr>
                <w:rFonts w:hint="eastAsia" w:ascii="宋体" w:hAnsi="宋体"/>
                <w:b/>
                <w:bCs/>
                <w:color w:val="auto"/>
                <w:sz w:val="24"/>
                <w:szCs w:val="24"/>
                <w:highlight w:val="none"/>
                <w:lang w:eastAsia="zh-CN"/>
              </w:rPr>
              <w:t>（</w:t>
            </w:r>
            <w:r>
              <w:rPr>
                <w:rFonts w:hint="eastAsia" w:ascii="宋体" w:hAnsi="宋体"/>
                <w:b/>
                <w:bCs/>
                <w:color w:val="auto"/>
                <w:sz w:val="24"/>
                <w:szCs w:val="24"/>
                <w:highlight w:val="none"/>
                <w:lang w:val="en-US" w:eastAsia="zh-CN"/>
              </w:rPr>
              <w:t>元/m</w:t>
            </w:r>
            <w:r>
              <w:rPr>
                <w:rFonts w:hint="eastAsia" w:ascii="宋体" w:hAnsi="宋体"/>
                <w:b/>
                <w:bCs/>
                <w:color w:val="auto"/>
                <w:sz w:val="24"/>
                <w:szCs w:val="24"/>
                <w:highlight w:val="none"/>
                <w:vertAlign w:val="superscript"/>
                <w:lang w:val="en-US" w:eastAsia="zh-CN"/>
              </w:rPr>
              <w:t>2</w:t>
            </w:r>
            <w:r>
              <w:rPr>
                <w:rFonts w:hint="eastAsia" w:ascii="宋体" w:hAnsi="宋体"/>
                <w:b/>
                <w:bCs/>
                <w:color w:val="auto"/>
                <w:sz w:val="24"/>
                <w:szCs w:val="24"/>
                <w:highlight w:val="none"/>
                <w:lang w:eastAsia="zh-CN"/>
              </w:rPr>
              <w:t>）</w:t>
            </w:r>
          </w:p>
        </w:tc>
        <w:tc>
          <w:tcPr>
            <w:tcW w:w="3450" w:type="pct"/>
            <w:tcBorders>
              <w:top w:val="single" w:color="auto" w:sz="4" w:space="0"/>
              <w:left w:val="single" w:color="auto" w:sz="4" w:space="0"/>
              <w:bottom w:val="single" w:color="auto" w:sz="4" w:space="0"/>
              <w:right w:val="single" w:color="auto" w:sz="4" w:space="0"/>
            </w:tcBorders>
            <w:vAlign w:val="center"/>
          </w:tcPr>
          <w:p w14:paraId="2728D2DD">
            <w:pPr>
              <w:snapToGrid w:val="0"/>
              <w:spacing w:line="500" w:lineRule="exact"/>
              <w:ind w:left="735" w:leftChars="350" w:right="-27" w:rightChars="0" w:firstLine="590" w:firstLineChars="245"/>
              <w:rPr>
                <w:rFonts w:ascii="宋体" w:hAnsi="宋体" w:eastAsia="宋体" w:cs="Times New Roman"/>
                <w:b/>
                <w:bCs/>
                <w:color w:val="auto"/>
                <w:sz w:val="24"/>
                <w:szCs w:val="24"/>
                <w:highlight w:val="none"/>
                <w:u w:val="single"/>
                <w:lang w:val="en-US" w:eastAsia="zh-CN" w:bidi="ar-SA"/>
              </w:rPr>
            </w:pPr>
          </w:p>
        </w:tc>
      </w:tr>
      <w:tr w14:paraId="0CBA8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trPr>
        <w:tc>
          <w:tcPr>
            <w:tcW w:w="1549" w:type="pct"/>
            <w:tcBorders>
              <w:top w:val="single" w:color="auto" w:sz="4" w:space="0"/>
              <w:left w:val="single" w:color="auto" w:sz="4" w:space="0"/>
              <w:bottom w:val="single" w:color="auto" w:sz="4" w:space="0"/>
              <w:right w:val="single" w:color="auto" w:sz="4" w:space="0"/>
            </w:tcBorders>
            <w:vAlign w:val="center"/>
          </w:tcPr>
          <w:p w14:paraId="03EB5CE3">
            <w:pPr>
              <w:widowControl w:val="0"/>
              <w:snapToGrid w:val="0"/>
              <w:spacing w:line="500" w:lineRule="exact"/>
              <w:ind w:left="709" w:leftChars="0" w:right="-27" w:rightChars="0" w:hanging="709" w:firstLineChars="0"/>
              <w:jc w:val="center"/>
              <w:rPr>
                <w:rFonts w:hint="eastAsia" w:ascii="宋体" w:hAnsi="宋体" w:eastAsia="宋体" w:cs="Times New Roman"/>
                <w:b/>
                <w:bCs/>
                <w:color w:val="auto"/>
                <w:sz w:val="24"/>
                <w:szCs w:val="24"/>
                <w:highlight w:val="none"/>
                <w:lang w:val="en-US" w:eastAsia="zh-CN" w:bidi="ar-SA"/>
              </w:rPr>
            </w:pPr>
            <w:r>
              <w:rPr>
                <w:rFonts w:hint="eastAsia" w:ascii="宋体" w:hAnsi="宋体"/>
                <w:b/>
                <w:bCs/>
                <w:color w:val="auto"/>
                <w:sz w:val="24"/>
                <w:szCs w:val="24"/>
                <w:highlight w:val="none"/>
              </w:rPr>
              <w:t>税率</w:t>
            </w:r>
            <w:r>
              <w:rPr>
                <w:rFonts w:hint="eastAsia" w:ascii="宋体" w:hAnsi="宋体"/>
                <w:b/>
                <w:bCs/>
                <w:color w:val="auto"/>
                <w:sz w:val="24"/>
                <w:szCs w:val="24"/>
                <w:highlight w:val="none"/>
                <w:lang w:eastAsia="zh-CN"/>
              </w:rPr>
              <w:t>（</w:t>
            </w:r>
            <w:r>
              <w:rPr>
                <w:rFonts w:hint="eastAsia" w:ascii="宋体" w:hAnsi="宋体"/>
                <w:b/>
                <w:bCs/>
                <w:color w:val="auto"/>
                <w:sz w:val="24"/>
                <w:szCs w:val="24"/>
                <w:highlight w:val="none"/>
                <w:u w:val="single"/>
              </w:rPr>
              <w:t>%</w:t>
            </w:r>
            <w:r>
              <w:rPr>
                <w:rFonts w:hint="eastAsia" w:ascii="宋体" w:hAnsi="宋体"/>
                <w:b/>
                <w:bCs/>
                <w:color w:val="auto"/>
                <w:sz w:val="24"/>
                <w:szCs w:val="24"/>
                <w:highlight w:val="none"/>
                <w:lang w:eastAsia="zh-CN"/>
              </w:rPr>
              <w:t>）</w:t>
            </w:r>
          </w:p>
        </w:tc>
        <w:tc>
          <w:tcPr>
            <w:tcW w:w="3450" w:type="pct"/>
            <w:tcBorders>
              <w:top w:val="single" w:color="auto" w:sz="4" w:space="0"/>
              <w:left w:val="single" w:color="auto" w:sz="4" w:space="0"/>
              <w:bottom w:val="single" w:color="auto" w:sz="4" w:space="0"/>
              <w:right w:val="single" w:color="auto" w:sz="4" w:space="0"/>
            </w:tcBorders>
            <w:vAlign w:val="center"/>
          </w:tcPr>
          <w:p w14:paraId="0BC2BBAB">
            <w:pPr>
              <w:snapToGrid w:val="0"/>
              <w:spacing w:line="500" w:lineRule="exact"/>
              <w:ind w:left="735" w:leftChars="350" w:right="-27" w:rightChars="0" w:firstLine="590" w:firstLineChars="245"/>
              <w:rPr>
                <w:rFonts w:ascii="宋体" w:hAnsi="宋体" w:eastAsia="宋体" w:cs="Times New Roman"/>
                <w:b/>
                <w:bCs/>
                <w:color w:val="auto"/>
                <w:sz w:val="24"/>
                <w:szCs w:val="24"/>
                <w:highlight w:val="none"/>
                <w:u w:val="single"/>
                <w:lang w:val="en-US" w:eastAsia="zh-CN" w:bidi="ar-SA"/>
              </w:rPr>
            </w:pPr>
          </w:p>
        </w:tc>
      </w:tr>
      <w:tr w14:paraId="421CD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3" w:hRule="atLeast"/>
        </w:trPr>
        <w:tc>
          <w:tcPr>
            <w:tcW w:w="1549" w:type="pct"/>
            <w:tcBorders>
              <w:top w:val="single" w:color="auto" w:sz="4" w:space="0"/>
              <w:left w:val="single" w:color="auto" w:sz="4" w:space="0"/>
              <w:bottom w:val="single" w:color="auto" w:sz="4" w:space="0"/>
              <w:right w:val="single" w:color="auto" w:sz="4" w:space="0"/>
            </w:tcBorders>
            <w:vAlign w:val="center"/>
          </w:tcPr>
          <w:p w14:paraId="2E9E3FBE">
            <w:pPr>
              <w:widowControl w:val="0"/>
              <w:snapToGrid w:val="0"/>
              <w:spacing w:line="500" w:lineRule="exact"/>
              <w:jc w:val="center"/>
              <w:rPr>
                <w:rFonts w:ascii="宋体" w:hAnsi="宋体"/>
                <w:b/>
                <w:bCs/>
                <w:color w:val="auto"/>
                <w:kern w:val="2"/>
                <w:sz w:val="24"/>
                <w:szCs w:val="24"/>
                <w:highlight w:val="none"/>
              </w:rPr>
            </w:pPr>
            <w:r>
              <w:rPr>
                <w:rFonts w:hint="eastAsia" w:ascii="宋体" w:hAnsi="宋体"/>
                <w:b/>
                <w:bCs/>
                <w:color w:val="auto"/>
                <w:sz w:val="24"/>
                <w:szCs w:val="24"/>
                <w:highlight w:val="none"/>
              </w:rPr>
              <w:t>不含税总价（元）：</w:t>
            </w:r>
          </w:p>
        </w:tc>
        <w:tc>
          <w:tcPr>
            <w:tcW w:w="3450" w:type="pct"/>
            <w:tcBorders>
              <w:top w:val="single" w:color="auto" w:sz="4" w:space="0"/>
              <w:left w:val="single" w:color="auto" w:sz="4" w:space="0"/>
              <w:bottom w:val="single" w:color="auto" w:sz="4" w:space="0"/>
              <w:right w:val="single" w:color="auto" w:sz="4" w:space="0"/>
            </w:tcBorders>
          </w:tcPr>
          <w:p w14:paraId="30E9EBF6">
            <w:pPr>
              <w:snapToGrid w:val="0"/>
              <w:spacing w:line="500" w:lineRule="exact"/>
              <w:rPr>
                <w:rFonts w:ascii="宋体" w:hAnsi="宋体"/>
                <w:b/>
                <w:bCs/>
                <w:color w:val="auto"/>
                <w:kern w:val="2"/>
                <w:sz w:val="24"/>
                <w:szCs w:val="24"/>
                <w:highlight w:val="none"/>
              </w:rPr>
            </w:pPr>
            <w:r>
              <w:rPr>
                <w:rFonts w:hint="eastAsia" w:ascii="宋体" w:hAnsi="宋体"/>
                <w:b/>
                <w:bCs/>
                <w:color w:val="auto"/>
                <w:sz w:val="24"/>
                <w:szCs w:val="24"/>
                <w:highlight w:val="none"/>
              </w:rPr>
              <w:t>大写：</w:t>
            </w:r>
          </w:p>
          <w:p w14:paraId="6A1D6B67">
            <w:pPr>
              <w:widowControl w:val="0"/>
              <w:snapToGrid w:val="0"/>
              <w:spacing w:line="500" w:lineRule="exact"/>
              <w:ind w:left="0" w:firstLine="0"/>
              <w:rPr>
                <w:rFonts w:ascii="宋体" w:hAnsi="宋体"/>
                <w:b/>
                <w:bCs/>
                <w:color w:val="auto"/>
                <w:kern w:val="2"/>
                <w:sz w:val="24"/>
                <w:szCs w:val="24"/>
                <w:highlight w:val="none"/>
              </w:rPr>
            </w:pPr>
            <w:r>
              <w:rPr>
                <w:rFonts w:hint="eastAsia" w:ascii="宋体" w:hAnsi="宋体"/>
                <w:b/>
                <w:bCs/>
                <w:color w:val="auto"/>
                <w:sz w:val="24"/>
                <w:szCs w:val="24"/>
                <w:highlight w:val="none"/>
              </w:rPr>
              <w:t>小写：</w:t>
            </w:r>
          </w:p>
        </w:tc>
      </w:tr>
      <w:tr w14:paraId="2AECA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3" w:hRule="atLeast"/>
        </w:trPr>
        <w:tc>
          <w:tcPr>
            <w:tcW w:w="1549" w:type="pct"/>
            <w:tcBorders>
              <w:top w:val="single" w:color="auto" w:sz="4" w:space="0"/>
              <w:left w:val="single" w:color="auto" w:sz="4" w:space="0"/>
              <w:bottom w:val="single" w:color="auto" w:sz="4" w:space="0"/>
              <w:right w:val="single" w:color="auto" w:sz="4" w:space="0"/>
            </w:tcBorders>
            <w:vAlign w:val="center"/>
          </w:tcPr>
          <w:p w14:paraId="3C544224">
            <w:pPr>
              <w:widowControl w:val="0"/>
              <w:snapToGrid w:val="0"/>
              <w:spacing w:line="500" w:lineRule="exact"/>
              <w:jc w:val="center"/>
              <w:rPr>
                <w:rFonts w:hint="eastAsia" w:ascii="宋体" w:hAnsi="宋体" w:eastAsia="宋体"/>
                <w:b/>
                <w:bCs/>
                <w:color w:val="auto"/>
                <w:sz w:val="24"/>
                <w:szCs w:val="24"/>
                <w:highlight w:val="none"/>
                <w:lang w:eastAsia="zh-CN"/>
              </w:rPr>
            </w:pPr>
            <w:r>
              <w:rPr>
                <w:rFonts w:hint="eastAsia" w:ascii="宋体" w:hAnsi="宋体"/>
                <w:b/>
                <w:bCs/>
                <w:color w:val="auto"/>
                <w:sz w:val="24"/>
                <w:szCs w:val="24"/>
                <w:highlight w:val="none"/>
                <w:lang w:eastAsia="zh-CN"/>
              </w:rPr>
              <w:t>含税总价</w:t>
            </w:r>
          </w:p>
        </w:tc>
        <w:tc>
          <w:tcPr>
            <w:tcW w:w="3450" w:type="pct"/>
            <w:tcBorders>
              <w:top w:val="single" w:color="auto" w:sz="4" w:space="0"/>
              <w:left w:val="single" w:color="auto" w:sz="4" w:space="0"/>
              <w:bottom w:val="single" w:color="auto" w:sz="4" w:space="0"/>
              <w:right w:val="single" w:color="auto" w:sz="4" w:space="0"/>
            </w:tcBorders>
            <w:vAlign w:val="center"/>
          </w:tcPr>
          <w:p w14:paraId="2E3BA477">
            <w:pPr>
              <w:snapToGrid w:val="0"/>
              <w:spacing w:line="500" w:lineRule="exact"/>
              <w:rPr>
                <w:rFonts w:ascii="宋体" w:hAnsi="宋体"/>
                <w:b/>
                <w:bCs/>
                <w:color w:val="auto"/>
                <w:kern w:val="2"/>
                <w:sz w:val="24"/>
                <w:szCs w:val="24"/>
                <w:highlight w:val="none"/>
              </w:rPr>
            </w:pPr>
            <w:r>
              <w:rPr>
                <w:rFonts w:hint="eastAsia" w:ascii="宋体" w:hAnsi="宋体"/>
                <w:b/>
                <w:bCs/>
                <w:color w:val="auto"/>
                <w:sz w:val="24"/>
                <w:szCs w:val="24"/>
                <w:highlight w:val="none"/>
              </w:rPr>
              <w:t>大写：</w:t>
            </w:r>
          </w:p>
          <w:p w14:paraId="19F29181">
            <w:pPr>
              <w:snapToGrid w:val="0"/>
              <w:spacing w:line="500" w:lineRule="exact"/>
              <w:ind w:left="0" w:leftChars="0" w:firstLine="0" w:firstLineChars="0"/>
              <w:rPr>
                <w:rFonts w:ascii="宋体" w:hAnsi="宋体"/>
                <w:b/>
                <w:bCs/>
                <w:color w:val="auto"/>
                <w:sz w:val="24"/>
                <w:szCs w:val="24"/>
                <w:highlight w:val="none"/>
                <w:u w:val="single"/>
              </w:rPr>
            </w:pPr>
            <w:r>
              <w:rPr>
                <w:rFonts w:hint="eastAsia" w:ascii="宋体" w:hAnsi="宋体"/>
                <w:b/>
                <w:bCs/>
                <w:color w:val="auto"/>
                <w:sz w:val="24"/>
                <w:szCs w:val="24"/>
                <w:highlight w:val="none"/>
              </w:rPr>
              <w:t>小写：</w:t>
            </w:r>
          </w:p>
        </w:tc>
      </w:tr>
    </w:tbl>
    <w:p w14:paraId="0D0CCF9A">
      <w:pPr>
        <w:pStyle w:val="17"/>
        <w:rPr>
          <w:rFonts w:hint="eastAsia" w:hAnsi="宋体"/>
          <w:color w:val="auto"/>
          <w:highlight w:val="none"/>
        </w:rPr>
      </w:pPr>
    </w:p>
    <w:p w14:paraId="46BB72ED">
      <w:pPr>
        <w:snapToGrid w:val="0"/>
        <w:spacing w:after="50" w:line="280" w:lineRule="exact"/>
        <w:ind w:left="955" w:right="-817" w:firstLine="2625" w:firstLineChars="1250"/>
        <w:rPr>
          <w:rFonts w:hint="eastAsia" w:ascii="宋体" w:hAnsi="宋体"/>
          <w:color w:val="auto"/>
          <w:highlight w:val="none"/>
          <w:u w:val="single"/>
        </w:rPr>
      </w:pPr>
      <w:r>
        <w:rPr>
          <w:rFonts w:hint="eastAsia" w:ascii="宋体" w:hAnsi="宋体"/>
          <w:color w:val="auto"/>
          <w:highlight w:val="none"/>
        </w:rPr>
        <w:t>比选申请人名称（盖章）：</w:t>
      </w:r>
    </w:p>
    <w:p w14:paraId="2034D188">
      <w:pPr>
        <w:snapToGrid w:val="0"/>
        <w:spacing w:after="50" w:line="280" w:lineRule="exact"/>
        <w:ind w:left="707" w:right="-817" w:firstLine="2835" w:firstLineChars="1350"/>
        <w:rPr>
          <w:rFonts w:hint="eastAsia" w:ascii="宋体" w:hAnsi="宋体"/>
          <w:color w:val="auto"/>
          <w:highlight w:val="none"/>
          <w:u w:val="single"/>
        </w:rPr>
      </w:pPr>
      <w:r>
        <w:rPr>
          <w:rFonts w:hint="eastAsia" w:ascii="宋体" w:hAnsi="宋体"/>
          <w:color w:val="auto"/>
          <w:highlight w:val="none"/>
        </w:rPr>
        <w:t>法定代表人或被授权人（签字）：</w:t>
      </w:r>
    </w:p>
    <w:p w14:paraId="2557034F">
      <w:pPr>
        <w:spacing w:before="0"/>
        <w:ind w:right="-57" w:firstLine="0"/>
        <w:jc w:val="center"/>
        <w:rPr>
          <w:rFonts w:hint="eastAsia" w:ascii="宋体" w:hAnsi="宋体"/>
          <w:color w:val="auto"/>
          <w:highlight w:val="none"/>
        </w:rPr>
      </w:pPr>
      <w:r>
        <w:rPr>
          <w:rFonts w:hint="eastAsia" w:ascii="宋体" w:hAnsi="宋体"/>
          <w:color w:val="auto"/>
          <w:highlight w:val="none"/>
        </w:rPr>
        <w:t>日  期：     年  月  日</w:t>
      </w:r>
    </w:p>
    <w:p w14:paraId="1626AA52">
      <w:pPr>
        <w:pStyle w:val="7"/>
        <w:tabs>
          <w:tab w:val="left" w:pos="567"/>
          <w:tab w:val="left" w:pos="720"/>
        </w:tabs>
        <w:snapToGrid w:val="0"/>
        <w:spacing w:after="0" w:line="360" w:lineRule="auto"/>
        <w:ind w:right="0"/>
        <w:jc w:val="left"/>
        <w:rPr>
          <w:rFonts w:hint="eastAsia" w:ascii="宋体" w:hAnsi="宋体" w:eastAsia="宋体" w:cs="Arial"/>
          <w:color w:val="auto"/>
          <w:highlight w:val="none"/>
        </w:rPr>
      </w:pPr>
      <w:r>
        <w:rPr>
          <w:rFonts w:ascii="宋体" w:hAnsi="宋体" w:eastAsia="宋体"/>
          <w:color w:val="auto"/>
          <w:highlight w:val="none"/>
        </w:rPr>
        <w:br w:type="page"/>
      </w:r>
      <w:bookmarkStart w:id="1678" w:name="_Toc110413986"/>
      <w:bookmarkStart w:id="1679" w:name="_Toc61680485"/>
      <w:bookmarkStart w:id="1680" w:name="_Toc68859063"/>
      <w:bookmarkStart w:id="1681" w:name="_Toc58124833"/>
      <w:bookmarkStart w:id="1682" w:name="_Toc5235"/>
      <w:bookmarkStart w:id="1683" w:name="_Toc12983553"/>
      <w:bookmarkStart w:id="1684" w:name="_Toc8713"/>
      <w:bookmarkStart w:id="1685" w:name="_Toc21109"/>
      <w:bookmarkStart w:id="1686" w:name="_Toc6833"/>
      <w:bookmarkStart w:id="1687" w:name="_Toc114134669"/>
      <w:bookmarkStart w:id="1688" w:name="_Toc20864"/>
      <w:bookmarkStart w:id="1689" w:name="_Toc10260"/>
      <w:bookmarkStart w:id="1690" w:name="_Toc32224"/>
      <w:bookmarkStart w:id="1691" w:name="_Toc27419"/>
      <w:bookmarkStart w:id="1692" w:name="_Toc20737"/>
      <w:bookmarkStart w:id="1693" w:name="_Toc17112"/>
      <w:bookmarkStart w:id="1694" w:name="_Toc375564356"/>
      <w:bookmarkStart w:id="1695" w:name="_Toc6270"/>
      <w:bookmarkStart w:id="1696" w:name="_Toc14859"/>
      <w:bookmarkStart w:id="1697" w:name="_Toc11065"/>
      <w:bookmarkStart w:id="1698" w:name="_Toc241920153"/>
      <w:bookmarkStart w:id="1699" w:name="_Toc15419"/>
      <w:bookmarkStart w:id="1700" w:name="_Toc29702"/>
      <w:bookmarkStart w:id="1701" w:name="_Toc4976"/>
      <w:bookmarkStart w:id="1702" w:name="_Toc2257"/>
      <w:bookmarkStart w:id="1703" w:name="_Toc25869"/>
      <w:bookmarkStart w:id="1704" w:name="_Toc12984813"/>
      <w:bookmarkStart w:id="1705" w:name="_Toc14503"/>
      <w:bookmarkStart w:id="1706" w:name="_Toc2585"/>
      <w:bookmarkStart w:id="1707" w:name="_Toc25750681"/>
      <w:bookmarkStart w:id="1708" w:name="_Toc492478809"/>
      <w:bookmarkStart w:id="1709" w:name="_Toc414290527"/>
      <w:r>
        <w:rPr>
          <w:rFonts w:ascii="宋体" w:hAnsi="宋体" w:eastAsia="宋体"/>
          <w:color w:val="auto"/>
          <w:sz w:val="21"/>
          <w:szCs w:val="21"/>
          <w:highlight w:val="none"/>
        </w:rPr>
        <w:t>B2比选申请</w:t>
      </w:r>
      <w:bookmarkEnd w:id="1678"/>
      <w:bookmarkEnd w:id="1679"/>
      <w:bookmarkEnd w:id="1680"/>
      <w:bookmarkEnd w:id="1681"/>
      <w:r>
        <w:rPr>
          <w:rFonts w:ascii="宋体" w:hAnsi="宋体" w:eastAsia="宋体"/>
          <w:color w:val="auto"/>
          <w:sz w:val="21"/>
          <w:szCs w:val="21"/>
          <w:highlight w:val="none"/>
        </w:rPr>
        <w:t>函格式</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p>
    <w:p w14:paraId="6460BD3D">
      <w:pPr>
        <w:spacing w:before="0" w:after="0" w:afterAutospacing="0"/>
        <w:ind w:right="0" w:firstLine="0"/>
        <w:jc w:val="center"/>
        <w:rPr>
          <w:rFonts w:hint="eastAsia" w:ascii="宋体" w:hAnsi="宋体"/>
          <w:b/>
          <w:color w:val="auto"/>
          <w:sz w:val="32"/>
          <w:szCs w:val="32"/>
          <w:highlight w:val="none"/>
        </w:rPr>
      </w:pPr>
      <w:r>
        <w:rPr>
          <w:rFonts w:ascii="宋体" w:hAnsi="宋体"/>
          <w:b/>
          <w:color w:val="auto"/>
          <w:sz w:val="32"/>
          <w:szCs w:val="32"/>
          <w:highlight w:val="none"/>
        </w:rPr>
        <w:t>比选申请函</w:t>
      </w:r>
    </w:p>
    <w:p w14:paraId="6E48C8DD">
      <w:pPr>
        <w:spacing w:before="0" w:after="0" w:afterAutospacing="0"/>
        <w:ind w:left="0" w:right="0" w:firstLine="0"/>
        <w:rPr>
          <w:rFonts w:hint="eastAsia" w:ascii="宋体" w:hAnsi="宋体"/>
          <w:color w:val="auto"/>
          <w:highlight w:val="none"/>
        </w:rPr>
      </w:pPr>
      <w:r>
        <w:rPr>
          <w:rFonts w:ascii="宋体" w:hAnsi="宋体"/>
          <w:color w:val="auto"/>
          <w:highlight w:val="none"/>
        </w:rPr>
        <w:t>致：</w:t>
      </w:r>
      <w:r>
        <w:rPr>
          <w:rFonts w:hint="eastAsia" w:ascii="宋体" w:hAnsi="宋体"/>
          <w:color w:val="auto"/>
          <w:highlight w:val="none"/>
        </w:rPr>
        <w:t>南宁轨道盛拓天和房地产有限公司</w:t>
      </w:r>
    </w:p>
    <w:p w14:paraId="794EC237">
      <w:pPr>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根据</w:t>
      </w:r>
      <w:r>
        <w:rPr>
          <w:rFonts w:hint="eastAsia" w:ascii="宋体" w:hAnsi="宋体"/>
          <w:color w:val="auto"/>
          <w:highlight w:val="none"/>
        </w:rPr>
        <w:t>贵公司</w:t>
      </w:r>
      <w:r>
        <w:rPr>
          <w:rFonts w:ascii="宋体" w:hAnsi="宋体"/>
          <w:color w:val="auto"/>
          <w:highlight w:val="none"/>
        </w:rPr>
        <w:t>为</w:t>
      </w:r>
      <w:r>
        <w:rPr>
          <w:rFonts w:hint="eastAsia" w:ascii="宋体" w:hAnsi="宋体"/>
          <w:color w:val="auto"/>
          <w:highlight w:val="none"/>
        </w:rPr>
        <w:t>采购项目</w:t>
      </w:r>
      <w:r>
        <w:rPr>
          <w:rFonts w:ascii="宋体" w:hAnsi="宋体"/>
          <w:color w:val="auto"/>
          <w:highlight w:val="none"/>
        </w:rPr>
        <w:t>比选申请邀请，签字人</w:t>
      </w:r>
      <w:r>
        <w:rPr>
          <w:rFonts w:ascii="宋体" w:hAnsi="宋体"/>
          <w:color w:val="auto"/>
          <w:highlight w:val="none"/>
          <w:u w:val="single"/>
        </w:rPr>
        <w:t>(全名、职务)</w:t>
      </w:r>
      <w:r>
        <w:rPr>
          <w:rFonts w:ascii="宋体" w:hAnsi="宋体"/>
          <w:color w:val="auto"/>
          <w:highlight w:val="none"/>
        </w:rPr>
        <w:t>经正式授权并代表比选申请人</w:t>
      </w:r>
      <w:r>
        <w:rPr>
          <w:rFonts w:ascii="宋体" w:hAnsi="宋体"/>
          <w:color w:val="auto"/>
          <w:highlight w:val="none"/>
          <w:u w:val="single"/>
        </w:rPr>
        <w:t>（比选申请人名称、地址）</w:t>
      </w:r>
      <w:r>
        <w:rPr>
          <w:rFonts w:ascii="宋体" w:hAnsi="宋体"/>
          <w:color w:val="auto"/>
          <w:highlight w:val="none"/>
        </w:rPr>
        <w:t>提交</w:t>
      </w:r>
      <w:r>
        <w:rPr>
          <w:rFonts w:hint="eastAsia" w:ascii="宋体" w:hAnsi="宋体"/>
          <w:color w:val="auto"/>
          <w:highlight w:val="none"/>
        </w:rPr>
        <w:t>比选申请文件</w:t>
      </w:r>
      <w:r>
        <w:rPr>
          <w:rFonts w:ascii="宋体" w:hAnsi="宋体"/>
          <w:color w:val="auto"/>
          <w:highlight w:val="none"/>
        </w:rPr>
        <w:t>正本</w:t>
      </w:r>
      <w:r>
        <w:rPr>
          <w:rFonts w:ascii="宋体" w:hAnsi="宋体"/>
          <w:color w:val="auto"/>
          <w:highlight w:val="none"/>
          <w:u w:val="single"/>
        </w:rPr>
        <w:t>1</w:t>
      </w:r>
      <w:r>
        <w:rPr>
          <w:rFonts w:ascii="宋体" w:hAnsi="宋体"/>
          <w:color w:val="auto"/>
          <w:highlight w:val="none"/>
        </w:rPr>
        <w:t>份、副本</w:t>
      </w:r>
      <w:r>
        <w:rPr>
          <w:rFonts w:ascii="宋体" w:hAnsi="宋体"/>
          <w:color w:val="auto"/>
          <w:highlight w:val="none"/>
          <w:u w:val="single"/>
        </w:rPr>
        <w:t xml:space="preserve"> 4</w:t>
      </w:r>
      <w:r>
        <w:rPr>
          <w:rFonts w:ascii="宋体" w:hAnsi="宋体"/>
          <w:color w:val="auto"/>
          <w:highlight w:val="none"/>
        </w:rPr>
        <w:t>份及电子文件</w:t>
      </w:r>
      <w:r>
        <w:rPr>
          <w:rFonts w:ascii="宋体" w:hAnsi="宋体"/>
          <w:color w:val="auto"/>
          <w:highlight w:val="none"/>
          <w:u w:val="single"/>
        </w:rPr>
        <w:t xml:space="preserve"> </w:t>
      </w:r>
      <w:r>
        <w:rPr>
          <w:rFonts w:hint="eastAsia" w:ascii="宋体" w:hAnsi="宋体"/>
          <w:color w:val="auto"/>
          <w:highlight w:val="none"/>
          <w:u w:val="single"/>
        </w:rPr>
        <w:t>1</w:t>
      </w:r>
      <w:r>
        <w:rPr>
          <w:rFonts w:ascii="宋体" w:hAnsi="宋体"/>
          <w:color w:val="auto"/>
          <w:highlight w:val="none"/>
          <w:u w:val="single"/>
        </w:rPr>
        <w:t xml:space="preserve"> </w:t>
      </w:r>
      <w:r>
        <w:rPr>
          <w:rFonts w:ascii="宋体" w:hAnsi="宋体"/>
          <w:color w:val="auto"/>
          <w:highlight w:val="none"/>
        </w:rPr>
        <w:t>份（U盘）。</w:t>
      </w:r>
    </w:p>
    <w:p w14:paraId="5D7DA29A">
      <w:pPr>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据此，签字人宣布同意如下：</w:t>
      </w:r>
    </w:p>
    <w:p w14:paraId="37D3DA11">
      <w:pPr>
        <w:spacing w:before="0" w:after="0" w:afterAutospacing="0"/>
        <w:ind w:left="0" w:right="0" w:firstLine="420" w:firstLineChars="200"/>
        <w:rPr>
          <w:rFonts w:hint="eastAsia" w:ascii="宋体" w:hAnsi="宋体"/>
          <w:color w:val="auto"/>
          <w:highlight w:val="none"/>
        </w:rPr>
      </w:pPr>
      <w:bookmarkStart w:id="1710" w:name="_Toc375564357"/>
      <w:r>
        <w:rPr>
          <w:rFonts w:ascii="宋体" w:hAnsi="宋体"/>
          <w:color w:val="auto"/>
          <w:highlight w:val="none"/>
        </w:rPr>
        <w:t>1. 按比选文件要求规定的应提交和交付的服务并履行全部合同义务的比选申请</w:t>
      </w:r>
      <w:r>
        <w:rPr>
          <w:rFonts w:hint="eastAsia" w:ascii="宋体" w:hAnsi="宋体"/>
          <w:color w:val="auto"/>
          <w:highlight w:val="none"/>
        </w:rPr>
        <w:t>，</w:t>
      </w:r>
      <w:r>
        <w:rPr>
          <w:rFonts w:ascii="宋体" w:hAnsi="宋体"/>
          <w:color w:val="auto"/>
          <w:highlight w:val="none"/>
        </w:rPr>
        <w:t>总价如本比选申请文件</w:t>
      </w:r>
      <w:r>
        <w:rPr>
          <w:rFonts w:hint="eastAsia" w:ascii="宋体" w:hAnsi="宋体"/>
          <w:color w:val="auto"/>
          <w:highlight w:val="none"/>
        </w:rPr>
        <w:t>价格文件</w:t>
      </w:r>
      <w:r>
        <w:rPr>
          <w:rFonts w:ascii="宋体" w:hAnsi="宋体"/>
          <w:color w:val="auto"/>
          <w:highlight w:val="none"/>
        </w:rPr>
        <w:t>“比选申请报价一览表”所述。</w:t>
      </w:r>
      <w:bookmarkEnd w:id="1710"/>
    </w:p>
    <w:p w14:paraId="55619C23">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2</w:t>
      </w:r>
      <w:r>
        <w:rPr>
          <w:rFonts w:ascii="宋体" w:hAnsi="宋体"/>
          <w:color w:val="auto"/>
          <w:highlight w:val="none"/>
        </w:rPr>
        <w:t>.按比选文件的规定履行合同责任和义务。</w:t>
      </w:r>
    </w:p>
    <w:p w14:paraId="1CAFBC04">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w:t>
      </w:r>
      <w:r>
        <w:rPr>
          <w:rFonts w:ascii="宋体" w:hAnsi="宋体"/>
          <w:color w:val="auto"/>
          <w:highlight w:val="none"/>
        </w:rPr>
        <w:t>.已详细审查全部比选文件，包括修改文件（如有的话）以及全部接口资料和有关附件。我们完全理解并同意放弃对这方面有不明及误解的权利。</w:t>
      </w:r>
    </w:p>
    <w:p w14:paraId="1CCC9C01">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4</w:t>
      </w:r>
      <w:r>
        <w:rPr>
          <w:rFonts w:ascii="宋体" w:hAnsi="宋体"/>
          <w:color w:val="auto"/>
          <w:highlight w:val="none"/>
        </w:rPr>
        <w:t>.本比选申请有效期为比选申请截止日起</w:t>
      </w:r>
      <w:r>
        <w:rPr>
          <w:rFonts w:hint="eastAsia" w:ascii="宋体" w:hAnsi="宋体"/>
          <w:b/>
          <w:color w:val="auto"/>
          <w:highlight w:val="none"/>
          <w:u w:val="single"/>
        </w:rPr>
        <w:t>（备注：与前附表一致）</w:t>
      </w:r>
      <w:r>
        <w:rPr>
          <w:rFonts w:ascii="宋体" w:hAnsi="宋体"/>
          <w:color w:val="auto"/>
          <w:highlight w:val="none"/>
        </w:rPr>
        <w:t>日历天内。</w:t>
      </w:r>
    </w:p>
    <w:p w14:paraId="70898ED4">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5</w:t>
      </w:r>
      <w:r>
        <w:rPr>
          <w:rFonts w:ascii="宋体" w:hAnsi="宋体"/>
          <w:color w:val="auto"/>
          <w:highlight w:val="none"/>
        </w:rPr>
        <w:t>.如果在规定的</w:t>
      </w:r>
      <w:r>
        <w:rPr>
          <w:rFonts w:hint="eastAsia" w:ascii="宋体" w:hAnsi="宋体"/>
          <w:color w:val="auto"/>
          <w:highlight w:val="none"/>
        </w:rPr>
        <w:t>比选文件递交</w:t>
      </w:r>
      <w:r>
        <w:rPr>
          <w:rFonts w:ascii="宋体" w:hAnsi="宋体"/>
          <w:color w:val="auto"/>
          <w:highlight w:val="none"/>
        </w:rPr>
        <w:t>时间后，</w:t>
      </w:r>
      <w:r>
        <w:rPr>
          <w:rFonts w:hint="eastAsia" w:ascii="宋体" w:hAnsi="宋体"/>
          <w:color w:val="auto"/>
          <w:highlight w:val="none"/>
        </w:rPr>
        <w:t>我公司</w:t>
      </w:r>
      <w:r>
        <w:rPr>
          <w:rFonts w:ascii="宋体" w:hAnsi="宋体"/>
          <w:color w:val="auto"/>
          <w:highlight w:val="none"/>
        </w:rPr>
        <w:t>在比选申请有效期内撤销比选申请，</w:t>
      </w:r>
      <w:r>
        <w:rPr>
          <w:rFonts w:hint="eastAsia" w:ascii="宋体" w:hAnsi="宋体"/>
          <w:color w:val="auto"/>
          <w:highlight w:val="none"/>
        </w:rPr>
        <w:t>所造成的损失我公司承担</w:t>
      </w:r>
      <w:r>
        <w:rPr>
          <w:rFonts w:ascii="宋体" w:hAnsi="宋体"/>
          <w:color w:val="auto"/>
          <w:highlight w:val="none"/>
        </w:rPr>
        <w:t>。</w:t>
      </w:r>
    </w:p>
    <w:p w14:paraId="68394B42">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6</w:t>
      </w:r>
      <w:r>
        <w:rPr>
          <w:rFonts w:ascii="宋体" w:hAnsi="宋体"/>
          <w:color w:val="auto"/>
          <w:highlight w:val="none"/>
        </w:rPr>
        <w:t>.同意按照</w:t>
      </w:r>
      <w:r>
        <w:rPr>
          <w:rFonts w:hint="eastAsia" w:ascii="宋体" w:hAnsi="宋体"/>
          <w:color w:val="auto"/>
          <w:highlight w:val="none"/>
        </w:rPr>
        <w:t>贵公司</w:t>
      </w:r>
      <w:r>
        <w:rPr>
          <w:rFonts w:ascii="宋体" w:hAnsi="宋体"/>
          <w:color w:val="auto"/>
          <w:highlight w:val="none"/>
        </w:rPr>
        <w:t>的要求提供与本比选申请有关的一切数据或资料，完全理解</w:t>
      </w:r>
      <w:r>
        <w:rPr>
          <w:rFonts w:hint="eastAsia" w:ascii="宋体" w:hAnsi="宋体"/>
          <w:color w:val="auto"/>
          <w:highlight w:val="none"/>
        </w:rPr>
        <w:t>贵公司</w:t>
      </w:r>
      <w:r>
        <w:rPr>
          <w:rFonts w:ascii="宋体" w:hAnsi="宋体"/>
          <w:color w:val="auto"/>
          <w:highlight w:val="none"/>
        </w:rPr>
        <w:t>不一定要接受最低价的比选申请或收到的任何比选申请。</w:t>
      </w:r>
    </w:p>
    <w:p w14:paraId="790900B5">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7</w:t>
      </w:r>
      <w:r>
        <w:rPr>
          <w:rFonts w:ascii="宋体" w:hAnsi="宋体"/>
          <w:color w:val="auto"/>
          <w:highlight w:val="none"/>
        </w:rPr>
        <w:t xml:space="preserve">. </w:t>
      </w:r>
      <w:r>
        <w:rPr>
          <w:rFonts w:ascii="宋体" w:hAnsi="宋体"/>
          <w:b/>
          <w:color w:val="auto"/>
          <w:highlight w:val="none"/>
        </w:rPr>
        <w:t>本项目采用</w:t>
      </w:r>
      <w:r>
        <w:rPr>
          <w:rFonts w:hint="eastAsia" w:ascii="宋体" w:hAnsi="宋体"/>
          <w:b/>
          <w:color w:val="auto"/>
          <w:highlight w:val="none"/>
        </w:rPr>
        <w:t>不</w:t>
      </w:r>
      <w:r>
        <w:rPr>
          <w:rFonts w:ascii="宋体" w:hAnsi="宋体"/>
          <w:b/>
          <w:color w:val="auto"/>
          <w:highlight w:val="none"/>
        </w:rPr>
        <w:t>含税报价</w:t>
      </w:r>
      <w:r>
        <w:rPr>
          <w:rFonts w:hint="eastAsia" w:ascii="宋体" w:hAnsi="宋体"/>
          <w:b/>
          <w:color w:val="auto"/>
          <w:highlight w:val="none"/>
        </w:rPr>
        <w:t>，含税总报价为合同暂定含税总价款，合同的最终税金在结算阶段，按实际产生的税金进行核算，但合同不含税价格不因国家税率调整而调整。</w:t>
      </w:r>
    </w:p>
    <w:p w14:paraId="696D28DF">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8</w:t>
      </w:r>
      <w:r>
        <w:rPr>
          <w:rFonts w:ascii="宋体" w:hAnsi="宋体"/>
          <w:color w:val="auto"/>
          <w:highlight w:val="none"/>
        </w:rPr>
        <w:t>.与本比选申请有关的一切正式往来通讯请发往：</w:t>
      </w:r>
      <w:r>
        <w:rPr>
          <w:rFonts w:ascii="宋体" w:hAnsi="宋体"/>
          <w:color w:val="auto"/>
          <w:highlight w:val="none"/>
        </w:rPr>
        <w:tab/>
      </w:r>
    </w:p>
    <w:p w14:paraId="1BC5DC70">
      <w:pPr>
        <w:spacing w:before="0" w:after="0" w:afterAutospacing="0"/>
        <w:ind w:left="0" w:right="0" w:firstLine="420" w:firstLineChars="200"/>
        <w:rPr>
          <w:rFonts w:hint="eastAsia" w:ascii="宋体" w:hAnsi="宋体"/>
          <w:color w:val="auto"/>
          <w:highlight w:val="none"/>
          <w:u w:val="single"/>
        </w:rPr>
      </w:pPr>
      <w:r>
        <w:rPr>
          <w:rFonts w:ascii="宋体" w:hAnsi="宋体"/>
          <w:color w:val="auto"/>
          <w:highlight w:val="none"/>
        </w:rPr>
        <w:t>地址：</w:t>
      </w:r>
    </w:p>
    <w:p w14:paraId="10A67DF8">
      <w:pPr>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邮编：传真：</w:t>
      </w:r>
    </w:p>
    <w:p w14:paraId="5E3B5F4B">
      <w:pPr>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电话：电子邮件：</w:t>
      </w:r>
    </w:p>
    <w:p w14:paraId="26C3B609">
      <w:pPr>
        <w:spacing w:before="0" w:after="0" w:afterAutospacing="0"/>
        <w:ind w:left="0" w:right="0" w:firstLine="420" w:firstLineChars="200"/>
        <w:rPr>
          <w:rFonts w:hint="eastAsia" w:ascii="宋体" w:hAnsi="宋体"/>
          <w:color w:val="auto"/>
          <w:highlight w:val="none"/>
          <w:u w:val="single"/>
        </w:rPr>
      </w:pPr>
      <w:r>
        <w:rPr>
          <w:rFonts w:ascii="宋体" w:hAnsi="宋体"/>
          <w:color w:val="auto"/>
          <w:highlight w:val="none"/>
        </w:rPr>
        <w:t>比选申请人名称：</w:t>
      </w:r>
      <w:r>
        <w:rPr>
          <w:rFonts w:ascii="宋体" w:hAnsi="宋体"/>
          <w:color w:val="auto"/>
          <w:highlight w:val="none"/>
          <w:u w:val="single"/>
        </w:rPr>
        <w:t>（全称并加盖公章）</w:t>
      </w:r>
    </w:p>
    <w:p w14:paraId="3D2B3F6D">
      <w:pPr>
        <w:spacing w:before="0" w:after="0" w:afterAutospacing="0"/>
        <w:ind w:left="0" w:right="0" w:firstLine="420" w:firstLineChars="200"/>
        <w:rPr>
          <w:rFonts w:hint="eastAsia" w:ascii="宋体" w:hAnsi="宋体" w:cs="Arial"/>
          <w:color w:val="auto"/>
          <w:highlight w:val="none"/>
        </w:rPr>
      </w:pPr>
      <w:r>
        <w:rPr>
          <w:rFonts w:ascii="宋体" w:hAnsi="宋体"/>
          <w:color w:val="auto"/>
          <w:highlight w:val="none"/>
        </w:rPr>
        <w:t>比选申请人法定代表人（或其委托代理人）签字</w:t>
      </w:r>
      <w:r>
        <w:rPr>
          <w:rFonts w:hint="eastAsia" w:ascii="宋体" w:hAnsi="宋体"/>
          <w:color w:val="auto"/>
          <w:highlight w:val="none"/>
        </w:rPr>
        <w:t>或盖章</w:t>
      </w:r>
      <w:r>
        <w:rPr>
          <w:rFonts w:hint="eastAsia" w:ascii="宋体" w:hAnsi="宋体" w:cs="Arial"/>
          <w:color w:val="auto"/>
          <w:highlight w:val="none"/>
        </w:rPr>
        <w:t>：</w:t>
      </w:r>
    </w:p>
    <w:p w14:paraId="3F2D0F5D">
      <w:pPr>
        <w:spacing w:before="0" w:after="0" w:afterAutospacing="0"/>
        <w:ind w:left="0" w:right="0" w:firstLine="420" w:firstLineChars="200"/>
        <w:rPr>
          <w:rFonts w:hint="eastAsia" w:ascii="宋体" w:hAnsi="宋体"/>
          <w:color w:val="auto"/>
          <w:highlight w:val="none"/>
        </w:rPr>
      </w:pPr>
      <w:r>
        <w:rPr>
          <w:rFonts w:hint="eastAsia" w:ascii="宋体" w:hAnsi="宋体" w:cs="Arial"/>
          <w:color w:val="auto"/>
          <w:highlight w:val="none"/>
        </w:rPr>
        <w:t xml:space="preserve">日期：   </w:t>
      </w:r>
      <w:r>
        <w:rPr>
          <w:rFonts w:ascii="宋体" w:hAnsi="宋体"/>
          <w:color w:val="auto"/>
          <w:highlight w:val="none"/>
        </w:rPr>
        <w:t>年月日</w:t>
      </w:r>
    </w:p>
    <w:p w14:paraId="3EB349A9">
      <w:pPr>
        <w:rPr>
          <w:rFonts w:hint="eastAsia" w:ascii="宋体" w:hAnsi="宋体"/>
          <w:color w:val="auto"/>
          <w:highlight w:val="none"/>
        </w:rPr>
      </w:pPr>
    </w:p>
    <w:p w14:paraId="7F1DC14A">
      <w:pPr>
        <w:rPr>
          <w:rFonts w:hint="eastAsia" w:ascii="宋体" w:hAnsi="宋体"/>
          <w:color w:val="auto"/>
          <w:highlight w:val="none"/>
        </w:rPr>
        <w:sectPr>
          <w:headerReference r:id="rId13" w:type="first"/>
          <w:headerReference r:id="rId12" w:type="default"/>
          <w:pgSz w:w="11905" w:h="16838"/>
          <w:pgMar w:top="1418" w:right="1418" w:bottom="1304" w:left="1418" w:header="454" w:footer="567" w:gutter="0"/>
          <w:pgBorders>
            <w:top w:val="none" w:sz="0" w:space="0"/>
            <w:left w:val="none" w:sz="0" w:space="0"/>
            <w:bottom w:val="none" w:sz="0" w:space="0"/>
            <w:right w:val="none" w:sz="0" w:space="0"/>
          </w:pgBorders>
          <w:cols w:space="720" w:num="1"/>
          <w:docGrid w:linePitch="312" w:charSpace="0"/>
        </w:sectPr>
      </w:pPr>
    </w:p>
    <w:p w14:paraId="338D3F7A">
      <w:pPr>
        <w:pStyle w:val="6"/>
        <w:pageBreakBefore/>
        <w:spacing w:after="100"/>
        <w:ind w:right="-57" w:firstLine="0"/>
        <w:jc w:val="center"/>
        <w:rPr>
          <w:rFonts w:hint="eastAsia" w:hAnsi="宋体"/>
          <w:b w:val="0"/>
          <w:color w:val="auto"/>
          <w:sz w:val="24"/>
          <w:szCs w:val="24"/>
          <w:highlight w:val="none"/>
        </w:rPr>
      </w:pPr>
      <w:bookmarkStart w:id="1711" w:name="_Toc414290562"/>
      <w:bookmarkStart w:id="1712" w:name="_Toc492478827"/>
      <w:bookmarkStart w:id="1713" w:name="_Toc19107"/>
      <w:bookmarkStart w:id="1714" w:name="_Toc29577"/>
      <w:bookmarkStart w:id="1715" w:name="_Toc17664"/>
      <w:bookmarkStart w:id="1716" w:name="_Toc15451"/>
      <w:bookmarkStart w:id="1717" w:name="_Toc25220"/>
      <w:bookmarkStart w:id="1718" w:name="_Toc19413"/>
      <w:bookmarkStart w:id="1719" w:name="_Toc13480"/>
      <w:bookmarkStart w:id="1720" w:name="_Toc30812"/>
      <w:bookmarkStart w:id="1721" w:name="_Toc3307"/>
      <w:bookmarkStart w:id="1722" w:name="_Toc6034"/>
      <w:bookmarkStart w:id="1723" w:name="_Toc2327"/>
      <w:bookmarkStart w:id="1724" w:name="_Toc25635"/>
      <w:bookmarkStart w:id="1725" w:name="_Toc22423"/>
      <w:bookmarkStart w:id="1726" w:name="_Toc14091"/>
      <w:bookmarkStart w:id="1727" w:name="_Toc114134670"/>
      <w:bookmarkStart w:id="1728" w:name="_Toc8563"/>
      <w:bookmarkStart w:id="1729" w:name="_Toc9876"/>
      <w:bookmarkStart w:id="1730" w:name="_Toc1979"/>
      <w:bookmarkStart w:id="1731" w:name="_Toc13870"/>
      <w:bookmarkStart w:id="1732" w:name="_Toc32381"/>
      <w:r>
        <w:rPr>
          <w:rFonts w:hint="eastAsia"/>
          <w:color w:val="auto"/>
          <w:sz w:val="24"/>
          <w:szCs w:val="24"/>
          <w:highlight w:val="none"/>
        </w:rPr>
        <w:t>C</w:t>
      </w:r>
      <w:r>
        <w:rPr>
          <w:rFonts w:hAnsi="宋体"/>
          <w:color w:val="auto"/>
          <w:sz w:val="24"/>
          <w:szCs w:val="24"/>
          <w:highlight w:val="none"/>
        </w:rPr>
        <w:t>技术</w:t>
      </w:r>
      <w:bookmarkEnd w:id="1711"/>
      <w:bookmarkEnd w:id="1712"/>
      <w:bookmarkEnd w:id="1713"/>
      <w:bookmarkStart w:id="1733" w:name="_Toc224010320"/>
      <w:bookmarkStart w:id="1734" w:name="_Toc18770050"/>
      <w:bookmarkStart w:id="1735" w:name="_Toc17887241"/>
      <w:bookmarkStart w:id="1736" w:name="_Toc74938308"/>
      <w:bookmarkStart w:id="1737" w:name="_Toc99697927"/>
      <w:r>
        <w:rPr>
          <w:rFonts w:hint="eastAsia" w:hAnsi="宋体"/>
          <w:color w:val="auto"/>
          <w:sz w:val="24"/>
          <w:szCs w:val="24"/>
          <w:highlight w:val="none"/>
        </w:rPr>
        <w:t>文件</w:t>
      </w:r>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53626F66">
      <w:pPr>
        <w:spacing w:before="0" w:after="0" w:afterAutospacing="0"/>
        <w:ind w:left="0" w:right="0" w:firstLine="422" w:firstLineChars="200"/>
        <w:jc w:val="left"/>
        <w:rPr>
          <w:rFonts w:hint="eastAsia" w:ascii="宋体" w:hAnsi="宋体" w:cs="宋体"/>
          <w:color w:val="auto"/>
          <w:highlight w:val="none"/>
        </w:rPr>
      </w:pPr>
      <w:r>
        <w:rPr>
          <w:rFonts w:hint="eastAsia" w:hAnsi="宋体"/>
          <w:b/>
          <w:color w:val="auto"/>
          <w:highlight w:val="none"/>
        </w:rPr>
        <w:t>技术文件格式</w:t>
      </w:r>
    </w:p>
    <w:p w14:paraId="025878BF">
      <w:pPr>
        <w:spacing w:before="0" w:after="0" w:afterAutospacing="0"/>
        <w:ind w:left="707" w:leftChars="150" w:right="0" w:hanging="392" w:hangingChars="187"/>
        <w:jc w:val="left"/>
        <w:rPr>
          <w:rFonts w:hint="eastAsia" w:hAnsi="宋体"/>
          <w:b/>
          <w:color w:val="auto"/>
          <w:highlight w:val="none"/>
        </w:rPr>
      </w:pPr>
      <w:r>
        <w:rPr>
          <w:rFonts w:hint="eastAsia" w:ascii="宋体" w:hAnsi="宋体" w:cs="宋体"/>
          <w:color w:val="auto"/>
          <w:highlight w:val="none"/>
        </w:rPr>
        <w:t>（</w:t>
      </w:r>
      <w:r>
        <w:rPr>
          <w:rFonts w:hint="eastAsia" w:ascii="Calibri" w:hAnsi="Calibri" w:cs="Calibri"/>
          <w:color w:val="auto"/>
          <w:highlight w:val="none"/>
          <w:lang w:val="en-US" w:eastAsia="zh-CN"/>
        </w:rPr>
        <w:t>1</w:t>
      </w:r>
      <w:r>
        <w:rPr>
          <w:rFonts w:hint="eastAsia" w:ascii="宋体" w:hAnsi="宋体" w:cs="宋体"/>
          <w:color w:val="auto"/>
          <w:highlight w:val="none"/>
        </w:rPr>
        <w:t>）技术响应表（格式见</w:t>
      </w:r>
      <w:r>
        <w:rPr>
          <w:rFonts w:ascii="Calibri" w:hAnsi="Calibri" w:cs="Calibri"/>
          <w:color w:val="auto"/>
          <w:highlight w:val="none"/>
        </w:rPr>
        <w:t>C1</w:t>
      </w:r>
      <w:r>
        <w:rPr>
          <w:rFonts w:hint="eastAsia" w:ascii="宋体" w:hAnsi="宋体" w:cs="宋体"/>
          <w:color w:val="auto"/>
          <w:highlight w:val="none"/>
        </w:rPr>
        <w:t>）；</w:t>
      </w:r>
    </w:p>
    <w:p w14:paraId="171CDEF4">
      <w:pPr>
        <w:spacing w:before="0" w:after="0" w:afterAutospacing="0"/>
        <w:ind w:left="0" w:right="0" w:firstLine="315" w:firstLineChars="150"/>
        <w:rPr>
          <w:color w:val="auto"/>
          <w:highlight w:val="none"/>
        </w:rPr>
      </w:pPr>
      <w:r>
        <w:rPr>
          <w:rFonts w:hint="eastAsia"/>
          <w:color w:val="auto"/>
          <w:highlight w:val="none"/>
        </w:rPr>
        <w:t>（</w:t>
      </w:r>
      <w:r>
        <w:rPr>
          <w:rFonts w:hint="eastAsia"/>
          <w:color w:val="auto"/>
          <w:highlight w:val="none"/>
          <w:lang w:val="en-US" w:eastAsia="zh-CN"/>
        </w:rPr>
        <w:t>2</w:t>
      </w:r>
      <w:r>
        <w:rPr>
          <w:rFonts w:hint="eastAsia"/>
          <w:color w:val="auto"/>
          <w:highlight w:val="none"/>
        </w:rPr>
        <w:t>）商务响应表（格式见C2）；</w:t>
      </w:r>
    </w:p>
    <w:p w14:paraId="49A1E686">
      <w:pPr>
        <w:spacing w:before="0" w:after="0" w:afterAutospacing="0"/>
        <w:ind w:left="0" w:right="0" w:firstLine="315" w:firstLineChars="150"/>
        <w:rPr>
          <w:color w:val="auto"/>
          <w:highlight w:val="none"/>
        </w:rPr>
      </w:pPr>
      <w:r>
        <w:rPr>
          <w:rFonts w:hint="eastAsia"/>
          <w:color w:val="auto"/>
          <w:highlight w:val="none"/>
        </w:rPr>
        <w:t>（</w:t>
      </w:r>
      <w:r>
        <w:rPr>
          <w:rFonts w:hint="eastAsia"/>
          <w:color w:val="auto"/>
          <w:highlight w:val="none"/>
          <w:lang w:val="en-US" w:eastAsia="zh-CN"/>
        </w:rPr>
        <w:t>3</w:t>
      </w:r>
      <w:r>
        <w:rPr>
          <w:rFonts w:hint="eastAsia"/>
          <w:color w:val="auto"/>
          <w:highlight w:val="none"/>
        </w:rPr>
        <w:t>）服务建议书（设计服务方案、服务响应方案，格式自拟，需包含工期，工期格式见C3）；</w:t>
      </w:r>
    </w:p>
    <w:p w14:paraId="63156FC7">
      <w:pPr>
        <w:spacing w:before="0" w:after="0" w:afterAutospacing="0"/>
        <w:ind w:left="0" w:right="0" w:firstLine="315" w:firstLineChars="150"/>
        <w:rPr>
          <w:color w:val="auto"/>
          <w:highlight w:val="none"/>
        </w:rPr>
      </w:pPr>
      <w:r>
        <w:rPr>
          <w:rFonts w:hint="eastAsia"/>
          <w:color w:val="auto"/>
          <w:highlight w:val="none"/>
        </w:rPr>
        <w:t>（</w:t>
      </w:r>
      <w:r>
        <w:rPr>
          <w:rFonts w:hint="eastAsia"/>
          <w:color w:val="auto"/>
          <w:highlight w:val="none"/>
          <w:lang w:val="en-US" w:eastAsia="zh-CN"/>
        </w:rPr>
        <w:t>4</w:t>
      </w:r>
      <w:r>
        <w:rPr>
          <w:rFonts w:hint="eastAsia"/>
          <w:color w:val="auto"/>
          <w:highlight w:val="none"/>
        </w:rPr>
        <w:t>）项目人员配置（格式见C4）；</w:t>
      </w:r>
    </w:p>
    <w:p w14:paraId="486E21F9">
      <w:pPr>
        <w:spacing w:before="0" w:after="0" w:afterAutospacing="0"/>
        <w:ind w:left="0" w:right="0" w:firstLine="315" w:firstLineChars="150"/>
        <w:rPr>
          <w:color w:val="auto"/>
          <w:highlight w:val="none"/>
        </w:rPr>
      </w:pPr>
      <w:r>
        <w:rPr>
          <w:rFonts w:hint="eastAsia"/>
          <w:color w:val="auto"/>
          <w:highlight w:val="none"/>
        </w:rPr>
        <w:t>（</w:t>
      </w:r>
      <w:r>
        <w:rPr>
          <w:rFonts w:hint="eastAsia"/>
          <w:color w:val="auto"/>
          <w:highlight w:val="none"/>
          <w:lang w:val="en-US" w:eastAsia="zh-CN"/>
        </w:rPr>
        <w:t>5</w:t>
      </w:r>
      <w:r>
        <w:rPr>
          <w:rFonts w:hint="eastAsia"/>
          <w:color w:val="auto"/>
          <w:highlight w:val="none"/>
        </w:rPr>
        <w:t>）</w:t>
      </w:r>
      <w:r>
        <w:rPr>
          <w:rFonts w:hint="eastAsia" w:ascii="宋体" w:hAnsi="宋体"/>
          <w:color w:val="auto"/>
          <w:highlight w:val="none"/>
        </w:rPr>
        <w:t>比选申请人自2023年1月1日至比选申请截止时间前，承接过（完工/在建项目）房地产项目样板房装修设计业绩，</w:t>
      </w:r>
      <w:r>
        <w:rPr>
          <w:rFonts w:hint="eastAsia" w:ascii="宋体" w:hAnsi="宋体"/>
          <w:color w:val="auto"/>
          <w:highlight w:val="none"/>
          <w:lang w:val="en-US" w:eastAsia="zh-CN"/>
        </w:rPr>
        <w:t>提供</w:t>
      </w:r>
      <w:r>
        <w:rPr>
          <w:rFonts w:hint="eastAsia" w:ascii="宋体" w:hAnsi="宋体"/>
          <w:color w:val="auto"/>
          <w:highlight w:val="none"/>
        </w:rPr>
        <w:t>单个业绩合同金额</w:t>
      </w:r>
      <w:r>
        <w:rPr>
          <w:rFonts w:hint="eastAsia" w:ascii="宋体" w:hAnsi="宋体"/>
          <w:color w:val="auto"/>
          <w:highlight w:val="none"/>
          <w:lang w:val="en-US" w:eastAsia="zh-CN"/>
        </w:rPr>
        <w:t>设计单价</w:t>
      </w:r>
      <w:r>
        <w:rPr>
          <w:rFonts w:hint="eastAsia" w:ascii="宋体" w:hAnsi="宋体"/>
          <w:color w:val="auto"/>
          <w:highlight w:val="none"/>
        </w:rPr>
        <w:t>达</w:t>
      </w:r>
      <w:r>
        <w:rPr>
          <w:rFonts w:hint="eastAsia" w:ascii="宋体" w:hAnsi="宋体"/>
          <w:b w:val="0"/>
          <w:bCs w:val="0"/>
          <w:color w:val="auto"/>
          <w:highlight w:val="none"/>
          <w:u w:val="none"/>
          <w:lang w:val="en-US" w:eastAsia="zh-CN"/>
        </w:rPr>
        <w:t>1300元</w:t>
      </w:r>
      <w:r>
        <w:rPr>
          <w:rFonts w:hint="eastAsia" w:ascii="宋体" w:hAnsi="宋体"/>
          <w:b w:val="0"/>
          <w:bCs w:val="0"/>
          <w:color w:val="auto"/>
          <w:highlight w:val="none"/>
          <w:lang w:val="en-US" w:eastAsia="zh-CN"/>
        </w:rPr>
        <w:t>/㎡</w:t>
      </w:r>
      <w:r>
        <w:rPr>
          <w:rFonts w:hint="eastAsia" w:ascii="宋体" w:hAnsi="宋体"/>
          <w:color w:val="auto"/>
          <w:highlight w:val="none"/>
        </w:rPr>
        <w:t>及以上</w:t>
      </w:r>
      <w:r>
        <w:rPr>
          <w:rFonts w:hint="eastAsia" w:ascii="宋体" w:hAnsi="宋体" w:cs="宋体"/>
          <w:color w:val="auto"/>
          <w:sz w:val="21"/>
          <w:szCs w:val="21"/>
          <w:highlight w:val="none"/>
          <w:lang w:val="en-US" w:eastAsia="zh-CN"/>
        </w:rPr>
        <w:t>的</w:t>
      </w:r>
      <w:r>
        <w:rPr>
          <w:rFonts w:hint="eastAsia" w:ascii="宋体" w:hAnsi="宋体" w:eastAsia="宋体" w:cs="宋体"/>
          <w:color w:val="auto"/>
          <w:sz w:val="21"/>
          <w:szCs w:val="21"/>
          <w:highlight w:val="none"/>
        </w:rPr>
        <w:t>设计</w:t>
      </w:r>
      <w:r>
        <w:rPr>
          <w:rFonts w:hint="eastAsia" w:ascii="宋体" w:hAnsi="宋体"/>
          <w:color w:val="auto"/>
          <w:highlight w:val="none"/>
        </w:rPr>
        <w:t>业绩</w:t>
      </w:r>
      <w:r>
        <w:rPr>
          <w:rFonts w:hint="eastAsia" w:ascii="宋体" w:hAnsi="宋体"/>
          <w:color w:val="auto"/>
          <w:highlight w:val="none"/>
          <w:lang w:eastAsia="zh-CN"/>
        </w:rPr>
        <w:t>；</w:t>
      </w:r>
      <w:r>
        <w:rPr>
          <w:rFonts w:hint="eastAsia" w:ascii="宋体" w:hAnsi="宋体"/>
          <w:color w:val="auto"/>
          <w:highlight w:val="none"/>
          <w:lang w:val="en-US" w:eastAsia="zh-CN"/>
        </w:rPr>
        <w:t>本</w:t>
      </w:r>
      <w:r>
        <w:rPr>
          <w:rFonts w:hint="eastAsia"/>
          <w:color w:val="auto"/>
          <w:highlight w:val="none"/>
          <w:lang w:val="en-US" w:eastAsia="zh-CN"/>
        </w:rPr>
        <w:t>项目负责人负责过房地产项目样板间或展示区设计业绩，单个业绩项目体量设计费达1300元/㎡及以上的业绩</w:t>
      </w:r>
      <w:r>
        <w:rPr>
          <w:rFonts w:hint="eastAsia" w:ascii="宋体" w:hAnsi="宋体"/>
          <w:color w:val="auto"/>
          <w:highlight w:val="none"/>
        </w:rPr>
        <w:t>。</w:t>
      </w:r>
      <w:r>
        <w:rPr>
          <w:color w:val="auto"/>
          <w:highlight w:val="none"/>
        </w:rPr>
        <w:t>（提供相应的业绩证明材料：提供下述材料之一即可：</w:t>
      </w:r>
      <w:r>
        <w:rPr>
          <w:rFonts w:hint="eastAsia" w:ascii="宋体" w:hAnsi="宋体" w:cs="宋体"/>
          <w:color w:val="auto"/>
          <w:highlight w:val="none"/>
        </w:rPr>
        <w:t>①</w:t>
      </w:r>
      <w:r>
        <w:rPr>
          <w:color w:val="auto"/>
          <w:highlight w:val="none"/>
        </w:rPr>
        <w:t>合同文件；</w:t>
      </w:r>
      <w:r>
        <w:rPr>
          <w:rFonts w:hint="eastAsia" w:ascii="宋体" w:hAnsi="宋体" w:cs="宋体"/>
          <w:color w:val="auto"/>
          <w:highlight w:val="none"/>
          <w:lang w:bidi="ar"/>
        </w:rPr>
        <w:t>②中标通知书；③</w:t>
      </w:r>
      <w:r>
        <w:rPr>
          <w:rFonts w:hint="eastAsia"/>
          <w:color w:val="auto"/>
          <w:highlight w:val="none"/>
          <w:lang w:val="en-US" w:eastAsia="zh-CN"/>
        </w:rPr>
        <w:t>方案文本案例（含项目名称和效果图即可无需全套文本）</w:t>
      </w:r>
      <w:r>
        <w:rPr>
          <w:rFonts w:hint="eastAsia" w:ascii="宋体" w:hAnsi="宋体" w:cs="宋体"/>
          <w:color w:val="auto"/>
          <w:highlight w:val="none"/>
          <w:lang w:val="en-US" w:eastAsia="zh-CN"/>
        </w:rPr>
        <w:t>④</w:t>
      </w:r>
      <w:r>
        <w:rPr>
          <w:color w:val="auto"/>
          <w:highlight w:val="none"/>
        </w:rPr>
        <w:t>业主（采购方）开具的证明材料，但所提供的材料须能明确反映项目特征（</w:t>
      </w:r>
      <w:r>
        <w:rPr>
          <w:rFonts w:hint="eastAsia"/>
          <w:color w:val="auto"/>
          <w:highlight w:val="none"/>
        </w:rPr>
        <w:t>设计面积</w:t>
      </w:r>
      <w:r>
        <w:rPr>
          <w:color w:val="auto"/>
          <w:highlight w:val="none"/>
        </w:rPr>
        <w:t>及单方造价等），复印件加盖比选申请人公章，提供合同文件或甲方证明，提供复印件，原件备查）</w:t>
      </w:r>
      <w:r>
        <w:rPr>
          <w:rFonts w:hint="eastAsia" w:ascii="宋体" w:hAnsi="宋体"/>
          <w:color w:val="auto"/>
          <w:highlight w:val="none"/>
        </w:rPr>
        <w:t>。）</w:t>
      </w:r>
      <w:r>
        <w:rPr>
          <w:rFonts w:hint="eastAsia"/>
          <w:color w:val="auto"/>
          <w:highlight w:val="none"/>
        </w:rPr>
        <w:t>（格式见C5）。</w:t>
      </w:r>
    </w:p>
    <w:p w14:paraId="441A30E3">
      <w:pPr>
        <w:spacing w:before="0" w:after="0" w:afterAutospacing="0"/>
        <w:ind w:left="0" w:right="0" w:firstLine="315" w:firstLineChars="150"/>
        <w:rPr>
          <w:color w:val="auto"/>
          <w:highlight w:val="none"/>
        </w:rPr>
      </w:pPr>
      <w:r>
        <w:rPr>
          <w:rFonts w:hint="eastAsia"/>
          <w:color w:val="auto"/>
          <w:highlight w:val="none"/>
        </w:rPr>
        <w:t>（7）比选申请人认为应提交的其他比选申请资料（如有）。</w:t>
      </w:r>
      <w:bookmarkEnd w:id="1733"/>
      <w:bookmarkEnd w:id="1734"/>
      <w:bookmarkEnd w:id="1735"/>
      <w:bookmarkEnd w:id="1736"/>
      <w:bookmarkEnd w:id="1737"/>
      <w:bookmarkStart w:id="1738" w:name="_Toc25750684"/>
    </w:p>
    <w:p w14:paraId="3BD24FBA">
      <w:pPr>
        <w:pStyle w:val="7"/>
        <w:tabs>
          <w:tab w:val="left" w:pos="567"/>
          <w:tab w:val="left" w:pos="720"/>
        </w:tabs>
        <w:snapToGrid w:val="0"/>
        <w:spacing w:after="100" w:line="360" w:lineRule="auto"/>
        <w:ind w:right="-57" w:firstLine="0"/>
        <w:jc w:val="left"/>
        <w:rPr>
          <w:rFonts w:hint="eastAsia" w:ascii="宋体" w:hAnsi="宋体" w:eastAsia="宋体"/>
          <w:color w:val="auto"/>
          <w:sz w:val="21"/>
          <w:szCs w:val="21"/>
          <w:highlight w:val="none"/>
        </w:rPr>
      </w:pPr>
    </w:p>
    <w:p w14:paraId="0E49758E">
      <w:pPr>
        <w:pStyle w:val="7"/>
        <w:tabs>
          <w:tab w:val="left" w:pos="567"/>
          <w:tab w:val="left" w:pos="720"/>
        </w:tabs>
        <w:snapToGrid w:val="0"/>
        <w:spacing w:after="100" w:line="360" w:lineRule="auto"/>
        <w:ind w:right="-57" w:firstLine="0"/>
        <w:jc w:val="left"/>
        <w:rPr>
          <w:rFonts w:hint="eastAsia" w:ascii="宋体" w:hAnsi="宋体" w:eastAsia="宋体"/>
          <w:color w:val="auto"/>
          <w:sz w:val="21"/>
          <w:szCs w:val="21"/>
          <w:highlight w:val="none"/>
        </w:rPr>
      </w:pPr>
    </w:p>
    <w:p w14:paraId="332F7A0A">
      <w:pPr>
        <w:pStyle w:val="7"/>
        <w:tabs>
          <w:tab w:val="left" w:pos="567"/>
          <w:tab w:val="left" w:pos="720"/>
        </w:tabs>
        <w:snapToGrid w:val="0"/>
        <w:spacing w:after="100" w:line="360" w:lineRule="auto"/>
        <w:ind w:right="-57" w:firstLine="0"/>
        <w:jc w:val="left"/>
        <w:rPr>
          <w:rFonts w:hint="eastAsia" w:ascii="宋体" w:hAnsi="宋体" w:eastAsia="宋体"/>
          <w:color w:val="auto"/>
          <w:sz w:val="21"/>
          <w:szCs w:val="21"/>
          <w:highlight w:val="none"/>
        </w:rPr>
      </w:pPr>
    </w:p>
    <w:p w14:paraId="3F69A6FA">
      <w:pPr>
        <w:pStyle w:val="7"/>
        <w:tabs>
          <w:tab w:val="left" w:pos="567"/>
          <w:tab w:val="left" w:pos="720"/>
        </w:tabs>
        <w:snapToGrid w:val="0"/>
        <w:spacing w:after="100" w:line="360" w:lineRule="auto"/>
        <w:ind w:right="-57" w:firstLine="0"/>
        <w:jc w:val="left"/>
        <w:rPr>
          <w:rFonts w:hint="eastAsia" w:ascii="宋体" w:hAnsi="宋体" w:eastAsia="宋体"/>
          <w:color w:val="auto"/>
          <w:sz w:val="21"/>
          <w:szCs w:val="21"/>
          <w:highlight w:val="none"/>
        </w:rPr>
      </w:pPr>
    </w:p>
    <w:p w14:paraId="53379A63">
      <w:pPr>
        <w:pStyle w:val="7"/>
        <w:tabs>
          <w:tab w:val="left" w:pos="567"/>
          <w:tab w:val="left" w:pos="720"/>
        </w:tabs>
        <w:snapToGrid w:val="0"/>
        <w:spacing w:after="100" w:line="360" w:lineRule="auto"/>
        <w:ind w:right="-57" w:firstLine="0"/>
        <w:jc w:val="left"/>
        <w:rPr>
          <w:rFonts w:hint="eastAsia" w:ascii="宋体" w:hAnsi="宋体" w:eastAsia="宋体"/>
          <w:color w:val="auto"/>
          <w:sz w:val="21"/>
          <w:szCs w:val="21"/>
          <w:highlight w:val="none"/>
        </w:rPr>
      </w:pPr>
    </w:p>
    <w:p w14:paraId="172AB271">
      <w:pPr>
        <w:pStyle w:val="7"/>
        <w:tabs>
          <w:tab w:val="left" w:pos="567"/>
          <w:tab w:val="left" w:pos="720"/>
        </w:tabs>
        <w:snapToGrid w:val="0"/>
        <w:spacing w:after="100" w:line="360" w:lineRule="auto"/>
        <w:ind w:right="-57" w:firstLine="0"/>
        <w:jc w:val="left"/>
        <w:rPr>
          <w:rFonts w:hint="eastAsia" w:ascii="宋体" w:hAnsi="宋体" w:eastAsia="宋体"/>
          <w:color w:val="auto"/>
          <w:sz w:val="21"/>
          <w:szCs w:val="21"/>
          <w:highlight w:val="none"/>
        </w:rPr>
      </w:pPr>
    </w:p>
    <w:p w14:paraId="5C0C50CC">
      <w:pPr>
        <w:pStyle w:val="7"/>
        <w:tabs>
          <w:tab w:val="left" w:pos="567"/>
          <w:tab w:val="left" w:pos="720"/>
        </w:tabs>
        <w:snapToGrid w:val="0"/>
        <w:spacing w:after="100" w:line="360" w:lineRule="auto"/>
        <w:ind w:right="-57" w:firstLine="0"/>
        <w:jc w:val="left"/>
        <w:rPr>
          <w:rFonts w:hint="eastAsia" w:ascii="宋体" w:hAnsi="宋体" w:eastAsia="宋体"/>
          <w:color w:val="auto"/>
          <w:sz w:val="21"/>
          <w:szCs w:val="21"/>
          <w:highlight w:val="none"/>
        </w:rPr>
      </w:pPr>
    </w:p>
    <w:p w14:paraId="5F848157">
      <w:pPr>
        <w:pStyle w:val="14"/>
        <w:rPr>
          <w:rFonts w:hint="eastAsia" w:ascii="宋体" w:hAnsi="宋体"/>
          <w:color w:val="auto"/>
          <w:highlight w:val="none"/>
        </w:rPr>
      </w:pPr>
    </w:p>
    <w:p w14:paraId="7962E1A2">
      <w:pPr>
        <w:pStyle w:val="14"/>
        <w:rPr>
          <w:rFonts w:hint="eastAsia" w:ascii="宋体" w:hAnsi="宋体"/>
          <w:color w:val="auto"/>
          <w:highlight w:val="none"/>
        </w:rPr>
      </w:pPr>
    </w:p>
    <w:p w14:paraId="61770DCB">
      <w:pPr>
        <w:pStyle w:val="14"/>
        <w:rPr>
          <w:rFonts w:hint="eastAsia" w:ascii="宋体" w:hAnsi="宋体"/>
          <w:color w:val="auto"/>
          <w:highlight w:val="none"/>
        </w:rPr>
      </w:pPr>
    </w:p>
    <w:p w14:paraId="5D7697AE">
      <w:pPr>
        <w:pStyle w:val="2"/>
        <w:rPr>
          <w:rFonts w:hint="eastAsia"/>
          <w:color w:val="auto"/>
          <w:highlight w:val="none"/>
        </w:rPr>
      </w:pPr>
    </w:p>
    <w:p w14:paraId="2F590E06">
      <w:pPr>
        <w:pStyle w:val="14"/>
        <w:rPr>
          <w:rFonts w:hint="eastAsia" w:ascii="宋体" w:hAnsi="宋体"/>
          <w:color w:val="auto"/>
          <w:highlight w:val="none"/>
        </w:rPr>
      </w:pPr>
    </w:p>
    <w:p w14:paraId="067BB787">
      <w:pPr>
        <w:pStyle w:val="7"/>
        <w:tabs>
          <w:tab w:val="left" w:pos="567"/>
          <w:tab w:val="left" w:pos="720"/>
        </w:tabs>
        <w:snapToGrid w:val="0"/>
        <w:spacing w:after="100" w:line="360" w:lineRule="auto"/>
        <w:ind w:right="-57" w:firstLine="0"/>
        <w:jc w:val="left"/>
        <w:rPr>
          <w:rFonts w:hint="eastAsia" w:ascii="宋体" w:hAnsi="宋体" w:eastAsia="宋体"/>
          <w:color w:val="auto"/>
          <w:sz w:val="21"/>
          <w:szCs w:val="21"/>
          <w:highlight w:val="none"/>
        </w:rPr>
      </w:pPr>
      <w:bookmarkStart w:id="1739" w:name="_Toc114134671"/>
      <w:bookmarkStart w:id="1740" w:name="_Toc28454"/>
      <w:bookmarkStart w:id="1741" w:name="_Toc1420"/>
      <w:r>
        <w:rPr>
          <w:rFonts w:hint="eastAsia" w:ascii="宋体" w:hAnsi="宋体" w:eastAsia="宋体"/>
          <w:color w:val="auto"/>
          <w:sz w:val="21"/>
          <w:szCs w:val="21"/>
          <w:highlight w:val="none"/>
        </w:rPr>
        <w:t xml:space="preserve">C1 </w:t>
      </w:r>
      <w:r>
        <w:rPr>
          <w:rFonts w:ascii="宋体" w:hAnsi="宋体" w:eastAsia="宋体"/>
          <w:color w:val="auto"/>
          <w:sz w:val="21"/>
          <w:szCs w:val="21"/>
          <w:highlight w:val="none"/>
        </w:rPr>
        <w:t>技术响应表</w:t>
      </w:r>
      <w:r>
        <w:rPr>
          <w:rFonts w:hint="eastAsia" w:ascii="宋体" w:hAnsi="宋体" w:eastAsia="宋体"/>
          <w:color w:val="auto"/>
          <w:sz w:val="21"/>
          <w:szCs w:val="21"/>
          <w:highlight w:val="none"/>
        </w:rPr>
        <w:t>格式</w:t>
      </w:r>
      <w:bookmarkEnd w:id="1738"/>
      <w:bookmarkEnd w:id="1739"/>
      <w:bookmarkEnd w:id="1740"/>
      <w:bookmarkEnd w:id="1741"/>
    </w:p>
    <w:p w14:paraId="533C641F">
      <w:pPr>
        <w:spacing w:before="0"/>
        <w:ind w:right="-57" w:firstLine="0"/>
        <w:jc w:val="center"/>
        <w:rPr>
          <w:rFonts w:hint="eastAsia" w:ascii="宋体" w:hAnsi="宋体"/>
          <w:b/>
          <w:color w:val="auto"/>
          <w:sz w:val="28"/>
          <w:szCs w:val="28"/>
          <w:highlight w:val="none"/>
        </w:rPr>
      </w:pPr>
      <w:r>
        <w:rPr>
          <w:rFonts w:hint="eastAsia" w:ascii="宋体" w:hAnsi="宋体"/>
          <w:b/>
          <w:color w:val="auto"/>
          <w:highlight w:val="none"/>
        </w:rPr>
        <w:t>技术响应表</w:t>
      </w:r>
      <w:r>
        <w:rPr>
          <w:rFonts w:hint="eastAsia" w:ascii="宋体" w:hAnsi="宋体" w:cs="宋体"/>
          <w:color w:val="auto"/>
          <w:sz w:val="16"/>
          <w:szCs w:val="16"/>
          <w:highlight w:val="none"/>
        </w:rPr>
        <w:t>（不论有无偏离，均须逐项填写偏离情况）</w:t>
      </w:r>
    </w:p>
    <w:p w14:paraId="4ED9EE4D">
      <w:pPr>
        <w:spacing w:before="0" w:after="0" w:afterAutospacing="0"/>
        <w:ind w:right="0"/>
        <w:rPr>
          <w:rFonts w:hint="eastAsia" w:ascii="宋体" w:hAnsi="宋体"/>
          <w:color w:val="auto"/>
          <w:highlight w:val="none"/>
          <w:u w:val="single"/>
        </w:rPr>
      </w:pPr>
      <w:r>
        <w:rPr>
          <w:rFonts w:ascii="宋体" w:hAnsi="宋体"/>
          <w:color w:val="auto"/>
          <w:highlight w:val="none"/>
        </w:rPr>
        <w:t>比选申请人名称：</w:t>
      </w:r>
    </w:p>
    <w:tbl>
      <w:tblPr>
        <w:tblStyle w:val="36"/>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0"/>
        <w:gridCol w:w="1593"/>
        <w:gridCol w:w="1961"/>
        <w:gridCol w:w="2201"/>
        <w:gridCol w:w="1418"/>
        <w:gridCol w:w="1177"/>
      </w:tblGrid>
      <w:tr w14:paraId="21C07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jc w:val="center"/>
        </w:trPr>
        <w:tc>
          <w:tcPr>
            <w:tcW w:w="530" w:type="dxa"/>
            <w:tcBorders>
              <w:top w:val="single" w:color="auto" w:sz="4" w:space="0"/>
              <w:left w:val="single" w:color="auto" w:sz="4" w:space="0"/>
              <w:bottom w:val="single" w:color="auto" w:sz="4" w:space="0"/>
              <w:right w:val="single" w:color="auto" w:sz="4" w:space="0"/>
            </w:tcBorders>
            <w:vAlign w:val="center"/>
          </w:tcPr>
          <w:p w14:paraId="1997CF2D">
            <w:pPr>
              <w:widowControl w:val="0"/>
              <w:adjustRightInd w:val="0"/>
              <w:jc w:val="center"/>
              <w:rPr>
                <w:rFonts w:hint="eastAsia" w:ascii="宋体" w:hAnsi="宋体"/>
                <w:color w:val="auto"/>
                <w:highlight w:val="none"/>
              </w:rPr>
            </w:pPr>
            <w:r>
              <w:rPr>
                <w:rFonts w:hint="eastAsia" w:ascii="宋体" w:hAnsi="宋体"/>
                <w:color w:val="auto"/>
                <w:highlight w:val="none"/>
              </w:rPr>
              <w:t>序号</w:t>
            </w:r>
          </w:p>
        </w:tc>
        <w:tc>
          <w:tcPr>
            <w:tcW w:w="1593" w:type="dxa"/>
            <w:tcBorders>
              <w:top w:val="single" w:color="auto" w:sz="4" w:space="0"/>
              <w:left w:val="single" w:color="auto" w:sz="4" w:space="0"/>
              <w:bottom w:val="single" w:color="auto" w:sz="4" w:space="0"/>
              <w:right w:val="single" w:color="auto" w:sz="4" w:space="0"/>
            </w:tcBorders>
            <w:vAlign w:val="center"/>
          </w:tcPr>
          <w:p w14:paraId="6FF3A499">
            <w:pPr>
              <w:adjustRightInd w:val="0"/>
              <w:jc w:val="center"/>
              <w:rPr>
                <w:rFonts w:hint="eastAsia" w:ascii="宋体" w:hAnsi="宋体"/>
                <w:color w:val="auto"/>
                <w:highlight w:val="none"/>
              </w:rPr>
            </w:pPr>
            <w:r>
              <w:rPr>
                <w:rFonts w:hint="eastAsia" w:ascii="宋体" w:hAnsi="宋体"/>
                <w:color w:val="auto"/>
                <w:highlight w:val="none"/>
              </w:rPr>
              <w:t>比选文件条目号</w:t>
            </w:r>
          </w:p>
        </w:tc>
        <w:tc>
          <w:tcPr>
            <w:tcW w:w="1961" w:type="dxa"/>
            <w:tcBorders>
              <w:top w:val="single" w:color="auto" w:sz="4" w:space="0"/>
              <w:left w:val="single" w:color="auto" w:sz="4" w:space="0"/>
              <w:bottom w:val="single" w:color="auto" w:sz="4" w:space="0"/>
              <w:right w:val="single" w:color="auto" w:sz="4" w:space="0"/>
            </w:tcBorders>
            <w:vAlign w:val="center"/>
          </w:tcPr>
          <w:p w14:paraId="70FE64B6">
            <w:pPr>
              <w:widowControl w:val="0"/>
              <w:adjustRightInd w:val="0"/>
              <w:jc w:val="center"/>
              <w:rPr>
                <w:rFonts w:hint="eastAsia" w:ascii="宋体" w:hAnsi="宋体"/>
                <w:color w:val="auto"/>
                <w:highlight w:val="none"/>
              </w:rPr>
            </w:pPr>
            <w:r>
              <w:rPr>
                <w:rFonts w:hint="eastAsia" w:ascii="宋体" w:hAnsi="宋体"/>
                <w:color w:val="auto"/>
                <w:highlight w:val="none"/>
              </w:rPr>
              <w:t>比选文件要求</w:t>
            </w:r>
          </w:p>
        </w:tc>
        <w:tc>
          <w:tcPr>
            <w:tcW w:w="2201" w:type="dxa"/>
            <w:tcBorders>
              <w:top w:val="single" w:color="auto" w:sz="4" w:space="0"/>
              <w:left w:val="single" w:color="auto" w:sz="4" w:space="0"/>
              <w:bottom w:val="single" w:color="auto" w:sz="4" w:space="0"/>
              <w:right w:val="single" w:color="auto" w:sz="4" w:space="0"/>
            </w:tcBorders>
            <w:vAlign w:val="center"/>
          </w:tcPr>
          <w:p w14:paraId="6A6A7FF1">
            <w:pPr>
              <w:adjustRightInd w:val="0"/>
              <w:jc w:val="center"/>
              <w:rPr>
                <w:rFonts w:hint="eastAsia" w:ascii="宋体" w:hAnsi="宋体"/>
                <w:color w:val="auto"/>
                <w:highlight w:val="none"/>
              </w:rPr>
            </w:pPr>
            <w:r>
              <w:rPr>
                <w:rFonts w:hint="eastAsia" w:ascii="宋体" w:hAnsi="宋体"/>
                <w:color w:val="auto"/>
                <w:highlight w:val="none"/>
              </w:rPr>
              <w:t>比选申请文件响应</w:t>
            </w:r>
          </w:p>
        </w:tc>
        <w:tc>
          <w:tcPr>
            <w:tcW w:w="1418" w:type="dxa"/>
            <w:tcBorders>
              <w:top w:val="single" w:color="auto" w:sz="4" w:space="0"/>
              <w:left w:val="single" w:color="auto" w:sz="4" w:space="0"/>
              <w:bottom w:val="single" w:color="auto" w:sz="4" w:space="0"/>
              <w:right w:val="single" w:color="auto" w:sz="4" w:space="0"/>
            </w:tcBorders>
            <w:vAlign w:val="center"/>
          </w:tcPr>
          <w:p w14:paraId="12BB3B10">
            <w:pPr>
              <w:widowControl w:val="0"/>
              <w:adjustRightInd w:val="0"/>
              <w:jc w:val="center"/>
              <w:rPr>
                <w:rFonts w:hint="eastAsia" w:ascii="宋体" w:hAnsi="宋体"/>
                <w:color w:val="auto"/>
                <w:highlight w:val="none"/>
              </w:rPr>
            </w:pPr>
            <w:r>
              <w:rPr>
                <w:rFonts w:hint="eastAsia" w:ascii="宋体" w:hAnsi="宋体"/>
                <w:color w:val="auto"/>
                <w:highlight w:val="none"/>
              </w:rPr>
              <w:t>偏离</w:t>
            </w:r>
          </w:p>
        </w:tc>
        <w:tc>
          <w:tcPr>
            <w:tcW w:w="1177" w:type="dxa"/>
            <w:tcBorders>
              <w:top w:val="single" w:color="auto" w:sz="4" w:space="0"/>
              <w:left w:val="single" w:color="auto" w:sz="4" w:space="0"/>
              <w:bottom w:val="single" w:color="auto" w:sz="4" w:space="0"/>
              <w:right w:val="single" w:color="auto" w:sz="4" w:space="0"/>
            </w:tcBorders>
            <w:vAlign w:val="center"/>
          </w:tcPr>
          <w:p w14:paraId="33D5879D">
            <w:pPr>
              <w:widowControl w:val="0"/>
              <w:adjustRightInd w:val="0"/>
              <w:jc w:val="center"/>
              <w:rPr>
                <w:rFonts w:hint="eastAsia" w:ascii="宋体" w:hAnsi="宋体"/>
                <w:color w:val="auto"/>
                <w:highlight w:val="none"/>
              </w:rPr>
            </w:pPr>
            <w:r>
              <w:rPr>
                <w:rFonts w:hint="eastAsia" w:ascii="宋体" w:hAnsi="宋体"/>
                <w:color w:val="auto"/>
                <w:highlight w:val="none"/>
              </w:rPr>
              <w:t>说明</w:t>
            </w:r>
          </w:p>
        </w:tc>
      </w:tr>
      <w:tr w14:paraId="356AA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6ED777F5">
            <w:pPr>
              <w:widowControl w:val="0"/>
              <w:adjustRightInd w:val="0"/>
              <w:jc w:val="center"/>
              <w:rPr>
                <w:rFonts w:cs="Arial"/>
                <w:color w:val="auto"/>
                <w:kern w:val="2"/>
                <w:highlight w:val="none"/>
                <w:u w:val="single"/>
              </w:rPr>
            </w:pPr>
            <w:r>
              <w:rPr>
                <w:rFonts w:hint="eastAsia" w:cs="Arial"/>
                <w:color w:val="auto"/>
                <w:kern w:val="2"/>
                <w:highlight w:val="none"/>
                <w:u w:val="single"/>
              </w:rPr>
              <w:t>1</w:t>
            </w:r>
          </w:p>
        </w:tc>
        <w:tc>
          <w:tcPr>
            <w:tcW w:w="1593" w:type="dxa"/>
            <w:tcBorders>
              <w:top w:val="single" w:color="auto" w:sz="4" w:space="0"/>
              <w:left w:val="single" w:color="auto" w:sz="4" w:space="0"/>
              <w:bottom w:val="single" w:color="auto" w:sz="4" w:space="0"/>
              <w:right w:val="single" w:color="auto" w:sz="4" w:space="0"/>
            </w:tcBorders>
            <w:vAlign w:val="center"/>
          </w:tcPr>
          <w:p w14:paraId="5B21E338">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第一章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3E16C6DE">
            <w:pPr>
              <w:widowControl w:val="0"/>
              <w:adjustRightInd w:val="0"/>
              <w:jc w:val="center"/>
              <w:rPr>
                <w:rFonts w:cs="Arial"/>
                <w:color w:val="auto"/>
                <w:kern w:val="2"/>
                <w:highlight w:val="none"/>
                <w:u w:val="single"/>
              </w:rPr>
            </w:pPr>
            <w:r>
              <w:rPr>
                <w:rFonts w:hint="eastAsia" w:ascii="宋体" w:hAnsi="宋体"/>
                <w:color w:val="auto"/>
                <w:highlight w:val="none"/>
              </w:rPr>
              <w:t>比选公告</w:t>
            </w:r>
          </w:p>
        </w:tc>
        <w:tc>
          <w:tcPr>
            <w:tcW w:w="2201" w:type="dxa"/>
            <w:tcBorders>
              <w:top w:val="single" w:color="auto" w:sz="4" w:space="0"/>
              <w:left w:val="single" w:color="auto" w:sz="4" w:space="0"/>
              <w:bottom w:val="single" w:color="auto" w:sz="4" w:space="0"/>
              <w:right w:val="single" w:color="auto" w:sz="4" w:space="0"/>
            </w:tcBorders>
            <w:vAlign w:val="center"/>
          </w:tcPr>
          <w:p w14:paraId="0AD7FF3B">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1B671FFA">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5E426D5F">
            <w:pPr>
              <w:widowControl w:val="0"/>
              <w:adjustRightInd w:val="0"/>
              <w:jc w:val="center"/>
              <w:rPr>
                <w:rFonts w:cs="Arial"/>
                <w:color w:val="auto"/>
                <w:kern w:val="2"/>
                <w:highlight w:val="none"/>
                <w:u w:val="single"/>
              </w:rPr>
            </w:pPr>
          </w:p>
        </w:tc>
      </w:tr>
      <w:tr w14:paraId="0DD28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58A7E36F">
            <w:pPr>
              <w:widowControl w:val="0"/>
              <w:adjustRightInd w:val="0"/>
              <w:jc w:val="center"/>
              <w:rPr>
                <w:rFonts w:cs="Arial"/>
                <w:color w:val="auto"/>
                <w:kern w:val="2"/>
                <w:highlight w:val="none"/>
                <w:u w:val="single"/>
              </w:rPr>
            </w:pPr>
            <w:r>
              <w:rPr>
                <w:rFonts w:hint="eastAsia" w:cs="Arial"/>
                <w:color w:val="auto"/>
                <w:kern w:val="2"/>
                <w:highlight w:val="none"/>
                <w:u w:val="single"/>
              </w:rPr>
              <w:t>2</w:t>
            </w:r>
          </w:p>
        </w:tc>
        <w:tc>
          <w:tcPr>
            <w:tcW w:w="1593" w:type="dxa"/>
            <w:tcBorders>
              <w:top w:val="single" w:color="auto" w:sz="4" w:space="0"/>
              <w:left w:val="single" w:color="auto" w:sz="4" w:space="0"/>
              <w:bottom w:val="single" w:color="auto" w:sz="4" w:space="0"/>
              <w:right w:val="single" w:color="auto" w:sz="4" w:space="0"/>
            </w:tcBorders>
            <w:vAlign w:val="center"/>
          </w:tcPr>
          <w:p w14:paraId="3BCD0E4A">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第二章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44A9F51D">
            <w:pPr>
              <w:widowControl w:val="0"/>
              <w:adjustRightInd w:val="0"/>
              <w:jc w:val="center"/>
              <w:rPr>
                <w:rFonts w:cs="Arial"/>
                <w:color w:val="auto"/>
                <w:kern w:val="2"/>
                <w:highlight w:val="none"/>
                <w:u w:val="single"/>
              </w:rPr>
            </w:pPr>
            <w:r>
              <w:rPr>
                <w:rFonts w:hint="eastAsia" w:ascii="宋体" w:hAnsi="宋体"/>
                <w:color w:val="auto"/>
                <w:highlight w:val="none"/>
              </w:rPr>
              <w:t>比选申请须知</w:t>
            </w:r>
          </w:p>
        </w:tc>
        <w:tc>
          <w:tcPr>
            <w:tcW w:w="2201" w:type="dxa"/>
            <w:tcBorders>
              <w:top w:val="single" w:color="auto" w:sz="4" w:space="0"/>
              <w:left w:val="single" w:color="auto" w:sz="4" w:space="0"/>
              <w:bottom w:val="single" w:color="auto" w:sz="4" w:space="0"/>
              <w:right w:val="single" w:color="auto" w:sz="4" w:space="0"/>
            </w:tcBorders>
            <w:vAlign w:val="center"/>
          </w:tcPr>
          <w:p w14:paraId="472D3745">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2CAE34D3">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322D4591">
            <w:pPr>
              <w:widowControl w:val="0"/>
              <w:adjustRightInd w:val="0"/>
              <w:jc w:val="center"/>
              <w:rPr>
                <w:rFonts w:cs="Arial"/>
                <w:color w:val="auto"/>
                <w:kern w:val="2"/>
                <w:highlight w:val="none"/>
                <w:u w:val="single"/>
              </w:rPr>
            </w:pPr>
          </w:p>
        </w:tc>
      </w:tr>
      <w:tr w14:paraId="10ABE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60929F42">
            <w:pPr>
              <w:widowControl w:val="0"/>
              <w:adjustRightInd w:val="0"/>
              <w:jc w:val="center"/>
              <w:rPr>
                <w:rFonts w:cs="Arial"/>
                <w:color w:val="auto"/>
                <w:kern w:val="2"/>
                <w:highlight w:val="none"/>
                <w:u w:val="single"/>
              </w:rPr>
            </w:pPr>
            <w:r>
              <w:rPr>
                <w:rFonts w:hint="eastAsia" w:cs="Arial"/>
                <w:color w:val="auto"/>
                <w:kern w:val="2"/>
                <w:highlight w:val="none"/>
                <w:u w:val="single"/>
              </w:rPr>
              <w:t>3</w:t>
            </w:r>
          </w:p>
        </w:tc>
        <w:tc>
          <w:tcPr>
            <w:tcW w:w="1593" w:type="dxa"/>
            <w:tcBorders>
              <w:top w:val="single" w:color="auto" w:sz="4" w:space="0"/>
              <w:left w:val="single" w:color="auto" w:sz="4" w:space="0"/>
              <w:bottom w:val="single" w:color="auto" w:sz="4" w:space="0"/>
              <w:right w:val="single" w:color="auto" w:sz="4" w:space="0"/>
            </w:tcBorders>
            <w:vAlign w:val="center"/>
          </w:tcPr>
          <w:p w14:paraId="73F49C03">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第三章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0A1214A8">
            <w:pPr>
              <w:widowControl w:val="0"/>
              <w:adjustRightInd w:val="0"/>
              <w:jc w:val="center"/>
              <w:rPr>
                <w:rFonts w:cs="Arial"/>
                <w:color w:val="auto"/>
                <w:kern w:val="2"/>
                <w:highlight w:val="none"/>
                <w:u w:val="single"/>
              </w:rPr>
            </w:pPr>
            <w:r>
              <w:rPr>
                <w:rFonts w:hint="eastAsia" w:ascii="宋体" w:hAnsi="宋体"/>
                <w:color w:val="auto"/>
                <w:highlight w:val="none"/>
              </w:rPr>
              <w:t>合同条款及格式</w:t>
            </w:r>
          </w:p>
        </w:tc>
        <w:tc>
          <w:tcPr>
            <w:tcW w:w="2201" w:type="dxa"/>
            <w:tcBorders>
              <w:top w:val="single" w:color="auto" w:sz="4" w:space="0"/>
              <w:left w:val="single" w:color="auto" w:sz="4" w:space="0"/>
              <w:bottom w:val="single" w:color="auto" w:sz="4" w:space="0"/>
              <w:right w:val="single" w:color="auto" w:sz="4" w:space="0"/>
            </w:tcBorders>
            <w:vAlign w:val="center"/>
          </w:tcPr>
          <w:p w14:paraId="72AF245B">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4412A128">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19BD5D2A">
            <w:pPr>
              <w:widowControl w:val="0"/>
              <w:adjustRightInd w:val="0"/>
              <w:jc w:val="center"/>
              <w:rPr>
                <w:rFonts w:cs="Arial"/>
                <w:color w:val="auto"/>
                <w:kern w:val="2"/>
                <w:highlight w:val="none"/>
                <w:u w:val="single"/>
              </w:rPr>
            </w:pPr>
          </w:p>
        </w:tc>
      </w:tr>
      <w:tr w14:paraId="72E9F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2CFFBC18">
            <w:pPr>
              <w:widowControl w:val="0"/>
              <w:adjustRightInd w:val="0"/>
              <w:jc w:val="center"/>
              <w:rPr>
                <w:rFonts w:cs="Arial"/>
                <w:color w:val="auto"/>
                <w:kern w:val="2"/>
                <w:highlight w:val="none"/>
                <w:u w:val="single"/>
              </w:rPr>
            </w:pPr>
            <w:r>
              <w:rPr>
                <w:rFonts w:hint="eastAsia" w:cs="Arial"/>
                <w:color w:val="auto"/>
                <w:kern w:val="2"/>
                <w:highlight w:val="none"/>
                <w:u w:val="single"/>
              </w:rPr>
              <w:t>4</w:t>
            </w:r>
          </w:p>
        </w:tc>
        <w:tc>
          <w:tcPr>
            <w:tcW w:w="1593" w:type="dxa"/>
            <w:tcBorders>
              <w:top w:val="single" w:color="auto" w:sz="4" w:space="0"/>
              <w:left w:val="single" w:color="auto" w:sz="4" w:space="0"/>
              <w:bottom w:val="single" w:color="auto" w:sz="4" w:space="0"/>
              <w:right w:val="single" w:color="auto" w:sz="4" w:space="0"/>
            </w:tcBorders>
            <w:vAlign w:val="center"/>
          </w:tcPr>
          <w:p w14:paraId="69DFB38B">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第四章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45F7B8A2">
            <w:pPr>
              <w:widowControl w:val="0"/>
              <w:adjustRightInd w:val="0"/>
              <w:jc w:val="center"/>
              <w:rPr>
                <w:rFonts w:cs="Arial"/>
                <w:color w:val="auto"/>
                <w:kern w:val="2"/>
                <w:highlight w:val="none"/>
                <w:u w:val="single"/>
              </w:rPr>
            </w:pPr>
            <w:r>
              <w:rPr>
                <w:rFonts w:hint="eastAsia" w:ascii="宋体" w:hAnsi="宋体"/>
                <w:color w:val="auto"/>
                <w:highlight w:val="none"/>
              </w:rPr>
              <w:t>比选申请文件格式</w:t>
            </w:r>
          </w:p>
        </w:tc>
        <w:tc>
          <w:tcPr>
            <w:tcW w:w="2201" w:type="dxa"/>
            <w:tcBorders>
              <w:top w:val="single" w:color="auto" w:sz="4" w:space="0"/>
              <w:left w:val="single" w:color="auto" w:sz="4" w:space="0"/>
              <w:bottom w:val="single" w:color="auto" w:sz="4" w:space="0"/>
              <w:right w:val="single" w:color="auto" w:sz="4" w:space="0"/>
            </w:tcBorders>
            <w:vAlign w:val="center"/>
          </w:tcPr>
          <w:p w14:paraId="4B72F039">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13769E97">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48AEBF34">
            <w:pPr>
              <w:widowControl w:val="0"/>
              <w:adjustRightInd w:val="0"/>
              <w:jc w:val="center"/>
              <w:rPr>
                <w:rFonts w:cs="Arial"/>
                <w:color w:val="auto"/>
                <w:kern w:val="2"/>
                <w:highlight w:val="none"/>
                <w:u w:val="single"/>
              </w:rPr>
            </w:pPr>
          </w:p>
        </w:tc>
      </w:tr>
      <w:tr w14:paraId="64158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14E17D82">
            <w:pPr>
              <w:widowControl w:val="0"/>
              <w:adjustRightInd w:val="0"/>
              <w:jc w:val="center"/>
              <w:rPr>
                <w:rFonts w:cs="Arial"/>
                <w:color w:val="auto"/>
                <w:kern w:val="2"/>
                <w:highlight w:val="none"/>
                <w:u w:val="single"/>
              </w:rPr>
            </w:pPr>
            <w:r>
              <w:rPr>
                <w:rFonts w:hint="eastAsia" w:cs="Arial"/>
                <w:color w:val="auto"/>
                <w:kern w:val="2"/>
                <w:highlight w:val="none"/>
                <w:u w:val="single"/>
              </w:rPr>
              <w:t>5</w:t>
            </w:r>
          </w:p>
        </w:tc>
        <w:tc>
          <w:tcPr>
            <w:tcW w:w="1593" w:type="dxa"/>
            <w:tcBorders>
              <w:top w:val="single" w:color="auto" w:sz="4" w:space="0"/>
              <w:left w:val="single" w:color="auto" w:sz="4" w:space="0"/>
              <w:bottom w:val="single" w:color="auto" w:sz="4" w:space="0"/>
              <w:right w:val="single" w:color="auto" w:sz="4" w:space="0"/>
            </w:tcBorders>
            <w:vAlign w:val="center"/>
          </w:tcPr>
          <w:p w14:paraId="2998A497">
            <w:pPr>
              <w:widowControl w:val="0"/>
              <w:adjustRightInd w:val="0"/>
              <w:jc w:val="center"/>
              <w:rPr>
                <w:color w:val="auto"/>
                <w:highlight w:val="none"/>
              </w:rPr>
            </w:pPr>
            <w:r>
              <w:rPr>
                <w:rFonts w:hint="eastAsia"/>
                <w:color w:val="auto"/>
                <w:highlight w:val="none"/>
              </w:rPr>
              <w:t>第五章</w:t>
            </w:r>
          </w:p>
        </w:tc>
        <w:tc>
          <w:tcPr>
            <w:tcW w:w="1961" w:type="dxa"/>
            <w:tcBorders>
              <w:top w:val="single" w:color="auto" w:sz="4" w:space="0"/>
              <w:left w:val="single" w:color="auto" w:sz="4" w:space="0"/>
              <w:bottom w:val="single" w:color="auto" w:sz="4" w:space="0"/>
              <w:right w:val="single" w:color="auto" w:sz="4" w:space="0"/>
            </w:tcBorders>
            <w:vAlign w:val="center"/>
          </w:tcPr>
          <w:p w14:paraId="5FEF0FD1">
            <w:pPr>
              <w:widowControl w:val="0"/>
              <w:adjustRightInd w:val="0"/>
              <w:jc w:val="center"/>
              <w:rPr>
                <w:rFonts w:hint="eastAsia" w:ascii="宋体" w:hAnsi="宋体"/>
                <w:color w:val="auto"/>
                <w:highlight w:val="none"/>
              </w:rPr>
            </w:pPr>
            <w:r>
              <w:rPr>
                <w:rFonts w:hint="eastAsia" w:ascii="宋体" w:hAnsi="宋体"/>
                <w:color w:val="auto"/>
                <w:highlight w:val="none"/>
              </w:rPr>
              <w:t>比选人需求</w:t>
            </w:r>
          </w:p>
        </w:tc>
        <w:tc>
          <w:tcPr>
            <w:tcW w:w="2201" w:type="dxa"/>
            <w:tcBorders>
              <w:top w:val="single" w:color="auto" w:sz="4" w:space="0"/>
              <w:left w:val="single" w:color="auto" w:sz="4" w:space="0"/>
              <w:bottom w:val="single" w:color="auto" w:sz="4" w:space="0"/>
              <w:right w:val="single" w:color="auto" w:sz="4" w:space="0"/>
            </w:tcBorders>
            <w:vAlign w:val="center"/>
          </w:tcPr>
          <w:p w14:paraId="713EB265">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0D4EB4FF">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1F82481F">
            <w:pPr>
              <w:widowControl w:val="0"/>
              <w:adjustRightInd w:val="0"/>
              <w:jc w:val="center"/>
              <w:rPr>
                <w:rFonts w:cs="Arial"/>
                <w:color w:val="auto"/>
                <w:kern w:val="2"/>
                <w:highlight w:val="none"/>
                <w:u w:val="single"/>
              </w:rPr>
            </w:pPr>
          </w:p>
        </w:tc>
      </w:tr>
      <w:tr w14:paraId="76CD5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83" w:hRule="atLeast"/>
          <w:jc w:val="center"/>
        </w:trPr>
        <w:tc>
          <w:tcPr>
            <w:tcW w:w="8880" w:type="dxa"/>
            <w:gridSpan w:val="6"/>
            <w:tcBorders>
              <w:top w:val="single" w:color="auto" w:sz="4" w:space="0"/>
              <w:left w:val="single" w:color="auto" w:sz="4" w:space="0"/>
              <w:bottom w:val="single" w:color="auto" w:sz="4" w:space="0"/>
              <w:right w:val="single" w:color="auto" w:sz="4" w:space="0"/>
            </w:tcBorders>
            <w:vAlign w:val="center"/>
          </w:tcPr>
          <w:p w14:paraId="29713364">
            <w:pPr>
              <w:widowControl w:val="0"/>
              <w:rPr>
                <w:rFonts w:cs="Arial"/>
                <w:color w:val="auto"/>
                <w:kern w:val="2"/>
                <w:highlight w:val="none"/>
              </w:rPr>
            </w:pPr>
            <w:r>
              <w:rPr>
                <w:rFonts w:hint="eastAsia" w:cs="Arial"/>
                <w:color w:val="auto"/>
                <w:highlight w:val="none"/>
              </w:rPr>
              <w:t>我公司确认：除了表中所列的条款外，我公司的比选申请函将依从比选文件对于技术的全部要求和规定。</w:t>
            </w:r>
          </w:p>
        </w:tc>
      </w:tr>
    </w:tbl>
    <w:p w14:paraId="3F0071DB">
      <w:pPr>
        <w:snapToGrid w:val="0"/>
        <w:spacing w:after="50" w:line="280" w:lineRule="exact"/>
        <w:ind w:left="955" w:leftChars="455" w:right="-817" w:firstLine="2832" w:firstLineChars="1349"/>
        <w:rPr>
          <w:rFonts w:hint="eastAsia" w:ascii="宋体" w:hAnsi="宋体"/>
          <w:color w:val="auto"/>
          <w:highlight w:val="none"/>
        </w:rPr>
      </w:pPr>
    </w:p>
    <w:p w14:paraId="0F1CA96A">
      <w:pPr>
        <w:snapToGrid w:val="0"/>
        <w:spacing w:after="50" w:line="280" w:lineRule="exact"/>
        <w:ind w:left="955" w:leftChars="455" w:right="-817" w:firstLine="2832" w:firstLineChars="1349"/>
        <w:rPr>
          <w:rFonts w:hint="eastAsia" w:ascii="宋体" w:hAnsi="宋体"/>
          <w:color w:val="auto"/>
          <w:highlight w:val="none"/>
          <w:u w:val="single"/>
        </w:rPr>
      </w:pPr>
      <w:r>
        <w:rPr>
          <w:rFonts w:hint="eastAsia" w:ascii="宋体" w:hAnsi="宋体"/>
          <w:color w:val="auto"/>
          <w:highlight w:val="none"/>
        </w:rPr>
        <w:t>比选申请人名称（盖章）：</w:t>
      </w:r>
    </w:p>
    <w:p w14:paraId="599C0C97">
      <w:pPr>
        <w:snapToGrid w:val="0"/>
        <w:spacing w:after="50" w:line="280" w:lineRule="exact"/>
        <w:ind w:left="707" w:right="-817" w:firstLine="0"/>
        <w:jc w:val="center"/>
        <w:rPr>
          <w:rFonts w:hint="eastAsia" w:ascii="宋体" w:hAnsi="宋体"/>
          <w:color w:val="auto"/>
          <w:highlight w:val="none"/>
          <w:u w:val="single"/>
        </w:rPr>
      </w:pPr>
      <w:r>
        <w:rPr>
          <w:rFonts w:hint="eastAsia" w:ascii="宋体" w:hAnsi="宋体"/>
          <w:color w:val="auto"/>
          <w:highlight w:val="none"/>
        </w:rPr>
        <w:t xml:space="preserve"> 法定代表人或被授权人（签字）：</w:t>
      </w:r>
    </w:p>
    <w:p w14:paraId="529BE8D4">
      <w:pPr>
        <w:spacing w:before="0"/>
        <w:ind w:right="-57" w:firstLine="0"/>
        <w:jc w:val="center"/>
        <w:rPr>
          <w:rFonts w:hint="eastAsia" w:ascii="宋体" w:hAnsi="宋体"/>
          <w:color w:val="auto"/>
          <w:highlight w:val="none"/>
        </w:rPr>
      </w:pPr>
      <w:r>
        <w:rPr>
          <w:rFonts w:hint="eastAsia" w:ascii="宋体" w:hAnsi="宋体"/>
          <w:color w:val="auto"/>
          <w:highlight w:val="none"/>
        </w:rPr>
        <w:t>日  期：  年  月  日</w:t>
      </w:r>
    </w:p>
    <w:p w14:paraId="423FDD0A">
      <w:pPr>
        <w:spacing w:before="0"/>
        <w:ind w:right="-57" w:firstLine="0"/>
        <w:rPr>
          <w:rFonts w:hint="eastAsia" w:ascii="宋体" w:hAnsi="宋体"/>
          <w:color w:val="auto"/>
          <w:highlight w:val="none"/>
        </w:rPr>
      </w:pPr>
    </w:p>
    <w:p w14:paraId="270FA22D">
      <w:pPr>
        <w:spacing w:before="0" w:after="0" w:afterAutospacing="0"/>
        <w:ind w:left="607" w:right="0" w:hanging="607" w:hangingChars="336"/>
        <w:rPr>
          <w:rFonts w:hint="eastAsia" w:ascii="宋体" w:hAnsi="宋体"/>
          <w:b/>
          <w:color w:val="auto"/>
          <w:sz w:val="18"/>
          <w:szCs w:val="18"/>
          <w:highlight w:val="none"/>
        </w:rPr>
      </w:pPr>
      <w:r>
        <w:rPr>
          <w:rFonts w:ascii="宋体" w:hAnsi="宋体"/>
          <w:b/>
          <w:color w:val="auto"/>
          <w:sz w:val="18"/>
          <w:szCs w:val="18"/>
          <w:highlight w:val="none"/>
        </w:rPr>
        <w:t>说明：</w:t>
      </w:r>
    </w:p>
    <w:p w14:paraId="1DCD4E26">
      <w:pPr>
        <w:pStyle w:val="49"/>
        <w:tabs>
          <w:tab w:val="left" w:pos="720"/>
        </w:tabs>
        <w:spacing w:before="0" w:after="0" w:afterAutospacing="0"/>
        <w:ind w:left="0" w:right="0" w:firstLine="360" w:firstLineChars="200"/>
        <w:rPr>
          <w:rFonts w:hint="eastAsia" w:ascii="宋体" w:hAnsi="宋体"/>
          <w:color w:val="auto"/>
          <w:sz w:val="18"/>
          <w:szCs w:val="18"/>
          <w:highlight w:val="none"/>
        </w:rPr>
      </w:pPr>
      <w:r>
        <w:rPr>
          <w:rFonts w:hint="eastAsia" w:ascii="宋体" w:hAnsi="宋体"/>
          <w:color w:val="auto"/>
          <w:sz w:val="18"/>
          <w:szCs w:val="18"/>
          <w:highlight w:val="none"/>
        </w:rPr>
        <w:t>1.对完全响应的条目在本表“偏离情况”列中选注“完全响应”。对有偏离的条目在本表“偏离情况”列中选注“正偏离”或“负偏离”，并对“正偏离”或“负偏离”加以说明。</w:t>
      </w:r>
    </w:p>
    <w:p w14:paraId="683BCB50">
      <w:pPr>
        <w:tabs>
          <w:tab w:val="left" w:pos="720"/>
        </w:tabs>
        <w:spacing w:before="0" w:after="0" w:afterAutospacing="0"/>
        <w:ind w:left="0" w:right="0" w:firstLine="360" w:firstLineChars="200"/>
        <w:rPr>
          <w:rFonts w:hint="eastAsia" w:ascii="宋体" w:hAnsi="宋体"/>
          <w:color w:val="auto"/>
          <w:sz w:val="18"/>
          <w:szCs w:val="18"/>
          <w:highlight w:val="none"/>
        </w:rPr>
      </w:pPr>
      <w:r>
        <w:rPr>
          <w:rFonts w:hint="eastAsia" w:ascii="宋体" w:hAnsi="宋体"/>
          <w:color w:val="auto"/>
          <w:sz w:val="18"/>
          <w:szCs w:val="18"/>
          <w:highlight w:val="none"/>
        </w:rPr>
        <w:t>2.</w:t>
      </w:r>
      <w:r>
        <w:rPr>
          <w:rFonts w:ascii="宋体" w:hAnsi="宋体"/>
          <w:color w:val="auto"/>
          <w:sz w:val="18"/>
          <w:szCs w:val="18"/>
          <w:highlight w:val="none"/>
        </w:rPr>
        <w:t>正偏离是指应答的条件高于比选文件要求，负偏离是指应答的条件低于比选文件要求。</w:t>
      </w:r>
    </w:p>
    <w:p w14:paraId="58F3AF27">
      <w:pPr>
        <w:tabs>
          <w:tab w:val="left" w:pos="720"/>
        </w:tabs>
        <w:spacing w:before="0" w:after="0" w:afterAutospacing="0"/>
        <w:ind w:left="0" w:right="0" w:firstLine="360" w:firstLineChars="200"/>
        <w:rPr>
          <w:rFonts w:hint="eastAsia" w:ascii="宋体" w:hAnsi="宋体"/>
          <w:color w:val="auto"/>
          <w:sz w:val="18"/>
          <w:szCs w:val="18"/>
          <w:highlight w:val="none"/>
        </w:rPr>
      </w:pPr>
      <w:r>
        <w:rPr>
          <w:rFonts w:hint="eastAsia" w:ascii="宋体" w:hAnsi="宋体"/>
          <w:color w:val="auto"/>
          <w:sz w:val="18"/>
          <w:szCs w:val="18"/>
          <w:highlight w:val="none"/>
        </w:rPr>
        <w:t>3.</w:t>
      </w:r>
      <w:r>
        <w:rPr>
          <w:rFonts w:ascii="宋体" w:hAnsi="宋体"/>
          <w:color w:val="auto"/>
          <w:sz w:val="18"/>
          <w:szCs w:val="18"/>
          <w:highlight w:val="none"/>
        </w:rPr>
        <w:t>在比选人与中选人签订合同期间，中选人未在比选申请文件“响应表”中列出偏离说明，即使其在比选申请文件的其他部分说明与比选文件要求有所不同或回避不答，亦均视为完全符合比选文件中所要求的最佳值并写入合同。若中选人在定标后及合同签订前，以上述事项为借口而不履行合同签订手续及执行合同，则视作放弃中选资格</w:t>
      </w:r>
      <w:r>
        <w:rPr>
          <w:rFonts w:hint="eastAsia" w:ascii="宋体" w:hAnsi="宋体"/>
          <w:color w:val="auto"/>
          <w:sz w:val="18"/>
          <w:szCs w:val="18"/>
          <w:highlight w:val="none"/>
        </w:rPr>
        <w:t xml:space="preserve">。     </w:t>
      </w:r>
    </w:p>
    <w:p w14:paraId="17934503">
      <w:pPr>
        <w:spacing w:before="0"/>
        <w:ind w:left="105" w:leftChars="50" w:right="-57" w:firstLine="271" w:firstLineChars="150"/>
        <w:rPr>
          <w:rFonts w:hint="eastAsia" w:ascii="宋体" w:hAnsi="宋体"/>
          <w:b/>
          <w:color w:val="auto"/>
          <w:sz w:val="18"/>
          <w:szCs w:val="18"/>
          <w:highlight w:val="none"/>
        </w:rPr>
      </w:pPr>
      <w:r>
        <w:rPr>
          <w:rFonts w:hint="eastAsia" w:ascii="宋体" w:hAnsi="宋体"/>
          <w:b/>
          <w:color w:val="auto"/>
          <w:sz w:val="18"/>
          <w:szCs w:val="18"/>
          <w:highlight w:val="none"/>
        </w:rPr>
        <w:t>6.如有任意一项负偏离，比选申请人将不能通过符合性评审。</w:t>
      </w:r>
    </w:p>
    <w:p w14:paraId="07CB2F67">
      <w:pPr>
        <w:pStyle w:val="7"/>
        <w:tabs>
          <w:tab w:val="left" w:pos="567"/>
          <w:tab w:val="left" w:pos="720"/>
        </w:tabs>
        <w:snapToGrid w:val="0"/>
        <w:spacing w:after="100" w:line="360" w:lineRule="auto"/>
        <w:ind w:right="-57" w:firstLine="0"/>
        <w:jc w:val="left"/>
        <w:rPr>
          <w:rFonts w:hint="eastAsia" w:ascii="宋体" w:hAnsi="宋体" w:eastAsia="宋体"/>
          <w:color w:val="auto"/>
          <w:sz w:val="18"/>
          <w:szCs w:val="18"/>
          <w:highlight w:val="none"/>
        </w:rPr>
        <w:sectPr>
          <w:pgSz w:w="11905" w:h="16838"/>
          <w:pgMar w:top="1418" w:right="1418" w:bottom="1304" w:left="1418" w:header="454" w:footer="567" w:gutter="0"/>
          <w:pgBorders>
            <w:top w:val="none" w:sz="0" w:space="0"/>
            <w:left w:val="none" w:sz="0" w:space="0"/>
            <w:bottom w:val="none" w:sz="0" w:space="0"/>
            <w:right w:val="none" w:sz="0" w:space="0"/>
          </w:pgBorders>
          <w:cols w:space="720" w:num="1"/>
          <w:docGrid w:linePitch="312" w:charSpace="0"/>
        </w:sectPr>
      </w:pPr>
      <w:bookmarkStart w:id="1742" w:name="_Toc25750685"/>
    </w:p>
    <w:bookmarkEnd w:id="1742"/>
    <w:p w14:paraId="18E63572">
      <w:pPr>
        <w:pStyle w:val="7"/>
        <w:tabs>
          <w:tab w:val="left" w:pos="567"/>
          <w:tab w:val="left" w:pos="720"/>
        </w:tabs>
        <w:snapToGrid w:val="0"/>
        <w:spacing w:before="120" w:after="0" w:line="360" w:lineRule="auto"/>
        <w:ind w:right="-57" w:firstLine="0"/>
        <w:jc w:val="left"/>
        <w:rPr>
          <w:rFonts w:hint="eastAsia" w:ascii="宋体" w:hAnsi="宋体" w:eastAsia="宋体"/>
          <w:color w:val="auto"/>
          <w:sz w:val="21"/>
          <w:szCs w:val="21"/>
          <w:highlight w:val="none"/>
        </w:rPr>
      </w:pPr>
      <w:bookmarkStart w:id="1743" w:name="_Toc31626"/>
      <w:bookmarkStart w:id="1744" w:name="_Toc114134672"/>
      <w:bookmarkStart w:id="1745" w:name="_Toc25750687"/>
      <w:bookmarkStart w:id="1746" w:name="_Toc9326"/>
      <w:r>
        <w:rPr>
          <w:rFonts w:hint="eastAsia" w:ascii="宋体" w:hAnsi="宋体" w:eastAsia="宋体"/>
          <w:color w:val="auto"/>
          <w:sz w:val="21"/>
          <w:szCs w:val="21"/>
          <w:highlight w:val="none"/>
        </w:rPr>
        <w:t>C2商务响应表</w:t>
      </w:r>
      <w:r>
        <w:rPr>
          <w:rFonts w:ascii="宋体" w:hAnsi="宋体" w:eastAsia="宋体"/>
          <w:color w:val="auto"/>
          <w:sz w:val="21"/>
          <w:szCs w:val="21"/>
          <w:highlight w:val="none"/>
        </w:rPr>
        <w:t>格式</w:t>
      </w:r>
      <w:bookmarkEnd w:id="1743"/>
      <w:bookmarkEnd w:id="1744"/>
      <w:bookmarkEnd w:id="1745"/>
      <w:bookmarkEnd w:id="1746"/>
    </w:p>
    <w:p w14:paraId="529D24A3">
      <w:pPr>
        <w:ind w:right="-57" w:firstLine="0"/>
        <w:jc w:val="center"/>
        <w:rPr>
          <w:rFonts w:hint="eastAsia" w:ascii="宋体" w:hAnsi="宋体"/>
          <w:b/>
          <w:color w:val="auto"/>
          <w:highlight w:val="none"/>
        </w:rPr>
      </w:pPr>
      <w:r>
        <w:rPr>
          <w:rFonts w:hint="eastAsia" w:ascii="宋体" w:hAnsi="宋体"/>
          <w:b/>
          <w:color w:val="auto"/>
          <w:highlight w:val="none"/>
        </w:rPr>
        <w:t>商务响应表</w:t>
      </w:r>
    </w:p>
    <w:p w14:paraId="71937354">
      <w:pPr>
        <w:spacing w:before="0" w:after="0" w:afterAutospacing="0"/>
        <w:ind w:right="-57" w:firstLine="0"/>
        <w:jc w:val="left"/>
        <w:rPr>
          <w:rFonts w:hint="eastAsia" w:ascii="宋体" w:hAnsi="宋体"/>
          <w:color w:val="auto"/>
          <w:highlight w:val="none"/>
          <w:u w:val="single"/>
        </w:rPr>
      </w:pPr>
      <w:r>
        <w:rPr>
          <w:rFonts w:hint="eastAsia" w:ascii="宋体" w:hAnsi="宋体"/>
          <w:color w:val="auto"/>
          <w:highlight w:val="none"/>
        </w:rPr>
        <w:t>项目名称：</w:t>
      </w:r>
    </w:p>
    <w:tbl>
      <w:tblPr>
        <w:tblStyle w:val="36"/>
        <w:tblW w:w="9464" w:type="dxa"/>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817"/>
        <w:gridCol w:w="2977"/>
        <w:gridCol w:w="2410"/>
        <w:gridCol w:w="1842"/>
        <w:gridCol w:w="1418"/>
      </w:tblGrid>
      <w:tr w14:paraId="46FD2D6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40BC4FDB">
            <w:pPr>
              <w:ind w:left="0" w:firstLine="0"/>
              <w:rPr>
                <w:rFonts w:hint="eastAsia" w:ascii="宋体" w:hAnsi="宋体"/>
                <w:color w:val="auto"/>
                <w:highlight w:val="none"/>
              </w:rPr>
            </w:pPr>
            <w:r>
              <w:rPr>
                <w:rFonts w:hint="eastAsia" w:ascii="宋体" w:hAnsi="宋体"/>
                <w:color w:val="auto"/>
                <w:highlight w:val="none"/>
              </w:rPr>
              <w:t>项目</w:t>
            </w:r>
          </w:p>
        </w:tc>
        <w:tc>
          <w:tcPr>
            <w:tcW w:w="2977" w:type="dxa"/>
            <w:tcBorders>
              <w:top w:val="single" w:color="auto" w:sz="4" w:space="0"/>
              <w:left w:val="single" w:color="auto" w:sz="4" w:space="0"/>
              <w:bottom w:val="single" w:color="auto" w:sz="4" w:space="0"/>
              <w:right w:val="single" w:color="auto" w:sz="4" w:space="0"/>
            </w:tcBorders>
            <w:vAlign w:val="center"/>
          </w:tcPr>
          <w:p w14:paraId="13506598">
            <w:pPr>
              <w:ind w:left="0" w:firstLine="0"/>
              <w:rPr>
                <w:rFonts w:hint="eastAsia" w:ascii="宋体" w:hAnsi="宋体"/>
                <w:color w:val="auto"/>
                <w:highlight w:val="none"/>
              </w:rPr>
            </w:pPr>
            <w:r>
              <w:rPr>
                <w:rFonts w:hint="eastAsia" w:ascii="宋体" w:hAnsi="宋体"/>
                <w:color w:val="auto"/>
                <w:highlight w:val="none"/>
              </w:rPr>
              <w:t>比选文件要求内容所在章节</w:t>
            </w:r>
          </w:p>
        </w:tc>
        <w:tc>
          <w:tcPr>
            <w:tcW w:w="2410" w:type="dxa"/>
            <w:tcBorders>
              <w:top w:val="single" w:color="auto" w:sz="4" w:space="0"/>
              <w:left w:val="single" w:color="auto" w:sz="4" w:space="0"/>
              <w:bottom w:val="single" w:color="auto" w:sz="4" w:space="0"/>
              <w:right w:val="single" w:color="auto" w:sz="4" w:space="0"/>
            </w:tcBorders>
            <w:vAlign w:val="center"/>
          </w:tcPr>
          <w:p w14:paraId="0E563451">
            <w:pPr>
              <w:ind w:left="0" w:firstLine="0"/>
              <w:rPr>
                <w:rFonts w:hint="eastAsia" w:ascii="宋体" w:hAnsi="宋体"/>
                <w:color w:val="auto"/>
                <w:highlight w:val="none"/>
              </w:rPr>
            </w:pPr>
            <w:r>
              <w:rPr>
                <w:rFonts w:hint="eastAsia" w:ascii="宋体" w:hAnsi="宋体"/>
                <w:color w:val="auto"/>
                <w:highlight w:val="none"/>
              </w:rPr>
              <w:t>包含内容</w:t>
            </w:r>
          </w:p>
        </w:tc>
        <w:tc>
          <w:tcPr>
            <w:tcW w:w="1842" w:type="dxa"/>
            <w:tcBorders>
              <w:top w:val="single" w:color="auto" w:sz="4" w:space="0"/>
              <w:left w:val="single" w:color="auto" w:sz="4" w:space="0"/>
              <w:bottom w:val="single" w:color="auto" w:sz="4" w:space="0"/>
              <w:right w:val="single" w:color="auto" w:sz="4" w:space="0"/>
            </w:tcBorders>
            <w:vAlign w:val="center"/>
          </w:tcPr>
          <w:p w14:paraId="1C21AE77">
            <w:pPr>
              <w:ind w:left="0" w:firstLine="0"/>
              <w:rPr>
                <w:rFonts w:hint="eastAsia" w:ascii="宋体" w:hAnsi="宋体"/>
                <w:color w:val="auto"/>
                <w:highlight w:val="none"/>
              </w:rPr>
            </w:pPr>
            <w:r>
              <w:rPr>
                <w:rFonts w:hint="eastAsia" w:ascii="宋体" w:hAnsi="宋体"/>
                <w:color w:val="auto"/>
                <w:highlight w:val="none"/>
              </w:rPr>
              <w:t>比选申请人承诺是否响应比选文件要求</w:t>
            </w:r>
          </w:p>
        </w:tc>
        <w:tc>
          <w:tcPr>
            <w:tcW w:w="1418" w:type="dxa"/>
            <w:tcBorders>
              <w:top w:val="single" w:color="auto" w:sz="4" w:space="0"/>
              <w:left w:val="single" w:color="auto" w:sz="4" w:space="0"/>
              <w:bottom w:val="single" w:color="auto" w:sz="4" w:space="0"/>
              <w:right w:val="single" w:color="auto" w:sz="4" w:space="0"/>
            </w:tcBorders>
            <w:vAlign w:val="center"/>
          </w:tcPr>
          <w:p w14:paraId="532ED70F">
            <w:pPr>
              <w:ind w:left="0" w:firstLine="0"/>
              <w:rPr>
                <w:rFonts w:hint="eastAsia" w:ascii="宋体" w:hAnsi="宋体"/>
                <w:color w:val="auto"/>
                <w:highlight w:val="none"/>
              </w:rPr>
            </w:pPr>
            <w:r>
              <w:rPr>
                <w:rFonts w:hint="eastAsia" w:ascii="宋体" w:hAnsi="宋体"/>
                <w:color w:val="auto"/>
                <w:highlight w:val="none"/>
              </w:rPr>
              <w:t>备注</w:t>
            </w:r>
          </w:p>
        </w:tc>
      </w:tr>
      <w:tr w14:paraId="56252F0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464" w:type="dxa"/>
            <w:gridSpan w:val="5"/>
            <w:tcBorders>
              <w:top w:val="single" w:color="auto" w:sz="4" w:space="0"/>
              <w:left w:val="single" w:color="auto" w:sz="4" w:space="0"/>
              <w:bottom w:val="single" w:color="auto" w:sz="4" w:space="0"/>
              <w:right w:val="single" w:color="auto" w:sz="4" w:space="0"/>
            </w:tcBorders>
            <w:vAlign w:val="center"/>
          </w:tcPr>
          <w:p w14:paraId="79C35873">
            <w:pPr>
              <w:ind w:left="0" w:firstLine="0"/>
              <w:rPr>
                <w:rFonts w:hint="eastAsia" w:ascii="宋体" w:hAnsi="宋体"/>
                <w:color w:val="auto"/>
                <w:highlight w:val="none"/>
              </w:rPr>
            </w:pPr>
            <w:r>
              <w:rPr>
                <w:rFonts w:hint="eastAsia" w:ascii="宋体" w:hAnsi="宋体"/>
                <w:color w:val="auto"/>
                <w:highlight w:val="none"/>
              </w:rPr>
              <w:t>第二章</w:t>
            </w:r>
            <w:r>
              <w:rPr>
                <w:rFonts w:ascii="宋体" w:hAnsi="宋体"/>
                <w:color w:val="auto"/>
                <w:highlight w:val="none"/>
              </w:rPr>
              <w:t> </w:t>
            </w:r>
            <w:r>
              <w:rPr>
                <w:rFonts w:hint="eastAsia" w:ascii="宋体" w:hAnsi="宋体"/>
                <w:color w:val="auto"/>
                <w:highlight w:val="none"/>
              </w:rPr>
              <w:t>比选申请须知</w:t>
            </w:r>
          </w:p>
        </w:tc>
      </w:tr>
      <w:tr w14:paraId="6224C47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6B8A3E77">
            <w:pPr>
              <w:ind w:left="0" w:firstLine="0"/>
              <w:rPr>
                <w:rFonts w:hint="eastAsia" w:ascii="宋体" w:hAnsi="宋体"/>
                <w:color w:val="auto"/>
                <w:highlight w:val="none"/>
              </w:rPr>
            </w:pPr>
            <w:r>
              <w:rPr>
                <w:rFonts w:ascii="宋体" w:hAnsi="宋体"/>
                <w:color w:val="auto"/>
                <w:highlight w:val="none"/>
              </w:rPr>
              <w:t>1</w:t>
            </w:r>
          </w:p>
        </w:tc>
        <w:tc>
          <w:tcPr>
            <w:tcW w:w="2977" w:type="dxa"/>
            <w:tcBorders>
              <w:top w:val="single" w:color="auto" w:sz="4" w:space="0"/>
              <w:left w:val="single" w:color="auto" w:sz="4" w:space="0"/>
              <w:bottom w:val="single" w:color="auto" w:sz="4" w:space="0"/>
              <w:right w:val="single" w:color="auto" w:sz="4" w:space="0"/>
            </w:tcBorders>
            <w:vAlign w:val="center"/>
          </w:tcPr>
          <w:p w14:paraId="318B3F09">
            <w:pPr>
              <w:ind w:left="0" w:firstLine="0"/>
              <w:rPr>
                <w:rFonts w:hint="eastAsia" w:ascii="宋体" w:hAnsi="宋体"/>
                <w:color w:val="auto"/>
                <w:highlight w:val="none"/>
              </w:rPr>
            </w:pPr>
            <w:r>
              <w:rPr>
                <w:rFonts w:hint="eastAsia" w:ascii="宋体" w:hAnsi="宋体"/>
                <w:color w:val="auto"/>
                <w:highlight w:val="none"/>
              </w:rPr>
              <w:t>比选申请须知前附表</w:t>
            </w:r>
          </w:p>
        </w:tc>
        <w:tc>
          <w:tcPr>
            <w:tcW w:w="2410" w:type="dxa"/>
            <w:tcBorders>
              <w:top w:val="single" w:color="auto" w:sz="4" w:space="0"/>
              <w:left w:val="single" w:color="auto" w:sz="4" w:space="0"/>
              <w:bottom w:val="single" w:color="auto" w:sz="4" w:space="0"/>
              <w:right w:val="single" w:color="auto" w:sz="4" w:space="0"/>
            </w:tcBorders>
            <w:vAlign w:val="center"/>
          </w:tcPr>
          <w:p w14:paraId="45FE1403">
            <w:pPr>
              <w:ind w:left="0" w:firstLine="0"/>
              <w:rPr>
                <w:rFonts w:hint="eastAsia"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3F528577">
            <w:pPr>
              <w:ind w:left="0" w:firstLine="0"/>
              <w:rPr>
                <w:rFonts w:hint="eastAsia"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5BD6FFEB">
            <w:pPr>
              <w:ind w:left="0" w:firstLine="0"/>
              <w:rPr>
                <w:rFonts w:hint="eastAsia" w:ascii="宋体" w:hAnsi="宋体"/>
                <w:color w:val="auto"/>
                <w:highlight w:val="none"/>
              </w:rPr>
            </w:pPr>
          </w:p>
        </w:tc>
      </w:tr>
      <w:tr w14:paraId="7EBFCCE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3792113A">
            <w:pPr>
              <w:ind w:left="0" w:firstLine="0"/>
              <w:rPr>
                <w:rFonts w:hint="eastAsia" w:ascii="宋体" w:hAnsi="宋体"/>
                <w:color w:val="auto"/>
                <w:highlight w:val="none"/>
              </w:rPr>
            </w:pPr>
            <w:r>
              <w:rPr>
                <w:rFonts w:ascii="宋体" w:hAnsi="宋体"/>
                <w:color w:val="auto"/>
                <w:highlight w:val="none"/>
              </w:rPr>
              <w:t>2</w:t>
            </w:r>
          </w:p>
        </w:tc>
        <w:tc>
          <w:tcPr>
            <w:tcW w:w="2977" w:type="dxa"/>
            <w:tcBorders>
              <w:top w:val="single" w:color="auto" w:sz="4" w:space="0"/>
              <w:left w:val="single" w:color="auto" w:sz="4" w:space="0"/>
              <w:bottom w:val="single" w:color="auto" w:sz="4" w:space="0"/>
              <w:right w:val="single" w:color="auto" w:sz="4" w:space="0"/>
            </w:tcBorders>
            <w:vAlign w:val="center"/>
          </w:tcPr>
          <w:p w14:paraId="79ABAB8B">
            <w:pPr>
              <w:ind w:left="0" w:firstLine="0"/>
              <w:rPr>
                <w:rFonts w:hint="eastAsia" w:ascii="宋体" w:hAnsi="宋体"/>
                <w:color w:val="auto"/>
                <w:highlight w:val="none"/>
              </w:rPr>
            </w:pPr>
            <w:r>
              <w:rPr>
                <w:rFonts w:hint="eastAsia" w:ascii="宋体" w:hAnsi="宋体"/>
                <w:color w:val="auto"/>
                <w:highlight w:val="none"/>
              </w:rPr>
              <w:t>比选申请须知正文</w:t>
            </w:r>
          </w:p>
        </w:tc>
        <w:tc>
          <w:tcPr>
            <w:tcW w:w="2410" w:type="dxa"/>
            <w:tcBorders>
              <w:top w:val="single" w:color="auto" w:sz="4" w:space="0"/>
              <w:left w:val="single" w:color="auto" w:sz="4" w:space="0"/>
              <w:bottom w:val="single" w:color="auto" w:sz="4" w:space="0"/>
              <w:right w:val="single" w:color="auto" w:sz="4" w:space="0"/>
            </w:tcBorders>
            <w:vAlign w:val="center"/>
          </w:tcPr>
          <w:p w14:paraId="49E0ECA8">
            <w:pPr>
              <w:ind w:left="0" w:firstLine="0"/>
              <w:rPr>
                <w:rFonts w:hint="eastAsia"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54E3B7EE">
            <w:pPr>
              <w:ind w:left="0" w:firstLine="0"/>
              <w:rPr>
                <w:rFonts w:hint="eastAsia"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3F140991">
            <w:pPr>
              <w:ind w:left="0" w:firstLine="0"/>
              <w:rPr>
                <w:rFonts w:hint="eastAsia" w:ascii="宋体" w:hAnsi="宋体"/>
                <w:color w:val="auto"/>
                <w:highlight w:val="none"/>
              </w:rPr>
            </w:pPr>
          </w:p>
        </w:tc>
      </w:tr>
      <w:tr w14:paraId="7D534C0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464" w:type="dxa"/>
            <w:gridSpan w:val="5"/>
            <w:tcBorders>
              <w:top w:val="single" w:color="auto" w:sz="4" w:space="0"/>
              <w:left w:val="single" w:color="auto" w:sz="4" w:space="0"/>
              <w:bottom w:val="single" w:color="auto" w:sz="4" w:space="0"/>
              <w:right w:val="single" w:color="auto" w:sz="4" w:space="0"/>
            </w:tcBorders>
            <w:vAlign w:val="center"/>
          </w:tcPr>
          <w:p w14:paraId="1F25845B">
            <w:pPr>
              <w:ind w:left="0" w:firstLine="0"/>
              <w:rPr>
                <w:rFonts w:hint="eastAsia" w:ascii="宋体" w:hAnsi="宋体"/>
                <w:color w:val="auto"/>
                <w:highlight w:val="none"/>
              </w:rPr>
            </w:pPr>
            <w:r>
              <w:rPr>
                <w:rFonts w:hint="eastAsia" w:ascii="宋体" w:hAnsi="宋体"/>
                <w:color w:val="auto"/>
                <w:highlight w:val="none"/>
              </w:rPr>
              <w:t>第三章</w:t>
            </w:r>
            <w:r>
              <w:rPr>
                <w:rFonts w:ascii="宋体" w:hAnsi="宋体"/>
                <w:color w:val="auto"/>
                <w:highlight w:val="none"/>
              </w:rPr>
              <w:t> </w:t>
            </w:r>
            <w:r>
              <w:rPr>
                <w:rFonts w:hint="eastAsia" w:ascii="宋体" w:hAnsi="宋体"/>
                <w:color w:val="auto"/>
                <w:highlight w:val="none"/>
              </w:rPr>
              <w:t>合同条款</w:t>
            </w:r>
          </w:p>
        </w:tc>
      </w:tr>
      <w:tr w14:paraId="28E4616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7F98B8DA">
            <w:pPr>
              <w:ind w:left="0" w:firstLine="0"/>
              <w:rPr>
                <w:rFonts w:hint="eastAsia" w:ascii="宋体" w:hAnsi="宋体"/>
                <w:color w:val="auto"/>
                <w:highlight w:val="none"/>
              </w:rPr>
            </w:pPr>
            <w:r>
              <w:rPr>
                <w:rFonts w:ascii="宋体" w:hAnsi="宋体"/>
                <w:color w:val="auto"/>
                <w:highlight w:val="none"/>
              </w:rPr>
              <w:t>1</w:t>
            </w:r>
          </w:p>
        </w:tc>
        <w:tc>
          <w:tcPr>
            <w:tcW w:w="2977" w:type="dxa"/>
            <w:tcBorders>
              <w:top w:val="single" w:color="auto" w:sz="4" w:space="0"/>
              <w:left w:val="single" w:color="auto" w:sz="4" w:space="0"/>
              <w:bottom w:val="single" w:color="auto" w:sz="4" w:space="0"/>
              <w:right w:val="single" w:color="auto" w:sz="4" w:space="0"/>
            </w:tcBorders>
            <w:vAlign w:val="center"/>
          </w:tcPr>
          <w:p w14:paraId="20F87D68">
            <w:pPr>
              <w:ind w:left="0" w:firstLine="0"/>
              <w:rPr>
                <w:rFonts w:hint="eastAsia" w:ascii="宋体" w:hAnsi="宋体"/>
                <w:color w:val="auto"/>
                <w:highlight w:val="none"/>
              </w:rPr>
            </w:pPr>
            <w:r>
              <w:rPr>
                <w:rFonts w:hint="eastAsia" w:ascii="宋体" w:hAnsi="宋体"/>
                <w:color w:val="auto"/>
                <w:highlight w:val="none"/>
              </w:rPr>
              <w:t>合同协议书</w:t>
            </w:r>
          </w:p>
        </w:tc>
        <w:tc>
          <w:tcPr>
            <w:tcW w:w="2410" w:type="dxa"/>
            <w:tcBorders>
              <w:top w:val="single" w:color="auto" w:sz="4" w:space="0"/>
              <w:left w:val="single" w:color="auto" w:sz="4" w:space="0"/>
              <w:bottom w:val="single" w:color="auto" w:sz="4" w:space="0"/>
              <w:right w:val="single" w:color="auto" w:sz="4" w:space="0"/>
            </w:tcBorders>
            <w:vAlign w:val="center"/>
          </w:tcPr>
          <w:p w14:paraId="77EFBC25">
            <w:pPr>
              <w:ind w:left="0" w:firstLine="0"/>
              <w:rPr>
                <w:rFonts w:hint="eastAsia"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4311CE94">
            <w:pPr>
              <w:ind w:left="0" w:firstLine="0"/>
              <w:rPr>
                <w:rFonts w:hint="eastAsia"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1D2ED66A">
            <w:pPr>
              <w:ind w:left="0" w:firstLine="0"/>
              <w:rPr>
                <w:rFonts w:hint="eastAsia" w:ascii="宋体" w:hAnsi="宋体"/>
                <w:color w:val="auto"/>
                <w:highlight w:val="none"/>
              </w:rPr>
            </w:pPr>
          </w:p>
        </w:tc>
      </w:tr>
      <w:tr w14:paraId="2FCA578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5C794511">
            <w:pPr>
              <w:ind w:left="0" w:firstLine="0"/>
              <w:rPr>
                <w:rFonts w:hint="eastAsia" w:ascii="宋体" w:hAnsi="宋体"/>
                <w:color w:val="auto"/>
                <w:highlight w:val="none"/>
              </w:rPr>
            </w:pPr>
            <w:r>
              <w:rPr>
                <w:rFonts w:ascii="宋体" w:hAnsi="宋体"/>
                <w:color w:val="auto"/>
                <w:highlight w:val="none"/>
              </w:rPr>
              <w:t>2</w:t>
            </w:r>
          </w:p>
        </w:tc>
        <w:tc>
          <w:tcPr>
            <w:tcW w:w="2977" w:type="dxa"/>
            <w:tcBorders>
              <w:top w:val="single" w:color="auto" w:sz="4" w:space="0"/>
              <w:left w:val="single" w:color="auto" w:sz="4" w:space="0"/>
              <w:bottom w:val="single" w:color="auto" w:sz="4" w:space="0"/>
              <w:right w:val="single" w:color="auto" w:sz="4" w:space="0"/>
            </w:tcBorders>
            <w:vAlign w:val="center"/>
          </w:tcPr>
          <w:p w14:paraId="335B942A">
            <w:pPr>
              <w:ind w:left="0" w:firstLine="0"/>
              <w:rPr>
                <w:rFonts w:hint="eastAsia" w:ascii="宋体" w:hAnsi="宋体"/>
                <w:color w:val="auto"/>
                <w:highlight w:val="none"/>
              </w:rPr>
            </w:pPr>
            <w:r>
              <w:rPr>
                <w:rFonts w:hint="eastAsia" w:ascii="宋体" w:hAnsi="宋体"/>
                <w:color w:val="auto"/>
                <w:highlight w:val="none"/>
              </w:rPr>
              <w:t>合同条款</w:t>
            </w:r>
          </w:p>
        </w:tc>
        <w:tc>
          <w:tcPr>
            <w:tcW w:w="2410" w:type="dxa"/>
            <w:tcBorders>
              <w:top w:val="single" w:color="auto" w:sz="4" w:space="0"/>
              <w:left w:val="single" w:color="auto" w:sz="4" w:space="0"/>
              <w:bottom w:val="single" w:color="auto" w:sz="4" w:space="0"/>
              <w:right w:val="single" w:color="auto" w:sz="4" w:space="0"/>
            </w:tcBorders>
            <w:vAlign w:val="center"/>
          </w:tcPr>
          <w:p w14:paraId="5B4FD3D1">
            <w:pPr>
              <w:ind w:left="0" w:firstLine="0"/>
              <w:rPr>
                <w:rFonts w:hint="eastAsia"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207DDA7C">
            <w:pPr>
              <w:ind w:left="0" w:firstLine="0"/>
              <w:rPr>
                <w:rFonts w:hint="eastAsia"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17338D8F">
            <w:pPr>
              <w:ind w:left="0" w:firstLine="0"/>
              <w:rPr>
                <w:rFonts w:hint="eastAsia" w:ascii="宋体" w:hAnsi="宋体"/>
                <w:color w:val="auto"/>
                <w:highlight w:val="none"/>
              </w:rPr>
            </w:pPr>
          </w:p>
        </w:tc>
      </w:tr>
    </w:tbl>
    <w:p w14:paraId="008BBE51">
      <w:pPr>
        <w:snapToGrid w:val="0"/>
        <w:spacing w:after="50"/>
        <w:ind w:right="-57" w:firstLine="0"/>
        <w:rPr>
          <w:rFonts w:hint="eastAsia" w:ascii="宋体" w:hAnsi="宋体"/>
          <w:color w:val="auto"/>
          <w:spacing w:val="20"/>
          <w:sz w:val="24"/>
          <w:szCs w:val="24"/>
          <w:highlight w:val="none"/>
        </w:rPr>
      </w:pPr>
      <w:r>
        <w:rPr>
          <w:rFonts w:hint="eastAsia" w:ascii="宋体" w:hAnsi="宋体"/>
          <w:b/>
          <w:color w:val="auto"/>
          <w:highlight w:val="none"/>
        </w:rPr>
        <w:t>注：上述响应要求必须全部为“完全响应”，否则，比选申请人将不能通过符合性评审。</w:t>
      </w:r>
    </w:p>
    <w:p w14:paraId="0C10E3B9">
      <w:pPr>
        <w:snapToGrid w:val="0"/>
        <w:spacing w:after="50"/>
        <w:ind w:right="-57" w:firstLine="0"/>
        <w:rPr>
          <w:rFonts w:hint="eastAsia" w:ascii="宋体" w:hAnsi="宋体"/>
          <w:color w:val="auto"/>
          <w:spacing w:val="20"/>
          <w:sz w:val="24"/>
          <w:szCs w:val="24"/>
          <w:highlight w:val="none"/>
        </w:rPr>
      </w:pPr>
    </w:p>
    <w:p w14:paraId="7EFCEFD2">
      <w:pPr>
        <w:snapToGrid w:val="0"/>
        <w:spacing w:after="50" w:line="280" w:lineRule="exact"/>
        <w:ind w:left="953" w:right="-817" w:firstLine="1443"/>
        <w:rPr>
          <w:rFonts w:hint="eastAsia" w:ascii="宋体" w:hAnsi="宋体"/>
          <w:color w:val="auto"/>
          <w:sz w:val="24"/>
          <w:szCs w:val="24"/>
          <w:highlight w:val="none"/>
        </w:rPr>
      </w:pPr>
    </w:p>
    <w:p w14:paraId="488938CC">
      <w:pPr>
        <w:snapToGrid w:val="0"/>
        <w:spacing w:after="50" w:line="280" w:lineRule="exact"/>
        <w:ind w:left="955" w:right="-817" w:firstLine="2835" w:firstLineChars="1350"/>
        <w:rPr>
          <w:rFonts w:hint="eastAsia" w:ascii="宋体" w:hAnsi="宋体"/>
          <w:color w:val="auto"/>
          <w:highlight w:val="none"/>
          <w:u w:val="single"/>
        </w:rPr>
      </w:pPr>
      <w:r>
        <w:rPr>
          <w:rFonts w:hint="eastAsia" w:ascii="宋体" w:hAnsi="宋体"/>
          <w:color w:val="auto"/>
          <w:highlight w:val="none"/>
        </w:rPr>
        <w:t>比选申请人名称（盖章）：</w:t>
      </w:r>
    </w:p>
    <w:p w14:paraId="5354C2C0">
      <w:pPr>
        <w:snapToGrid w:val="0"/>
        <w:spacing w:after="50" w:line="280" w:lineRule="exact"/>
        <w:ind w:left="707" w:right="-817" w:firstLine="0"/>
        <w:jc w:val="center"/>
        <w:rPr>
          <w:rFonts w:hint="eastAsia" w:ascii="宋体" w:hAnsi="宋体"/>
          <w:color w:val="auto"/>
          <w:highlight w:val="none"/>
          <w:u w:val="single"/>
        </w:rPr>
      </w:pPr>
      <w:r>
        <w:rPr>
          <w:rFonts w:ascii="宋体" w:hAnsi="宋体"/>
          <w:color w:val="auto"/>
          <w:highlight w:val="none"/>
        </w:rPr>
        <w:t xml:space="preserve"> 法定代表人或被授权人（签字）：</w:t>
      </w:r>
    </w:p>
    <w:p w14:paraId="75C01504">
      <w:pPr>
        <w:spacing w:before="0"/>
        <w:ind w:right="-57" w:firstLine="0"/>
        <w:jc w:val="center"/>
        <w:rPr>
          <w:rFonts w:hint="eastAsia" w:ascii="宋体" w:hAnsi="宋体"/>
          <w:color w:val="auto"/>
          <w:highlight w:val="none"/>
        </w:rPr>
      </w:pPr>
      <w:r>
        <w:rPr>
          <w:rFonts w:hint="eastAsia" w:ascii="宋体" w:hAnsi="宋体"/>
          <w:color w:val="auto"/>
          <w:highlight w:val="none"/>
        </w:rPr>
        <w:t>日期：年月日</w:t>
      </w:r>
    </w:p>
    <w:p w14:paraId="64F32F6A">
      <w:pPr>
        <w:spacing w:before="0"/>
        <w:ind w:left="105" w:leftChars="50" w:right="-57" w:firstLine="316" w:firstLineChars="150"/>
        <w:rPr>
          <w:rFonts w:hint="eastAsia" w:ascii="宋体" w:hAnsi="宋体"/>
          <w:b/>
          <w:color w:val="auto"/>
          <w:highlight w:val="none"/>
        </w:rPr>
      </w:pPr>
    </w:p>
    <w:p w14:paraId="606EE42D">
      <w:pPr>
        <w:spacing w:before="0" w:after="0" w:afterAutospacing="0" w:line="240" w:lineRule="auto"/>
        <w:ind w:left="0" w:right="0" w:firstLine="0"/>
        <w:jc w:val="left"/>
        <w:rPr>
          <w:rStyle w:val="54"/>
          <w:rFonts w:hint="eastAsia" w:ascii="宋体" w:hAnsi="宋体" w:eastAsia="宋体" w:cs="宋体"/>
          <w:color w:val="auto"/>
          <w:highlight w:val="none"/>
        </w:rPr>
      </w:pPr>
      <w:bookmarkStart w:id="1747" w:name="_Toc6337"/>
      <w:bookmarkStart w:id="1748" w:name="_Toc6454"/>
      <w:bookmarkStart w:id="1749" w:name="_Toc28535"/>
      <w:bookmarkStart w:id="1750" w:name="_Toc28135"/>
      <w:bookmarkStart w:id="1751" w:name="_Toc492478835"/>
      <w:bookmarkStart w:id="1752" w:name="_Toc25061"/>
      <w:bookmarkStart w:id="1753" w:name="_Toc20298"/>
      <w:bookmarkStart w:id="1754" w:name="_Toc31681"/>
      <w:bookmarkStart w:id="1755" w:name="_Toc5010"/>
      <w:bookmarkStart w:id="1756" w:name="_Toc14566"/>
      <w:bookmarkStart w:id="1757" w:name="_Toc16754"/>
      <w:bookmarkStart w:id="1758" w:name="_Toc328"/>
      <w:bookmarkStart w:id="1759" w:name="_Toc25750688"/>
      <w:bookmarkStart w:id="1760" w:name="_Toc9597"/>
      <w:bookmarkStart w:id="1761" w:name="_Toc21321"/>
      <w:bookmarkStart w:id="1762" w:name="_Toc13941"/>
      <w:bookmarkStart w:id="1763" w:name="_Toc30897"/>
      <w:bookmarkStart w:id="1764" w:name="_Toc26409"/>
      <w:bookmarkStart w:id="1765" w:name="_Toc12695"/>
      <w:r>
        <w:rPr>
          <w:rStyle w:val="54"/>
          <w:rFonts w:ascii="宋体" w:hAnsi="宋体" w:eastAsia="宋体"/>
          <w:color w:val="auto"/>
          <w:highlight w:val="none"/>
        </w:rPr>
        <w:br w:type="page"/>
      </w:r>
    </w:p>
    <w:p w14:paraId="1934770E">
      <w:pPr>
        <w:spacing w:before="0" w:after="0" w:afterAutospacing="0" w:line="240" w:lineRule="auto"/>
        <w:ind w:left="0" w:right="0" w:firstLine="0"/>
        <w:jc w:val="left"/>
        <w:rPr>
          <w:rFonts w:hint="eastAsia" w:ascii="宋体" w:hAnsi="宋体"/>
          <w:b/>
          <w:color w:val="auto"/>
          <w:highlight w:val="none"/>
        </w:rPr>
      </w:pPr>
      <w:r>
        <w:rPr>
          <w:rFonts w:hint="eastAsia" w:ascii="宋体" w:hAnsi="宋体"/>
          <w:b/>
          <w:color w:val="auto"/>
          <w:highlight w:val="none"/>
        </w:rPr>
        <w:t>C3工期</w:t>
      </w:r>
    </w:p>
    <w:p w14:paraId="0CC80C5C">
      <w:pPr>
        <w:pStyle w:val="2"/>
        <w:ind w:left="0" w:leftChars="0" w:firstLine="0" w:firstLineChars="0"/>
        <w:rPr>
          <w:rFonts w:hint="eastAsia" w:eastAsiaTheme="minorEastAsia"/>
          <w:color w:val="auto"/>
          <w:sz w:val="21"/>
          <w:highlight w:val="none"/>
          <w:lang w:eastAsia="zh-CN"/>
        </w:rPr>
      </w:pPr>
      <w:r>
        <w:rPr>
          <w:rFonts w:hint="eastAsia" w:eastAsiaTheme="minorEastAsia"/>
          <w:color w:val="auto"/>
          <w:sz w:val="21"/>
          <w:highlight w:val="none"/>
        </w:rPr>
        <w:t>项目名称：</w:t>
      </w:r>
      <w:r>
        <w:rPr>
          <w:rFonts w:hint="eastAsia" w:ascii="宋体" w:hAnsi="宋体" w:eastAsia="宋体" w:cs="宋体"/>
          <w:color w:val="auto"/>
          <w:sz w:val="21"/>
          <w:highlight w:val="none"/>
          <w:shd w:val="clear" w:color="auto" w:fill="FFFFFF"/>
          <w:lang w:eastAsia="zh-CN"/>
        </w:rPr>
        <w:t>轨道云著（北区）项目样板房（125及102户型）精装修设计</w:t>
      </w:r>
    </w:p>
    <w:tbl>
      <w:tblPr>
        <w:tblStyle w:val="36"/>
        <w:tblW w:w="50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2"/>
        <w:gridCol w:w="3065"/>
        <w:gridCol w:w="2305"/>
        <w:gridCol w:w="2727"/>
      </w:tblGrid>
      <w:tr w14:paraId="53CFD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613" w:type="pct"/>
            <w:tcBorders>
              <w:top w:val="single" w:color="auto" w:sz="4" w:space="0"/>
              <w:left w:val="single" w:color="auto" w:sz="4" w:space="0"/>
              <w:bottom w:val="single" w:color="auto" w:sz="4" w:space="0"/>
              <w:right w:val="single" w:color="auto" w:sz="4" w:space="0"/>
            </w:tcBorders>
          </w:tcPr>
          <w:p w14:paraId="718EE8B4">
            <w:pPr>
              <w:widowControl w:val="0"/>
              <w:rPr>
                <w:rFonts w:hint="eastAsia" w:ascii="宋体" w:hAnsi="宋体"/>
                <w:color w:val="auto"/>
                <w:kern w:val="2"/>
                <w:highlight w:val="none"/>
              </w:rPr>
            </w:pPr>
            <w:r>
              <w:rPr>
                <w:rFonts w:hint="eastAsia" w:ascii="宋体" w:hAnsi="宋体"/>
                <w:color w:val="auto"/>
                <w:highlight w:val="none"/>
              </w:rPr>
              <w:t>序号</w:t>
            </w:r>
          </w:p>
        </w:tc>
        <w:tc>
          <w:tcPr>
            <w:tcW w:w="1660" w:type="pct"/>
            <w:tcBorders>
              <w:top w:val="single" w:color="auto" w:sz="4" w:space="0"/>
              <w:left w:val="single" w:color="auto" w:sz="4" w:space="0"/>
              <w:bottom w:val="single" w:color="auto" w:sz="4" w:space="0"/>
              <w:right w:val="single" w:color="auto" w:sz="4" w:space="0"/>
            </w:tcBorders>
          </w:tcPr>
          <w:p w14:paraId="128245F1">
            <w:pPr>
              <w:widowControl w:val="0"/>
              <w:rPr>
                <w:rFonts w:hint="eastAsia" w:ascii="宋体" w:hAnsi="宋体"/>
                <w:color w:val="auto"/>
                <w:kern w:val="2"/>
                <w:highlight w:val="none"/>
              </w:rPr>
            </w:pPr>
            <w:r>
              <w:rPr>
                <w:rFonts w:hint="eastAsia" w:ascii="宋体" w:hAnsi="宋体"/>
                <w:color w:val="auto"/>
                <w:highlight w:val="none"/>
              </w:rPr>
              <w:t>阶段</w:t>
            </w:r>
          </w:p>
        </w:tc>
        <w:tc>
          <w:tcPr>
            <w:tcW w:w="1248" w:type="pct"/>
            <w:tcBorders>
              <w:top w:val="single" w:color="auto" w:sz="4" w:space="0"/>
              <w:left w:val="single" w:color="auto" w:sz="4" w:space="0"/>
              <w:bottom w:val="single" w:color="auto" w:sz="4" w:space="0"/>
              <w:right w:val="single" w:color="auto" w:sz="4" w:space="0"/>
            </w:tcBorders>
          </w:tcPr>
          <w:p w14:paraId="2AC1EE77">
            <w:pPr>
              <w:widowControl w:val="0"/>
              <w:ind w:left="0" w:firstLine="0"/>
              <w:rPr>
                <w:rFonts w:hint="eastAsia" w:ascii="宋体" w:hAnsi="宋体"/>
                <w:color w:val="auto"/>
                <w:kern w:val="2"/>
                <w:highlight w:val="none"/>
              </w:rPr>
            </w:pPr>
            <w:r>
              <w:rPr>
                <w:rFonts w:hint="eastAsia" w:ascii="宋体" w:hAnsi="宋体"/>
                <w:color w:val="auto"/>
                <w:highlight w:val="none"/>
              </w:rPr>
              <w:t>比选申请人响应工期</w:t>
            </w:r>
          </w:p>
        </w:tc>
        <w:tc>
          <w:tcPr>
            <w:tcW w:w="1477" w:type="pct"/>
            <w:tcBorders>
              <w:top w:val="single" w:color="auto" w:sz="4" w:space="0"/>
              <w:left w:val="single" w:color="auto" w:sz="4" w:space="0"/>
              <w:bottom w:val="single" w:color="auto" w:sz="4" w:space="0"/>
              <w:right w:val="single" w:color="auto" w:sz="4" w:space="0"/>
            </w:tcBorders>
          </w:tcPr>
          <w:p w14:paraId="6CE622BF">
            <w:pPr>
              <w:widowControl w:val="0"/>
              <w:rPr>
                <w:rFonts w:hint="eastAsia" w:ascii="宋体" w:hAnsi="宋体"/>
                <w:color w:val="auto"/>
                <w:kern w:val="2"/>
                <w:highlight w:val="none"/>
              </w:rPr>
            </w:pPr>
            <w:r>
              <w:rPr>
                <w:rFonts w:hint="eastAsia" w:ascii="宋体" w:hAnsi="宋体"/>
                <w:color w:val="auto"/>
                <w:highlight w:val="none"/>
              </w:rPr>
              <w:t>比选人要求工期</w:t>
            </w:r>
          </w:p>
        </w:tc>
      </w:tr>
      <w:tr w14:paraId="05E2D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613" w:type="pct"/>
            <w:tcBorders>
              <w:top w:val="single" w:color="auto" w:sz="4" w:space="0"/>
              <w:left w:val="single" w:color="auto" w:sz="4" w:space="0"/>
              <w:bottom w:val="single" w:color="auto" w:sz="4" w:space="0"/>
              <w:right w:val="single" w:color="auto" w:sz="4" w:space="0"/>
            </w:tcBorders>
            <w:vAlign w:val="center"/>
          </w:tcPr>
          <w:p w14:paraId="67CD1F78">
            <w:pPr>
              <w:widowControl w:val="0"/>
              <w:rPr>
                <w:rFonts w:hint="eastAsia" w:ascii="宋体" w:hAnsi="宋体"/>
                <w:color w:val="auto"/>
                <w:kern w:val="2"/>
                <w:highlight w:val="none"/>
              </w:rPr>
            </w:pPr>
            <w:r>
              <w:rPr>
                <w:rFonts w:hint="eastAsia" w:ascii="宋体" w:hAnsi="宋体"/>
                <w:color w:val="auto"/>
                <w:highlight w:val="none"/>
              </w:rPr>
              <w:t>1</w:t>
            </w:r>
          </w:p>
        </w:tc>
        <w:tc>
          <w:tcPr>
            <w:tcW w:w="1660" w:type="pct"/>
            <w:tcBorders>
              <w:top w:val="single" w:color="auto" w:sz="4" w:space="0"/>
              <w:left w:val="single" w:color="auto" w:sz="4" w:space="0"/>
              <w:bottom w:val="single" w:color="auto" w:sz="4" w:space="0"/>
              <w:right w:val="single" w:color="auto" w:sz="4" w:space="0"/>
            </w:tcBorders>
            <w:vAlign w:val="center"/>
          </w:tcPr>
          <w:p w14:paraId="433D2E89">
            <w:pPr>
              <w:widowControl w:val="0"/>
              <w:rPr>
                <w:rFonts w:hint="eastAsia" w:ascii="宋体" w:hAnsi="宋体"/>
                <w:color w:val="auto"/>
                <w:kern w:val="2"/>
                <w:highlight w:val="none"/>
              </w:rPr>
            </w:pPr>
            <w:r>
              <w:rPr>
                <w:rFonts w:hint="eastAsia" w:ascii="宋体" w:hAnsi="宋体"/>
                <w:color w:val="auto"/>
                <w:highlight w:val="none"/>
              </w:rPr>
              <w:t>概念方案设计阶段成果</w:t>
            </w:r>
          </w:p>
        </w:tc>
        <w:tc>
          <w:tcPr>
            <w:tcW w:w="1248" w:type="pct"/>
            <w:tcBorders>
              <w:top w:val="single" w:color="auto" w:sz="4" w:space="0"/>
              <w:left w:val="single" w:color="auto" w:sz="4" w:space="0"/>
              <w:bottom w:val="single" w:color="auto" w:sz="4" w:space="0"/>
              <w:right w:val="single" w:color="auto" w:sz="4" w:space="0"/>
            </w:tcBorders>
            <w:vAlign w:val="center"/>
          </w:tcPr>
          <w:p w14:paraId="1D2F25D9">
            <w:pPr>
              <w:widowControl w:val="0"/>
              <w:ind w:left="0" w:firstLine="0"/>
              <w:rPr>
                <w:rFonts w:hint="eastAsia" w:ascii="宋体" w:hAnsi="宋体"/>
                <w:color w:val="auto"/>
                <w:kern w:val="2"/>
                <w:highlight w:val="none"/>
              </w:rPr>
            </w:pPr>
            <w:r>
              <w:rPr>
                <w:rFonts w:hint="eastAsia" w:ascii="宋体" w:hAnsi="宋体"/>
                <w:color w:val="auto"/>
                <w:highlight w:val="none"/>
              </w:rPr>
              <w:t>合同签订后   日</w:t>
            </w:r>
          </w:p>
        </w:tc>
        <w:tc>
          <w:tcPr>
            <w:tcW w:w="1477" w:type="pct"/>
            <w:tcBorders>
              <w:top w:val="single" w:color="auto" w:sz="4" w:space="0"/>
              <w:left w:val="single" w:color="auto" w:sz="4" w:space="0"/>
              <w:bottom w:val="single" w:color="auto" w:sz="4" w:space="0"/>
              <w:right w:val="single" w:color="auto" w:sz="4" w:space="0"/>
            </w:tcBorders>
            <w:vAlign w:val="center"/>
          </w:tcPr>
          <w:p w14:paraId="34CBB4C6">
            <w:pPr>
              <w:widowControl w:val="0"/>
              <w:ind w:left="0" w:firstLine="0"/>
              <w:rPr>
                <w:rFonts w:hint="eastAsia" w:ascii="宋体" w:hAnsi="宋体"/>
                <w:color w:val="auto"/>
                <w:kern w:val="2"/>
                <w:highlight w:val="none"/>
              </w:rPr>
            </w:pPr>
            <w:r>
              <w:rPr>
                <w:rFonts w:hint="eastAsia" w:ascii="宋体" w:hAnsi="宋体"/>
                <w:color w:val="auto"/>
                <w:highlight w:val="none"/>
              </w:rPr>
              <w:t>合同签订且收到比选人设计任务书后</w:t>
            </w:r>
            <w:r>
              <w:rPr>
                <w:rFonts w:hint="eastAsia" w:ascii="宋体" w:hAnsi="宋体"/>
                <w:color w:val="auto"/>
                <w:highlight w:val="none"/>
                <w:u w:val="single"/>
              </w:rPr>
              <w:t>5</w:t>
            </w:r>
            <w:r>
              <w:rPr>
                <w:rFonts w:hint="eastAsia" w:ascii="宋体" w:hAnsi="宋体"/>
                <w:color w:val="auto"/>
                <w:highlight w:val="none"/>
              </w:rPr>
              <w:t>日</w:t>
            </w:r>
          </w:p>
        </w:tc>
      </w:tr>
      <w:tr w14:paraId="46B89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trPr>
        <w:tc>
          <w:tcPr>
            <w:tcW w:w="613" w:type="pct"/>
            <w:tcBorders>
              <w:top w:val="single" w:color="auto" w:sz="4" w:space="0"/>
              <w:left w:val="single" w:color="auto" w:sz="4" w:space="0"/>
              <w:bottom w:val="single" w:color="auto" w:sz="4" w:space="0"/>
              <w:right w:val="single" w:color="auto" w:sz="4" w:space="0"/>
            </w:tcBorders>
            <w:vAlign w:val="center"/>
          </w:tcPr>
          <w:p w14:paraId="6AC2182C">
            <w:pPr>
              <w:widowControl w:val="0"/>
              <w:rPr>
                <w:rFonts w:hint="eastAsia" w:ascii="宋体" w:hAnsi="宋体"/>
                <w:color w:val="auto"/>
                <w:kern w:val="2"/>
                <w:highlight w:val="none"/>
              </w:rPr>
            </w:pPr>
            <w:r>
              <w:rPr>
                <w:rFonts w:hint="eastAsia" w:ascii="宋体" w:hAnsi="宋体"/>
                <w:color w:val="auto"/>
                <w:highlight w:val="none"/>
              </w:rPr>
              <w:t>2</w:t>
            </w:r>
          </w:p>
        </w:tc>
        <w:tc>
          <w:tcPr>
            <w:tcW w:w="1660" w:type="pct"/>
            <w:tcBorders>
              <w:top w:val="single" w:color="auto" w:sz="4" w:space="0"/>
              <w:left w:val="single" w:color="auto" w:sz="4" w:space="0"/>
              <w:bottom w:val="single" w:color="auto" w:sz="4" w:space="0"/>
              <w:right w:val="single" w:color="auto" w:sz="4" w:space="0"/>
            </w:tcBorders>
            <w:vAlign w:val="center"/>
          </w:tcPr>
          <w:p w14:paraId="3326312B">
            <w:pPr>
              <w:widowControl w:val="0"/>
              <w:ind w:left="0" w:firstLine="0"/>
              <w:rPr>
                <w:rFonts w:hint="eastAsia" w:ascii="宋体" w:hAnsi="宋体"/>
                <w:color w:val="auto"/>
                <w:kern w:val="2"/>
                <w:highlight w:val="none"/>
              </w:rPr>
            </w:pPr>
            <w:r>
              <w:rPr>
                <w:rFonts w:hint="eastAsia" w:ascii="宋体" w:hAnsi="宋体"/>
                <w:color w:val="auto"/>
                <w:highlight w:val="none"/>
              </w:rPr>
              <w:t>正式方案及效果图设计阶段（含深化方案设计和扩初方案设计）成果</w:t>
            </w:r>
          </w:p>
        </w:tc>
        <w:tc>
          <w:tcPr>
            <w:tcW w:w="1248" w:type="pct"/>
            <w:tcBorders>
              <w:top w:val="single" w:color="auto" w:sz="4" w:space="0"/>
              <w:left w:val="single" w:color="auto" w:sz="4" w:space="0"/>
              <w:bottom w:val="single" w:color="auto" w:sz="4" w:space="0"/>
              <w:right w:val="single" w:color="auto" w:sz="4" w:space="0"/>
            </w:tcBorders>
            <w:vAlign w:val="center"/>
          </w:tcPr>
          <w:p w14:paraId="5B3908A6">
            <w:pPr>
              <w:widowControl w:val="0"/>
              <w:ind w:left="0" w:firstLine="0"/>
              <w:rPr>
                <w:rFonts w:hint="eastAsia" w:ascii="宋体" w:hAnsi="宋体"/>
                <w:color w:val="auto"/>
                <w:kern w:val="2"/>
                <w:highlight w:val="none"/>
              </w:rPr>
            </w:pPr>
            <w:r>
              <w:rPr>
                <w:rFonts w:hint="eastAsia" w:ascii="宋体" w:hAnsi="宋体"/>
                <w:color w:val="auto"/>
                <w:highlight w:val="none"/>
              </w:rPr>
              <w:t>概念方案文本经甲方确认后   日内</w:t>
            </w:r>
          </w:p>
        </w:tc>
        <w:tc>
          <w:tcPr>
            <w:tcW w:w="1477" w:type="pct"/>
            <w:tcBorders>
              <w:top w:val="single" w:color="auto" w:sz="4" w:space="0"/>
              <w:left w:val="single" w:color="auto" w:sz="4" w:space="0"/>
              <w:bottom w:val="single" w:color="auto" w:sz="4" w:space="0"/>
              <w:right w:val="single" w:color="auto" w:sz="4" w:space="0"/>
            </w:tcBorders>
            <w:vAlign w:val="center"/>
          </w:tcPr>
          <w:p w14:paraId="360DB3D4">
            <w:pPr>
              <w:widowControl w:val="0"/>
              <w:ind w:left="0" w:firstLine="0"/>
              <w:rPr>
                <w:rFonts w:hint="eastAsia" w:ascii="宋体" w:hAnsi="宋体"/>
                <w:color w:val="auto"/>
                <w:kern w:val="2"/>
                <w:highlight w:val="none"/>
              </w:rPr>
            </w:pPr>
            <w:r>
              <w:rPr>
                <w:rFonts w:hint="eastAsia" w:ascii="宋体" w:hAnsi="宋体"/>
                <w:color w:val="auto"/>
                <w:highlight w:val="none"/>
              </w:rPr>
              <w:t>概念方案经比选人书</w:t>
            </w:r>
            <w:r>
              <w:rPr>
                <w:rFonts w:ascii="宋体" w:hAnsi="宋体"/>
                <w:color w:val="auto"/>
                <w:highlight w:val="none"/>
              </w:rPr>
              <w:t>面</w:t>
            </w:r>
            <w:r>
              <w:rPr>
                <w:rFonts w:hint="eastAsia" w:ascii="宋体" w:hAnsi="宋体"/>
                <w:color w:val="auto"/>
                <w:highlight w:val="none"/>
              </w:rPr>
              <w:t>确认后</w:t>
            </w:r>
            <w:r>
              <w:rPr>
                <w:rFonts w:hint="eastAsia" w:ascii="宋体" w:hAnsi="宋体"/>
                <w:color w:val="auto"/>
                <w:highlight w:val="none"/>
                <w:u w:val="single"/>
              </w:rPr>
              <w:t>10</w:t>
            </w:r>
            <w:r>
              <w:rPr>
                <w:rFonts w:hint="eastAsia" w:ascii="宋体" w:hAnsi="宋体"/>
                <w:color w:val="auto"/>
                <w:highlight w:val="none"/>
              </w:rPr>
              <w:t>日内</w:t>
            </w:r>
          </w:p>
        </w:tc>
      </w:tr>
      <w:tr w14:paraId="3742F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613" w:type="pct"/>
            <w:tcBorders>
              <w:top w:val="single" w:color="auto" w:sz="4" w:space="0"/>
              <w:left w:val="single" w:color="auto" w:sz="4" w:space="0"/>
              <w:bottom w:val="single" w:color="auto" w:sz="4" w:space="0"/>
              <w:right w:val="single" w:color="auto" w:sz="4" w:space="0"/>
            </w:tcBorders>
            <w:vAlign w:val="center"/>
          </w:tcPr>
          <w:p w14:paraId="32C2CB1F">
            <w:pPr>
              <w:widowControl w:val="0"/>
              <w:rPr>
                <w:rFonts w:hint="eastAsia" w:ascii="宋体" w:hAnsi="宋体"/>
                <w:color w:val="auto"/>
                <w:kern w:val="2"/>
                <w:highlight w:val="none"/>
              </w:rPr>
            </w:pPr>
            <w:r>
              <w:rPr>
                <w:rFonts w:hint="eastAsia" w:ascii="宋体" w:hAnsi="宋体"/>
                <w:color w:val="auto"/>
                <w:highlight w:val="none"/>
              </w:rPr>
              <w:t>3</w:t>
            </w:r>
          </w:p>
        </w:tc>
        <w:tc>
          <w:tcPr>
            <w:tcW w:w="1660" w:type="pct"/>
            <w:tcBorders>
              <w:top w:val="single" w:color="auto" w:sz="4" w:space="0"/>
              <w:left w:val="single" w:color="auto" w:sz="4" w:space="0"/>
              <w:bottom w:val="single" w:color="auto" w:sz="4" w:space="0"/>
              <w:right w:val="single" w:color="auto" w:sz="4" w:space="0"/>
            </w:tcBorders>
            <w:vAlign w:val="center"/>
          </w:tcPr>
          <w:p w14:paraId="75F73E2C">
            <w:pPr>
              <w:widowControl w:val="0"/>
              <w:rPr>
                <w:rFonts w:hint="eastAsia" w:ascii="宋体" w:hAnsi="宋体"/>
                <w:color w:val="auto"/>
                <w:kern w:val="2"/>
                <w:highlight w:val="none"/>
              </w:rPr>
            </w:pPr>
            <w:r>
              <w:rPr>
                <w:rFonts w:hint="eastAsia" w:ascii="宋体" w:hAnsi="宋体"/>
                <w:color w:val="auto"/>
                <w:highlight w:val="none"/>
              </w:rPr>
              <w:t>施工图设计阶段成果</w:t>
            </w:r>
          </w:p>
        </w:tc>
        <w:tc>
          <w:tcPr>
            <w:tcW w:w="1248" w:type="pct"/>
            <w:tcBorders>
              <w:top w:val="single" w:color="auto" w:sz="4" w:space="0"/>
              <w:left w:val="single" w:color="auto" w:sz="4" w:space="0"/>
              <w:bottom w:val="single" w:color="auto" w:sz="4" w:space="0"/>
              <w:right w:val="single" w:color="auto" w:sz="4" w:space="0"/>
            </w:tcBorders>
            <w:vAlign w:val="center"/>
          </w:tcPr>
          <w:p w14:paraId="29191CFD">
            <w:pPr>
              <w:widowControl w:val="0"/>
              <w:ind w:left="0" w:firstLine="0"/>
              <w:rPr>
                <w:rFonts w:hint="eastAsia" w:ascii="宋体" w:hAnsi="宋体"/>
                <w:color w:val="auto"/>
                <w:kern w:val="2"/>
                <w:highlight w:val="none"/>
              </w:rPr>
            </w:pPr>
            <w:r>
              <w:rPr>
                <w:rFonts w:hint="eastAsia" w:ascii="宋体" w:hAnsi="宋体"/>
                <w:color w:val="auto"/>
                <w:highlight w:val="none"/>
              </w:rPr>
              <w:t>正式方案及效果图经甲方确认后    日内</w:t>
            </w:r>
          </w:p>
        </w:tc>
        <w:tc>
          <w:tcPr>
            <w:tcW w:w="1477" w:type="pct"/>
            <w:tcBorders>
              <w:top w:val="single" w:color="auto" w:sz="4" w:space="0"/>
              <w:left w:val="single" w:color="auto" w:sz="4" w:space="0"/>
              <w:bottom w:val="single" w:color="auto" w:sz="4" w:space="0"/>
              <w:right w:val="single" w:color="auto" w:sz="4" w:space="0"/>
            </w:tcBorders>
            <w:vAlign w:val="center"/>
          </w:tcPr>
          <w:p w14:paraId="4379EB41">
            <w:pPr>
              <w:widowControl w:val="0"/>
              <w:ind w:left="0" w:firstLine="0"/>
              <w:rPr>
                <w:rFonts w:hint="eastAsia" w:ascii="宋体" w:hAnsi="宋体"/>
                <w:color w:val="auto"/>
                <w:kern w:val="2"/>
                <w:highlight w:val="none"/>
              </w:rPr>
            </w:pPr>
            <w:r>
              <w:rPr>
                <w:rFonts w:hint="eastAsia" w:ascii="宋体" w:hAnsi="宋体"/>
                <w:color w:val="auto"/>
                <w:highlight w:val="none"/>
              </w:rPr>
              <w:t>正式方案及效果图经比选人确认后</w:t>
            </w:r>
            <w:r>
              <w:rPr>
                <w:rFonts w:ascii="宋体" w:hAnsi="宋体"/>
                <w:color w:val="auto"/>
                <w:highlight w:val="none"/>
                <w:u w:val="single"/>
              </w:rPr>
              <w:t>2</w:t>
            </w:r>
            <w:r>
              <w:rPr>
                <w:rFonts w:hint="eastAsia" w:ascii="宋体" w:hAnsi="宋体"/>
                <w:color w:val="auto"/>
                <w:highlight w:val="none"/>
                <w:u w:val="single"/>
              </w:rPr>
              <w:t>0</w:t>
            </w:r>
            <w:r>
              <w:rPr>
                <w:rFonts w:hint="eastAsia" w:ascii="宋体" w:hAnsi="宋体"/>
                <w:color w:val="auto"/>
                <w:highlight w:val="none"/>
              </w:rPr>
              <w:t>日内</w:t>
            </w:r>
          </w:p>
        </w:tc>
      </w:tr>
    </w:tbl>
    <w:p w14:paraId="1E51B930">
      <w:pPr>
        <w:spacing w:before="0" w:after="0" w:afterAutospacing="0" w:line="240" w:lineRule="auto"/>
        <w:ind w:left="0" w:right="0" w:firstLine="0"/>
        <w:jc w:val="left"/>
        <w:rPr>
          <w:rFonts w:hint="eastAsia" w:ascii="宋体" w:hAnsi="宋体"/>
          <w:b/>
          <w:color w:val="auto"/>
          <w:highlight w:val="none"/>
        </w:rPr>
      </w:pPr>
      <w:r>
        <w:rPr>
          <w:rFonts w:ascii="宋体" w:hAnsi="宋体"/>
          <w:b/>
          <w:color w:val="auto"/>
          <w:highlight w:val="none"/>
        </w:rPr>
        <w:br w:type="page"/>
      </w:r>
    </w:p>
    <w:p w14:paraId="403A1E2F">
      <w:pPr>
        <w:pStyle w:val="7"/>
        <w:tabs>
          <w:tab w:val="left" w:pos="567"/>
          <w:tab w:val="left" w:pos="720"/>
        </w:tabs>
        <w:snapToGrid w:val="0"/>
        <w:spacing w:before="120" w:after="0" w:line="360" w:lineRule="auto"/>
        <w:ind w:right="-57"/>
        <w:jc w:val="left"/>
        <w:rPr>
          <w:rFonts w:hint="eastAsia" w:ascii="宋体" w:hAnsi="宋体" w:eastAsia="宋体"/>
          <w:color w:val="auto"/>
          <w:sz w:val="21"/>
          <w:szCs w:val="21"/>
          <w:highlight w:val="none"/>
        </w:rPr>
      </w:pPr>
      <w:bookmarkStart w:id="1766" w:name="_Toc6080"/>
      <w:bookmarkStart w:id="1767" w:name="_Toc10225"/>
      <w:bookmarkStart w:id="1768" w:name="_Toc114134673"/>
      <w:r>
        <w:rPr>
          <w:rFonts w:hint="eastAsia" w:ascii="宋体" w:hAnsi="宋体" w:eastAsia="宋体"/>
          <w:color w:val="auto"/>
          <w:sz w:val="21"/>
          <w:szCs w:val="21"/>
          <w:highlight w:val="none"/>
        </w:rPr>
        <w:t>C4 项目人员配置</w:t>
      </w:r>
      <w:bookmarkEnd w:id="1766"/>
      <w:bookmarkEnd w:id="1767"/>
      <w:bookmarkEnd w:id="1768"/>
    </w:p>
    <w:p w14:paraId="37159647">
      <w:pPr>
        <w:spacing w:before="0" w:after="0" w:afterAutospacing="0" w:line="480" w:lineRule="auto"/>
        <w:ind w:left="0" w:right="0" w:firstLine="200"/>
        <w:rPr>
          <w:rFonts w:hint="eastAsia" w:ascii="Times New Roman" w:hAnsi="Times New Roman" w:eastAsia="宋体" w:cs="Times New Roman"/>
          <w:color w:val="auto"/>
          <w:highlight w:val="none"/>
          <w:lang w:val="en-US" w:eastAsia="zh-CN"/>
        </w:rPr>
      </w:pPr>
      <w:r>
        <w:rPr>
          <w:rFonts w:hint="eastAsia"/>
          <w:b/>
          <w:bCs/>
          <w:color w:val="auto"/>
          <w:highlight w:val="none"/>
          <w:lang w:val="en-US" w:eastAsia="zh-CN"/>
        </w:rPr>
        <w:t>项目人员配置表</w:t>
      </w:r>
      <w:r>
        <w:rPr>
          <w:rFonts w:hint="eastAsia" w:cs="Times New Roman"/>
          <w:color w:val="auto"/>
          <w:highlight w:val="none"/>
          <w:lang w:val="en-US" w:eastAsia="zh-CN"/>
        </w:rPr>
        <w:t>（</w:t>
      </w:r>
      <w:r>
        <w:rPr>
          <w:rFonts w:hint="eastAsia" w:ascii="Times New Roman" w:hAnsi="Times New Roman" w:eastAsia="宋体" w:cs="Times New Roman"/>
          <w:color w:val="auto"/>
          <w:highlight w:val="none"/>
          <w:lang w:val="en-US" w:eastAsia="zh-CN"/>
        </w:rPr>
        <w:t>加盖比选申请人公章</w:t>
      </w:r>
      <w:r>
        <w:rPr>
          <w:rFonts w:hint="eastAsia" w:cs="Times New Roman"/>
          <w:color w:val="auto"/>
          <w:highlight w:val="none"/>
          <w:lang w:val="en-US" w:eastAsia="zh-CN"/>
        </w:rPr>
        <w:t>）：</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4"/>
        <w:gridCol w:w="949"/>
        <w:gridCol w:w="950"/>
        <w:gridCol w:w="842"/>
        <w:gridCol w:w="874"/>
        <w:gridCol w:w="917"/>
        <w:gridCol w:w="929"/>
        <w:gridCol w:w="917"/>
        <w:gridCol w:w="1045"/>
        <w:gridCol w:w="1082"/>
      </w:tblGrid>
      <w:tr w14:paraId="135DE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tcPr>
          <w:p w14:paraId="6E62FFFA">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序号</w:t>
            </w:r>
          </w:p>
        </w:tc>
        <w:tc>
          <w:tcPr>
            <w:tcW w:w="950" w:type="dxa"/>
          </w:tcPr>
          <w:p w14:paraId="0AE631EB">
            <w:pPr>
              <w:pStyle w:val="2"/>
              <w:ind w:left="0" w:leftChars="0" w:firstLine="0" w:firstLineChars="0"/>
              <w:jc w:val="center"/>
              <w:rPr>
                <w:rFonts w:hint="eastAsia" w:eastAsia="宋体"/>
                <w:b/>
                <w:bCs/>
                <w:color w:val="auto"/>
                <w:sz w:val="22"/>
                <w:szCs w:val="22"/>
                <w:highlight w:val="none"/>
                <w:lang w:val="en-US" w:eastAsia="zh-CN"/>
              </w:rPr>
            </w:pPr>
            <w:r>
              <w:rPr>
                <w:rFonts w:hint="eastAsia" w:eastAsia="宋体"/>
                <w:b/>
                <w:bCs/>
                <w:color w:val="auto"/>
                <w:sz w:val="22"/>
                <w:szCs w:val="22"/>
                <w:highlight w:val="none"/>
                <w:lang w:val="en-US" w:eastAsia="zh-CN"/>
              </w:rPr>
              <w:t>设计专业</w:t>
            </w:r>
          </w:p>
        </w:tc>
        <w:tc>
          <w:tcPr>
            <w:tcW w:w="950" w:type="dxa"/>
          </w:tcPr>
          <w:p w14:paraId="1E43C70F">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姓名</w:t>
            </w:r>
          </w:p>
        </w:tc>
        <w:tc>
          <w:tcPr>
            <w:tcW w:w="842" w:type="dxa"/>
          </w:tcPr>
          <w:p w14:paraId="7C670211">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年龄</w:t>
            </w:r>
          </w:p>
        </w:tc>
        <w:tc>
          <w:tcPr>
            <w:tcW w:w="874" w:type="dxa"/>
          </w:tcPr>
          <w:p w14:paraId="7AD91FBC">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性别</w:t>
            </w:r>
          </w:p>
        </w:tc>
        <w:tc>
          <w:tcPr>
            <w:tcW w:w="917" w:type="dxa"/>
          </w:tcPr>
          <w:p w14:paraId="08B1A1EC">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学历</w:t>
            </w:r>
          </w:p>
        </w:tc>
        <w:tc>
          <w:tcPr>
            <w:tcW w:w="929" w:type="dxa"/>
          </w:tcPr>
          <w:p w14:paraId="0D2E7C24">
            <w:pPr>
              <w:pStyle w:val="2"/>
              <w:ind w:left="0" w:leftChars="0" w:firstLine="0" w:firstLineChars="0"/>
              <w:jc w:val="center"/>
              <w:rPr>
                <w:rFonts w:hint="eastAsia" w:eastAsia="宋体"/>
                <w:b/>
                <w:bCs/>
                <w:color w:val="auto"/>
                <w:sz w:val="22"/>
                <w:szCs w:val="22"/>
                <w:highlight w:val="none"/>
                <w:lang w:eastAsia="zh-CN"/>
              </w:rPr>
            </w:pPr>
            <w:r>
              <w:rPr>
                <w:rFonts w:hint="eastAsia" w:eastAsia="宋体"/>
                <w:b/>
                <w:bCs/>
                <w:color w:val="auto"/>
                <w:sz w:val="22"/>
                <w:szCs w:val="22"/>
                <w:highlight w:val="none"/>
                <w:lang w:val="en-US" w:eastAsia="zh-CN"/>
              </w:rPr>
              <w:t>业绩</w:t>
            </w:r>
          </w:p>
        </w:tc>
        <w:tc>
          <w:tcPr>
            <w:tcW w:w="917" w:type="dxa"/>
          </w:tcPr>
          <w:p w14:paraId="2A240C15">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相关证书</w:t>
            </w:r>
          </w:p>
        </w:tc>
        <w:tc>
          <w:tcPr>
            <w:tcW w:w="1046" w:type="dxa"/>
          </w:tcPr>
          <w:p w14:paraId="2A5118E2">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lang w:val="en-US" w:eastAsia="zh-CN"/>
              </w:rPr>
              <w:t>本项目</w:t>
            </w:r>
            <w:r>
              <w:rPr>
                <w:rFonts w:hint="eastAsia" w:eastAsia="宋体"/>
                <w:b/>
                <w:bCs/>
                <w:color w:val="auto"/>
                <w:sz w:val="22"/>
                <w:szCs w:val="22"/>
                <w:highlight w:val="none"/>
              </w:rPr>
              <w:t>工作职责分工</w:t>
            </w:r>
          </w:p>
        </w:tc>
        <w:tc>
          <w:tcPr>
            <w:tcW w:w="1083" w:type="dxa"/>
          </w:tcPr>
          <w:p w14:paraId="4B8DB666">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联系电话</w:t>
            </w:r>
          </w:p>
        </w:tc>
      </w:tr>
      <w:tr w14:paraId="656D2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tcPr>
          <w:p w14:paraId="1410D122">
            <w:pPr>
              <w:pStyle w:val="2"/>
              <w:ind w:firstLine="482"/>
              <w:rPr>
                <w:b/>
                <w:bCs/>
                <w:color w:val="auto"/>
                <w:szCs w:val="24"/>
                <w:highlight w:val="none"/>
              </w:rPr>
            </w:pPr>
          </w:p>
        </w:tc>
        <w:tc>
          <w:tcPr>
            <w:tcW w:w="950" w:type="dxa"/>
          </w:tcPr>
          <w:p w14:paraId="2033A077">
            <w:pPr>
              <w:pStyle w:val="2"/>
              <w:ind w:firstLine="482"/>
              <w:rPr>
                <w:b/>
                <w:bCs/>
                <w:color w:val="auto"/>
                <w:szCs w:val="24"/>
                <w:highlight w:val="none"/>
              </w:rPr>
            </w:pPr>
          </w:p>
        </w:tc>
        <w:tc>
          <w:tcPr>
            <w:tcW w:w="950" w:type="dxa"/>
          </w:tcPr>
          <w:p w14:paraId="4FAFD867">
            <w:pPr>
              <w:pStyle w:val="2"/>
              <w:ind w:firstLine="482"/>
              <w:rPr>
                <w:b/>
                <w:bCs/>
                <w:color w:val="auto"/>
                <w:szCs w:val="24"/>
                <w:highlight w:val="none"/>
              </w:rPr>
            </w:pPr>
          </w:p>
        </w:tc>
        <w:tc>
          <w:tcPr>
            <w:tcW w:w="842" w:type="dxa"/>
          </w:tcPr>
          <w:p w14:paraId="02256296">
            <w:pPr>
              <w:pStyle w:val="2"/>
              <w:ind w:firstLine="482"/>
              <w:rPr>
                <w:b/>
                <w:bCs/>
                <w:color w:val="auto"/>
                <w:szCs w:val="24"/>
                <w:highlight w:val="none"/>
              </w:rPr>
            </w:pPr>
          </w:p>
        </w:tc>
        <w:tc>
          <w:tcPr>
            <w:tcW w:w="874" w:type="dxa"/>
          </w:tcPr>
          <w:p w14:paraId="450EEE10">
            <w:pPr>
              <w:pStyle w:val="2"/>
              <w:ind w:firstLine="482"/>
              <w:rPr>
                <w:b/>
                <w:bCs/>
                <w:color w:val="auto"/>
                <w:szCs w:val="24"/>
                <w:highlight w:val="none"/>
              </w:rPr>
            </w:pPr>
          </w:p>
        </w:tc>
        <w:tc>
          <w:tcPr>
            <w:tcW w:w="917" w:type="dxa"/>
          </w:tcPr>
          <w:p w14:paraId="4F030453">
            <w:pPr>
              <w:pStyle w:val="2"/>
              <w:ind w:firstLine="482"/>
              <w:rPr>
                <w:b/>
                <w:bCs/>
                <w:color w:val="auto"/>
                <w:szCs w:val="24"/>
                <w:highlight w:val="none"/>
              </w:rPr>
            </w:pPr>
          </w:p>
        </w:tc>
        <w:tc>
          <w:tcPr>
            <w:tcW w:w="929" w:type="dxa"/>
          </w:tcPr>
          <w:p w14:paraId="7DC70182">
            <w:pPr>
              <w:pStyle w:val="2"/>
              <w:ind w:firstLine="482"/>
              <w:rPr>
                <w:b/>
                <w:bCs/>
                <w:color w:val="auto"/>
                <w:szCs w:val="24"/>
                <w:highlight w:val="none"/>
              </w:rPr>
            </w:pPr>
          </w:p>
        </w:tc>
        <w:tc>
          <w:tcPr>
            <w:tcW w:w="917" w:type="dxa"/>
          </w:tcPr>
          <w:p w14:paraId="48D66785">
            <w:pPr>
              <w:pStyle w:val="2"/>
              <w:ind w:firstLine="482"/>
              <w:rPr>
                <w:b/>
                <w:bCs/>
                <w:color w:val="auto"/>
                <w:szCs w:val="24"/>
                <w:highlight w:val="none"/>
              </w:rPr>
            </w:pPr>
          </w:p>
        </w:tc>
        <w:tc>
          <w:tcPr>
            <w:tcW w:w="1046" w:type="dxa"/>
          </w:tcPr>
          <w:p w14:paraId="055021F5">
            <w:pPr>
              <w:pStyle w:val="2"/>
              <w:ind w:firstLine="482"/>
              <w:rPr>
                <w:b/>
                <w:bCs/>
                <w:color w:val="auto"/>
                <w:szCs w:val="24"/>
                <w:highlight w:val="none"/>
              </w:rPr>
            </w:pPr>
          </w:p>
        </w:tc>
        <w:tc>
          <w:tcPr>
            <w:tcW w:w="1083" w:type="dxa"/>
          </w:tcPr>
          <w:p w14:paraId="54BF2696">
            <w:pPr>
              <w:pStyle w:val="2"/>
              <w:ind w:firstLine="482"/>
              <w:rPr>
                <w:b/>
                <w:bCs/>
                <w:color w:val="auto"/>
                <w:szCs w:val="24"/>
                <w:highlight w:val="none"/>
              </w:rPr>
            </w:pPr>
          </w:p>
        </w:tc>
      </w:tr>
      <w:tr w14:paraId="75147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tcPr>
          <w:p w14:paraId="605E2C22">
            <w:pPr>
              <w:pStyle w:val="2"/>
              <w:ind w:firstLine="482"/>
              <w:rPr>
                <w:b/>
                <w:bCs/>
                <w:color w:val="auto"/>
                <w:szCs w:val="24"/>
                <w:highlight w:val="none"/>
              </w:rPr>
            </w:pPr>
          </w:p>
        </w:tc>
        <w:tc>
          <w:tcPr>
            <w:tcW w:w="950" w:type="dxa"/>
          </w:tcPr>
          <w:p w14:paraId="140F3ECD">
            <w:pPr>
              <w:pStyle w:val="2"/>
              <w:ind w:firstLine="482"/>
              <w:rPr>
                <w:b/>
                <w:bCs/>
                <w:color w:val="auto"/>
                <w:szCs w:val="24"/>
                <w:highlight w:val="none"/>
              </w:rPr>
            </w:pPr>
          </w:p>
        </w:tc>
        <w:tc>
          <w:tcPr>
            <w:tcW w:w="950" w:type="dxa"/>
          </w:tcPr>
          <w:p w14:paraId="2B8CE01B">
            <w:pPr>
              <w:pStyle w:val="2"/>
              <w:ind w:firstLine="482"/>
              <w:rPr>
                <w:b/>
                <w:bCs/>
                <w:color w:val="auto"/>
                <w:szCs w:val="24"/>
                <w:highlight w:val="none"/>
              </w:rPr>
            </w:pPr>
          </w:p>
        </w:tc>
        <w:tc>
          <w:tcPr>
            <w:tcW w:w="842" w:type="dxa"/>
          </w:tcPr>
          <w:p w14:paraId="52BEBDA0">
            <w:pPr>
              <w:pStyle w:val="2"/>
              <w:ind w:firstLine="482"/>
              <w:rPr>
                <w:b/>
                <w:bCs/>
                <w:color w:val="auto"/>
                <w:szCs w:val="24"/>
                <w:highlight w:val="none"/>
              </w:rPr>
            </w:pPr>
          </w:p>
        </w:tc>
        <w:tc>
          <w:tcPr>
            <w:tcW w:w="874" w:type="dxa"/>
          </w:tcPr>
          <w:p w14:paraId="5C2A2674">
            <w:pPr>
              <w:pStyle w:val="2"/>
              <w:ind w:firstLine="482"/>
              <w:rPr>
                <w:b/>
                <w:bCs/>
                <w:color w:val="auto"/>
                <w:szCs w:val="24"/>
                <w:highlight w:val="none"/>
              </w:rPr>
            </w:pPr>
          </w:p>
        </w:tc>
        <w:tc>
          <w:tcPr>
            <w:tcW w:w="917" w:type="dxa"/>
          </w:tcPr>
          <w:p w14:paraId="265C215B">
            <w:pPr>
              <w:pStyle w:val="2"/>
              <w:ind w:firstLine="482"/>
              <w:rPr>
                <w:b/>
                <w:bCs/>
                <w:color w:val="auto"/>
                <w:szCs w:val="24"/>
                <w:highlight w:val="none"/>
              </w:rPr>
            </w:pPr>
          </w:p>
        </w:tc>
        <w:tc>
          <w:tcPr>
            <w:tcW w:w="929" w:type="dxa"/>
          </w:tcPr>
          <w:p w14:paraId="751DD199">
            <w:pPr>
              <w:pStyle w:val="2"/>
              <w:ind w:firstLine="482"/>
              <w:rPr>
                <w:b/>
                <w:bCs/>
                <w:color w:val="auto"/>
                <w:szCs w:val="24"/>
                <w:highlight w:val="none"/>
              </w:rPr>
            </w:pPr>
          </w:p>
        </w:tc>
        <w:tc>
          <w:tcPr>
            <w:tcW w:w="917" w:type="dxa"/>
          </w:tcPr>
          <w:p w14:paraId="5C7FA627">
            <w:pPr>
              <w:pStyle w:val="2"/>
              <w:ind w:firstLine="482"/>
              <w:rPr>
                <w:b/>
                <w:bCs/>
                <w:color w:val="auto"/>
                <w:szCs w:val="24"/>
                <w:highlight w:val="none"/>
              </w:rPr>
            </w:pPr>
          </w:p>
        </w:tc>
        <w:tc>
          <w:tcPr>
            <w:tcW w:w="1046" w:type="dxa"/>
          </w:tcPr>
          <w:p w14:paraId="586EFD8F">
            <w:pPr>
              <w:pStyle w:val="2"/>
              <w:ind w:firstLine="482"/>
              <w:rPr>
                <w:b/>
                <w:bCs/>
                <w:color w:val="auto"/>
                <w:szCs w:val="24"/>
                <w:highlight w:val="none"/>
              </w:rPr>
            </w:pPr>
          </w:p>
        </w:tc>
        <w:tc>
          <w:tcPr>
            <w:tcW w:w="1083" w:type="dxa"/>
          </w:tcPr>
          <w:p w14:paraId="67CAD06B">
            <w:pPr>
              <w:pStyle w:val="2"/>
              <w:ind w:firstLine="482"/>
              <w:rPr>
                <w:b/>
                <w:bCs/>
                <w:color w:val="auto"/>
                <w:szCs w:val="24"/>
                <w:highlight w:val="none"/>
              </w:rPr>
            </w:pPr>
          </w:p>
        </w:tc>
      </w:tr>
      <w:tr w14:paraId="36DC5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tcPr>
          <w:p w14:paraId="0C78B903">
            <w:pPr>
              <w:pStyle w:val="2"/>
              <w:ind w:firstLine="482"/>
              <w:rPr>
                <w:b/>
                <w:bCs/>
                <w:color w:val="auto"/>
                <w:szCs w:val="24"/>
                <w:highlight w:val="none"/>
              </w:rPr>
            </w:pPr>
          </w:p>
        </w:tc>
        <w:tc>
          <w:tcPr>
            <w:tcW w:w="950" w:type="dxa"/>
          </w:tcPr>
          <w:p w14:paraId="79E76DBE">
            <w:pPr>
              <w:pStyle w:val="2"/>
              <w:ind w:firstLine="482"/>
              <w:rPr>
                <w:b/>
                <w:bCs/>
                <w:color w:val="auto"/>
                <w:szCs w:val="24"/>
                <w:highlight w:val="none"/>
              </w:rPr>
            </w:pPr>
          </w:p>
        </w:tc>
        <w:tc>
          <w:tcPr>
            <w:tcW w:w="950" w:type="dxa"/>
          </w:tcPr>
          <w:p w14:paraId="54C61D3C">
            <w:pPr>
              <w:pStyle w:val="2"/>
              <w:ind w:firstLine="482"/>
              <w:rPr>
                <w:b/>
                <w:bCs/>
                <w:color w:val="auto"/>
                <w:szCs w:val="24"/>
                <w:highlight w:val="none"/>
              </w:rPr>
            </w:pPr>
          </w:p>
        </w:tc>
        <w:tc>
          <w:tcPr>
            <w:tcW w:w="842" w:type="dxa"/>
          </w:tcPr>
          <w:p w14:paraId="6F0E194C">
            <w:pPr>
              <w:pStyle w:val="2"/>
              <w:ind w:firstLine="482"/>
              <w:rPr>
                <w:b/>
                <w:bCs/>
                <w:color w:val="auto"/>
                <w:szCs w:val="24"/>
                <w:highlight w:val="none"/>
              </w:rPr>
            </w:pPr>
          </w:p>
        </w:tc>
        <w:tc>
          <w:tcPr>
            <w:tcW w:w="874" w:type="dxa"/>
          </w:tcPr>
          <w:p w14:paraId="293784A2">
            <w:pPr>
              <w:pStyle w:val="2"/>
              <w:ind w:firstLine="482"/>
              <w:rPr>
                <w:b/>
                <w:bCs/>
                <w:color w:val="auto"/>
                <w:szCs w:val="24"/>
                <w:highlight w:val="none"/>
              </w:rPr>
            </w:pPr>
          </w:p>
        </w:tc>
        <w:tc>
          <w:tcPr>
            <w:tcW w:w="917" w:type="dxa"/>
          </w:tcPr>
          <w:p w14:paraId="5251B7C9">
            <w:pPr>
              <w:pStyle w:val="2"/>
              <w:ind w:firstLine="482"/>
              <w:rPr>
                <w:b/>
                <w:bCs/>
                <w:color w:val="auto"/>
                <w:szCs w:val="24"/>
                <w:highlight w:val="none"/>
              </w:rPr>
            </w:pPr>
          </w:p>
        </w:tc>
        <w:tc>
          <w:tcPr>
            <w:tcW w:w="929" w:type="dxa"/>
          </w:tcPr>
          <w:p w14:paraId="5546F095">
            <w:pPr>
              <w:pStyle w:val="2"/>
              <w:ind w:firstLine="482"/>
              <w:rPr>
                <w:b/>
                <w:bCs/>
                <w:color w:val="auto"/>
                <w:szCs w:val="24"/>
                <w:highlight w:val="none"/>
              </w:rPr>
            </w:pPr>
          </w:p>
        </w:tc>
        <w:tc>
          <w:tcPr>
            <w:tcW w:w="917" w:type="dxa"/>
          </w:tcPr>
          <w:p w14:paraId="589F6974">
            <w:pPr>
              <w:pStyle w:val="2"/>
              <w:ind w:firstLine="482"/>
              <w:rPr>
                <w:b/>
                <w:bCs/>
                <w:color w:val="auto"/>
                <w:szCs w:val="24"/>
                <w:highlight w:val="none"/>
              </w:rPr>
            </w:pPr>
          </w:p>
        </w:tc>
        <w:tc>
          <w:tcPr>
            <w:tcW w:w="1046" w:type="dxa"/>
          </w:tcPr>
          <w:p w14:paraId="2E5E985B">
            <w:pPr>
              <w:pStyle w:val="2"/>
              <w:ind w:firstLine="482"/>
              <w:rPr>
                <w:b/>
                <w:bCs/>
                <w:color w:val="auto"/>
                <w:szCs w:val="24"/>
                <w:highlight w:val="none"/>
              </w:rPr>
            </w:pPr>
          </w:p>
        </w:tc>
        <w:tc>
          <w:tcPr>
            <w:tcW w:w="1083" w:type="dxa"/>
          </w:tcPr>
          <w:p w14:paraId="23782DD6">
            <w:pPr>
              <w:pStyle w:val="2"/>
              <w:ind w:firstLine="482"/>
              <w:rPr>
                <w:b/>
                <w:bCs/>
                <w:color w:val="auto"/>
                <w:szCs w:val="24"/>
                <w:highlight w:val="none"/>
              </w:rPr>
            </w:pPr>
          </w:p>
        </w:tc>
      </w:tr>
      <w:tr w14:paraId="2E559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tcPr>
          <w:p w14:paraId="6AD5DC9D">
            <w:pPr>
              <w:pStyle w:val="2"/>
              <w:ind w:firstLine="482"/>
              <w:rPr>
                <w:b/>
                <w:bCs/>
                <w:color w:val="auto"/>
                <w:szCs w:val="24"/>
                <w:highlight w:val="none"/>
              </w:rPr>
            </w:pPr>
          </w:p>
        </w:tc>
        <w:tc>
          <w:tcPr>
            <w:tcW w:w="950" w:type="dxa"/>
          </w:tcPr>
          <w:p w14:paraId="16560D42">
            <w:pPr>
              <w:pStyle w:val="2"/>
              <w:ind w:firstLine="482"/>
              <w:rPr>
                <w:b/>
                <w:bCs/>
                <w:color w:val="auto"/>
                <w:szCs w:val="24"/>
                <w:highlight w:val="none"/>
              </w:rPr>
            </w:pPr>
          </w:p>
        </w:tc>
        <w:tc>
          <w:tcPr>
            <w:tcW w:w="950" w:type="dxa"/>
          </w:tcPr>
          <w:p w14:paraId="2A9732F6">
            <w:pPr>
              <w:pStyle w:val="2"/>
              <w:ind w:firstLine="482"/>
              <w:rPr>
                <w:b/>
                <w:bCs/>
                <w:color w:val="auto"/>
                <w:szCs w:val="24"/>
                <w:highlight w:val="none"/>
              </w:rPr>
            </w:pPr>
          </w:p>
        </w:tc>
        <w:tc>
          <w:tcPr>
            <w:tcW w:w="842" w:type="dxa"/>
          </w:tcPr>
          <w:p w14:paraId="770578CE">
            <w:pPr>
              <w:pStyle w:val="2"/>
              <w:ind w:firstLine="482"/>
              <w:rPr>
                <w:b/>
                <w:bCs/>
                <w:color w:val="auto"/>
                <w:szCs w:val="24"/>
                <w:highlight w:val="none"/>
              </w:rPr>
            </w:pPr>
          </w:p>
        </w:tc>
        <w:tc>
          <w:tcPr>
            <w:tcW w:w="874" w:type="dxa"/>
          </w:tcPr>
          <w:p w14:paraId="3922929F">
            <w:pPr>
              <w:pStyle w:val="2"/>
              <w:ind w:firstLine="482"/>
              <w:rPr>
                <w:b/>
                <w:bCs/>
                <w:color w:val="auto"/>
                <w:szCs w:val="24"/>
                <w:highlight w:val="none"/>
              </w:rPr>
            </w:pPr>
          </w:p>
        </w:tc>
        <w:tc>
          <w:tcPr>
            <w:tcW w:w="917" w:type="dxa"/>
          </w:tcPr>
          <w:p w14:paraId="55E1325B">
            <w:pPr>
              <w:pStyle w:val="2"/>
              <w:ind w:firstLine="482"/>
              <w:rPr>
                <w:b/>
                <w:bCs/>
                <w:color w:val="auto"/>
                <w:szCs w:val="24"/>
                <w:highlight w:val="none"/>
              </w:rPr>
            </w:pPr>
          </w:p>
        </w:tc>
        <w:tc>
          <w:tcPr>
            <w:tcW w:w="929" w:type="dxa"/>
          </w:tcPr>
          <w:p w14:paraId="7DEE340C">
            <w:pPr>
              <w:pStyle w:val="2"/>
              <w:ind w:firstLine="482"/>
              <w:rPr>
                <w:b/>
                <w:bCs/>
                <w:color w:val="auto"/>
                <w:szCs w:val="24"/>
                <w:highlight w:val="none"/>
              </w:rPr>
            </w:pPr>
          </w:p>
        </w:tc>
        <w:tc>
          <w:tcPr>
            <w:tcW w:w="917" w:type="dxa"/>
          </w:tcPr>
          <w:p w14:paraId="2272D0FA">
            <w:pPr>
              <w:pStyle w:val="2"/>
              <w:ind w:firstLine="482"/>
              <w:rPr>
                <w:b/>
                <w:bCs/>
                <w:color w:val="auto"/>
                <w:szCs w:val="24"/>
                <w:highlight w:val="none"/>
              </w:rPr>
            </w:pPr>
          </w:p>
        </w:tc>
        <w:tc>
          <w:tcPr>
            <w:tcW w:w="1046" w:type="dxa"/>
          </w:tcPr>
          <w:p w14:paraId="18D621E5">
            <w:pPr>
              <w:pStyle w:val="2"/>
              <w:ind w:firstLine="482"/>
              <w:rPr>
                <w:b/>
                <w:bCs/>
                <w:color w:val="auto"/>
                <w:szCs w:val="24"/>
                <w:highlight w:val="none"/>
              </w:rPr>
            </w:pPr>
          </w:p>
        </w:tc>
        <w:tc>
          <w:tcPr>
            <w:tcW w:w="1083" w:type="dxa"/>
          </w:tcPr>
          <w:p w14:paraId="1FC598C8">
            <w:pPr>
              <w:pStyle w:val="2"/>
              <w:ind w:firstLine="482"/>
              <w:rPr>
                <w:b/>
                <w:bCs/>
                <w:color w:val="auto"/>
                <w:szCs w:val="24"/>
                <w:highlight w:val="none"/>
              </w:rPr>
            </w:pPr>
          </w:p>
        </w:tc>
      </w:tr>
    </w:tbl>
    <w:p w14:paraId="3A465603">
      <w:pPr>
        <w:rPr>
          <w:rFonts w:hint="eastAsia"/>
          <w:color w:val="auto"/>
          <w:highlight w:val="none"/>
        </w:rPr>
      </w:pPr>
    </w:p>
    <w:p w14:paraId="4DC3FC43">
      <w:pPr>
        <w:pStyle w:val="2"/>
        <w:rPr>
          <w:rFonts w:hint="eastAsia"/>
          <w:color w:val="auto"/>
          <w:highlight w:val="none"/>
        </w:rPr>
      </w:pPr>
    </w:p>
    <w:p w14:paraId="54111F59">
      <w:pPr>
        <w:pStyle w:val="4"/>
        <w:rPr>
          <w:rFonts w:hint="eastAsia"/>
          <w:color w:val="auto"/>
          <w:highlight w:val="none"/>
        </w:rPr>
      </w:pPr>
    </w:p>
    <w:p w14:paraId="382372E2">
      <w:pPr>
        <w:pStyle w:val="5"/>
        <w:rPr>
          <w:rFonts w:hint="eastAsia"/>
          <w:color w:val="auto"/>
          <w:highlight w:val="none"/>
        </w:rPr>
      </w:pPr>
    </w:p>
    <w:p w14:paraId="062C805F">
      <w:pPr>
        <w:pStyle w:val="2"/>
        <w:rPr>
          <w:rFonts w:hint="eastAsia"/>
          <w:color w:val="auto"/>
          <w:highlight w:val="none"/>
        </w:rPr>
      </w:pPr>
    </w:p>
    <w:p w14:paraId="526BA9D3">
      <w:pPr>
        <w:pStyle w:val="4"/>
        <w:rPr>
          <w:rFonts w:hint="eastAsia"/>
          <w:color w:val="auto"/>
          <w:highlight w:val="none"/>
        </w:rPr>
      </w:pPr>
    </w:p>
    <w:p w14:paraId="4072D546">
      <w:pPr>
        <w:pStyle w:val="5"/>
        <w:rPr>
          <w:rFonts w:hint="eastAsia"/>
          <w:color w:val="auto"/>
          <w:highlight w:val="none"/>
        </w:rPr>
      </w:pPr>
    </w:p>
    <w:p w14:paraId="58DDC537">
      <w:pPr>
        <w:pStyle w:val="2"/>
        <w:rPr>
          <w:rFonts w:hint="eastAsia"/>
          <w:color w:val="auto"/>
          <w:highlight w:val="none"/>
        </w:rPr>
      </w:pPr>
    </w:p>
    <w:p w14:paraId="0FFF895A">
      <w:pPr>
        <w:pStyle w:val="4"/>
        <w:rPr>
          <w:rFonts w:hint="eastAsia"/>
          <w:color w:val="auto"/>
          <w:highlight w:val="none"/>
        </w:rPr>
      </w:pPr>
    </w:p>
    <w:p w14:paraId="7332C078">
      <w:pPr>
        <w:pStyle w:val="5"/>
        <w:rPr>
          <w:rFonts w:hint="eastAsia"/>
          <w:color w:val="auto"/>
          <w:highlight w:val="none"/>
        </w:rPr>
      </w:pPr>
    </w:p>
    <w:p w14:paraId="6FB44B2F">
      <w:pPr>
        <w:pStyle w:val="2"/>
        <w:rPr>
          <w:rFonts w:hint="eastAsia"/>
          <w:color w:val="auto"/>
          <w:highlight w:val="none"/>
        </w:rPr>
      </w:pPr>
    </w:p>
    <w:p w14:paraId="1C43C974">
      <w:pPr>
        <w:pStyle w:val="4"/>
        <w:rPr>
          <w:rFonts w:hint="eastAsia"/>
          <w:color w:val="auto"/>
          <w:highlight w:val="none"/>
        </w:rPr>
      </w:pPr>
    </w:p>
    <w:p w14:paraId="55C844D5">
      <w:pPr>
        <w:pStyle w:val="5"/>
        <w:rPr>
          <w:rFonts w:hint="eastAsia"/>
          <w:color w:val="auto"/>
          <w:highlight w:val="none"/>
        </w:rPr>
      </w:pPr>
    </w:p>
    <w:p w14:paraId="6465CBBE">
      <w:pPr>
        <w:pStyle w:val="2"/>
        <w:rPr>
          <w:rFonts w:hint="eastAsia"/>
          <w:color w:val="auto"/>
          <w:highlight w:val="none"/>
        </w:rPr>
      </w:pPr>
    </w:p>
    <w:p w14:paraId="46EFC061">
      <w:pPr>
        <w:pStyle w:val="4"/>
        <w:rPr>
          <w:rFonts w:hint="eastAsia"/>
          <w:color w:val="auto"/>
          <w:highlight w:val="none"/>
        </w:rPr>
      </w:pPr>
    </w:p>
    <w:p w14:paraId="4F66148F">
      <w:pPr>
        <w:pStyle w:val="5"/>
        <w:rPr>
          <w:rFonts w:hint="eastAsia"/>
          <w:color w:val="auto"/>
          <w:highlight w:val="none"/>
        </w:rPr>
      </w:pPr>
    </w:p>
    <w:p w14:paraId="46A7F3A9">
      <w:pPr>
        <w:pStyle w:val="2"/>
        <w:rPr>
          <w:rFonts w:hint="eastAsia"/>
          <w:color w:val="auto"/>
          <w:highlight w:val="none"/>
        </w:rPr>
      </w:pPr>
    </w:p>
    <w:p w14:paraId="5EF41675">
      <w:pPr>
        <w:pStyle w:val="4"/>
        <w:rPr>
          <w:rFonts w:hint="eastAsia"/>
          <w:color w:val="auto"/>
          <w:highlight w:val="none"/>
        </w:rPr>
      </w:pPr>
    </w:p>
    <w:p w14:paraId="10A4D050">
      <w:pPr>
        <w:pStyle w:val="14"/>
        <w:jc w:val="center"/>
        <w:rPr>
          <w:b/>
          <w:color w:val="auto"/>
          <w:highlight w:val="none"/>
        </w:rPr>
      </w:pPr>
      <w:r>
        <w:rPr>
          <w:rFonts w:hint="eastAsia"/>
          <w:b/>
          <w:color w:val="auto"/>
          <w:highlight w:val="none"/>
        </w:rPr>
        <w:t>拟派项目成员履历表</w:t>
      </w:r>
    </w:p>
    <w:tbl>
      <w:tblPr>
        <w:tblStyle w:val="36"/>
        <w:tblW w:w="8460" w:type="dxa"/>
        <w:tblInd w:w="10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8"/>
        <w:gridCol w:w="2527"/>
        <w:gridCol w:w="2009"/>
        <w:gridCol w:w="2506"/>
      </w:tblGrid>
      <w:tr w14:paraId="7CBE78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14:paraId="1DD83B5F">
            <w:pPr>
              <w:pStyle w:val="14"/>
              <w:rPr>
                <w:color w:val="auto"/>
                <w:highlight w:val="none"/>
              </w:rPr>
            </w:pPr>
            <w:r>
              <w:rPr>
                <w:rFonts w:hint="eastAsia"/>
                <w:color w:val="auto"/>
                <w:highlight w:val="none"/>
              </w:rPr>
              <w:t>姓名</w:t>
            </w:r>
          </w:p>
        </w:tc>
        <w:tc>
          <w:tcPr>
            <w:tcW w:w="2527" w:type="dxa"/>
            <w:tcBorders>
              <w:top w:val="single" w:color="000000" w:sz="6" w:space="0"/>
              <w:left w:val="nil"/>
              <w:bottom w:val="single" w:color="000000" w:sz="6" w:space="0"/>
              <w:right w:val="single" w:color="000000" w:sz="6" w:space="0"/>
            </w:tcBorders>
            <w:vAlign w:val="center"/>
          </w:tcPr>
          <w:p w14:paraId="0B6A68BB">
            <w:pPr>
              <w:pStyle w:val="14"/>
              <w:rPr>
                <w:color w:val="auto"/>
                <w:highlight w:val="none"/>
              </w:rPr>
            </w:pPr>
          </w:p>
        </w:tc>
        <w:tc>
          <w:tcPr>
            <w:tcW w:w="2009" w:type="dxa"/>
            <w:tcBorders>
              <w:top w:val="single" w:color="000000" w:sz="6" w:space="0"/>
              <w:left w:val="nil"/>
              <w:bottom w:val="single" w:color="000000" w:sz="6" w:space="0"/>
              <w:right w:val="single" w:color="000000" w:sz="6" w:space="0"/>
            </w:tcBorders>
            <w:vAlign w:val="center"/>
          </w:tcPr>
          <w:p w14:paraId="0C4090C6">
            <w:pPr>
              <w:pStyle w:val="14"/>
              <w:rPr>
                <w:color w:val="auto"/>
                <w:highlight w:val="none"/>
              </w:rPr>
            </w:pPr>
            <w:r>
              <w:rPr>
                <w:rFonts w:hint="eastAsia"/>
                <w:color w:val="auto"/>
                <w:highlight w:val="none"/>
              </w:rPr>
              <w:t>年龄</w:t>
            </w:r>
          </w:p>
        </w:tc>
        <w:tc>
          <w:tcPr>
            <w:tcW w:w="2506" w:type="dxa"/>
            <w:tcBorders>
              <w:top w:val="single" w:color="000000" w:sz="6" w:space="0"/>
              <w:left w:val="nil"/>
              <w:bottom w:val="single" w:color="000000" w:sz="6" w:space="0"/>
              <w:right w:val="single" w:color="000000" w:sz="6" w:space="0"/>
            </w:tcBorders>
            <w:vAlign w:val="center"/>
          </w:tcPr>
          <w:p w14:paraId="23FEB04E">
            <w:pPr>
              <w:pStyle w:val="14"/>
              <w:rPr>
                <w:color w:val="auto"/>
                <w:highlight w:val="none"/>
              </w:rPr>
            </w:pPr>
          </w:p>
        </w:tc>
      </w:tr>
      <w:tr w14:paraId="6783FB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14:paraId="32310438">
            <w:pPr>
              <w:pStyle w:val="14"/>
              <w:rPr>
                <w:color w:val="auto"/>
                <w:highlight w:val="none"/>
              </w:rPr>
            </w:pPr>
            <w:r>
              <w:rPr>
                <w:rFonts w:hint="eastAsia"/>
                <w:color w:val="auto"/>
                <w:highlight w:val="none"/>
              </w:rPr>
              <w:t>学历</w:t>
            </w:r>
          </w:p>
        </w:tc>
        <w:tc>
          <w:tcPr>
            <w:tcW w:w="2527" w:type="dxa"/>
            <w:tcBorders>
              <w:top w:val="single" w:color="000000" w:sz="6" w:space="0"/>
              <w:left w:val="nil"/>
              <w:bottom w:val="single" w:color="000000" w:sz="6" w:space="0"/>
              <w:right w:val="single" w:color="000000" w:sz="6" w:space="0"/>
            </w:tcBorders>
            <w:vAlign w:val="center"/>
          </w:tcPr>
          <w:p w14:paraId="1D7BAB24">
            <w:pPr>
              <w:pStyle w:val="14"/>
              <w:rPr>
                <w:color w:val="auto"/>
                <w:highlight w:val="none"/>
              </w:rPr>
            </w:pPr>
          </w:p>
        </w:tc>
        <w:tc>
          <w:tcPr>
            <w:tcW w:w="2009" w:type="dxa"/>
            <w:tcBorders>
              <w:top w:val="single" w:color="000000" w:sz="6" w:space="0"/>
              <w:left w:val="nil"/>
              <w:bottom w:val="single" w:color="000000" w:sz="6" w:space="0"/>
              <w:right w:val="single" w:color="000000" w:sz="6" w:space="0"/>
            </w:tcBorders>
            <w:vAlign w:val="center"/>
          </w:tcPr>
          <w:p w14:paraId="2C6152E7">
            <w:pPr>
              <w:pStyle w:val="14"/>
              <w:rPr>
                <w:color w:val="auto"/>
                <w:highlight w:val="none"/>
              </w:rPr>
            </w:pPr>
            <w:r>
              <w:rPr>
                <w:rFonts w:hint="eastAsia"/>
                <w:color w:val="auto"/>
                <w:highlight w:val="none"/>
              </w:rPr>
              <w:t>性别</w:t>
            </w:r>
          </w:p>
        </w:tc>
        <w:tc>
          <w:tcPr>
            <w:tcW w:w="2506" w:type="dxa"/>
            <w:tcBorders>
              <w:top w:val="single" w:color="000000" w:sz="6" w:space="0"/>
              <w:left w:val="nil"/>
              <w:bottom w:val="single" w:color="000000" w:sz="6" w:space="0"/>
              <w:right w:val="single" w:color="000000" w:sz="6" w:space="0"/>
            </w:tcBorders>
            <w:vAlign w:val="center"/>
          </w:tcPr>
          <w:p w14:paraId="2CB6450E">
            <w:pPr>
              <w:pStyle w:val="14"/>
              <w:rPr>
                <w:color w:val="auto"/>
                <w:highlight w:val="none"/>
              </w:rPr>
            </w:pPr>
          </w:p>
        </w:tc>
      </w:tr>
      <w:tr w14:paraId="086AFA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14:paraId="4D529B62">
            <w:pPr>
              <w:pStyle w:val="14"/>
              <w:rPr>
                <w:color w:val="auto"/>
                <w:highlight w:val="none"/>
              </w:rPr>
            </w:pPr>
            <w:r>
              <w:rPr>
                <w:rFonts w:hint="eastAsia"/>
                <w:color w:val="auto"/>
                <w:highlight w:val="none"/>
              </w:rPr>
              <w:t>毕业学校</w:t>
            </w:r>
          </w:p>
        </w:tc>
        <w:tc>
          <w:tcPr>
            <w:tcW w:w="2527" w:type="dxa"/>
            <w:tcBorders>
              <w:top w:val="single" w:color="000000" w:sz="6" w:space="0"/>
              <w:left w:val="nil"/>
              <w:bottom w:val="single" w:color="000000" w:sz="6" w:space="0"/>
              <w:right w:val="single" w:color="000000" w:sz="6" w:space="0"/>
            </w:tcBorders>
            <w:vAlign w:val="center"/>
          </w:tcPr>
          <w:p w14:paraId="751FDD4F">
            <w:pPr>
              <w:pStyle w:val="14"/>
              <w:rPr>
                <w:color w:val="auto"/>
                <w:highlight w:val="none"/>
              </w:rPr>
            </w:pPr>
          </w:p>
        </w:tc>
        <w:tc>
          <w:tcPr>
            <w:tcW w:w="2009" w:type="dxa"/>
            <w:tcBorders>
              <w:top w:val="single" w:color="000000" w:sz="6" w:space="0"/>
              <w:left w:val="nil"/>
              <w:bottom w:val="single" w:color="000000" w:sz="6" w:space="0"/>
              <w:right w:val="single" w:color="000000" w:sz="6" w:space="0"/>
            </w:tcBorders>
            <w:vAlign w:val="center"/>
          </w:tcPr>
          <w:p w14:paraId="627A1051">
            <w:pPr>
              <w:pStyle w:val="14"/>
              <w:rPr>
                <w:color w:val="auto"/>
                <w:highlight w:val="none"/>
              </w:rPr>
            </w:pPr>
            <w:r>
              <w:rPr>
                <w:rFonts w:hint="eastAsia"/>
                <w:color w:val="auto"/>
                <w:highlight w:val="none"/>
              </w:rPr>
              <w:t>技术资格</w:t>
            </w:r>
          </w:p>
        </w:tc>
        <w:tc>
          <w:tcPr>
            <w:tcW w:w="2506" w:type="dxa"/>
            <w:tcBorders>
              <w:top w:val="single" w:color="000000" w:sz="6" w:space="0"/>
              <w:left w:val="nil"/>
              <w:bottom w:val="single" w:color="000000" w:sz="6" w:space="0"/>
              <w:right w:val="single" w:color="000000" w:sz="6" w:space="0"/>
            </w:tcBorders>
            <w:vAlign w:val="center"/>
          </w:tcPr>
          <w:p w14:paraId="7FD0CD90">
            <w:pPr>
              <w:pStyle w:val="14"/>
              <w:rPr>
                <w:color w:val="auto"/>
                <w:highlight w:val="none"/>
              </w:rPr>
            </w:pPr>
          </w:p>
        </w:tc>
      </w:tr>
      <w:tr w14:paraId="1BE703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14:paraId="0B2692FB">
            <w:pPr>
              <w:pStyle w:val="14"/>
              <w:rPr>
                <w:color w:val="auto"/>
                <w:highlight w:val="none"/>
              </w:rPr>
            </w:pPr>
            <w:r>
              <w:rPr>
                <w:rFonts w:hint="eastAsia"/>
                <w:color w:val="auto"/>
                <w:highlight w:val="none"/>
              </w:rPr>
              <w:t>所学专业</w:t>
            </w:r>
          </w:p>
        </w:tc>
        <w:tc>
          <w:tcPr>
            <w:tcW w:w="2527" w:type="dxa"/>
            <w:tcBorders>
              <w:top w:val="single" w:color="000000" w:sz="6" w:space="0"/>
              <w:left w:val="nil"/>
              <w:bottom w:val="single" w:color="000000" w:sz="6" w:space="0"/>
              <w:right w:val="single" w:color="000000" w:sz="6" w:space="0"/>
            </w:tcBorders>
            <w:vAlign w:val="center"/>
          </w:tcPr>
          <w:p w14:paraId="61E15E7B">
            <w:pPr>
              <w:pStyle w:val="14"/>
              <w:rPr>
                <w:color w:val="auto"/>
                <w:highlight w:val="none"/>
              </w:rPr>
            </w:pPr>
          </w:p>
        </w:tc>
        <w:tc>
          <w:tcPr>
            <w:tcW w:w="2009" w:type="dxa"/>
            <w:tcBorders>
              <w:top w:val="single" w:color="000000" w:sz="6" w:space="0"/>
              <w:left w:val="nil"/>
              <w:bottom w:val="single" w:color="000000" w:sz="6" w:space="0"/>
              <w:right w:val="single" w:color="000000" w:sz="6" w:space="0"/>
            </w:tcBorders>
            <w:vAlign w:val="center"/>
          </w:tcPr>
          <w:p w14:paraId="1DF27079">
            <w:pPr>
              <w:pStyle w:val="14"/>
              <w:rPr>
                <w:color w:val="auto"/>
                <w:highlight w:val="none"/>
              </w:rPr>
            </w:pPr>
            <w:r>
              <w:rPr>
                <w:rFonts w:hint="eastAsia"/>
                <w:color w:val="auto"/>
                <w:highlight w:val="none"/>
              </w:rPr>
              <w:t>在比选申请人单位职务</w:t>
            </w:r>
          </w:p>
        </w:tc>
        <w:tc>
          <w:tcPr>
            <w:tcW w:w="2506" w:type="dxa"/>
            <w:tcBorders>
              <w:top w:val="single" w:color="000000" w:sz="6" w:space="0"/>
              <w:left w:val="nil"/>
              <w:bottom w:val="single" w:color="000000" w:sz="6" w:space="0"/>
              <w:right w:val="single" w:color="000000" w:sz="6" w:space="0"/>
            </w:tcBorders>
            <w:vAlign w:val="center"/>
          </w:tcPr>
          <w:p w14:paraId="78D198FC">
            <w:pPr>
              <w:pStyle w:val="14"/>
              <w:rPr>
                <w:color w:val="auto"/>
                <w:highlight w:val="none"/>
              </w:rPr>
            </w:pPr>
          </w:p>
        </w:tc>
      </w:tr>
      <w:tr w14:paraId="27755A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14:paraId="08743991">
            <w:pPr>
              <w:pStyle w:val="14"/>
              <w:rPr>
                <w:color w:val="auto"/>
                <w:highlight w:val="none"/>
              </w:rPr>
            </w:pPr>
            <w:r>
              <w:rPr>
                <w:rFonts w:hint="eastAsia"/>
                <w:color w:val="auto"/>
                <w:highlight w:val="none"/>
              </w:rPr>
              <w:t>毕业时间</w:t>
            </w:r>
          </w:p>
        </w:tc>
        <w:tc>
          <w:tcPr>
            <w:tcW w:w="2527" w:type="dxa"/>
            <w:tcBorders>
              <w:top w:val="single" w:color="000000" w:sz="6" w:space="0"/>
              <w:left w:val="nil"/>
              <w:bottom w:val="single" w:color="000000" w:sz="6" w:space="0"/>
              <w:right w:val="single" w:color="000000" w:sz="6" w:space="0"/>
            </w:tcBorders>
            <w:vAlign w:val="center"/>
          </w:tcPr>
          <w:p w14:paraId="6DD1338F">
            <w:pPr>
              <w:pStyle w:val="14"/>
              <w:rPr>
                <w:color w:val="auto"/>
                <w:highlight w:val="none"/>
              </w:rPr>
            </w:pPr>
          </w:p>
        </w:tc>
        <w:tc>
          <w:tcPr>
            <w:tcW w:w="2009" w:type="dxa"/>
            <w:tcBorders>
              <w:top w:val="single" w:color="000000" w:sz="6" w:space="0"/>
              <w:left w:val="nil"/>
              <w:bottom w:val="single" w:color="000000" w:sz="6" w:space="0"/>
              <w:right w:val="single" w:color="000000" w:sz="6" w:space="0"/>
            </w:tcBorders>
            <w:vAlign w:val="center"/>
          </w:tcPr>
          <w:p w14:paraId="0DB3E485">
            <w:pPr>
              <w:pStyle w:val="14"/>
              <w:rPr>
                <w:color w:val="auto"/>
                <w:highlight w:val="none"/>
              </w:rPr>
            </w:pPr>
            <w:r>
              <w:rPr>
                <w:rFonts w:hint="eastAsia"/>
                <w:color w:val="auto"/>
                <w:highlight w:val="none"/>
              </w:rPr>
              <w:t>拟在本项目</w:t>
            </w:r>
          </w:p>
          <w:p w14:paraId="495287A0">
            <w:pPr>
              <w:pStyle w:val="14"/>
              <w:rPr>
                <w:color w:val="auto"/>
                <w:highlight w:val="none"/>
              </w:rPr>
            </w:pPr>
            <w:r>
              <w:rPr>
                <w:rFonts w:hint="eastAsia"/>
                <w:color w:val="auto"/>
                <w:highlight w:val="none"/>
              </w:rPr>
              <w:t>担任岗位</w:t>
            </w:r>
          </w:p>
        </w:tc>
        <w:tc>
          <w:tcPr>
            <w:tcW w:w="2506" w:type="dxa"/>
            <w:tcBorders>
              <w:top w:val="single" w:color="000000" w:sz="6" w:space="0"/>
              <w:left w:val="nil"/>
              <w:bottom w:val="single" w:color="000000" w:sz="6" w:space="0"/>
              <w:right w:val="single" w:color="000000" w:sz="6" w:space="0"/>
            </w:tcBorders>
            <w:vAlign w:val="center"/>
          </w:tcPr>
          <w:p w14:paraId="7E29DFA3">
            <w:pPr>
              <w:pStyle w:val="14"/>
              <w:rPr>
                <w:color w:val="auto"/>
                <w:highlight w:val="none"/>
              </w:rPr>
            </w:pPr>
          </w:p>
        </w:tc>
      </w:tr>
      <w:tr w14:paraId="7A7640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rHeight w:val="449" w:hRule="atLeast"/>
        </w:trPr>
        <w:tc>
          <w:tcPr>
            <w:tcW w:w="8460" w:type="dxa"/>
            <w:gridSpan w:val="4"/>
            <w:tcBorders>
              <w:top w:val="single" w:color="000000" w:sz="6" w:space="0"/>
              <w:left w:val="single" w:color="000000" w:sz="6" w:space="0"/>
              <w:bottom w:val="single" w:color="000000" w:sz="6" w:space="0"/>
              <w:right w:val="single" w:color="000000" w:sz="6" w:space="0"/>
            </w:tcBorders>
            <w:vAlign w:val="center"/>
          </w:tcPr>
          <w:p w14:paraId="5C13B0E6">
            <w:pPr>
              <w:pStyle w:val="14"/>
              <w:rPr>
                <w:color w:val="auto"/>
                <w:highlight w:val="none"/>
              </w:rPr>
            </w:pPr>
            <w:r>
              <w:rPr>
                <w:rFonts w:hint="eastAsia"/>
                <w:color w:val="auto"/>
                <w:highlight w:val="none"/>
              </w:rPr>
              <w:t>专业工作简历</w:t>
            </w:r>
          </w:p>
        </w:tc>
      </w:tr>
      <w:tr w14:paraId="063A8F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97" w:hRule="atLeast"/>
        </w:trPr>
        <w:tc>
          <w:tcPr>
            <w:tcW w:w="8460" w:type="dxa"/>
            <w:gridSpan w:val="4"/>
            <w:tcBorders>
              <w:top w:val="single" w:color="000000" w:sz="6" w:space="0"/>
              <w:left w:val="single" w:color="000000" w:sz="6" w:space="0"/>
              <w:bottom w:val="single" w:color="000000" w:sz="6" w:space="0"/>
              <w:right w:val="single" w:color="000000" w:sz="6" w:space="0"/>
            </w:tcBorders>
            <w:vAlign w:val="center"/>
          </w:tcPr>
          <w:p w14:paraId="2586B390">
            <w:pPr>
              <w:pStyle w:val="14"/>
              <w:rPr>
                <w:color w:val="auto"/>
                <w:highlight w:val="none"/>
              </w:rPr>
            </w:pPr>
          </w:p>
          <w:p w14:paraId="3BA36E1C">
            <w:pPr>
              <w:pStyle w:val="14"/>
              <w:rPr>
                <w:color w:val="auto"/>
                <w:highlight w:val="none"/>
              </w:rPr>
            </w:pPr>
          </w:p>
          <w:p w14:paraId="07C3F700">
            <w:pPr>
              <w:pStyle w:val="14"/>
              <w:rPr>
                <w:color w:val="auto"/>
                <w:highlight w:val="none"/>
              </w:rPr>
            </w:pPr>
          </w:p>
          <w:p w14:paraId="03E771C7">
            <w:pPr>
              <w:pStyle w:val="14"/>
              <w:ind w:left="0" w:firstLine="0"/>
              <w:rPr>
                <w:color w:val="auto"/>
                <w:highlight w:val="none"/>
              </w:rPr>
            </w:pPr>
          </w:p>
          <w:p w14:paraId="61048A4D">
            <w:pPr>
              <w:pStyle w:val="14"/>
              <w:rPr>
                <w:color w:val="auto"/>
                <w:highlight w:val="none"/>
              </w:rPr>
            </w:pPr>
          </w:p>
        </w:tc>
      </w:tr>
    </w:tbl>
    <w:p w14:paraId="0FAD7CE8">
      <w:pPr>
        <w:pStyle w:val="14"/>
        <w:rPr>
          <w:color w:val="auto"/>
          <w:highlight w:val="none"/>
        </w:rPr>
      </w:pPr>
      <w:r>
        <w:rPr>
          <w:rFonts w:hint="eastAsia"/>
          <w:color w:val="auto"/>
          <w:highlight w:val="none"/>
        </w:rPr>
        <w:t>注：每人一页，本表须附人员基本信息、相关证书等证明资料。</w:t>
      </w:r>
    </w:p>
    <w:p w14:paraId="0D9D9A8A">
      <w:pPr>
        <w:snapToGrid w:val="0"/>
        <w:spacing w:after="50" w:line="280" w:lineRule="exact"/>
        <w:ind w:left="955" w:right="-817" w:firstLine="2835" w:firstLineChars="1350"/>
        <w:rPr>
          <w:rFonts w:hint="eastAsia" w:ascii="宋体" w:hAnsi="宋体"/>
          <w:color w:val="auto"/>
          <w:highlight w:val="none"/>
          <w:u w:val="single"/>
        </w:rPr>
      </w:pPr>
      <w:r>
        <w:rPr>
          <w:rFonts w:hint="eastAsia" w:ascii="宋体" w:hAnsi="宋体"/>
          <w:color w:val="auto"/>
          <w:highlight w:val="none"/>
        </w:rPr>
        <w:t>比选申请人名称（盖章）：</w:t>
      </w:r>
    </w:p>
    <w:p w14:paraId="723E53D5">
      <w:pPr>
        <w:snapToGrid w:val="0"/>
        <w:spacing w:after="50" w:line="280" w:lineRule="exact"/>
        <w:ind w:left="707" w:right="-817" w:firstLine="0"/>
        <w:jc w:val="center"/>
        <w:rPr>
          <w:rFonts w:hint="eastAsia" w:ascii="宋体" w:hAnsi="宋体"/>
          <w:color w:val="auto"/>
          <w:highlight w:val="none"/>
          <w:u w:val="single"/>
        </w:rPr>
      </w:pPr>
      <w:r>
        <w:rPr>
          <w:rFonts w:ascii="宋体" w:hAnsi="宋体"/>
          <w:color w:val="auto"/>
          <w:highlight w:val="none"/>
        </w:rPr>
        <w:t xml:space="preserve"> 法定代表人或被授权人（签字）：</w:t>
      </w:r>
    </w:p>
    <w:p w14:paraId="5C22F8F4">
      <w:pPr>
        <w:spacing w:before="0"/>
        <w:ind w:right="-57" w:firstLine="0"/>
        <w:jc w:val="center"/>
        <w:rPr>
          <w:rFonts w:hint="eastAsia" w:ascii="宋体" w:hAnsi="宋体"/>
          <w:color w:val="auto"/>
          <w:highlight w:val="none"/>
        </w:rPr>
      </w:pPr>
      <w:r>
        <w:rPr>
          <w:rFonts w:hint="eastAsia" w:ascii="宋体" w:hAnsi="宋体"/>
          <w:color w:val="auto"/>
          <w:highlight w:val="none"/>
        </w:rPr>
        <w:t>日期：年月日</w:t>
      </w:r>
    </w:p>
    <w:p w14:paraId="44B59C1B">
      <w:pPr>
        <w:spacing w:before="0" w:after="0" w:afterAutospacing="0" w:line="240" w:lineRule="auto"/>
        <w:ind w:left="0" w:right="0" w:firstLine="0"/>
        <w:jc w:val="left"/>
        <w:rPr>
          <w:rStyle w:val="54"/>
          <w:rFonts w:hint="eastAsia" w:ascii="宋体" w:hAnsi="宋体" w:eastAsia="宋体" w:cs="宋体"/>
          <w:color w:val="auto"/>
          <w:highlight w:val="none"/>
        </w:rPr>
      </w:pPr>
      <w:r>
        <w:rPr>
          <w:rStyle w:val="54"/>
          <w:rFonts w:ascii="宋体" w:hAnsi="宋体" w:eastAsia="宋体"/>
          <w:color w:val="auto"/>
          <w:highlight w:val="none"/>
        </w:rPr>
        <w:br w:type="page"/>
      </w:r>
    </w:p>
    <w:p w14:paraId="06328E21">
      <w:pPr>
        <w:pStyle w:val="7"/>
        <w:tabs>
          <w:tab w:val="left" w:pos="567"/>
          <w:tab w:val="left" w:pos="720"/>
        </w:tabs>
        <w:snapToGrid w:val="0"/>
        <w:spacing w:before="120" w:after="0" w:line="360" w:lineRule="auto"/>
        <w:ind w:right="-57"/>
        <w:jc w:val="left"/>
        <w:rPr>
          <w:rFonts w:hint="eastAsia" w:ascii="宋体" w:hAnsi="宋体" w:eastAsia="宋体"/>
          <w:color w:val="auto"/>
          <w:sz w:val="21"/>
          <w:szCs w:val="21"/>
          <w:highlight w:val="none"/>
        </w:rPr>
      </w:pPr>
      <w:bookmarkStart w:id="1769" w:name="_Toc114134674"/>
      <w:bookmarkStart w:id="1770" w:name="_Toc8583"/>
      <w:bookmarkStart w:id="1771" w:name="_Toc32762"/>
      <w:r>
        <w:rPr>
          <w:rFonts w:hint="eastAsia" w:ascii="宋体" w:hAnsi="宋体" w:eastAsia="宋体"/>
          <w:color w:val="auto"/>
          <w:sz w:val="21"/>
          <w:szCs w:val="21"/>
          <w:highlight w:val="none"/>
        </w:rPr>
        <w:t>C5业绩表</w:t>
      </w:r>
      <w:bookmarkEnd w:id="1769"/>
      <w:bookmarkEnd w:id="1770"/>
      <w:bookmarkEnd w:id="1771"/>
    </w:p>
    <w:p w14:paraId="5C83450E">
      <w:pPr>
        <w:spacing w:before="0"/>
        <w:ind w:right="-57" w:firstLine="0"/>
        <w:jc w:val="center"/>
        <w:rPr>
          <w:rFonts w:hint="eastAsia" w:ascii="宋体" w:hAnsi="宋体"/>
          <w:b/>
          <w:color w:val="auto"/>
          <w:spacing w:val="20"/>
          <w:highlight w:val="none"/>
        </w:rPr>
      </w:pPr>
      <w:r>
        <w:rPr>
          <w:rFonts w:hint="eastAsia" w:ascii="宋体" w:hAnsi="宋体"/>
          <w:b/>
          <w:color w:val="auto"/>
          <w:spacing w:val="20"/>
          <w:highlight w:val="none"/>
        </w:rPr>
        <w:t>类似项目</w:t>
      </w:r>
      <w:r>
        <w:rPr>
          <w:rFonts w:ascii="宋体" w:hAnsi="宋体"/>
          <w:b/>
          <w:color w:val="auto"/>
          <w:spacing w:val="20"/>
          <w:highlight w:val="none"/>
        </w:rPr>
        <w:t>业绩表</w:t>
      </w:r>
    </w:p>
    <w:tbl>
      <w:tblPr>
        <w:tblStyle w:val="36"/>
        <w:tblW w:w="8940"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99"/>
        <w:gridCol w:w="1092"/>
        <w:gridCol w:w="1789"/>
        <w:gridCol w:w="992"/>
        <w:gridCol w:w="993"/>
        <w:gridCol w:w="1388"/>
        <w:gridCol w:w="1044"/>
        <w:gridCol w:w="1043"/>
      </w:tblGrid>
      <w:tr w14:paraId="59C442A2">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599" w:type="dxa"/>
            <w:tcBorders>
              <w:top w:val="double" w:color="auto" w:sz="4" w:space="0"/>
            </w:tcBorders>
            <w:vAlign w:val="center"/>
          </w:tcPr>
          <w:p w14:paraId="32FD055A">
            <w:pPr>
              <w:ind w:left="0" w:firstLine="0"/>
              <w:rPr>
                <w:rFonts w:hint="eastAsia" w:ascii="宋体" w:hAnsi="宋体"/>
                <w:color w:val="auto"/>
                <w:highlight w:val="none"/>
              </w:rPr>
            </w:pPr>
            <w:r>
              <w:rPr>
                <w:rFonts w:hint="eastAsia" w:ascii="宋体" w:hAnsi="宋体"/>
                <w:color w:val="auto"/>
                <w:highlight w:val="none"/>
              </w:rPr>
              <w:t>序号</w:t>
            </w:r>
          </w:p>
        </w:tc>
        <w:tc>
          <w:tcPr>
            <w:tcW w:w="1092" w:type="dxa"/>
            <w:tcBorders>
              <w:top w:val="double" w:color="auto" w:sz="4" w:space="0"/>
            </w:tcBorders>
            <w:vAlign w:val="center"/>
          </w:tcPr>
          <w:p w14:paraId="2FC30A50">
            <w:pPr>
              <w:ind w:left="0" w:firstLine="0"/>
              <w:rPr>
                <w:rFonts w:hint="eastAsia" w:ascii="宋体" w:hAnsi="宋体"/>
                <w:color w:val="auto"/>
                <w:highlight w:val="none"/>
              </w:rPr>
            </w:pPr>
            <w:r>
              <w:rPr>
                <w:rFonts w:hint="eastAsia" w:ascii="宋体" w:hAnsi="宋体"/>
                <w:color w:val="auto"/>
                <w:highlight w:val="none"/>
              </w:rPr>
              <w:t>项目名称</w:t>
            </w:r>
          </w:p>
        </w:tc>
        <w:tc>
          <w:tcPr>
            <w:tcW w:w="1789" w:type="dxa"/>
            <w:tcBorders>
              <w:top w:val="double" w:color="auto" w:sz="4" w:space="0"/>
            </w:tcBorders>
            <w:vAlign w:val="center"/>
          </w:tcPr>
          <w:p w14:paraId="686F76E0">
            <w:pPr>
              <w:ind w:left="0" w:firstLine="0"/>
              <w:rPr>
                <w:rFonts w:hint="eastAsia" w:ascii="宋体" w:hAnsi="宋体"/>
                <w:color w:val="auto"/>
                <w:highlight w:val="none"/>
              </w:rPr>
            </w:pPr>
            <w:r>
              <w:rPr>
                <w:rFonts w:hint="eastAsia" w:ascii="宋体" w:hAnsi="宋体"/>
                <w:color w:val="auto"/>
                <w:highlight w:val="none"/>
              </w:rPr>
              <w:t>合同内容（简述：含设计面积及单方造价等内容）</w:t>
            </w:r>
          </w:p>
        </w:tc>
        <w:tc>
          <w:tcPr>
            <w:tcW w:w="992" w:type="dxa"/>
            <w:tcBorders>
              <w:top w:val="double" w:color="auto" w:sz="4" w:space="0"/>
            </w:tcBorders>
            <w:vAlign w:val="center"/>
          </w:tcPr>
          <w:p w14:paraId="17306B16">
            <w:pPr>
              <w:ind w:left="0" w:firstLine="0"/>
              <w:jc w:val="center"/>
              <w:rPr>
                <w:rFonts w:hint="eastAsia" w:ascii="宋体" w:hAnsi="宋体"/>
                <w:color w:val="auto"/>
                <w:highlight w:val="none"/>
              </w:rPr>
            </w:pPr>
            <w:r>
              <w:rPr>
                <w:rFonts w:hint="eastAsia" w:ascii="宋体" w:hAnsi="宋体"/>
                <w:color w:val="auto"/>
                <w:highlight w:val="none"/>
              </w:rPr>
              <w:t>合同</w:t>
            </w:r>
            <w:r>
              <w:rPr>
                <w:rFonts w:ascii="宋体" w:hAnsi="宋体"/>
                <w:color w:val="auto"/>
                <w:highlight w:val="none"/>
              </w:rPr>
              <w:br w:type="textWrapping"/>
            </w:r>
            <w:r>
              <w:rPr>
                <w:rFonts w:hint="eastAsia" w:ascii="宋体" w:hAnsi="宋体"/>
                <w:color w:val="auto"/>
                <w:highlight w:val="none"/>
              </w:rPr>
              <w:t>金额（元）</w:t>
            </w:r>
          </w:p>
        </w:tc>
        <w:tc>
          <w:tcPr>
            <w:tcW w:w="993" w:type="dxa"/>
            <w:tcBorders>
              <w:top w:val="double" w:color="auto" w:sz="4" w:space="0"/>
            </w:tcBorders>
            <w:vAlign w:val="center"/>
          </w:tcPr>
          <w:p w14:paraId="3788DA33">
            <w:pPr>
              <w:ind w:left="0" w:firstLine="0"/>
              <w:jc w:val="center"/>
              <w:rPr>
                <w:rFonts w:hint="eastAsia" w:ascii="宋体" w:hAnsi="宋体"/>
                <w:color w:val="auto"/>
                <w:highlight w:val="none"/>
              </w:rPr>
            </w:pPr>
            <w:r>
              <w:rPr>
                <w:rFonts w:hint="eastAsia" w:ascii="宋体" w:hAnsi="宋体"/>
                <w:color w:val="auto"/>
                <w:highlight w:val="none"/>
              </w:rPr>
              <w:t>签订</w:t>
            </w:r>
            <w:r>
              <w:rPr>
                <w:rFonts w:ascii="宋体" w:hAnsi="宋体"/>
                <w:color w:val="auto"/>
                <w:highlight w:val="none"/>
              </w:rPr>
              <w:br w:type="textWrapping"/>
            </w:r>
            <w:r>
              <w:rPr>
                <w:rFonts w:hint="eastAsia" w:ascii="宋体" w:hAnsi="宋体"/>
                <w:color w:val="auto"/>
                <w:highlight w:val="none"/>
              </w:rPr>
              <w:t>时间</w:t>
            </w:r>
          </w:p>
        </w:tc>
        <w:tc>
          <w:tcPr>
            <w:tcW w:w="1388" w:type="dxa"/>
            <w:tcBorders>
              <w:top w:val="double" w:color="auto" w:sz="4" w:space="0"/>
            </w:tcBorders>
            <w:vAlign w:val="center"/>
          </w:tcPr>
          <w:p w14:paraId="18279AA4">
            <w:pPr>
              <w:ind w:left="0" w:firstLine="0"/>
              <w:jc w:val="center"/>
              <w:rPr>
                <w:rFonts w:hint="eastAsia" w:ascii="宋体" w:hAnsi="宋体"/>
                <w:color w:val="auto"/>
                <w:highlight w:val="none"/>
              </w:rPr>
            </w:pPr>
            <w:r>
              <w:rPr>
                <w:rFonts w:hint="eastAsia" w:ascii="宋体" w:hAnsi="宋体"/>
                <w:color w:val="auto"/>
                <w:highlight w:val="none"/>
              </w:rPr>
              <w:t>供货、</w:t>
            </w:r>
            <w:r>
              <w:rPr>
                <w:rFonts w:hint="eastAsia"/>
                <w:color w:val="auto"/>
                <w:highlight w:val="none"/>
              </w:rPr>
              <w:t>工期或服务</w:t>
            </w:r>
            <w:r>
              <w:rPr>
                <w:rFonts w:hint="eastAsia" w:ascii="宋体" w:hAnsi="宋体"/>
                <w:color w:val="auto"/>
                <w:highlight w:val="none"/>
              </w:rPr>
              <w:t>时间</w:t>
            </w:r>
          </w:p>
        </w:tc>
        <w:tc>
          <w:tcPr>
            <w:tcW w:w="1044" w:type="dxa"/>
            <w:tcBorders>
              <w:top w:val="double" w:color="auto" w:sz="4" w:space="0"/>
            </w:tcBorders>
            <w:vAlign w:val="center"/>
          </w:tcPr>
          <w:p w14:paraId="42643D53">
            <w:pPr>
              <w:ind w:left="0" w:firstLine="0"/>
              <w:rPr>
                <w:rFonts w:hint="eastAsia" w:ascii="宋体" w:hAnsi="宋体"/>
                <w:color w:val="auto"/>
                <w:highlight w:val="none"/>
              </w:rPr>
            </w:pPr>
            <w:r>
              <w:rPr>
                <w:rFonts w:hint="eastAsia" w:ascii="宋体" w:hAnsi="宋体"/>
                <w:color w:val="auto"/>
                <w:highlight w:val="none"/>
              </w:rPr>
              <w:t>业主单位</w:t>
            </w:r>
          </w:p>
        </w:tc>
        <w:tc>
          <w:tcPr>
            <w:tcW w:w="1043" w:type="dxa"/>
            <w:tcBorders>
              <w:top w:val="double" w:color="auto" w:sz="4" w:space="0"/>
            </w:tcBorders>
            <w:vAlign w:val="center"/>
          </w:tcPr>
          <w:p w14:paraId="1A917864">
            <w:pPr>
              <w:ind w:left="0" w:firstLine="0"/>
              <w:rPr>
                <w:rFonts w:hint="eastAsia" w:ascii="宋体" w:hAnsi="宋体"/>
                <w:color w:val="auto"/>
                <w:highlight w:val="none"/>
              </w:rPr>
            </w:pPr>
            <w:r>
              <w:rPr>
                <w:rFonts w:hint="eastAsia" w:ascii="宋体" w:hAnsi="宋体"/>
                <w:color w:val="auto"/>
                <w:highlight w:val="none"/>
              </w:rPr>
              <w:t>联系电话</w:t>
            </w:r>
          </w:p>
        </w:tc>
      </w:tr>
      <w:tr w14:paraId="31B3979C">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599" w:type="dxa"/>
          </w:tcPr>
          <w:p w14:paraId="593D246E">
            <w:pPr>
              <w:ind w:left="0" w:firstLine="0"/>
              <w:rPr>
                <w:rFonts w:hint="eastAsia" w:ascii="宋体" w:hAnsi="宋体"/>
                <w:color w:val="auto"/>
                <w:highlight w:val="none"/>
              </w:rPr>
            </w:pPr>
          </w:p>
        </w:tc>
        <w:tc>
          <w:tcPr>
            <w:tcW w:w="1092" w:type="dxa"/>
          </w:tcPr>
          <w:p w14:paraId="19AB792A">
            <w:pPr>
              <w:ind w:left="0" w:firstLine="0"/>
              <w:rPr>
                <w:rFonts w:hint="eastAsia" w:ascii="宋体" w:hAnsi="宋体"/>
                <w:color w:val="auto"/>
                <w:highlight w:val="none"/>
              </w:rPr>
            </w:pPr>
          </w:p>
        </w:tc>
        <w:tc>
          <w:tcPr>
            <w:tcW w:w="1789" w:type="dxa"/>
          </w:tcPr>
          <w:p w14:paraId="6253F4A2">
            <w:pPr>
              <w:ind w:left="0" w:firstLine="0"/>
              <w:rPr>
                <w:rFonts w:hint="eastAsia" w:ascii="宋体" w:hAnsi="宋体"/>
                <w:color w:val="auto"/>
                <w:highlight w:val="none"/>
              </w:rPr>
            </w:pPr>
          </w:p>
        </w:tc>
        <w:tc>
          <w:tcPr>
            <w:tcW w:w="992" w:type="dxa"/>
          </w:tcPr>
          <w:p w14:paraId="49DCC36B">
            <w:pPr>
              <w:ind w:left="0" w:firstLine="0"/>
              <w:rPr>
                <w:rFonts w:hint="eastAsia" w:ascii="宋体" w:hAnsi="宋体"/>
                <w:color w:val="auto"/>
                <w:highlight w:val="none"/>
              </w:rPr>
            </w:pPr>
          </w:p>
        </w:tc>
        <w:tc>
          <w:tcPr>
            <w:tcW w:w="993" w:type="dxa"/>
          </w:tcPr>
          <w:p w14:paraId="3541AE2C">
            <w:pPr>
              <w:ind w:left="0" w:firstLine="0"/>
              <w:rPr>
                <w:rFonts w:hint="eastAsia" w:ascii="宋体" w:hAnsi="宋体"/>
                <w:color w:val="auto"/>
                <w:highlight w:val="none"/>
              </w:rPr>
            </w:pPr>
          </w:p>
        </w:tc>
        <w:tc>
          <w:tcPr>
            <w:tcW w:w="1388" w:type="dxa"/>
          </w:tcPr>
          <w:p w14:paraId="33C3A0B5">
            <w:pPr>
              <w:ind w:left="0" w:firstLine="0"/>
              <w:rPr>
                <w:rFonts w:hint="eastAsia" w:ascii="宋体" w:hAnsi="宋体"/>
                <w:color w:val="auto"/>
                <w:highlight w:val="none"/>
              </w:rPr>
            </w:pPr>
          </w:p>
        </w:tc>
        <w:tc>
          <w:tcPr>
            <w:tcW w:w="1044" w:type="dxa"/>
          </w:tcPr>
          <w:p w14:paraId="72F9079B">
            <w:pPr>
              <w:ind w:left="0" w:firstLine="0"/>
              <w:rPr>
                <w:rFonts w:hint="eastAsia" w:ascii="宋体" w:hAnsi="宋体"/>
                <w:color w:val="auto"/>
                <w:highlight w:val="none"/>
              </w:rPr>
            </w:pPr>
          </w:p>
        </w:tc>
        <w:tc>
          <w:tcPr>
            <w:tcW w:w="1043" w:type="dxa"/>
          </w:tcPr>
          <w:p w14:paraId="56A5CCEE">
            <w:pPr>
              <w:ind w:left="0" w:firstLine="0"/>
              <w:rPr>
                <w:rFonts w:hint="eastAsia" w:ascii="宋体" w:hAnsi="宋体"/>
                <w:color w:val="auto"/>
                <w:highlight w:val="none"/>
              </w:rPr>
            </w:pPr>
          </w:p>
        </w:tc>
      </w:tr>
      <w:tr w14:paraId="0ABE1505">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51CC0AA5">
            <w:pPr>
              <w:ind w:left="0" w:firstLine="0"/>
              <w:rPr>
                <w:rFonts w:hint="eastAsia" w:ascii="宋体" w:hAnsi="宋体"/>
                <w:color w:val="auto"/>
                <w:highlight w:val="none"/>
              </w:rPr>
            </w:pPr>
          </w:p>
        </w:tc>
        <w:tc>
          <w:tcPr>
            <w:tcW w:w="1092" w:type="dxa"/>
            <w:vAlign w:val="center"/>
          </w:tcPr>
          <w:p w14:paraId="1BC14704">
            <w:pPr>
              <w:ind w:left="0" w:firstLine="0"/>
              <w:rPr>
                <w:rFonts w:hint="eastAsia" w:ascii="宋体" w:hAnsi="宋体"/>
                <w:color w:val="auto"/>
                <w:highlight w:val="none"/>
              </w:rPr>
            </w:pPr>
          </w:p>
        </w:tc>
        <w:tc>
          <w:tcPr>
            <w:tcW w:w="1789" w:type="dxa"/>
            <w:vAlign w:val="center"/>
          </w:tcPr>
          <w:p w14:paraId="60CE2D95">
            <w:pPr>
              <w:ind w:left="0" w:firstLine="0"/>
              <w:rPr>
                <w:rFonts w:hint="eastAsia" w:ascii="宋体" w:hAnsi="宋体"/>
                <w:color w:val="auto"/>
                <w:highlight w:val="none"/>
              </w:rPr>
            </w:pPr>
          </w:p>
        </w:tc>
        <w:tc>
          <w:tcPr>
            <w:tcW w:w="992" w:type="dxa"/>
            <w:vAlign w:val="center"/>
          </w:tcPr>
          <w:p w14:paraId="60B791C2">
            <w:pPr>
              <w:ind w:left="0" w:firstLine="0"/>
              <w:rPr>
                <w:rFonts w:hint="eastAsia" w:ascii="宋体" w:hAnsi="宋体"/>
                <w:color w:val="auto"/>
                <w:highlight w:val="none"/>
              </w:rPr>
            </w:pPr>
          </w:p>
        </w:tc>
        <w:tc>
          <w:tcPr>
            <w:tcW w:w="993" w:type="dxa"/>
            <w:vAlign w:val="center"/>
          </w:tcPr>
          <w:p w14:paraId="7D5F9724">
            <w:pPr>
              <w:ind w:left="0" w:firstLine="0"/>
              <w:rPr>
                <w:rFonts w:hint="eastAsia" w:ascii="宋体" w:hAnsi="宋体"/>
                <w:color w:val="auto"/>
                <w:highlight w:val="none"/>
              </w:rPr>
            </w:pPr>
          </w:p>
        </w:tc>
        <w:tc>
          <w:tcPr>
            <w:tcW w:w="1388" w:type="dxa"/>
          </w:tcPr>
          <w:p w14:paraId="57362DD9">
            <w:pPr>
              <w:ind w:left="0" w:firstLine="0"/>
              <w:rPr>
                <w:rFonts w:hint="eastAsia" w:ascii="宋体" w:hAnsi="宋体"/>
                <w:color w:val="auto"/>
                <w:highlight w:val="none"/>
              </w:rPr>
            </w:pPr>
          </w:p>
        </w:tc>
        <w:tc>
          <w:tcPr>
            <w:tcW w:w="1044" w:type="dxa"/>
            <w:vAlign w:val="center"/>
          </w:tcPr>
          <w:p w14:paraId="5489BBB7">
            <w:pPr>
              <w:ind w:left="0" w:firstLine="0"/>
              <w:rPr>
                <w:rFonts w:hint="eastAsia" w:ascii="宋体" w:hAnsi="宋体"/>
                <w:color w:val="auto"/>
                <w:highlight w:val="none"/>
              </w:rPr>
            </w:pPr>
          </w:p>
        </w:tc>
        <w:tc>
          <w:tcPr>
            <w:tcW w:w="1043" w:type="dxa"/>
            <w:vAlign w:val="center"/>
          </w:tcPr>
          <w:p w14:paraId="42F34C2C">
            <w:pPr>
              <w:ind w:left="0" w:firstLine="0"/>
              <w:rPr>
                <w:rFonts w:hint="eastAsia" w:ascii="宋体" w:hAnsi="宋体"/>
                <w:color w:val="auto"/>
                <w:highlight w:val="none"/>
              </w:rPr>
            </w:pPr>
          </w:p>
        </w:tc>
      </w:tr>
      <w:tr w14:paraId="2B05F183">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39391CE9">
            <w:pPr>
              <w:ind w:left="0" w:firstLine="0"/>
              <w:rPr>
                <w:rFonts w:hint="eastAsia" w:ascii="宋体" w:hAnsi="宋体"/>
                <w:color w:val="auto"/>
                <w:highlight w:val="none"/>
              </w:rPr>
            </w:pPr>
          </w:p>
        </w:tc>
        <w:tc>
          <w:tcPr>
            <w:tcW w:w="1092" w:type="dxa"/>
            <w:vAlign w:val="center"/>
          </w:tcPr>
          <w:p w14:paraId="5F16E40B">
            <w:pPr>
              <w:ind w:left="0" w:firstLine="0"/>
              <w:rPr>
                <w:rFonts w:hint="eastAsia" w:ascii="宋体" w:hAnsi="宋体"/>
                <w:color w:val="auto"/>
                <w:highlight w:val="none"/>
              </w:rPr>
            </w:pPr>
          </w:p>
        </w:tc>
        <w:tc>
          <w:tcPr>
            <w:tcW w:w="1789" w:type="dxa"/>
            <w:vAlign w:val="center"/>
          </w:tcPr>
          <w:p w14:paraId="0C376C31">
            <w:pPr>
              <w:ind w:left="0" w:firstLine="0"/>
              <w:rPr>
                <w:rFonts w:hint="eastAsia" w:ascii="宋体" w:hAnsi="宋体"/>
                <w:color w:val="auto"/>
                <w:highlight w:val="none"/>
              </w:rPr>
            </w:pPr>
          </w:p>
        </w:tc>
        <w:tc>
          <w:tcPr>
            <w:tcW w:w="992" w:type="dxa"/>
            <w:vAlign w:val="center"/>
          </w:tcPr>
          <w:p w14:paraId="453E4062">
            <w:pPr>
              <w:ind w:left="0" w:firstLine="0"/>
              <w:rPr>
                <w:rFonts w:hint="eastAsia" w:ascii="宋体" w:hAnsi="宋体"/>
                <w:color w:val="auto"/>
                <w:highlight w:val="none"/>
              </w:rPr>
            </w:pPr>
          </w:p>
        </w:tc>
        <w:tc>
          <w:tcPr>
            <w:tcW w:w="993" w:type="dxa"/>
            <w:vAlign w:val="center"/>
          </w:tcPr>
          <w:p w14:paraId="0038CC5E">
            <w:pPr>
              <w:ind w:left="0" w:firstLine="0"/>
              <w:rPr>
                <w:rFonts w:hint="eastAsia" w:ascii="宋体" w:hAnsi="宋体"/>
                <w:color w:val="auto"/>
                <w:highlight w:val="none"/>
              </w:rPr>
            </w:pPr>
          </w:p>
        </w:tc>
        <w:tc>
          <w:tcPr>
            <w:tcW w:w="1388" w:type="dxa"/>
          </w:tcPr>
          <w:p w14:paraId="1E04E0AE">
            <w:pPr>
              <w:ind w:left="0" w:firstLine="0"/>
              <w:rPr>
                <w:rFonts w:hint="eastAsia" w:ascii="宋体" w:hAnsi="宋体"/>
                <w:color w:val="auto"/>
                <w:highlight w:val="none"/>
              </w:rPr>
            </w:pPr>
          </w:p>
        </w:tc>
        <w:tc>
          <w:tcPr>
            <w:tcW w:w="1044" w:type="dxa"/>
            <w:vAlign w:val="center"/>
          </w:tcPr>
          <w:p w14:paraId="3C2C4556">
            <w:pPr>
              <w:ind w:left="0" w:firstLine="0"/>
              <w:rPr>
                <w:rFonts w:hint="eastAsia" w:ascii="宋体" w:hAnsi="宋体"/>
                <w:color w:val="auto"/>
                <w:highlight w:val="none"/>
              </w:rPr>
            </w:pPr>
          </w:p>
        </w:tc>
        <w:tc>
          <w:tcPr>
            <w:tcW w:w="1043" w:type="dxa"/>
            <w:vAlign w:val="center"/>
          </w:tcPr>
          <w:p w14:paraId="096CB91B">
            <w:pPr>
              <w:ind w:left="0" w:firstLine="0"/>
              <w:rPr>
                <w:rFonts w:hint="eastAsia" w:ascii="宋体" w:hAnsi="宋体"/>
                <w:color w:val="auto"/>
                <w:highlight w:val="none"/>
              </w:rPr>
            </w:pPr>
          </w:p>
        </w:tc>
      </w:tr>
    </w:tbl>
    <w:p w14:paraId="4C78DC98">
      <w:pPr>
        <w:spacing w:before="0"/>
        <w:ind w:right="-57"/>
        <w:jc w:val="left"/>
        <w:rPr>
          <w:rFonts w:hint="eastAsia" w:ascii="宋体" w:hAnsi="宋体"/>
          <w:color w:val="auto"/>
          <w:highlight w:val="none"/>
        </w:rPr>
      </w:pPr>
    </w:p>
    <w:p w14:paraId="630132F7">
      <w:pPr>
        <w:pStyle w:val="2"/>
        <w:ind w:firstLine="3081" w:firstLineChars="1100"/>
        <w:rPr>
          <w:rFonts w:hint="eastAsia"/>
          <w:color w:val="auto"/>
          <w:highlight w:val="none"/>
        </w:rPr>
      </w:pPr>
      <w:r>
        <w:rPr>
          <w:rFonts w:hint="eastAsia" w:ascii="宋体" w:hAnsi="宋体"/>
          <w:b/>
          <w:color w:val="auto"/>
          <w:spacing w:val="20"/>
          <w:highlight w:val="none"/>
        </w:rPr>
        <w:t>项目</w:t>
      </w:r>
      <w:r>
        <w:rPr>
          <w:rFonts w:hint="eastAsia" w:ascii="宋体" w:hAnsi="宋体" w:eastAsia="宋体"/>
          <w:b/>
          <w:color w:val="auto"/>
          <w:spacing w:val="20"/>
          <w:highlight w:val="none"/>
          <w:lang w:val="en-US" w:eastAsia="zh-CN"/>
        </w:rPr>
        <w:t>负责人</w:t>
      </w:r>
      <w:r>
        <w:rPr>
          <w:rFonts w:ascii="宋体" w:hAnsi="宋体"/>
          <w:b/>
          <w:color w:val="auto"/>
          <w:spacing w:val="20"/>
          <w:highlight w:val="none"/>
        </w:rPr>
        <w:t>业绩表</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0"/>
        <w:gridCol w:w="1061"/>
        <w:gridCol w:w="940"/>
        <w:gridCol w:w="976"/>
        <w:gridCol w:w="1024"/>
        <w:gridCol w:w="1037"/>
        <w:gridCol w:w="1024"/>
        <w:gridCol w:w="1168"/>
        <w:gridCol w:w="1209"/>
      </w:tblGrid>
      <w:tr w14:paraId="7B5F3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 w:type="dxa"/>
          </w:tcPr>
          <w:p w14:paraId="559746B2">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序号</w:t>
            </w:r>
          </w:p>
        </w:tc>
        <w:tc>
          <w:tcPr>
            <w:tcW w:w="1061" w:type="dxa"/>
          </w:tcPr>
          <w:p w14:paraId="3C202D32">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姓名</w:t>
            </w:r>
          </w:p>
        </w:tc>
        <w:tc>
          <w:tcPr>
            <w:tcW w:w="940" w:type="dxa"/>
          </w:tcPr>
          <w:p w14:paraId="640B870A">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年龄</w:t>
            </w:r>
          </w:p>
        </w:tc>
        <w:tc>
          <w:tcPr>
            <w:tcW w:w="976" w:type="dxa"/>
          </w:tcPr>
          <w:p w14:paraId="08FE5E79">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性别</w:t>
            </w:r>
          </w:p>
        </w:tc>
        <w:tc>
          <w:tcPr>
            <w:tcW w:w="1024" w:type="dxa"/>
          </w:tcPr>
          <w:p w14:paraId="76266495">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学历</w:t>
            </w:r>
          </w:p>
        </w:tc>
        <w:tc>
          <w:tcPr>
            <w:tcW w:w="1037" w:type="dxa"/>
          </w:tcPr>
          <w:p w14:paraId="30919CE7">
            <w:pPr>
              <w:pStyle w:val="2"/>
              <w:ind w:left="0" w:leftChars="0" w:firstLine="0" w:firstLineChars="0"/>
              <w:jc w:val="center"/>
              <w:rPr>
                <w:rFonts w:hint="eastAsia" w:eastAsia="宋体"/>
                <w:b/>
                <w:bCs/>
                <w:color w:val="auto"/>
                <w:sz w:val="22"/>
                <w:szCs w:val="22"/>
                <w:highlight w:val="none"/>
                <w:lang w:eastAsia="zh-CN"/>
              </w:rPr>
            </w:pPr>
            <w:r>
              <w:rPr>
                <w:rFonts w:hint="eastAsia" w:eastAsia="宋体"/>
                <w:b/>
                <w:bCs/>
                <w:color w:val="auto"/>
                <w:sz w:val="22"/>
                <w:szCs w:val="22"/>
                <w:highlight w:val="none"/>
                <w:lang w:val="en-US" w:eastAsia="zh-CN"/>
              </w:rPr>
              <w:t>业绩</w:t>
            </w:r>
          </w:p>
        </w:tc>
        <w:tc>
          <w:tcPr>
            <w:tcW w:w="1024" w:type="dxa"/>
          </w:tcPr>
          <w:p w14:paraId="46AABB92">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相关证书</w:t>
            </w:r>
          </w:p>
        </w:tc>
        <w:tc>
          <w:tcPr>
            <w:tcW w:w="1168" w:type="dxa"/>
          </w:tcPr>
          <w:p w14:paraId="31305A46">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工作职责分工</w:t>
            </w:r>
          </w:p>
        </w:tc>
        <w:tc>
          <w:tcPr>
            <w:tcW w:w="1209" w:type="dxa"/>
          </w:tcPr>
          <w:p w14:paraId="45E2CB94">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联系电话</w:t>
            </w:r>
          </w:p>
        </w:tc>
      </w:tr>
      <w:tr w14:paraId="6976A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 w:type="dxa"/>
          </w:tcPr>
          <w:p w14:paraId="2F2D48E6">
            <w:pPr>
              <w:pStyle w:val="2"/>
              <w:ind w:firstLine="482"/>
              <w:rPr>
                <w:b/>
                <w:bCs/>
                <w:color w:val="auto"/>
                <w:szCs w:val="24"/>
                <w:highlight w:val="none"/>
              </w:rPr>
            </w:pPr>
          </w:p>
        </w:tc>
        <w:tc>
          <w:tcPr>
            <w:tcW w:w="1061" w:type="dxa"/>
          </w:tcPr>
          <w:p w14:paraId="72E7F4EE">
            <w:pPr>
              <w:pStyle w:val="2"/>
              <w:ind w:firstLine="482"/>
              <w:rPr>
                <w:b/>
                <w:bCs/>
                <w:color w:val="auto"/>
                <w:szCs w:val="24"/>
                <w:highlight w:val="none"/>
              </w:rPr>
            </w:pPr>
          </w:p>
        </w:tc>
        <w:tc>
          <w:tcPr>
            <w:tcW w:w="940" w:type="dxa"/>
          </w:tcPr>
          <w:p w14:paraId="4D1C8FD5">
            <w:pPr>
              <w:pStyle w:val="2"/>
              <w:ind w:firstLine="482"/>
              <w:rPr>
                <w:b/>
                <w:bCs/>
                <w:color w:val="auto"/>
                <w:szCs w:val="24"/>
                <w:highlight w:val="none"/>
              </w:rPr>
            </w:pPr>
          </w:p>
        </w:tc>
        <w:tc>
          <w:tcPr>
            <w:tcW w:w="976" w:type="dxa"/>
          </w:tcPr>
          <w:p w14:paraId="7912166B">
            <w:pPr>
              <w:pStyle w:val="2"/>
              <w:ind w:firstLine="482"/>
              <w:rPr>
                <w:b/>
                <w:bCs/>
                <w:color w:val="auto"/>
                <w:szCs w:val="24"/>
                <w:highlight w:val="none"/>
              </w:rPr>
            </w:pPr>
          </w:p>
        </w:tc>
        <w:tc>
          <w:tcPr>
            <w:tcW w:w="1024" w:type="dxa"/>
          </w:tcPr>
          <w:p w14:paraId="3749F310">
            <w:pPr>
              <w:pStyle w:val="2"/>
              <w:ind w:firstLine="482"/>
              <w:rPr>
                <w:b/>
                <w:bCs/>
                <w:color w:val="auto"/>
                <w:szCs w:val="24"/>
                <w:highlight w:val="none"/>
              </w:rPr>
            </w:pPr>
          </w:p>
        </w:tc>
        <w:tc>
          <w:tcPr>
            <w:tcW w:w="1037" w:type="dxa"/>
          </w:tcPr>
          <w:p w14:paraId="662F3F7D">
            <w:pPr>
              <w:pStyle w:val="2"/>
              <w:ind w:firstLine="482"/>
              <w:rPr>
                <w:b/>
                <w:bCs/>
                <w:color w:val="auto"/>
                <w:szCs w:val="24"/>
                <w:highlight w:val="none"/>
              </w:rPr>
            </w:pPr>
          </w:p>
        </w:tc>
        <w:tc>
          <w:tcPr>
            <w:tcW w:w="1024" w:type="dxa"/>
          </w:tcPr>
          <w:p w14:paraId="59F46DAF">
            <w:pPr>
              <w:pStyle w:val="2"/>
              <w:ind w:firstLine="482"/>
              <w:rPr>
                <w:b/>
                <w:bCs/>
                <w:color w:val="auto"/>
                <w:szCs w:val="24"/>
                <w:highlight w:val="none"/>
              </w:rPr>
            </w:pPr>
          </w:p>
        </w:tc>
        <w:tc>
          <w:tcPr>
            <w:tcW w:w="1168" w:type="dxa"/>
          </w:tcPr>
          <w:p w14:paraId="492153FB">
            <w:pPr>
              <w:pStyle w:val="2"/>
              <w:ind w:firstLine="482"/>
              <w:rPr>
                <w:b/>
                <w:bCs/>
                <w:color w:val="auto"/>
                <w:szCs w:val="24"/>
                <w:highlight w:val="none"/>
              </w:rPr>
            </w:pPr>
          </w:p>
        </w:tc>
        <w:tc>
          <w:tcPr>
            <w:tcW w:w="1209" w:type="dxa"/>
          </w:tcPr>
          <w:p w14:paraId="7C160225">
            <w:pPr>
              <w:pStyle w:val="2"/>
              <w:ind w:firstLine="482"/>
              <w:rPr>
                <w:b/>
                <w:bCs/>
                <w:color w:val="auto"/>
                <w:szCs w:val="24"/>
                <w:highlight w:val="none"/>
              </w:rPr>
            </w:pPr>
          </w:p>
        </w:tc>
      </w:tr>
    </w:tbl>
    <w:p w14:paraId="0EC1A300">
      <w:pPr>
        <w:pStyle w:val="2"/>
        <w:rPr>
          <w:rFonts w:hint="eastAsia"/>
          <w:color w:val="auto"/>
          <w:highlight w:val="none"/>
        </w:rPr>
      </w:pPr>
    </w:p>
    <w:p w14:paraId="5E096A23">
      <w:pPr>
        <w:numPr>
          <w:ilvl w:val="0"/>
          <w:numId w:val="0"/>
        </w:numPr>
        <w:spacing w:before="0" w:after="0" w:afterAutospacing="0"/>
        <w:ind w:leftChars="0" w:right="0" w:rightChars="0" w:firstLine="420" w:firstLineChars="200"/>
        <w:rPr>
          <w:rFonts w:hint="eastAsia" w:ascii="宋体" w:hAnsi="宋体"/>
          <w:color w:val="auto"/>
          <w:highlight w:val="none"/>
          <w:lang w:eastAsia="zh-CN"/>
        </w:rPr>
      </w:pPr>
      <w:r>
        <w:rPr>
          <w:rFonts w:ascii="宋体" w:hAnsi="宋体"/>
          <w:color w:val="auto"/>
          <w:highlight w:val="none"/>
        </w:rPr>
        <w:t>注：1.</w:t>
      </w:r>
      <w:r>
        <w:rPr>
          <w:rFonts w:hint="eastAsia" w:ascii="宋体" w:hAnsi="宋体"/>
          <w:color w:val="auto"/>
          <w:highlight w:val="none"/>
        </w:rPr>
        <w:t>类似项目业绩：比选申请人自2023年1月1日至比选申请截止时间前，承接过（完工/在建项目）房地产项目样板房装修设计业绩，</w:t>
      </w:r>
      <w:r>
        <w:rPr>
          <w:rFonts w:hint="eastAsia" w:ascii="宋体" w:hAnsi="宋体"/>
          <w:color w:val="auto"/>
          <w:highlight w:val="none"/>
          <w:lang w:val="en-US" w:eastAsia="zh-CN"/>
        </w:rPr>
        <w:t>提供</w:t>
      </w:r>
      <w:r>
        <w:rPr>
          <w:rFonts w:hint="eastAsia" w:ascii="宋体" w:hAnsi="宋体"/>
          <w:color w:val="auto"/>
          <w:highlight w:val="none"/>
        </w:rPr>
        <w:t>单个业绩合同金额</w:t>
      </w:r>
      <w:r>
        <w:rPr>
          <w:rFonts w:hint="eastAsia" w:ascii="宋体" w:hAnsi="宋体"/>
          <w:color w:val="auto"/>
          <w:highlight w:val="none"/>
          <w:lang w:val="en-US" w:eastAsia="zh-CN"/>
        </w:rPr>
        <w:t>设计单价</w:t>
      </w:r>
      <w:r>
        <w:rPr>
          <w:rFonts w:hint="eastAsia" w:ascii="宋体" w:hAnsi="宋体"/>
          <w:color w:val="auto"/>
          <w:highlight w:val="none"/>
        </w:rPr>
        <w:t>达</w:t>
      </w:r>
      <w:r>
        <w:rPr>
          <w:rFonts w:hint="eastAsia" w:ascii="宋体" w:hAnsi="宋体"/>
          <w:b w:val="0"/>
          <w:bCs w:val="0"/>
          <w:color w:val="auto"/>
          <w:highlight w:val="none"/>
          <w:u w:val="none"/>
          <w:lang w:val="en-US" w:eastAsia="zh-CN"/>
        </w:rPr>
        <w:t>1300元</w:t>
      </w:r>
      <w:r>
        <w:rPr>
          <w:rFonts w:hint="eastAsia" w:ascii="宋体" w:hAnsi="宋体"/>
          <w:b w:val="0"/>
          <w:bCs w:val="0"/>
          <w:color w:val="auto"/>
          <w:highlight w:val="none"/>
          <w:lang w:val="en-US" w:eastAsia="zh-CN"/>
        </w:rPr>
        <w:t>/㎡</w:t>
      </w:r>
      <w:r>
        <w:rPr>
          <w:rFonts w:hint="eastAsia" w:ascii="宋体" w:hAnsi="宋体"/>
          <w:color w:val="auto"/>
          <w:highlight w:val="none"/>
        </w:rPr>
        <w:t>及以上</w:t>
      </w:r>
      <w:r>
        <w:rPr>
          <w:rFonts w:hint="eastAsia" w:ascii="宋体" w:hAnsi="宋体" w:cs="宋体"/>
          <w:color w:val="auto"/>
          <w:sz w:val="21"/>
          <w:szCs w:val="21"/>
          <w:highlight w:val="none"/>
          <w:lang w:val="en-US" w:eastAsia="zh-CN"/>
        </w:rPr>
        <w:t>的</w:t>
      </w:r>
      <w:r>
        <w:rPr>
          <w:rFonts w:hint="eastAsia" w:ascii="宋体" w:hAnsi="宋体" w:eastAsia="宋体" w:cs="宋体"/>
          <w:color w:val="auto"/>
          <w:sz w:val="21"/>
          <w:szCs w:val="21"/>
          <w:highlight w:val="none"/>
        </w:rPr>
        <w:t>设计</w:t>
      </w:r>
      <w:r>
        <w:rPr>
          <w:rFonts w:hint="eastAsia" w:ascii="宋体" w:hAnsi="宋体"/>
          <w:color w:val="auto"/>
          <w:highlight w:val="none"/>
        </w:rPr>
        <w:t>业绩</w:t>
      </w:r>
      <w:r>
        <w:rPr>
          <w:rFonts w:hint="eastAsia" w:ascii="宋体" w:hAnsi="宋体"/>
          <w:color w:val="auto"/>
          <w:highlight w:val="none"/>
          <w:lang w:eastAsia="zh-CN"/>
        </w:rPr>
        <w:t>；</w:t>
      </w:r>
      <w:r>
        <w:rPr>
          <w:color w:val="auto"/>
          <w:highlight w:val="none"/>
        </w:rPr>
        <w:t>（提供相应的业绩证明材料：提供下述材料之一即可：</w:t>
      </w:r>
      <w:r>
        <w:rPr>
          <w:rFonts w:hint="eastAsia" w:ascii="宋体" w:hAnsi="宋体" w:cs="宋体"/>
          <w:color w:val="auto"/>
          <w:highlight w:val="none"/>
        </w:rPr>
        <w:t>①</w:t>
      </w:r>
      <w:r>
        <w:rPr>
          <w:color w:val="auto"/>
          <w:highlight w:val="none"/>
        </w:rPr>
        <w:t>合同文件；</w:t>
      </w:r>
      <w:r>
        <w:rPr>
          <w:rFonts w:hint="eastAsia" w:ascii="宋体" w:hAnsi="宋体" w:cs="宋体"/>
          <w:color w:val="auto"/>
          <w:highlight w:val="none"/>
        </w:rPr>
        <w:t>②</w:t>
      </w:r>
      <w:r>
        <w:rPr>
          <w:color w:val="auto"/>
          <w:highlight w:val="none"/>
        </w:rPr>
        <w:t>业主（采购方）开具的证明材料，但所提供的材料须能明确反映项目特征（</w:t>
      </w:r>
      <w:r>
        <w:rPr>
          <w:rFonts w:hint="eastAsia"/>
          <w:color w:val="auto"/>
          <w:highlight w:val="none"/>
        </w:rPr>
        <w:t>设计面积</w:t>
      </w:r>
      <w:r>
        <w:rPr>
          <w:color w:val="auto"/>
          <w:highlight w:val="none"/>
        </w:rPr>
        <w:t>及单方造价等），复印件加盖比选申请人公章，提供合同文件或甲方证明，提供复印件，原件备查）</w:t>
      </w:r>
    </w:p>
    <w:p w14:paraId="53B39CF1">
      <w:pPr>
        <w:numPr>
          <w:ilvl w:val="0"/>
          <w:numId w:val="0"/>
        </w:numPr>
        <w:spacing w:before="0" w:after="0" w:afterAutospacing="0"/>
        <w:ind w:leftChars="0" w:right="0" w:rightChars="0" w:firstLine="420" w:firstLineChars="200"/>
        <w:rPr>
          <w:color w:val="auto"/>
          <w:highlight w:val="none"/>
        </w:rPr>
      </w:pPr>
      <w:r>
        <w:rPr>
          <w:rFonts w:hint="eastAsia" w:ascii="宋体" w:hAnsi="宋体"/>
          <w:color w:val="auto"/>
          <w:highlight w:val="none"/>
          <w:lang w:val="en-US" w:eastAsia="zh-CN"/>
        </w:rPr>
        <w:t>2.本</w:t>
      </w:r>
      <w:r>
        <w:rPr>
          <w:rFonts w:hint="eastAsia"/>
          <w:color w:val="auto"/>
          <w:highlight w:val="none"/>
          <w:lang w:val="en-US" w:eastAsia="zh-CN"/>
        </w:rPr>
        <w:t>项目负责人负责过房地产项目样板间或展示区设计业绩，单个业绩项目体量设计费达1300元/㎡及以上的业绩</w:t>
      </w:r>
      <w:r>
        <w:rPr>
          <w:rFonts w:hint="eastAsia" w:ascii="宋体" w:hAnsi="宋体"/>
          <w:color w:val="auto"/>
          <w:highlight w:val="none"/>
        </w:rPr>
        <w:t>。</w:t>
      </w:r>
      <w:r>
        <w:rPr>
          <w:color w:val="auto"/>
          <w:highlight w:val="none"/>
        </w:rPr>
        <w:t>（</w:t>
      </w:r>
      <w:r>
        <w:rPr>
          <w:rFonts w:hint="eastAsia" w:ascii="宋体" w:hAnsi="宋体" w:cs="宋体"/>
          <w:color w:val="auto"/>
          <w:highlight w:val="none"/>
          <w:lang w:bidi="ar"/>
        </w:rPr>
        <w:t>①合同文件；②中标通知书；③</w:t>
      </w:r>
      <w:r>
        <w:rPr>
          <w:rFonts w:hint="eastAsia"/>
          <w:color w:val="auto"/>
          <w:highlight w:val="none"/>
          <w:lang w:val="en-US" w:eastAsia="zh-CN"/>
        </w:rPr>
        <w:t>方案文本案例（含项目名称和效果图即可无需全套文本）④</w:t>
      </w:r>
      <w:r>
        <w:rPr>
          <w:rFonts w:hint="eastAsia" w:ascii="宋体" w:hAnsi="宋体" w:cs="宋体"/>
          <w:color w:val="auto"/>
          <w:highlight w:val="none"/>
          <w:lang w:bidi="ar"/>
        </w:rPr>
        <w:t>业主证明材料。所提供材料需能证明符合</w:t>
      </w:r>
      <w:r>
        <w:rPr>
          <w:rFonts w:hint="eastAsia" w:ascii="宋体" w:hAnsi="宋体" w:cs="宋体"/>
          <w:color w:val="auto"/>
          <w:highlight w:val="none"/>
          <w:lang w:val="en-US" w:eastAsia="zh-CN" w:bidi="ar"/>
        </w:rPr>
        <w:t>作为项目负责人的</w:t>
      </w:r>
      <w:r>
        <w:rPr>
          <w:rFonts w:hint="eastAsia" w:ascii="宋体" w:hAnsi="宋体" w:cs="宋体"/>
          <w:color w:val="auto"/>
          <w:highlight w:val="none"/>
          <w:lang w:bidi="ar"/>
        </w:rPr>
        <w:t>业绩内容，否则视为无效证明文件，提供复印件加盖比选申请人公章，原件备查</w:t>
      </w:r>
      <w:r>
        <w:rPr>
          <w:color w:val="auto"/>
          <w:highlight w:val="none"/>
        </w:rPr>
        <w:t>）</w:t>
      </w:r>
    </w:p>
    <w:p w14:paraId="2C98AEB5">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lang w:val="en-US" w:eastAsia="zh-CN"/>
        </w:rPr>
        <w:t>3</w:t>
      </w:r>
      <w:r>
        <w:rPr>
          <w:rFonts w:ascii="宋体" w:hAnsi="宋体"/>
          <w:color w:val="auto"/>
          <w:highlight w:val="none"/>
        </w:rPr>
        <w:t>.</w:t>
      </w:r>
      <w:r>
        <w:rPr>
          <w:rFonts w:hint="eastAsia" w:ascii="宋体" w:hAnsi="宋体"/>
          <w:color w:val="auto"/>
          <w:highlight w:val="none"/>
        </w:rPr>
        <w:t>项目按照时间顺序排列，时间以合同签订时间为准。</w:t>
      </w:r>
      <w:bookmarkStart w:id="1772" w:name="_Toc19887"/>
    </w:p>
    <w:p w14:paraId="78731178">
      <w:pPr>
        <w:spacing w:before="0" w:after="0" w:afterAutospacing="0"/>
        <w:ind w:left="0" w:right="0" w:firstLine="420" w:firstLineChars="200"/>
        <w:jc w:val="both"/>
        <w:rPr>
          <w:rFonts w:hint="eastAsia" w:ascii="宋体" w:hAnsi="宋体" w:cs="宋体"/>
          <w:b/>
          <w:bCs/>
          <w:color w:val="auto"/>
          <w:sz w:val="32"/>
          <w:szCs w:val="32"/>
          <w:highlight w:val="none"/>
        </w:rPr>
      </w:pPr>
      <w:r>
        <w:rPr>
          <w:rFonts w:hint="eastAsia" w:ascii="宋体" w:hAnsi="宋体"/>
          <w:color w:val="auto"/>
          <w:highlight w:val="none"/>
          <w:lang w:val="en-US" w:eastAsia="zh-CN"/>
        </w:rPr>
        <w:t>4</w:t>
      </w:r>
      <w:r>
        <w:rPr>
          <w:rFonts w:hint="eastAsia" w:ascii="宋体" w:hAnsi="宋体"/>
          <w:color w:val="auto"/>
          <w:highlight w:val="none"/>
        </w:rPr>
        <w:t>.比选申请人须提供相应的业绩证明材料：（提供相应的业绩证明材料：提供下述材料之一即可：①合同文件；②业主（采购方）开具的证明材料，但所提供的材料须能明确反映项目特征（设计面积及单方造价等），复印件加盖比选申请人公章，提供合同文件或甲方证明，提供复印件，原件备查）</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Start w:id="1773" w:name="_Toc4284"/>
      <w:bookmarkStart w:id="1774" w:name="_Toc3174"/>
      <w:bookmarkStart w:id="1775" w:name="_Toc9329"/>
      <w:bookmarkStart w:id="1776" w:name="_Toc14104"/>
      <w:bookmarkStart w:id="1777" w:name="_Toc531"/>
      <w:bookmarkStart w:id="1778" w:name="_Toc14738"/>
      <w:bookmarkStart w:id="1779" w:name="_Toc21231"/>
      <w:bookmarkStart w:id="1780" w:name="_Toc6090"/>
      <w:bookmarkStart w:id="1781" w:name="_Toc5008"/>
      <w:bookmarkStart w:id="1782" w:name="_Toc17186"/>
      <w:bookmarkStart w:id="1783" w:name="_Toc26286"/>
      <w:bookmarkStart w:id="1784" w:name="_Toc147"/>
      <w:bookmarkStart w:id="1785" w:name="_Toc1777"/>
      <w:bookmarkStart w:id="1786" w:name="_Toc3551"/>
      <w:bookmarkStart w:id="1787" w:name="_Toc22547"/>
      <w:bookmarkStart w:id="1788" w:name="_Toc25908"/>
      <w:bookmarkStart w:id="1789" w:name="_Toc1104"/>
      <w:r>
        <w:rPr>
          <w:rStyle w:val="54"/>
          <w:rFonts w:ascii="宋体" w:hAnsi="宋体" w:eastAsia="宋体"/>
          <w:color w:val="auto"/>
          <w:highlight w:val="none"/>
        </w:rPr>
        <w:br w:type="page"/>
      </w:r>
      <w:r>
        <w:rPr>
          <w:rStyle w:val="54"/>
          <w:rFonts w:hint="eastAsia" w:ascii="宋体" w:hAnsi="宋体" w:eastAsia="宋体" w:cs="宋体"/>
          <w:bCs/>
          <w:color w:val="auto"/>
          <w:highlight w:val="none"/>
        </w:rPr>
        <w:t>第五章  比选人需求</w:t>
      </w:r>
      <w:bookmarkEnd w:id="1772"/>
    </w:p>
    <w:p w14:paraId="71721FE0">
      <w:pPr>
        <w:autoSpaceDE w:val="0"/>
        <w:autoSpaceDN w:val="0"/>
        <w:adjustRightInd w:val="0"/>
        <w:ind w:firstLine="424" w:firstLineChars="202"/>
        <w:rPr>
          <w:rFonts w:hint="eastAsia" w:ascii="宋体" w:hAnsi="宋体" w:cs="仿宋"/>
          <w:color w:val="auto"/>
          <w:highlight w:val="none"/>
          <w:lang w:val="zh-CN"/>
        </w:rPr>
      </w:pPr>
      <w:bookmarkStart w:id="1790" w:name="_Toc10897"/>
    </w:p>
    <w:p w14:paraId="423DDB2C">
      <w:pPr>
        <w:autoSpaceDE w:val="0"/>
        <w:autoSpaceDN w:val="0"/>
        <w:adjustRightInd w:val="0"/>
        <w:spacing w:before="0" w:line="240" w:lineRule="auto"/>
        <w:ind w:left="0" w:right="0" w:firstLine="420" w:firstLineChars="200"/>
        <w:rPr>
          <w:rFonts w:hint="eastAsia" w:ascii="宋体" w:hAnsi="宋体"/>
          <w:color w:val="auto"/>
          <w:highlight w:val="none"/>
          <w:lang w:val="zh-CN"/>
        </w:rPr>
      </w:pPr>
      <w:r>
        <w:rPr>
          <w:rFonts w:hint="eastAsia" w:ascii="宋体" w:hAnsi="宋体" w:cs="仿宋"/>
          <w:color w:val="auto"/>
          <w:highlight w:val="none"/>
          <w:lang w:val="zh-CN"/>
        </w:rPr>
        <w:t>本部分内容是根据采购项目的实际需求制定的。</w:t>
      </w:r>
    </w:p>
    <w:p w14:paraId="5A0DF821">
      <w:pPr>
        <w:autoSpaceDE w:val="0"/>
        <w:autoSpaceDN w:val="0"/>
        <w:adjustRightInd w:val="0"/>
        <w:spacing w:before="0" w:line="240" w:lineRule="auto"/>
        <w:ind w:left="0" w:right="0" w:firstLine="420" w:firstLineChars="200"/>
        <w:rPr>
          <w:rFonts w:hint="eastAsia" w:ascii="宋体" w:hAnsi="宋体" w:cs="仿宋"/>
          <w:color w:val="auto"/>
          <w:highlight w:val="none"/>
          <w:lang w:val="zh-CN"/>
        </w:rPr>
      </w:pPr>
      <w:r>
        <w:rPr>
          <w:rFonts w:hint="eastAsia" w:ascii="宋体" w:hAnsi="宋体" w:cs="仿宋"/>
          <w:color w:val="auto"/>
          <w:highlight w:val="none"/>
          <w:lang w:val="zh-CN"/>
        </w:rPr>
        <w:t>一、与服务相关的货物样品要求：</w:t>
      </w:r>
      <w:r>
        <w:rPr>
          <w:rFonts w:ascii="宋体" w:hAnsi="宋体" w:cs="仿宋"/>
          <w:color w:val="auto"/>
          <w:highlight w:val="none"/>
          <w:lang w:val="zh-CN"/>
        </w:rPr>
        <w:t xml:space="preserve"> </w:t>
      </w:r>
    </w:p>
    <w:p w14:paraId="64F4FF53">
      <w:pPr>
        <w:autoSpaceDE w:val="0"/>
        <w:autoSpaceDN w:val="0"/>
        <w:adjustRightInd w:val="0"/>
        <w:spacing w:before="0" w:line="240" w:lineRule="auto"/>
        <w:ind w:left="0" w:right="0" w:firstLine="420" w:firstLineChars="200"/>
        <w:rPr>
          <w:rFonts w:hint="eastAsia" w:ascii="宋体" w:hAnsi="宋体" w:cs="仿宋"/>
          <w:color w:val="auto"/>
          <w:highlight w:val="none"/>
          <w:lang w:val="zh-CN"/>
        </w:rPr>
      </w:pPr>
      <w:r>
        <w:rPr>
          <w:rFonts w:hint="eastAsia" w:ascii="宋体" w:hAnsi="宋体" w:cs="宋体"/>
          <w:color w:val="auto"/>
          <w:highlight w:val="none"/>
        </w:rPr>
        <w:t>提供图纸所需的全部设计样板。</w:t>
      </w:r>
      <w:r>
        <w:rPr>
          <w:rFonts w:hint="eastAsia" w:ascii="宋体" w:hAnsi="宋体" w:cs="仿宋"/>
          <w:color w:val="auto"/>
          <w:highlight w:val="none"/>
          <w:lang w:val="zh-CN"/>
        </w:rPr>
        <w:t>具体样板有：</w:t>
      </w:r>
    </w:p>
    <w:p w14:paraId="1D9DC618">
      <w:pPr>
        <w:pStyle w:val="49"/>
        <w:widowControl w:val="0"/>
        <w:numPr>
          <w:ilvl w:val="0"/>
          <w:numId w:val="11"/>
        </w:numPr>
        <w:autoSpaceDE w:val="0"/>
        <w:autoSpaceDN w:val="0"/>
        <w:adjustRightInd w:val="0"/>
        <w:spacing w:before="0" w:after="0" w:afterAutospacing="0"/>
        <w:ind w:right="0"/>
        <w:rPr>
          <w:rFonts w:hint="eastAsia" w:ascii="宋体" w:hAnsi="宋体" w:cs="仿宋"/>
          <w:color w:val="auto"/>
          <w:highlight w:val="none"/>
          <w:lang w:val="zh-CN"/>
        </w:rPr>
      </w:pPr>
      <w:r>
        <w:rPr>
          <w:rFonts w:hint="eastAsia" w:ascii="宋体" w:hAnsi="宋体" w:cs="仿宋"/>
          <w:color w:val="auto"/>
          <w:highlight w:val="none"/>
          <w:lang w:val="zh-CN"/>
        </w:rPr>
        <w:t>提供实样：墙砖、地砖、石材、木地板、踢脚线、木饰面、线条、地毯、涂料、硬包、软包、墙纸墙布、石膏线条、不锈钢装饰面</w:t>
      </w:r>
      <w:r>
        <w:rPr>
          <w:rFonts w:hint="eastAsia" w:ascii="宋体" w:hAnsi="宋体" w:cs="仿宋"/>
          <w:color w:val="auto"/>
          <w:highlight w:val="none"/>
        </w:rPr>
        <w:t>等</w:t>
      </w:r>
      <w:r>
        <w:rPr>
          <w:rFonts w:hint="eastAsia" w:ascii="宋体" w:hAnsi="宋体" w:cs="仿宋"/>
          <w:color w:val="auto"/>
          <w:highlight w:val="none"/>
          <w:lang w:val="zh-CN"/>
        </w:rPr>
        <w:t>（</w:t>
      </w:r>
      <w:r>
        <w:rPr>
          <w:rFonts w:hint="eastAsia" w:ascii="宋体" w:hAnsi="宋体" w:cs="仿宋"/>
          <w:color w:val="auto"/>
          <w:highlight w:val="none"/>
        </w:rPr>
        <w:t>包括但不限于以上样板</w:t>
      </w:r>
      <w:r>
        <w:rPr>
          <w:rFonts w:hint="eastAsia" w:ascii="宋体" w:hAnsi="宋体" w:cs="仿宋"/>
          <w:color w:val="auto"/>
          <w:highlight w:val="none"/>
          <w:lang w:val="zh-CN"/>
        </w:rPr>
        <w:t>）</w:t>
      </w:r>
    </w:p>
    <w:p w14:paraId="48C55911">
      <w:pPr>
        <w:pStyle w:val="49"/>
        <w:widowControl w:val="0"/>
        <w:numPr>
          <w:ilvl w:val="0"/>
          <w:numId w:val="11"/>
        </w:numPr>
        <w:autoSpaceDE w:val="0"/>
        <w:autoSpaceDN w:val="0"/>
        <w:adjustRightInd w:val="0"/>
        <w:spacing w:before="0" w:after="0" w:afterAutospacing="0"/>
        <w:ind w:right="0"/>
        <w:rPr>
          <w:rFonts w:hint="eastAsia" w:ascii="宋体" w:hAnsi="宋体" w:cs="仿宋"/>
          <w:color w:val="auto"/>
          <w:highlight w:val="none"/>
          <w:lang w:val="zh-CN"/>
        </w:rPr>
      </w:pPr>
      <w:r>
        <w:rPr>
          <w:rFonts w:hint="eastAsia" w:ascii="宋体" w:hAnsi="宋体" w:cs="仿宋"/>
          <w:color w:val="auto"/>
          <w:highlight w:val="none"/>
          <w:lang w:val="zh-CN"/>
        </w:rPr>
        <w:t>提供图片样及参数：五金件、户内门、橱柜（含配件、五金）、灯具（筒灯、</w:t>
      </w:r>
      <w:r>
        <w:rPr>
          <w:rFonts w:ascii="宋体" w:hAnsi="宋体" w:cs="仿宋"/>
          <w:color w:val="auto"/>
          <w:highlight w:val="none"/>
          <w:lang w:val="zh-CN"/>
        </w:rPr>
        <w:t>LED灯带等）、开关插座面板、卫生洁器具（详细）、坐便器、蹲便器及冲洗阀、小便斗及冲洗阀、拖把池及龙头、洗手盆及龙头、淋浴器、洗衣机龙头、地漏、消火栓箱、洗菜盆及龙头、水表</w:t>
      </w:r>
      <w:r>
        <w:rPr>
          <w:rFonts w:hint="eastAsia" w:ascii="宋体" w:hAnsi="宋体" w:cs="仿宋"/>
          <w:color w:val="auto"/>
          <w:highlight w:val="none"/>
          <w:lang w:val="zh-CN"/>
        </w:rPr>
        <w:t>、家具、灯具、布艺、窗帘、壁饰、地毯（装饰地毯）、饰品、绿植清单、软装深化清单（详细）</w:t>
      </w:r>
      <w:r>
        <w:rPr>
          <w:rFonts w:hint="eastAsia" w:ascii="宋体" w:hAnsi="宋体" w:cs="仿宋"/>
          <w:color w:val="auto"/>
          <w:highlight w:val="none"/>
        </w:rPr>
        <w:t>等</w:t>
      </w:r>
      <w:r>
        <w:rPr>
          <w:rFonts w:hint="eastAsia" w:ascii="宋体" w:hAnsi="宋体" w:cs="仿宋"/>
          <w:color w:val="auto"/>
          <w:highlight w:val="none"/>
          <w:lang w:val="zh-CN"/>
        </w:rPr>
        <w:t>（</w:t>
      </w:r>
      <w:r>
        <w:rPr>
          <w:rFonts w:hint="eastAsia" w:ascii="宋体" w:hAnsi="宋体" w:cs="仿宋"/>
          <w:color w:val="auto"/>
          <w:highlight w:val="none"/>
        </w:rPr>
        <w:t>包括但不限于以上样板</w:t>
      </w:r>
      <w:r>
        <w:rPr>
          <w:rFonts w:hint="eastAsia" w:ascii="宋体" w:hAnsi="宋体" w:cs="仿宋"/>
          <w:color w:val="auto"/>
          <w:highlight w:val="none"/>
          <w:lang w:val="zh-CN"/>
        </w:rPr>
        <w:t>）</w:t>
      </w:r>
    </w:p>
    <w:p w14:paraId="13164929">
      <w:pPr>
        <w:autoSpaceDE w:val="0"/>
        <w:autoSpaceDN w:val="0"/>
        <w:adjustRightInd w:val="0"/>
        <w:spacing w:before="0" w:line="240" w:lineRule="auto"/>
        <w:ind w:left="0" w:right="0" w:firstLine="420" w:firstLineChars="200"/>
        <w:rPr>
          <w:rFonts w:hint="eastAsia" w:ascii="宋体" w:hAnsi="宋体" w:cs="仿宋"/>
          <w:color w:val="auto"/>
          <w:highlight w:val="none"/>
          <w:lang w:val="zh-CN"/>
        </w:rPr>
      </w:pPr>
      <w:r>
        <w:rPr>
          <w:rFonts w:hint="eastAsia" w:ascii="宋体" w:hAnsi="宋体" w:cs="仿宋"/>
          <w:color w:val="auto"/>
          <w:highlight w:val="none"/>
          <w:lang w:val="zh-CN"/>
        </w:rPr>
        <w:t>包括但不限于以上样板。</w:t>
      </w:r>
    </w:p>
    <w:p w14:paraId="59015B32">
      <w:pPr>
        <w:autoSpaceDE w:val="0"/>
        <w:autoSpaceDN w:val="0"/>
        <w:adjustRightInd w:val="0"/>
        <w:spacing w:before="0" w:line="240" w:lineRule="auto"/>
        <w:ind w:left="0" w:right="0" w:firstLine="420" w:firstLineChars="200"/>
        <w:rPr>
          <w:rFonts w:hint="eastAsia" w:ascii="宋体" w:hAnsi="宋体"/>
          <w:color w:val="auto"/>
          <w:highlight w:val="none"/>
          <w:lang w:val="zh-CN"/>
        </w:rPr>
      </w:pPr>
      <w:r>
        <w:rPr>
          <w:rFonts w:hint="eastAsia" w:ascii="宋体" w:hAnsi="宋体" w:cs="楷体"/>
          <w:color w:val="auto"/>
          <w:highlight w:val="none"/>
          <w:lang w:val="zh-CN"/>
        </w:rPr>
        <w:t>二、服务需求及要求</w:t>
      </w:r>
    </w:p>
    <w:p w14:paraId="24147AF0">
      <w:pPr>
        <w:autoSpaceDE w:val="0"/>
        <w:autoSpaceDN w:val="0"/>
        <w:adjustRightInd w:val="0"/>
        <w:spacing w:before="0" w:line="240" w:lineRule="auto"/>
        <w:ind w:left="0" w:right="0" w:firstLine="420" w:firstLineChars="200"/>
        <w:rPr>
          <w:rFonts w:hint="eastAsia" w:ascii="宋体" w:hAnsi="宋体" w:cs="仿宋"/>
          <w:color w:val="auto"/>
          <w:highlight w:val="none"/>
          <w:lang w:val="zh-CN"/>
        </w:rPr>
      </w:pPr>
      <w:r>
        <w:rPr>
          <w:rFonts w:hint="eastAsia" w:ascii="宋体" w:hAnsi="宋体" w:cs="仿宋"/>
          <w:color w:val="auto"/>
          <w:highlight w:val="none"/>
          <w:lang w:val="zh-CN"/>
        </w:rPr>
        <w:t>1.服务需求一览表（</w:t>
      </w:r>
      <w:r>
        <w:rPr>
          <w:rFonts w:hint="eastAsia" w:ascii="宋体" w:hAnsi="宋体" w:cs="仿宋"/>
          <w:color w:val="auto"/>
          <w:highlight w:val="none"/>
        </w:rPr>
        <w:t>可按实际内容进行调整</w:t>
      </w:r>
      <w:r>
        <w:rPr>
          <w:rFonts w:hint="eastAsia" w:ascii="宋体" w:hAnsi="宋体" w:cs="仿宋"/>
          <w:color w:val="auto"/>
          <w:highlight w:val="none"/>
          <w:lang w:val="zh-CN"/>
        </w:rPr>
        <w:t>）</w:t>
      </w:r>
    </w:p>
    <w:tbl>
      <w:tblPr>
        <w:tblStyle w:val="36"/>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03"/>
        <w:gridCol w:w="2884"/>
        <w:gridCol w:w="1553"/>
        <w:gridCol w:w="1082"/>
        <w:gridCol w:w="2337"/>
      </w:tblGrid>
      <w:tr w14:paraId="789690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64" w:type="pct"/>
            <w:tcBorders>
              <w:top w:val="single" w:color="auto" w:sz="4" w:space="0"/>
              <w:left w:val="single" w:color="auto" w:sz="4" w:space="0"/>
              <w:bottom w:val="single" w:color="auto" w:sz="4" w:space="0"/>
              <w:right w:val="single" w:color="auto" w:sz="4" w:space="0"/>
            </w:tcBorders>
            <w:vAlign w:val="center"/>
          </w:tcPr>
          <w:p w14:paraId="40BD00A2">
            <w:pPr>
              <w:autoSpaceDE w:val="0"/>
              <w:autoSpaceDN w:val="0"/>
              <w:adjustRightInd w:val="0"/>
              <w:spacing w:before="0"/>
              <w:ind w:left="0" w:right="0" w:firstLine="420" w:firstLineChars="200"/>
              <w:jc w:val="center"/>
              <w:rPr>
                <w:rFonts w:hint="eastAsia" w:ascii="宋体" w:hAnsi="宋体" w:cs="仿宋"/>
                <w:color w:val="auto"/>
                <w:highlight w:val="none"/>
                <w:lang w:val="zh-CN"/>
              </w:rPr>
            </w:pPr>
            <w:r>
              <w:rPr>
                <w:rFonts w:hint="eastAsia" w:ascii="宋体" w:hAnsi="宋体" w:cs="仿宋"/>
                <w:color w:val="auto"/>
                <w:highlight w:val="none"/>
                <w:lang w:val="zh-CN"/>
              </w:rPr>
              <w:t>序号</w:t>
            </w:r>
          </w:p>
        </w:tc>
        <w:tc>
          <w:tcPr>
            <w:tcW w:w="1591" w:type="pct"/>
            <w:tcBorders>
              <w:top w:val="single" w:color="auto" w:sz="4" w:space="0"/>
              <w:left w:val="single" w:color="auto" w:sz="4" w:space="0"/>
              <w:bottom w:val="single" w:color="auto" w:sz="4" w:space="0"/>
              <w:right w:val="single" w:color="auto" w:sz="4" w:space="0"/>
            </w:tcBorders>
            <w:vAlign w:val="center"/>
          </w:tcPr>
          <w:p w14:paraId="2DCE3094">
            <w:pPr>
              <w:autoSpaceDE w:val="0"/>
              <w:autoSpaceDN w:val="0"/>
              <w:adjustRightInd w:val="0"/>
              <w:spacing w:before="0"/>
              <w:ind w:left="0" w:right="0" w:firstLine="420" w:firstLineChars="200"/>
              <w:jc w:val="center"/>
              <w:rPr>
                <w:rFonts w:hint="eastAsia" w:ascii="宋体" w:hAnsi="宋体" w:cs="仿宋"/>
                <w:color w:val="auto"/>
                <w:highlight w:val="none"/>
                <w:lang w:val="zh-CN"/>
              </w:rPr>
            </w:pPr>
            <w:r>
              <w:rPr>
                <w:rFonts w:hint="eastAsia" w:ascii="宋体" w:hAnsi="宋体" w:cs="仿宋"/>
                <w:color w:val="auto"/>
                <w:highlight w:val="none"/>
                <w:lang w:val="zh-CN"/>
              </w:rPr>
              <w:t>服务内容</w:t>
            </w:r>
          </w:p>
        </w:tc>
        <w:tc>
          <w:tcPr>
            <w:tcW w:w="856" w:type="pct"/>
            <w:tcBorders>
              <w:top w:val="single" w:color="auto" w:sz="4" w:space="0"/>
              <w:left w:val="single" w:color="auto" w:sz="4" w:space="0"/>
              <w:bottom w:val="single" w:color="auto" w:sz="4" w:space="0"/>
              <w:right w:val="single" w:color="auto" w:sz="4" w:space="0"/>
            </w:tcBorders>
            <w:vAlign w:val="center"/>
          </w:tcPr>
          <w:p w14:paraId="5A2A5C8E">
            <w:pPr>
              <w:autoSpaceDE w:val="0"/>
              <w:autoSpaceDN w:val="0"/>
              <w:adjustRightInd w:val="0"/>
              <w:spacing w:before="0"/>
              <w:ind w:left="0" w:right="0" w:firstLine="420" w:firstLineChars="200"/>
              <w:rPr>
                <w:rFonts w:hint="eastAsia" w:ascii="宋体" w:hAnsi="宋体" w:cs="仿宋"/>
                <w:color w:val="auto"/>
                <w:highlight w:val="none"/>
                <w:lang w:val="zh-CN"/>
              </w:rPr>
            </w:pPr>
            <w:r>
              <w:rPr>
                <w:rFonts w:hint="eastAsia" w:ascii="宋体" w:hAnsi="宋体" w:cs="仿宋"/>
                <w:color w:val="auto"/>
                <w:highlight w:val="none"/>
                <w:lang w:val="zh-CN"/>
              </w:rPr>
              <w:t>单位</w:t>
            </w:r>
          </w:p>
        </w:tc>
        <w:tc>
          <w:tcPr>
            <w:tcW w:w="597" w:type="pct"/>
            <w:tcBorders>
              <w:top w:val="single" w:color="auto" w:sz="4" w:space="0"/>
              <w:left w:val="single" w:color="auto" w:sz="4" w:space="0"/>
              <w:bottom w:val="single" w:color="auto" w:sz="4" w:space="0"/>
              <w:right w:val="single" w:color="auto" w:sz="4" w:space="0"/>
            </w:tcBorders>
            <w:vAlign w:val="center"/>
          </w:tcPr>
          <w:p w14:paraId="262D95AB">
            <w:pPr>
              <w:autoSpaceDE w:val="0"/>
              <w:autoSpaceDN w:val="0"/>
              <w:adjustRightInd w:val="0"/>
              <w:spacing w:before="0"/>
              <w:ind w:left="0" w:right="0" w:firstLine="420" w:firstLineChars="200"/>
              <w:jc w:val="center"/>
              <w:rPr>
                <w:rFonts w:hint="eastAsia" w:ascii="宋体" w:hAnsi="宋体" w:cs="仿宋"/>
                <w:color w:val="auto"/>
                <w:highlight w:val="none"/>
                <w:lang w:val="zh-CN"/>
              </w:rPr>
            </w:pPr>
            <w:r>
              <w:rPr>
                <w:rFonts w:hint="eastAsia" w:ascii="宋体" w:hAnsi="宋体" w:cs="仿宋"/>
                <w:color w:val="auto"/>
                <w:highlight w:val="none"/>
                <w:lang w:val="zh-CN"/>
              </w:rPr>
              <w:t>数量</w:t>
            </w:r>
          </w:p>
        </w:tc>
        <w:tc>
          <w:tcPr>
            <w:tcW w:w="1289" w:type="pct"/>
            <w:tcBorders>
              <w:top w:val="single" w:color="auto" w:sz="4" w:space="0"/>
              <w:left w:val="single" w:color="auto" w:sz="4" w:space="0"/>
              <w:bottom w:val="single" w:color="auto" w:sz="4" w:space="0"/>
              <w:right w:val="single" w:color="auto" w:sz="4" w:space="0"/>
            </w:tcBorders>
            <w:vAlign w:val="center"/>
          </w:tcPr>
          <w:p w14:paraId="3DD3920B">
            <w:pPr>
              <w:autoSpaceDE w:val="0"/>
              <w:autoSpaceDN w:val="0"/>
              <w:adjustRightInd w:val="0"/>
              <w:spacing w:before="0"/>
              <w:ind w:left="0" w:right="0" w:firstLine="420" w:firstLineChars="200"/>
              <w:rPr>
                <w:rFonts w:hint="eastAsia" w:ascii="宋体" w:hAnsi="宋体" w:cs="仿宋"/>
                <w:color w:val="auto"/>
                <w:highlight w:val="none"/>
                <w:lang w:val="zh-CN"/>
              </w:rPr>
            </w:pPr>
            <w:r>
              <w:rPr>
                <w:rFonts w:hint="eastAsia" w:ascii="宋体" w:hAnsi="宋体" w:cs="仿宋"/>
                <w:color w:val="auto"/>
                <w:highlight w:val="none"/>
                <w:lang w:val="zh-CN"/>
              </w:rPr>
              <w:t>备注</w:t>
            </w:r>
          </w:p>
        </w:tc>
      </w:tr>
      <w:tr w14:paraId="43161A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64" w:type="pct"/>
            <w:tcBorders>
              <w:top w:val="single" w:color="auto" w:sz="4" w:space="0"/>
              <w:left w:val="single" w:color="auto" w:sz="4" w:space="0"/>
              <w:bottom w:val="single" w:color="auto" w:sz="4" w:space="0"/>
              <w:right w:val="single" w:color="auto" w:sz="4" w:space="0"/>
            </w:tcBorders>
            <w:vAlign w:val="center"/>
          </w:tcPr>
          <w:p w14:paraId="432F9D09">
            <w:pPr>
              <w:spacing w:before="0"/>
              <w:ind w:left="0" w:right="0" w:firstLine="420" w:firstLineChars="200"/>
              <w:jc w:val="center"/>
              <w:rPr>
                <w:rFonts w:hint="eastAsia" w:ascii="宋体" w:hAnsi="宋体" w:cs="仿宋"/>
                <w:color w:val="auto"/>
                <w:highlight w:val="none"/>
                <w:lang w:val="zh-CN"/>
              </w:rPr>
            </w:pPr>
            <w:r>
              <w:rPr>
                <w:rFonts w:hint="eastAsia" w:ascii="宋体" w:hAnsi="宋体" w:cs="仿宋"/>
                <w:color w:val="auto"/>
                <w:highlight w:val="none"/>
                <w:lang w:val="zh-CN"/>
              </w:rPr>
              <w:t>1</w:t>
            </w:r>
          </w:p>
        </w:tc>
        <w:tc>
          <w:tcPr>
            <w:tcW w:w="1591" w:type="pct"/>
            <w:tcBorders>
              <w:top w:val="single" w:color="auto" w:sz="4" w:space="0"/>
              <w:left w:val="single" w:color="auto" w:sz="4" w:space="0"/>
              <w:bottom w:val="single" w:color="auto" w:sz="4" w:space="0"/>
              <w:right w:val="single" w:color="auto" w:sz="4" w:space="0"/>
            </w:tcBorders>
            <w:vAlign w:val="center"/>
          </w:tcPr>
          <w:p w14:paraId="14A82A6E">
            <w:pPr>
              <w:spacing w:before="0"/>
              <w:ind w:left="0" w:right="0" w:firstLine="420" w:firstLineChars="200"/>
              <w:rPr>
                <w:rFonts w:hint="eastAsia" w:ascii="宋体" w:hAnsi="宋体" w:cs="仿宋"/>
                <w:color w:val="auto"/>
                <w:highlight w:val="none"/>
                <w:lang w:val="zh-CN"/>
              </w:rPr>
            </w:pPr>
            <w:r>
              <w:rPr>
                <w:rFonts w:hint="eastAsia" w:ascii="宋体" w:hAnsi="宋体" w:cs="仿宋"/>
                <w:color w:val="auto"/>
                <w:highlight w:val="none"/>
                <w:lang w:val="zh-CN"/>
              </w:rPr>
              <w:t>前期竞品调研</w:t>
            </w:r>
          </w:p>
        </w:tc>
        <w:tc>
          <w:tcPr>
            <w:tcW w:w="856" w:type="pct"/>
            <w:tcBorders>
              <w:top w:val="single" w:color="auto" w:sz="4" w:space="0"/>
              <w:left w:val="single" w:color="auto" w:sz="4" w:space="0"/>
              <w:bottom w:val="single" w:color="auto" w:sz="4" w:space="0"/>
              <w:right w:val="single" w:color="auto" w:sz="4" w:space="0"/>
            </w:tcBorders>
            <w:vAlign w:val="center"/>
          </w:tcPr>
          <w:p w14:paraId="12706E5E">
            <w:pPr>
              <w:spacing w:before="0"/>
              <w:ind w:left="0" w:right="0" w:firstLine="420" w:firstLineChars="200"/>
              <w:jc w:val="center"/>
              <w:rPr>
                <w:rFonts w:hint="eastAsia" w:ascii="宋体" w:hAnsi="宋体" w:cs="仿宋"/>
                <w:color w:val="auto"/>
                <w:highlight w:val="none"/>
                <w:lang w:val="zh-CN"/>
              </w:rPr>
            </w:pPr>
            <w:r>
              <w:rPr>
                <w:rFonts w:hint="eastAsia" w:ascii="宋体" w:hAnsi="宋体" w:cs="仿宋"/>
                <w:color w:val="auto"/>
                <w:highlight w:val="none"/>
                <w:lang w:val="zh-CN"/>
              </w:rPr>
              <w:t>设计单位</w:t>
            </w:r>
          </w:p>
        </w:tc>
        <w:tc>
          <w:tcPr>
            <w:tcW w:w="597" w:type="pct"/>
            <w:tcBorders>
              <w:top w:val="single" w:color="auto" w:sz="4" w:space="0"/>
              <w:left w:val="single" w:color="auto" w:sz="4" w:space="0"/>
              <w:bottom w:val="single" w:color="auto" w:sz="4" w:space="0"/>
              <w:right w:val="single" w:color="auto" w:sz="4" w:space="0"/>
            </w:tcBorders>
            <w:vAlign w:val="center"/>
          </w:tcPr>
          <w:p w14:paraId="7E46CCA9">
            <w:pPr>
              <w:spacing w:before="0"/>
              <w:ind w:left="0" w:right="0" w:firstLine="420" w:firstLineChars="200"/>
              <w:jc w:val="center"/>
              <w:rPr>
                <w:rFonts w:hint="eastAsia" w:ascii="宋体" w:hAnsi="宋体" w:cs="仿宋"/>
                <w:color w:val="auto"/>
                <w:highlight w:val="none"/>
                <w:lang w:val="zh-CN"/>
              </w:rPr>
            </w:pPr>
            <w:r>
              <w:rPr>
                <w:rFonts w:hint="eastAsia" w:ascii="宋体" w:hAnsi="宋体" w:cs="仿宋"/>
                <w:color w:val="auto"/>
                <w:highlight w:val="none"/>
                <w:lang w:val="zh-CN"/>
              </w:rPr>
              <w:t>1</w:t>
            </w:r>
          </w:p>
        </w:tc>
        <w:tc>
          <w:tcPr>
            <w:tcW w:w="1289" w:type="pct"/>
            <w:tcBorders>
              <w:top w:val="single" w:color="auto" w:sz="4" w:space="0"/>
              <w:left w:val="single" w:color="auto" w:sz="4" w:space="0"/>
              <w:bottom w:val="single" w:color="auto" w:sz="4" w:space="0"/>
              <w:right w:val="single" w:color="auto" w:sz="4" w:space="0"/>
            </w:tcBorders>
            <w:vAlign w:val="center"/>
          </w:tcPr>
          <w:p w14:paraId="7D26584A">
            <w:pPr>
              <w:spacing w:before="0"/>
              <w:ind w:left="0" w:right="0" w:firstLine="420" w:firstLineChars="200"/>
              <w:rPr>
                <w:rFonts w:hint="eastAsia" w:ascii="宋体" w:hAnsi="宋体" w:cs="仿宋"/>
                <w:color w:val="auto"/>
                <w:highlight w:val="none"/>
                <w:lang w:val="zh-CN"/>
              </w:rPr>
            </w:pPr>
          </w:p>
        </w:tc>
      </w:tr>
      <w:tr w14:paraId="4EA925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64" w:type="pct"/>
            <w:tcBorders>
              <w:top w:val="single" w:color="auto" w:sz="4" w:space="0"/>
              <w:left w:val="single" w:color="auto" w:sz="4" w:space="0"/>
              <w:bottom w:val="single" w:color="auto" w:sz="4" w:space="0"/>
              <w:right w:val="single" w:color="auto" w:sz="4" w:space="0"/>
            </w:tcBorders>
            <w:vAlign w:val="center"/>
          </w:tcPr>
          <w:p w14:paraId="42027D15">
            <w:pPr>
              <w:spacing w:before="0"/>
              <w:ind w:left="0" w:right="0" w:firstLine="420" w:firstLineChars="200"/>
              <w:jc w:val="center"/>
              <w:rPr>
                <w:rFonts w:hint="eastAsia" w:ascii="宋体" w:hAnsi="宋体" w:cs="仿宋"/>
                <w:color w:val="auto"/>
                <w:highlight w:val="none"/>
                <w:lang w:val="zh-CN"/>
              </w:rPr>
            </w:pPr>
            <w:r>
              <w:rPr>
                <w:rFonts w:hint="eastAsia" w:ascii="宋体" w:hAnsi="宋体" w:cs="仿宋"/>
                <w:color w:val="auto"/>
                <w:highlight w:val="none"/>
                <w:lang w:val="zh-CN"/>
              </w:rPr>
              <w:t>2</w:t>
            </w:r>
          </w:p>
        </w:tc>
        <w:tc>
          <w:tcPr>
            <w:tcW w:w="1591" w:type="pct"/>
            <w:tcBorders>
              <w:top w:val="single" w:color="auto" w:sz="4" w:space="0"/>
              <w:left w:val="single" w:color="auto" w:sz="4" w:space="0"/>
              <w:bottom w:val="single" w:color="auto" w:sz="4" w:space="0"/>
              <w:right w:val="single" w:color="auto" w:sz="4" w:space="0"/>
            </w:tcBorders>
            <w:vAlign w:val="center"/>
          </w:tcPr>
          <w:p w14:paraId="74856265">
            <w:pPr>
              <w:spacing w:before="0"/>
              <w:ind w:left="0" w:right="0" w:firstLine="420" w:firstLineChars="200"/>
              <w:rPr>
                <w:rFonts w:hint="eastAsia" w:ascii="宋体" w:hAnsi="宋体" w:cs="仿宋"/>
                <w:color w:val="auto"/>
                <w:highlight w:val="none"/>
                <w:lang w:val="zh-CN"/>
              </w:rPr>
            </w:pPr>
            <w:r>
              <w:rPr>
                <w:rFonts w:ascii="宋体" w:hAnsi="宋体" w:cs="仿宋"/>
                <w:color w:val="auto"/>
                <w:highlight w:val="none"/>
                <w:lang w:val="zh-CN"/>
              </w:rPr>
              <w:t>设计阶段</w:t>
            </w:r>
          </w:p>
        </w:tc>
        <w:tc>
          <w:tcPr>
            <w:tcW w:w="856" w:type="pct"/>
            <w:tcBorders>
              <w:top w:val="single" w:color="auto" w:sz="4" w:space="0"/>
              <w:left w:val="single" w:color="auto" w:sz="4" w:space="0"/>
              <w:bottom w:val="single" w:color="auto" w:sz="4" w:space="0"/>
              <w:right w:val="single" w:color="auto" w:sz="4" w:space="0"/>
            </w:tcBorders>
            <w:vAlign w:val="center"/>
          </w:tcPr>
          <w:p w14:paraId="3C1CBFBE">
            <w:pPr>
              <w:spacing w:before="0"/>
              <w:ind w:left="0" w:right="0" w:firstLine="420" w:firstLineChars="200"/>
              <w:jc w:val="center"/>
              <w:rPr>
                <w:rFonts w:hint="eastAsia" w:ascii="宋体" w:hAnsi="宋体" w:cs="仿宋"/>
                <w:color w:val="auto"/>
                <w:highlight w:val="none"/>
                <w:lang w:val="zh-CN"/>
              </w:rPr>
            </w:pPr>
            <w:r>
              <w:rPr>
                <w:rFonts w:ascii="宋体" w:hAnsi="宋体" w:cs="仿宋"/>
                <w:color w:val="auto"/>
                <w:highlight w:val="none"/>
                <w:lang w:val="zh-CN"/>
              </w:rPr>
              <w:t>设计单位</w:t>
            </w:r>
          </w:p>
        </w:tc>
        <w:tc>
          <w:tcPr>
            <w:tcW w:w="597" w:type="pct"/>
            <w:tcBorders>
              <w:top w:val="single" w:color="auto" w:sz="4" w:space="0"/>
              <w:left w:val="single" w:color="auto" w:sz="4" w:space="0"/>
              <w:bottom w:val="single" w:color="auto" w:sz="4" w:space="0"/>
              <w:right w:val="single" w:color="auto" w:sz="4" w:space="0"/>
            </w:tcBorders>
            <w:vAlign w:val="center"/>
          </w:tcPr>
          <w:p w14:paraId="35F4AA06">
            <w:pPr>
              <w:spacing w:before="0"/>
              <w:ind w:left="0" w:right="0" w:firstLine="420" w:firstLineChars="200"/>
              <w:jc w:val="center"/>
              <w:rPr>
                <w:rFonts w:hint="eastAsia" w:ascii="宋体" w:hAnsi="宋体" w:cs="仿宋"/>
                <w:color w:val="auto"/>
                <w:highlight w:val="none"/>
                <w:lang w:val="zh-CN"/>
              </w:rPr>
            </w:pPr>
            <w:r>
              <w:rPr>
                <w:rFonts w:hint="eastAsia" w:ascii="宋体" w:hAnsi="宋体" w:cs="仿宋"/>
                <w:color w:val="auto"/>
                <w:highlight w:val="none"/>
                <w:lang w:val="zh-CN"/>
              </w:rPr>
              <w:t>1</w:t>
            </w:r>
          </w:p>
        </w:tc>
        <w:tc>
          <w:tcPr>
            <w:tcW w:w="1289" w:type="pct"/>
            <w:tcBorders>
              <w:top w:val="single" w:color="auto" w:sz="4" w:space="0"/>
              <w:left w:val="single" w:color="auto" w:sz="4" w:space="0"/>
              <w:bottom w:val="single" w:color="auto" w:sz="4" w:space="0"/>
              <w:right w:val="single" w:color="auto" w:sz="4" w:space="0"/>
            </w:tcBorders>
            <w:vAlign w:val="center"/>
          </w:tcPr>
          <w:p w14:paraId="062B8565">
            <w:pPr>
              <w:spacing w:before="0"/>
              <w:ind w:left="0" w:right="0" w:firstLine="420" w:firstLineChars="200"/>
              <w:rPr>
                <w:rFonts w:hint="eastAsia" w:ascii="宋体" w:hAnsi="宋体" w:cs="仿宋"/>
                <w:color w:val="auto"/>
                <w:highlight w:val="none"/>
                <w:lang w:val="zh-CN"/>
              </w:rPr>
            </w:pPr>
            <w:r>
              <w:rPr>
                <w:rFonts w:hint="eastAsia" w:ascii="宋体" w:hAnsi="宋体" w:cs="仿宋"/>
                <w:color w:val="auto"/>
                <w:highlight w:val="none"/>
                <w:lang w:val="zh-CN"/>
              </w:rPr>
              <w:t>　</w:t>
            </w:r>
          </w:p>
        </w:tc>
      </w:tr>
      <w:tr w14:paraId="49E2C85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64" w:type="pct"/>
            <w:tcBorders>
              <w:top w:val="single" w:color="auto" w:sz="4" w:space="0"/>
              <w:left w:val="single" w:color="auto" w:sz="4" w:space="0"/>
              <w:bottom w:val="single" w:color="auto" w:sz="4" w:space="0"/>
              <w:right w:val="single" w:color="auto" w:sz="4" w:space="0"/>
            </w:tcBorders>
            <w:vAlign w:val="center"/>
          </w:tcPr>
          <w:p w14:paraId="4A16F0E1">
            <w:pPr>
              <w:spacing w:before="0"/>
              <w:ind w:left="0" w:right="0" w:firstLine="420" w:firstLineChars="200"/>
              <w:jc w:val="center"/>
              <w:rPr>
                <w:rFonts w:hint="eastAsia" w:ascii="宋体" w:hAnsi="宋体" w:cs="仿宋"/>
                <w:color w:val="auto"/>
                <w:highlight w:val="none"/>
                <w:lang w:val="zh-CN"/>
              </w:rPr>
            </w:pPr>
            <w:r>
              <w:rPr>
                <w:rFonts w:hint="eastAsia" w:ascii="宋体" w:hAnsi="宋体" w:cs="仿宋"/>
                <w:color w:val="auto"/>
                <w:highlight w:val="none"/>
                <w:lang w:val="zh-CN"/>
              </w:rPr>
              <w:t>3</w:t>
            </w:r>
          </w:p>
        </w:tc>
        <w:tc>
          <w:tcPr>
            <w:tcW w:w="1591" w:type="pct"/>
            <w:tcBorders>
              <w:top w:val="single" w:color="auto" w:sz="4" w:space="0"/>
              <w:left w:val="single" w:color="auto" w:sz="4" w:space="0"/>
              <w:bottom w:val="single" w:color="auto" w:sz="4" w:space="0"/>
              <w:right w:val="single" w:color="auto" w:sz="4" w:space="0"/>
            </w:tcBorders>
            <w:vAlign w:val="center"/>
          </w:tcPr>
          <w:p w14:paraId="6D23C6D2">
            <w:pPr>
              <w:spacing w:before="0"/>
              <w:ind w:left="0" w:right="0" w:firstLine="420" w:firstLineChars="200"/>
              <w:rPr>
                <w:rFonts w:hint="eastAsia" w:ascii="宋体" w:hAnsi="宋体" w:cs="仿宋"/>
                <w:color w:val="auto"/>
                <w:highlight w:val="none"/>
                <w:lang w:val="zh-CN"/>
              </w:rPr>
            </w:pPr>
            <w:r>
              <w:rPr>
                <w:rFonts w:ascii="宋体" w:hAnsi="宋体" w:cs="仿宋"/>
                <w:color w:val="auto"/>
                <w:highlight w:val="none"/>
                <w:lang w:val="zh-CN"/>
              </w:rPr>
              <w:t>施工现场服务阶段</w:t>
            </w:r>
          </w:p>
        </w:tc>
        <w:tc>
          <w:tcPr>
            <w:tcW w:w="856" w:type="pct"/>
            <w:tcBorders>
              <w:top w:val="single" w:color="auto" w:sz="4" w:space="0"/>
              <w:left w:val="single" w:color="auto" w:sz="4" w:space="0"/>
              <w:bottom w:val="single" w:color="auto" w:sz="4" w:space="0"/>
              <w:right w:val="single" w:color="auto" w:sz="4" w:space="0"/>
            </w:tcBorders>
            <w:vAlign w:val="center"/>
          </w:tcPr>
          <w:p w14:paraId="108F5363">
            <w:pPr>
              <w:spacing w:before="0"/>
              <w:ind w:left="0" w:right="0" w:firstLine="420" w:firstLineChars="200"/>
              <w:jc w:val="center"/>
              <w:rPr>
                <w:rFonts w:hint="eastAsia" w:ascii="宋体" w:hAnsi="宋体" w:cs="仿宋"/>
                <w:color w:val="auto"/>
                <w:highlight w:val="none"/>
                <w:lang w:val="zh-CN"/>
              </w:rPr>
            </w:pPr>
            <w:r>
              <w:rPr>
                <w:rFonts w:ascii="宋体" w:hAnsi="宋体" w:cs="仿宋"/>
                <w:color w:val="auto"/>
                <w:highlight w:val="none"/>
                <w:lang w:val="zh-CN"/>
              </w:rPr>
              <w:t>设计单位</w:t>
            </w:r>
          </w:p>
        </w:tc>
        <w:tc>
          <w:tcPr>
            <w:tcW w:w="597" w:type="pct"/>
            <w:tcBorders>
              <w:top w:val="single" w:color="auto" w:sz="4" w:space="0"/>
              <w:left w:val="single" w:color="auto" w:sz="4" w:space="0"/>
              <w:bottom w:val="single" w:color="auto" w:sz="4" w:space="0"/>
              <w:right w:val="single" w:color="auto" w:sz="4" w:space="0"/>
            </w:tcBorders>
            <w:vAlign w:val="center"/>
          </w:tcPr>
          <w:p w14:paraId="657EC26C">
            <w:pPr>
              <w:spacing w:before="0"/>
              <w:ind w:left="0" w:right="0" w:firstLine="420" w:firstLineChars="200"/>
              <w:jc w:val="center"/>
              <w:rPr>
                <w:rFonts w:hint="eastAsia" w:ascii="宋体" w:hAnsi="宋体" w:cs="仿宋"/>
                <w:color w:val="auto"/>
                <w:highlight w:val="none"/>
                <w:lang w:val="zh-CN"/>
              </w:rPr>
            </w:pPr>
            <w:r>
              <w:rPr>
                <w:rFonts w:hint="eastAsia" w:ascii="宋体" w:hAnsi="宋体" w:cs="仿宋"/>
                <w:color w:val="auto"/>
                <w:highlight w:val="none"/>
                <w:lang w:val="zh-CN"/>
              </w:rPr>
              <w:t>1</w:t>
            </w:r>
          </w:p>
        </w:tc>
        <w:tc>
          <w:tcPr>
            <w:tcW w:w="1289" w:type="pct"/>
            <w:tcBorders>
              <w:top w:val="single" w:color="auto" w:sz="4" w:space="0"/>
              <w:left w:val="single" w:color="auto" w:sz="4" w:space="0"/>
              <w:bottom w:val="single" w:color="auto" w:sz="4" w:space="0"/>
              <w:right w:val="single" w:color="auto" w:sz="4" w:space="0"/>
            </w:tcBorders>
            <w:vAlign w:val="center"/>
          </w:tcPr>
          <w:p w14:paraId="4AF591AF">
            <w:pPr>
              <w:spacing w:before="0"/>
              <w:ind w:left="0" w:right="0" w:firstLine="420" w:firstLineChars="200"/>
              <w:rPr>
                <w:rFonts w:hint="eastAsia" w:ascii="宋体" w:hAnsi="宋体" w:cs="仿宋"/>
                <w:color w:val="auto"/>
                <w:highlight w:val="none"/>
                <w:lang w:val="zh-CN"/>
              </w:rPr>
            </w:pPr>
          </w:p>
        </w:tc>
      </w:tr>
      <w:tr w14:paraId="04F782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64" w:type="pct"/>
            <w:tcBorders>
              <w:top w:val="single" w:color="auto" w:sz="4" w:space="0"/>
              <w:left w:val="single" w:color="auto" w:sz="4" w:space="0"/>
              <w:bottom w:val="single" w:color="auto" w:sz="4" w:space="0"/>
              <w:right w:val="single" w:color="auto" w:sz="4" w:space="0"/>
            </w:tcBorders>
            <w:vAlign w:val="center"/>
          </w:tcPr>
          <w:p w14:paraId="1C2D2679">
            <w:pPr>
              <w:autoSpaceDE w:val="0"/>
              <w:autoSpaceDN w:val="0"/>
              <w:adjustRightInd w:val="0"/>
              <w:spacing w:before="0"/>
              <w:ind w:left="0" w:right="0" w:firstLine="420" w:firstLineChars="200"/>
              <w:rPr>
                <w:rFonts w:hint="eastAsia" w:ascii="宋体" w:hAnsi="宋体" w:cs="楷体"/>
                <w:color w:val="auto"/>
                <w:highlight w:val="none"/>
                <w:lang w:val="zh-CN"/>
              </w:rPr>
            </w:pPr>
            <w:r>
              <w:rPr>
                <w:rFonts w:hint="eastAsia" w:ascii="宋体" w:hAnsi="宋体" w:cs="楷体"/>
                <w:color w:val="auto"/>
                <w:highlight w:val="none"/>
                <w:lang w:val="zh-CN"/>
              </w:rPr>
              <w:t>……</w:t>
            </w:r>
          </w:p>
        </w:tc>
        <w:tc>
          <w:tcPr>
            <w:tcW w:w="1591" w:type="pct"/>
            <w:tcBorders>
              <w:top w:val="single" w:color="auto" w:sz="4" w:space="0"/>
              <w:left w:val="single" w:color="auto" w:sz="4" w:space="0"/>
              <w:bottom w:val="single" w:color="auto" w:sz="4" w:space="0"/>
              <w:right w:val="single" w:color="auto" w:sz="4" w:space="0"/>
            </w:tcBorders>
            <w:vAlign w:val="center"/>
          </w:tcPr>
          <w:p w14:paraId="0B29BA84">
            <w:pPr>
              <w:spacing w:before="0"/>
              <w:ind w:left="0" w:right="0" w:firstLine="420" w:firstLineChars="200"/>
              <w:rPr>
                <w:rFonts w:hint="eastAsia" w:ascii="宋体" w:hAnsi="宋体" w:cs="仿宋"/>
                <w:color w:val="auto"/>
                <w:highlight w:val="none"/>
                <w:lang w:val="zh-CN"/>
              </w:rPr>
            </w:pPr>
          </w:p>
        </w:tc>
        <w:tc>
          <w:tcPr>
            <w:tcW w:w="856" w:type="pct"/>
            <w:tcBorders>
              <w:top w:val="single" w:color="auto" w:sz="4" w:space="0"/>
              <w:left w:val="single" w:color="auto" w:sz="4" w:space="0"/>
              <w:bottom w:val="single" w:color="auto" w:sz="4" w:space="0"/>
              <w:right w:val="single" w:color="auto" w:sz="4" w:space="0"/>
            </w:tcBorders>
            <w:vAlign w:val="center"/>
          </w:tcPr>
          <w:p w14:paraId="5AE5032A">
            <w:pPr>
              <w:spacing w:before="0"/>
              <w:ind w:left="0" w:right="0" w:firstLine="420" w:firstLineChars="200"/>
              <w:jc w:val="center"/>
              <w:rPr>
                <w:rFonts w:hint="eastAsia" w:ascii="宋体" w:hAnsi="宋体" w:cs="仿宋"/>
                <w:color w:val="auto"/>
                <w:highlight w:val="none"/>
                <w:lang w:val="zh-CN"/>
              </w:rPr>
            </w:pPr>
          </w:p>
        </w:tc>
        <w:tc>
          <w:tcPr>
            <w:tcW w:w="597" w:type="pct"/>
            <w:tcBorders>
              <w:top w:val="single" w:color="auto" w:sz="4" w:space="0"/>
              <w:left w:val="single" w:color="auto" w:sz="4" w:space="0"/>
              <w:bottom w:val="single" w:color="auto" w:sz="4" w:space="0"/>
              <w:right w:val="single" w:color="auto" w:sz="4" w:space="0"/>
            </w:tcBorders>
            <w:vAlign w:val="center"/>
          </w:tcPr>
          <w:p w14:paraId="1EB7385A">
            <w:pPr>
              <w:spacing w:before="0"/>
              <w:ind w:left="0" w:right="0" w:firstLine="420" w:firstLineChars="200"/>
              <w:jc w:val="center"/>
              <w:rPr>
                <w:rFonts w:hint="eastAsia" w:ascii="宋体" w:hAnsi="宋体" w:cs="仿宋"/>
                <w:color w:val="auto"/>
                <w:highlight w:val="none"/>
                <w:lang w:val="zh-CN"/>
              </w:rPr>
            </w:pPr>
          </w:p>
        </w:tc>
        <w:tc>
          <w:tcPr>
            <w:tcW w:w="1289" w:type="pct"/>
            <w:tcBorders>
              <w:top w:val="single" w:color="auto" w:sz="4" w:space="0"/>
              <w:left w:val="single" w:color="auto" w:sz="4" w:space="0"/>
              <w:bottom w:val="single" w:color="auto" w:sz="4" w:space="0"/>
              <w:right w:val="single" w:color="auto" w:sz="4" w:space="0"/>
            </w:tcBorders>
            <w:vAlign w:val="center"/>
          </w:tcPr>
          <w:p w14:paraId="75F9A338">
            <w:pPr>
              <w:spacing w:before="0"/>
              <w:ind w:left="0" w:right="0" w:firstLine="420" w:firstLineChars="200"/>
              <w:rPr>
                <w:rFonts w:hint="eastAsia" w:ascii="宋体" w:hAnsi="宋体" w:cs="仿宋"/>
                <w:color w:val="auto"/>
                <w:highlight w:val="none"/>
                <w:lang w:val="zh-CN"/>
              </w:rPr>
            </w:pPr>
          </w:p>
        </w:tc>
      </w:tr>
    </w:tbl>
    <w:p w14:paraId="26684607">
      <w:pPr>
        <w:autoSpaceDE w:val="0"/>
        <w:autoSpaceDN w:val="0"/>
        <w:adjustRightInd w:val="0"/>
        <w:spacing w:before="0" w:line="240" w:lineRule="auto"/>
        <w:ind w:left="0" w:right="0" w:firstLine="420" w:firstLineChars="200"/>
        <w:rPr>
          <w:rFonts w:hint="eastAsia" w:ascii="宋体" w:hAnsi="宋体" w:cs="仿宋"/>
          <w:color w:val="auto"/>
          <w:highlight w:val="none"/>
          <w:lang w:val="zh-CN"/>
        </w:rPr>
      </w:pPr>
    </w:p>
    <w:p w14:paraId="09533D88">
      <w:pPr>
        <w:autoSpaceDE w:val="0"/>
        <w:autoSpaceDN w:val="0"/>
        <w:adjustRightInd w:val="0"/>
        <w:spacing w:before="0" w:line="240" w:lineRule="auto"/>
        <w:ind w:left="0" w:right="0" w:firstLine="420" w:firstLineChars="200"/>
        <w:rPr>
          <w:rFonts w:hint="eastAsia" w:ascii="宋体" w:hAnsi="宋体" w:cs="仿宋"/>
          <w:color w:val="auto"/>
          <w:highlight w:val="none"/>
          <w:lang w:val="zh-CN"/>
        </w:rPr>
      </w:pPr>
      <w:r>
        <w:rPr>
          <w:rFonts w:hint="eastAsia" w:ascii="宋体" w:hAnsi="宋体" w:cs="仿宋"/>
          <w:color w:val="auto"/>
          <w:highlight w:val="none"/>
          <w:lang w:val="zh-CN"/>
        </w:rPr>
        <w:t>2.服务要求</w:t>
      </w:r>
    </w:p>
    <w:tbl>
      <w:tblPr>
        <w:tblStyle w:val="36"/>
        <w:tblW w:w="500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163"/>
        <w:gridCol w:w="1512"/>
        <w:gridCol w:w="6380"/>
      </w:tblGrid>
      <w:tr w14:paraId="4BEF092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642" w:type="pct"/>
            <w:tcBorders>
              <w:top w:val="single" w:color="auto" w:sz="6" w:space="0"/>
              <w:left w:val="single" w:color="auto" w:sz="6" w:space="0"/>
              <w:bottom w:val="single" w:color="auto" w:sz="6" w:space="0"/>
              <w:right w:val="single" w:color="auto" w:sz="6" w:space="0"/>
            </w:tcBorders>
            <w:vAlign w:val="center"/>
          </w:tcPr>
          <w:p w14:paraId="596C4CB7">
            <w:pPr>
              <w:autoSpaceDE w:val="0"/>
              <w:autoSpaceDN w:val="0"/>
              <w:adjustRightInd w:val="0"/>
              <w:spacing w:before="0" w:after="0" w:afterAutospacing="0" w:line="240" w:lineRule="auto"/>
              <w:ind w:left="0" w:right="0" w:firstLine="21" w:firstLineChars="10"/>
              <w:jc w:val="center"/>
              <w:rPr>
                <w:rFonts w:hint="eastAsia" w:ascii="宋体" w:hAnsi="宋体"/>
                <w:color w:val="auto"/>
                <w:highlight w:val="none"/>
                <w:lang w:val="zh-CN"/>
              </w:rPr>
            </w:pPr>
            <w:bookmarkStart w:id="1791" w:name="_Toc294519923"/>
            <w:bookmarkStart w:id="1792" w:name="_Toc292794206"/>
            <w:bookmarkStart w:id="1793" w:name="_Toc272250924"/>
            <w:r>
              <w:rPr>
                <w:rFonts w:hint="eastAsia" w:ascii="宋体" w:hAnsi="宋体" w:cs="仿宋"/>
                <w:color w:val="auto"/>
                <w:highlight w:val="none"/>
                <w:lang w:val="zh-CN"/>
              </w:rPr>
              <w:t>序号</w:t>
            </w:r>
          </w:p>
        </w:tc>
        <w:tc>
          <w:tcPr>
            <w:tcW w:w="835" w:type="pct"/>
            <w:tcBorders>
              <w:top w:val="single" w:color="auto" w:sz="6" w:space="0"/>
              <w:left w:val="single" w:color="auto" w:sz="6" w:space="0"/>
              <w:bottom w:val="single" w:color="auto" w:sz="6" w:space="0"/>
              <w:right w:val="single" w:color="auto" w:sz="6" w:space="0"/>
            </w:tcBorders>
            <w:vAlign w:val="center"/>
          </w:tcPr>
          <w:p w14:paraId="2AC7FF2B">
            <w:pPr>
              <w:autoSpaceDE w:val="0"/>
              <w:autoSpaceDN w:val="0"/>
              <w:adjustRightInd w:val="0"/>
              <w:spacing w:before="0" w:after="0" w:afterAutospacing="0" w:line="240" w:lineRule="auto"/>
              <w:ind w:left="0" w:right="0" w:firstLine="21" w:firstLineChars="10"/>
              <w:jc w:val="center"/>
              <w:rPr>
                <w:rFonts w:hint="eastAsia" w:ascii="宋体" w:hAnsi="宋体"/>
                <w:color w:val="auto"/>
                <w:highlight w:val="none"/>
                <w:lang w:val="zh-CN"/>
              </w:rPr>
            </w:pPr>
            <w:r>
              <w:rPr>
                <w:rFonts w:hint="eastAsia" w:ascii="宋体" w:hAnsi="宋体"/>
                <w:color w:val="auto"/>
                <w:highlight w:val="none"/>
                <w:lang w:val="zh-CN"/>
              </w:rPr>
              <w:t>服务名称及内容</w:t>
            </w:r>
          </w:p>
        </w:tc>
        <w:tc>
          <w:tcPr>
            <w:tcW w:w="3523" w:type="pct"/>
            <w:tcBorders>
              <w:top w:val="single" w:color="auto" w:sz="6" w:space="0"/>
              <w:left w:val="single" w:color="auto" w:sz="6" w:space="0"/>
              <w:bottom w:val="single" w:color="auto" w:sz="6" w:space="0"/>
              <w:right w:val="single" w:color="auto" w:sz="6" w:space="0"/>
            </w:tcBorders>
            <w:vAlign w:val="center"/>
          </w:tcPr>
          <w:p w14:paraId="5594E3AB">
            <w:pPr>
              <w:autoSpaceDE w:val="0"/>
              <w:autoSpaceDN w:val="0"/>
              <w:adjustRightInd w:val="0"/>
              <w:spacing w:before="0" w:after="0" w:afterAutospacing="0" w:line="240" w:lineRule="auto"/>
              <w:ind w:left="0" w:right="0" w:firstLine="21" w:firstLineChars="10"/>
              <w:jc w:val="center"/>
              <w:rPr>
                <w:rFonts w:hint="eastAsia" w:ascii="宋体" w:hAnsi="宋体"/>
                <w:color w:val="auto"/>
                <w:highlight w:val="none"/>
                <w:lang w:val="zh-CN"/>
              </w:rPr>
            </w:pPr>
            <w:r>
              <w:rPr>
                <w:rFonts w:hint="eastAsia" w:ascii="宋体" w:hAnsi="宋体" w:cs="仿宋"/>
                <w:color w:val="auto"/>
                <w:highlight w:val="none"/>
                <w:lang w:val="zh-CN"/>
              </w:rPr>
              <w:t>技术指标</w:t>
            </w:r>
          </w:p>
        </w:tc>
      </w:tr>
      <w:tr w14:paraId="4809BD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43" w:hRule="atLeast"/>
        </w:trPr>
        <w:tc>
          <w:tcPr>
            <w:tcW w:w="642" w:type="pct"/>
            <w:tcBorders>
              <w:top w:val="single" w:color="auto" w:sz="6" w:space="0"/>
              <w:left w:val="single" w:color="auto" w:sz="6" w:space="0"/>
              <w:bottom w:val="single" w:color="auto" w:sz="6" w:space="0"/>
              <w:right w:val="single" w:color="auto" w:sz="6" w:space="0"/>
            </w:tcBorders>
          </w:tcPr>
          <w:p w14:paraId="2C3F5545">
            <w:pPr>
              <w:spacing w:before="0" w:after="0" w:afterAutospacing="0" w:line="240" w:lineRule="auto"/>
              <w:ind w:left="0" w:right="0" w:firstLine="424" w:firstLineChars="202"/>
              <w:rPr>
                <w:rFonts w:hint="eastAsia" w:cs="仿宋" w:asciiTheme="minorEastAsia" w:hAnsiTheme="minorEastAsia" w:eastAsiaTheme="minorEastAsia"/>
                <w:color w:val="auto"/>
                <w:highlight w:val="none"/>
                <w:lang w:val="zh-CN"/>
              </w:rPr>
            </w:pPr>
            <w:r>
              <w:rPr>
                <w:rFonts w:hint="eastAsia" w:cs="仿宋" w:asciiTheme="minorEastAsia" w:hAnsiTheme="minorEastAsia" w:eastAsiaTheme="minorEastAsia"/>
                <w:color w:val="auto"/>
                <w:highlight w:val="none"/>
                <w:lang w:val="zh-CN"/>
              </w:rPr>
              <w:t>1★</w:t>
            </w:r>
          </w:p>
        </w:tc>
        <w:tc>
          <w:tcPr>
            <w:tcW w:w="835" w:type="pct"/>
            <w:tcBorders>
              <w:top w:val="single" w:color="auto" w:sz="6" w:space="0"/>
              <w:left w:val="single" w:color="auto" w:sz="6" w:space="0"/>
              <w:bottom w:val="single" w:color="auto" w:sz="6" w:space="0"/>
              <w:right w:val="single" w:color="auto" w:sz="6" w:space="0"/>
            </w:tcBorders>
          </w:tcPr>
          <w:p w14:paraId="14B6F6B6">
            <w:pPr>
              <w:autoSpaceDE w:val="0"/>
              <w:autoSpaceDN w:val="0"/>
              <w:adjustRightInd w:val="0"/>
              <w:spacing w:before="0" w:after="0" w:afterAutospacing="0" w:line="240" w:lineRule="auto"/>
              <w:ind w:left="0" w:right="0" w:firstLine="21" w:firstLineChars="10"/>
              <w:jc w:val="center"/>
              <w:rPr>
                <w:rFonts w:hint="eastAsia" w:asciiTheme="minorEastAsia" w:hAnsiTheme="minorEastAsia" w:eastAsiaTheme="minorEastAsia"/>
                <w:color w:val="auto"/>
                <w:highlight w:val="none"/>
                <w:lang w:val="zh-CN"/>
              </w:rPr>
            </w:pPr>
            <w:r>
              <w:rPr>
                <w:rFonts w:hint="eastAsia" w:asciiTheme="minorEastAsia" w:hAnsiTheme="minorEastAsia" w:eastAsiaTheme="minorEastAsia"/>
                <w:color w:val="auto"/>
                <w:highlight w:val="none"/>
                <w:lang w:val="zh-CN"/>
              </w:rPr>
              <w:t>概念方案设计阶段</w:t>
            </w:r>
          </w:p>
        </w:tc>
        <w:tc>
          <w:tcPr>
            <w:tcW w:w="3523" w:type="pct"/>
            <w:tcBorders>
              <w:top w:val="single" w:color="auto" w:sz="6" w:space="0"/>
              <w:left w:val="single" w:color="auto" w:sz="6" w:space="0"/>
              <w:bottom w:val="single" w:color="auto" w:sz="6" w:space="0"/>
              <w:right w:val="single" w:color="auto" w:sz="6" w:space="0"/>
            </w:tcBorders>
          </w:tcPr>
          <w:p w14:paraId="4A2351E6">
            <w:pPr>
              <w:autoSpaceDE w:val="0"/>
              <w:autoSpaceDN w:val="0"/>
              <w:adjustRightInd w:val="0"/>
              <w:spacing w:before="0" w:after="0" w:afterAutospacing="0" w:line="240" w:lineRule="auto"/>
              <w:ind w:left="0" w:right="0" w:firstLine="420" w:firstLineChars="200"/>
              <w:rPr>
                <w:rFonts w:hint="eastAsia" w:asciiTheme="minorEastAsia" w:hAnsiTheme="minorEastAsia" w:eastAsiaTheme="minorEastAsia"/>
                <w:color w:val="auto"/>
                <w:highlight w:val="none"/>
                <w:lang w:val="zh-CN"/>
              </w:rPr>
            </w:pPr>
            <w:r>
              <w:rPr>
                <w:rFonts w:hint="eastAsia" w:cs="仿宋" w:asciiTheme="minorEastAsia" w:hAnsiTheme="minorEastAsia" w:eastAsiaTheme="minorEastAsia"/>
                <w:color w:val="auto"/>
                <w:highlight w:val="none"/>
              </w:rPr>
              <w:t>开展设计工作前，出具</w:t>
            </w:r>
            <w:r>
              <w:rPr>
                <w:rFonts w:hint="eastAsia" w:asciiTheme="minorEastAsia" w:hAnsiTheme="minorEastAsia" w:eastAsiaTheme="minorEastAsia"/>
                <w:color w:val="auto"/>
                <w:highlight w:val="none"/>
              </w:rPr>
              <w:t>项目周边竞品调查报告（明确对标项目）</w:t>
            </w:r>
            <w:r>
              <w:rPr>
                <w:rFonts w:hint="eastAsia" w:asciiTheme="minorEastAsia" w:hAnsiTheme="minorEastAsia" w:eastAsiaTheme="minorEastAsia"/>
                <w:color w:val="auto"/>
                <w:highlight w:val="none"/>
                <w:lang w:val="zh-CN"/>
              </w:rPr>
              <w:t>平面功能图齐备，平面动线分析图，满足使用功能要求，；</w:t>
            </w:r>
            <w:r>
              <w:rPr>
                <w:rFonts w:hint="eastAsia" w:asciiTheme="minorEastAsia" w:hAnsiTheme="minorEastAsia" w:eastAsiaTheme="minorEastAsia"/>
                <w:color w:val="auto"/>
                <w:highlight w:val="none"/>
              </w:rPr>
              <w:t>，</w:t>
            </w:r>
            <w:r>
              <w:rPr>
                <w:rFonts w:hint="eastAsia" w:asciiTheme="minorEastAsia" w:hAnsiTheme="minorEastAsia" w:eastAsiaTheme="minorEastAsia"/>
                <w:color w:val="auto"/>
                <w:highlight w:val="none"/>
                <w:lang w:val="zh-CN"/>
              </w:rPr>
              <w:t>主要空间意向方案，作出不少于三个概念方向的意向方案（意向方案应包括效果图、主材图、初步概算），并应就此与甲方进行现场沟通。</w:t>
            </w:r>
          </w:p>
        </w:tc>
      </w:tr>
      <w:tr w14:paraId="38410A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43" w:hRule="atLeast"/>
        </w:trPr>
        <w:tc>
          <w:tcPr>
            <w:tcW w:w="642" w:type="pct"/>
            <w:tcBorders>
              <w:top w:val="single" w:color="auto" w:sz="6" w:space="0"/>
              <w:left w:val="single" w:color="auto" w:sz="6" w:space="0"/>
              <w:bottom w:val="single" w:color="auto" w:sz="6" w:space="0"/>
              <w:right w:val="single" w:color="auto" w:sz="6" w:space="0"/>
            </w:tcBorders>
          </w:tcPr>
          <w:p w14:paraId="38C01B87">
            <w:pPr>
              <w:spacing w:before="0" w:after="0" w:afterAutospacing="0" w:line="240" w:lineRule="auto"/>
              <w:ind w:left="0" w:right="0" w:firstLine="424" w:firstLineChars="202"/>
              <w:rPr>
                <w:rFonts w:hint="eastAsia" w:cs="仿宋" w:asciiTheme="minorEastAsia" w:hAnsiTheme="minorEastAsia" w:eastAsiaTheme="minorEastAsia"/>
                <w:color w:val="auto"/>
                <w:highlight w:val="none"/>
                <w:lang w:val="zh-CN"/>
              </w:rPr>
            </w:pPr>
            <w:r>
              <w:rPr>
                <w:rFonts w:hint="eastAsia" w:cs="仿宋" w:asciiTheme="minorEastAsia" w:hAnsiTheme="minorEastAsia" w:eastAsiaTheme="minorEastAsia"/>
                <w:color w:val="auto"/>
                <w:highlight w:val="none"/>
                <w:lang w:val="zh-CN"/>
              </w:rPr>
              <w:t>2★</w:t>
            </w:r>
          </w:p>
        </w:tc>
        <w:tc>
          <w:tcPr>
            <w:tcW w:w="835" w:type="pct"/>
            <w:tcBorders>
              <w:top w:val="single" w:color="auto" w:sz="6" w:space="0"/>
              <w:left w:val="single" w:color="auto" w:sz="6" w:space="0"/>
              <w:bottom w:val="single" w:color="auto" w:sz="6" w:space="0"/>
              <w:right w:val="single" w:color="auto" w:sz="6" w:space="0"/>
            </w:tcBorders>
          </w:tcPr>
          <w:p w14:paraId="3CECE229">
            <w:pPr>
              <w:autoSpaceDE w:val="0"/>
              <w:autoSpaceDN w:val="0"/>
              <w:adjustRightInd w:val="0"/>
              <w:spacing w:before="0" w:after="0" w:afterAutospacing="0" w:line="240" w:lineRule="auto"/>
              <w:ind w:left="0" w:right="0" w:firstLine="21" w:firstLineChars="10"/>
              <w:jc w:val="center"/>
              <w:rPr>
                <w:rFonts w:hint="eastAsia" w:asciiTheme="minorEastAsia" w:hAnsiTheme="minorEastAsia" w:eastAsiaTheme="minorEastAsia"/>
                <w:color w:val="auto"/>
                <w:highlight w:val="none"/>
                <w:lang w:val="zh-CN"/>
              </w:rPr>
            </w:pPr>
            <w:r>
              <w:rPr>
                <w:rFonts w:hint="eastAsia" w:asciiTheme="minorEastAsia" w:hAnsiTheme="minorEastAsia" w:eastAsiaTheme="minorEastAsia"/>
                <w:color w:val="auto"/>
                <w:highlight w:val="none"/>
                <w:lang w:val="zh-CN"/>
              </w:rPr>
              <w:t>正式方案及效果图设计阶段</w:t>
            </w:r>
          </w:p>
        </w:tc>
        <w:tc>
          <w:tcPr>
            <w:tcW w:w="3523" w:type="pct"/>
            <w:tcBorders>
              <w:top w:val="single" w:color="auto" w:sz="6" w:space="0"/>
              <w:left w:val="single" w:color="auto" w:sz="6" w:space="0"/>
              <w:bottom w:val="single" w:color="auto" w:sz="6" w:space="0"/>
              <w:right w:val="single" w:color="auto" w:sz="6" w:space="0"/>
            </w:tcBorders>
          </w:tcPr>
          <w:p w14:paraId="110140E9">
            <w:pPr>
              <w:autoSpaceDE w:val="0"/>
              <w:autoSpaceDN w:val="0"/>
              <w:adjustRightInd w:val="0"/>
              <w:ind w:left="0" w:leftChars="0" w:firstLine="0" w:firstLineChars="0"/>
              <w:rPr>
                <w:rFonts w:hint="eastAsia" w:asciiTheme="minorEastAsia" w:hAnsiTheme="minorEastAsia" w:eastAsiaTheme="minorEastAsia"/>
                <w:color w:val="auto"/>
                <w:highlight w:val="none"/>
                <w:lang w:val="zh-CN"/>
              </w:rPr>
            </w:pPr>
            <w:r>
              <w:rPr>
                <w:rFonts w:hint="eastAsia" w:asciiTheme="minorEastAsia" w:hAnsiTheme="minorEastAsia" w:eastAsiaTheme="minorEastAsia"/>
                <w:color w:val="auto"/>
                <w:highlight w:val="none"/>
                <w:lang w:val="zh-CN"/>
              </w:rPr>
              <w:t>1、深化方案设计：乙方应在提出深化方案时提供确定的平面功能、平面动线图、各个主要空间效果图（每个空间至少</w:t>
            </w:r>
            <w:r>
              <w:rPr>
                <w:rFonts w:hint="eastAsia" w:asciiTheme="minorEastAsia" w:hAnsiTheme="minorEastAsia" w:eastAsiaTheme="minorEastAsia"/>
                <w:color w:val="auto"/>
                <w:highlight w:val="none"/>
              </w:rPr>
              <w:t>6</w:t>
            </w:r>
            <w:r>
              <w:rPr>
                <w:rFonts w:hint="eastAsia" w:asciiTheme="minorEastAsia" w:hAnsiTheme="minorEastAsia" w:eastAsiaTheme="minorEastAsia"/>
                <w:color w:val="auto"/>
                <w:highlight w:val="none"/>
                <w:lang w:val="zh-CN"/>
              </w:rPr>
              <w:t>个视角的3D效果图，主要空间不少于</w:t>
            </w:r>
            <w:r>
              <w:rPr>
                <w:rFonts w:hint="eastAsia" w:asciiTheme="minorEastAsia" w:hAnsiTheme="minorEastAsia" w:eastAsiaTheme="minorEastAsia"/>
                <w:color w:val="auto"/>
                <w:highlight w:val="none"/>
              </w:rPr>
              <w:t>5</w:t>
            </w:r>
            <w:r>
              <w:rPr>
                <w:rFonts w:hint="eastAsia" w:asciiTheme="minorEastAsia" w:hAnsiTheme="minorEastAsia" w:eastAsiaTheme="minorEastAsia"/>
                <w:color w:val="auto"/>
                <w:highlight w:val="none"/>
                <w:lang w:val="zh-CN"/>
              </w:rPr>
              <w:t>个视角效果图，效果图品质需满足营销宣传需求）、概算、</w:t>
            </w:r>
            <w:r>
              <w:rPr>
                <w:rFonts w:hint="eastAsia" w:asciiTheme="minorEastAsia" w:hAnsiTheme="minorEastAsia" w:eastAsiaTheme="minorEastAsia"/>
                <w:color w:val="auto"/>
                <w:highlight w:val="none"/>
              </w:rPr>
              <w:t>设计样板</w:t>
            </w:r>
            <w:r>
              <w:rPr>
                <w:rFonts w:hint="eastAsia" w:asciiTheme="minorEastAsia" w:hAnsiTheme="minorEastAsia" w:eastAsiaTheme="minorEastAsia"/>
                <w:color w:val="auto"/>
                <w:highlight w:val="none"/>
                <w:lang w:val="zh-CN"/>
              </w:rPr>
              <w:t>，</w:t>
            </w:r>
            <w:r>
              <w:rPr>
                <w:rFonts w:hint="eastAsia" w:asciiTheme="minorEastAsia" w:hAnsiTheme="minorEastAsia" w:eastAsiaTheme="minorEastAsia"/>
                <w:color w:val="auto"/>
                <w:highlight w:val="none"/>
              </w:rPr>
              <w:t>配合营销完成设计理念输出，包括文字或PPT等形式，结合建筑景观梳理归家动线及节点效果图（需要单独出ppt），</w:t>
            </w:r>
            <w:r>
              <w:rPr>
                <w:rFonts w:hint="eastAsia" w:asciiTheme="minorEastAsia" w:hAnsiTheme="minorEastAsia" w:eastAsiaTheme="minorEastAsia"/>
                <w:color w:val="auto"/>
                <w:highlight w:val="none"/>
                <w:lang w:val="zh-CN"/>
              </w:rPr>
              <w:t>并应就此与甲方进行现场沟通。</w:t>
            </w:r>
          </w:p>
          <w:p w14:paraId="175BCFD6">
            <w:pPr>
              <w:autoSpaceDE w:val="0"/>
              <w:autoSpaceDN w:val="0"/>
              <w:adjustRightInd w:val="0"/>
              <w:spacing w:before="0" w:after="0" w:afterAutospacing="0" w:line="240" w:lineRule="auto"/>
              <w:ind w:left="0" w:leftChars="0" w:right="0" w:firstLine="0" w:firstLineChars="0"/>
              <w:rPr>
                <w:rFonts w:hint="eastAsia" w:asciiTheme="minorEastAsia" w:hAnsiTheme="minorEastAsia" w:eastAsiaTheme="minorEastAsia"/>
                <w:color w:val="auto"/>
                <w:highlight w:val="none"/>
                <w:lang w:val="zh-CN"/>
              </w:rPr>
            </w:pPr>
            <w:r>
              <w:rPr>
                <w:rFonts w:hint="eastAsia" w:asciiTheme="minorEastAsia" w:hAnsiTheme="minorEastAsia" w:eastAsiaTheme="minorEastAsia"/>
                <w:color w:val="auto"/>
                <w:highlight w:val="none"/>
                <w:lang w:val="zh-CN"/>
              </w:rPr>
              <w:t>2、对</w:t>
            </w:r>
            <w:r>
              <w:rPr>
                <w:rFonts w:asciiTheme="minorEastAsia" w:hAnsiTheme="minorEastAsia" w:eastAsiaTheme="minorEastAsia"/>
                <w:color w:val="auto"/>
                <w:highlight w:val="none"/>
                <w:lang w:val="zh-CN"/>
              </w:rPr>
              <w:t>于</w:t>
            </w:r>
            <w:r>
              <w:rPr>
                <w:rFonts w:hint="eastAsia" w:asciiTheme="minorEastAsia" w:hAnsiTheme="minorEastAsia" w:eastAsiaTheme="minorEastAsia"/>
                <w:color w:val="auto"/>
                <w:highlight w:val="none"/>
                <w:lang w:val="zh-CN"/>
              </w:rPr>
              <w:t>扩初方案设计：乙方应在提交扩初方案时提供立面图、设计材料样板封样（具体程序详见附件）、精确的概算，并应就此与甲方进行现场沟通。同时根据硬装、软装设计材料封样要求，乙方应在扩初方案时就同种材料提供不少于三个不同厂家、价格相近、满足设计效果品质的实物材料封样（广西及周边地域性材料），供甲方选择定样。具体要求以甲方书面要求为准。</w:t>
            </w:r>
          </w:p>
        </w:tc>
      </w:tr>
      <w:tr w14:paraId="3D7701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43" w:hRule="atLeast"/>
        </w:trPr>
        <w:tc>
          <w:tcPr>
            <w:tcW w:w="642" w:type="pct"/>
            <w:tcBorders>
              <w:top w:val="single" w:color="auto" w:sz="6" w:space="0"/>
              <w:left w:val="single" w:color="auto" w:sz="6" w:space="0"/>
              <w:bottom w:val="single" w:color="auto" w:sz="6" w:space="0"/>
              <w:right w:val="single" w:color="auto" w:sz="6" w:space="0"/>
            </w:tcBorders>
          </w:tcPr>
          <w:p w14:paraId="3236EEB8">
            <w:pPr>
              <w:spacing w:before="0" w:after="0" w:afterAutospacing="0" w:line="240" w:lineRule="auto"/>
              <w:ind w:left="0" w:right="0" w:firstLine="424" w:firstLineChars="202"/>
              <w:rPr>
                <w:rFonts w:hint="eastAsia" w:cs="仿宋" w:asciiTheme="minorEastAsia" w:hAnsiTheme="minorEastAsia" w:eastAsiaTheme="minorEastAsia"/>
                <w:color w:val="auto"/>
                <w:highlight w:val="none"/>
                <w:lang w:val="zh-CN"/>
              </w:rPr>
            </w:pPr>
            <w:r>
              <w:rPr>
                <w:rFonts w:hint="eastAsia" w:cs="仿宋" w:asciiTheme="minorEastAsia" w:hAnsiTheme="minorEastAsia" w:eastAsiaTheme="minorEastAsia"/>
                <w:color w:val="auto"/>
                <w:highlight w:val="none"/>
                <w:lang w:val="zh-CN"/>
              </w:rPr>
              <w:t>3★</w:t>
            </w:r>
          </w:p>
        </w:tc>
        <w:tc>
          <w:tcPr>
            <w:tcW w:w="835" w:type="pct"/>
            <w:tcBorders>
              <w:top w:val="single" w:color="auto" w:sz="6" w:space="0"/>
              <w:left w:val="single" w:color="auto" w:sz="6" w:space="0"/>
              <w:bottom w:val="single" w:color="auto" w:sz="6" w:space="0"/>
              <w:right w:val="single" w:color="auto" w:sz="6" w:space="0"/>
            </w:tcBorders>
          </w:tcPr>
          <w:p w14:paraId="0070E263">
            <w:pPr>
              <w:autoSpaceDE w:val="0"/>
              <w:autoSpaceDN w:val="0"/>
              <w:adjustRightInd w:val="0"/>
              <w:spacing w:before="0" w:after="0" w:afterAutospacing="0" w:line="240" w:lineRule="auto"/>
              <w:ind w:left="0" w:right="0" w:firstLine="21" w:firstLineChars="10"/>
              <w:jc w:val="center"/>
              <w:rPr>
                <w:rFonts w:hint="eastAsia" w:asciiTheme="minorEastAsia" w:hAnsiTheme="minorEastAsia" w:eastAsiaTheme="minorEastAsia"/>
                <w:color w:val="auto"/>
                <w:highlight w:val="none"/>
                <w:lang w:val="zh-CN"/>
              </w:rPr>
            </w:pPr>
            <w:r>
              <w:rPr>
                <w:rFonts w:hint="eastAsia" w:asciiTheme="minorEastAsia" w:hAnsiTheme="minorEastAsia" w:eastAsiaTheme="minorEastAsia"/>
                <w:color w:val="auto"/>
                <w:highlight w:val="none"/>
                <w:lang w:val="zh-CN"/>
              </w:rPr>
              <w:t>施工图阶段设计</w:t>
            </w:r>
            <w:r>
              <w:rPr>
                <w:rFonts w:asciiTheme="minorEastAsia" w:hAnsiTheme="minorEastAsia" w:eastAsiaTheme="minorEastAsia"/>
                <w:color w:val="auto"/>
                <w:highlight w:val="none"/>
                <w:lang w:val="zh-CN"/>
              </w:rPr>
              <w:t>阶段</w:t>
            </w:r>
          </w:p>
        </w:tc>
        <w:tc>
          <w:tcPr>
            <w:tcW w:w="3523" w:type="pct"/>
            <w:tcBorders>
              <w:top w:val="single" w:color="auto" w:sz="6" w:space="0"/>
              <w:left w:val="single" w:color="auto" w:sz="6" w:space="0"/>
              <w:bottom w:val="single" w:color="auto" w:sz="6" w:space="0"/>
              <w:right w:val="single" w:color="auto" w:sz="6" w:space="0"/>
            </w:tcBorders>
          </w:tcPr>
          <w:p w14:paraId="364827B0">
            <w:pPr>
              <w:autoSpaceDE w:val="0"/>
              <w:autoSpaceDN w:val="0"/>
              <w:adjustRightInd w:val="0"/>
              <w:ind w:left="0" w:leftChars="0" w:firstLine="0" w:firstLineChars="0"/>
              <w:rPr>
                <w:rFonts w:hint="eastAsia" w:asciiTheme="minorEastAsia" w:hAnsiTheme="minorEastAsia" w:eastAsiaTheme="minorEastAsia"/>
                <w:color w:val="auto"/>
                <w:highlight w:val="none"/>
                <w:lang w:val="zh-CN"/>
              </w:rPr>
            </w:pPr>
            <w:r>
              <w:rPr>
                <w:rFonts w:hint="eastAsia" w:asciiTheme="minorEastAsia" w:hAnsiTheme="minorEastAsia" w:eastAsiaTheme="minorEastAsia"/>
                <w:color w:val="auto"/>
                <w:highlight w:val="none"/>
                <w:lang w:val="zh-CN"/>
              </w:rPr>
              <w:t>1、原则上施工图应与甲方确认的定稿方案一致。施工图局部如与定稿方案中的效果图有优化、细化部分的，需重新按照施工图渲染一套完整的效果图（各个空间至少需要2张效果图，客厅、大堂、售楼处等重要展示空间至少需要</w:t>
            </w:r>
            <w:r>
              <w:rPr>
                <w:rFonts w:hint="eastAsia" w:asciiTheme="minorEastAsia" w:hAnsiTheme="minorEastAsia" w:eastAsiaTheme="minorEastAsia"/>
                <w:color w:val="auto"/>
                <w:highlight w:val="none"/>
              </w:rPr>
              <w:t>6</w:t>
            </w:r>
            <w:r>
              <w:rPr>
                <w:rFonts w:asciiTheme="minorEastAsia" w:hAnsiTheme="minorEastAsia" w:eastAsiaTheme="minorEastAsia"/>
                <w:color w:val="auto"/>
                <w:highlight w:val="none"/>
                <w:lang w:val="zh-CN"/>
              </w:rPr>
              <w:t>张以上效果图</w:t>
            </w:r>
            <w:r>
              <w:rPr>
                <w:rFonts w:hint="eastAsia" w:asciiTheme="minorEastAsia" w:hAnsiTheme="minorEastAsia" w:eastAsiaTheme="minorEastAsia"/>
                <w:color w:val="auto"/>
                <w:highlight w:val="none"/>
                <w:lang w:val="zh-CN"/>
              </w:rPr>
              <w:t>，效果图品质需满足营销宣传需求），</w:t>
            </w:r>
            <w:r>
              <w:rPr>
                <w:rFonts w:hint="eastAsia" w:asciiTheme="minorEastAsia" w:hAnsiTheme="minorEastAsia" w:eastAsiaTheme="minorEastAsia"/>
                <w:color w:val="auto"/>
                <w:highlight w:val="none"/>
              </w:rPr>
              <w:t>根据施工图重新调整渲染效果图，并完成营销所需宣传效果图</w:t>
            </w:r>
            <w:r>
              <w:rPr>
                <w:rFonts w:hint="eastAsia" w:asciiTheme="minorEastAsia" w:hAnsiTheme="minorEastAsia" w:eastAsiaTheme="minorEastAsia"/>
                <w:color w:val="auto"/>
                <w:highlight w:val="none"/>
                <w:lang w:val="zh-CN"/>
              </w:rPr>
              <w:t>。</w:t>
            </w:r>
          </w:p>
          <w:p w14:paraId="7859A1E5">
            <w:pPr>
              <w:autoSpaceDE w:val="0"/>
              <w:autoSpaceDN w:val="0"/>
              <w:adjustRightInd w:val="0"/>
              <w:ind w:left="0" w:leftChars="0" w:firstLine="0" w:firstLineChars="0"/>
              <w:rPr>
                <w:rFonts w:asciiTheme="minorEastAsia" w:hAnsiTheme="minorEastAsia" w:eastAsiaTheme="minorEastAsia"/>
                <w:color w:val="auto"/>
                <w:highlight w:val="none"/>
                <w:lang w:val="zh-CN"/>
              </w:rPr>
            </w:pPr>
            <w:r>
              <w:rPr>
                <w:rFonts w:hint="eastAsia" w:asciiTheme="minorEastAsia" w:hAnsiTheme="minorEastAsia" w:eastAsiaTheme="minorEastAsia"/>
                <w:color w:val="auto"/>
                <w:highlight w:val="none"/>
                <w:lang w:val="zh-CN"/>
              </w:rPr>
              <w:t>2、对</w:t>
            </w:r>
            <w:r>
              <w:rPr>
                <w:rFonts w:asciiTheme="minorEastAsia" w:hAnsiTheme="minorEastAsia" w:eastAsiaTheme="minorEastAsia"/>
                <w:color w:val="auto"/>
                <w:highlight w:val="none"/>
                <w:lang w:val="zh-CN"/>
              </w:rPr>
              <w:t>于</w:t>
            </w:r>
            <w:r>
              <w:rPr>
                <w:rFonts w:hint="eastAsia" w:asciiTheme="minorEastAsia" w:hAnsiTheme="minorEastAsia" w:eastAsiaTheme="minorEastAsia"/>
                <w:color w:val="auto"/>
                <w:highlight w:val="none"/>
                <w:lang w:val="zh-CN"/>
              </w:rPr>
              <w:t>实地测量：除</w:t>
            </w:r>
            <w:r>
              <w:rPr>
                <w:rFonts w:asciiTheme="minorEastAsia" w:hAnsiTheme="minorEastAsia" w:eastAsiaTheme="minorEastAsia"/>
                <w:color w:val="auto"/>
                <w:highlight w:val="none"/>
                <w:lang w:val="zh-CN"/>
              </w:rPr>
              <w:t>非现场不具备测量条件，否则</w:t>
            </w:r>
            <w:r>
              <w:rPr>
                <w:rFonts w:hint="eastAsia" w:asciiTheme="minorEastAsia" w:hAnsiTheme="minorEastAsia" w:eastAsiaTheme="minorEastAsia"/>
                <w:color w:val="auto"/>
                <w:highlight w:val="none"/>
                <w:lang w:val="zh-CN"/>
              </w:rPr>
              <w:t>乙方设计开始前均需至现场进行测量，测量结果应经监理方确认。乙方应根据现场测量结果，结合建筑、结构等图纸做设计，并相应调整已完成的装修施工图。</w:t>
            </w:r>
          </w:p>
          <w:p w14:paraId="21A4B7D8">
            <w:pPr>
              <w:pStyle w:val="2"/>
              <w:ind w:left="0" w:leftChars="0" w:firstLine="0" w:firstLineChars="0"/>
              <w:rPr>
                <w:rFonts w:hint="eastAsia" w:cs="宋体" w:asciiTheme="minorEastAsia" w:hAnsiTheme="minorEastAsia" w:eastAsiaTheme="minorEastAsia"/>
                <w:color w:val="auto"/>
                <w:sz w:val="21"/>
                <w:highlight w:val="none"/>
              </w:rPr>
            </w:pPr>
            <w:r>
              <w:rPr>
                <w:rFonts w:hint="eastAsia" w:asciiTheme="minorEastAsia" w:hAnsiTheme="minorEastAsia" w:eastAsiaTheme="minorEastAsia"/>
                <w:color w:val="auto"/>
                <w:sz w:val="21"/>
                <w:highlight w:val="none"/>
              </w:rPr>
              <w:t>3、涉及构筑物二次结构深化的需对</w:t>
            </w:r>
            <w:r>
              <w:rPr>
                <w:rFonts w:cs="宋体" w:asciiTheme="minorEastAsia" w:hAnsiTheme="minorEastAsia" w:eastAsiaTheme="minorEastAsia"/>
                <w:color w:val="auto"/>
                <w:sz w:val="21"/>
                <w:highlight w:val="none"/>
              </w:rPr>
              <w:t>构筑物均应进行结构设计，提供结构模型，计算书，并应进行相应施工图审查</w:t>
            </w:r>
            <w:r>
              <w:rPr>
                <w:rFonts w:hint="eastAsia" w:cs="宋体" w:asciiTheme="minorEastAsia" w:hAnsiTheme="minorEastAsia" w:eastAsiaTheme="minorEastAsia"/>
                <w:color w:val="auto"/>
                <w:sz w:val="21"/>
                <w:highlight w:val="none"/>
              </w:rPr>
              <w:t>。</w:t>
            </w:r>
          </w:p>
          <w:p w14:paraId="472D9171">
            <w:pPr>
              <w:pStyle w:val="2"/>
              <w:ind w:left="0" w:leftChars="0" w:firstLine="0" w:firstLineChars="0"/>
              <w:rPr>
                <w:rFonts w:hint="eastAsia" w:cs="宋体" w:asciiTheme="minorEastAsia" w:hAnsiTheme="minorEastAsia" w:eastAsiaTheme="minorEastAsia"/>
                <w:color w:val="auto"/>
                <w:sz w:val="21"/>
                <w:highlight w:val="none"/>
              </w:rPr>
            </w:pPr>
            <w:r>
              <w:rPr>
                <w:rFonts w:hint="eastAsia" w:cs="宋体" w:asciiTheme="minorEastAsia" w:hAnsiTheme="minorEastAsia" w:eastAsiaTheme="minorEastAsia"/>
                <w:color w:val="auto"/>
                <w:sz w:val="21"/>
                <w:highlight w:val="none"/>
              </w:rPr>
              <w:t>4、施工图完成后应结合建筑、景观图纸进行叠图</w:t>
            </w:r>
          </w:p>
          <w:p w14:paraId="3A3169D4">
            <w:pPr>
              <w:pStyle w:val="2"/>
              <w:ind w:left="0" w:leftChars="0" w:firstLine="0" w:firstLineChars="0"/>
              <w:rPr>
                <w:rFonts w:asciiTheme="minorEastAsia" w:hAnsiTheme="minorEastAsia" w:eastAsiaTheme="minorEastAsia"/>
                <w:color w:val="auto"/>
                <w:sz w:val="21"/>
                <w:highlight w:val="none"/>
              </w:rPr>
            </w:pPr>
            <w:r>
              <w:rPr>
                <w:rFonts w:hint="eastAsia" w:cs="宋体" w:asciiTheme="minorEastAsia" w:hAnsiTheme="minorEastAsia" w:eastAsiaTheme="minorEastAsia"/>
                <w:color w:val="auto"/>
                <w:sz w:val="21"/>
                <w:highlight w:val="none"/>
              </w:rPr>
              <w:t>5、施工图应</w:t>
            </w:r>
            <w:r>
              <w:rPr>
                <w:rFonts w:hint="eastAsia" w:asciiTheme="minorEastAsia" w:hAnsiTheme="minorEastAsia" w:eastAsiaTheme="minorEastAsia"/>
                <w:color w:val="auto"/>
                <w:sz w:val="21"/>
                <w:highlight w:val="none"/>
              </w:rPr>
              <w:t>避免出现二次设计或需另外深化的图纸</w:t>
            </w:r>
          </w:p>
          <w:p w14:paraId="3022ADEC">
            <w:pPr>
              <w:pStyle w:val="2"/>
              <w:spacing w:before="0" w:after="0" w:afterAutospacing="0"/>
              <w:ind w:left="0" w:leftChars="0" w:right="0"/>
              <w:rPr>
                <w:rFonts w:hint="eastAsia" w:cs="宋体" w:asciiTheme="minorEastAsia" w:hAnsiTheme="minorEastAsia" w:eastAsiaTheme="minorEastAsia"/>
                <w:color w:val="auto"/>
                <w:sz w:val="21"/>
                <w:highlight w:val="none"/>
              </w:rPr>
            </w:pPr>
          </w:p>
        </w:tc>
      </w:tr>
      <w:tr w14:paraId="2A883A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43" w:hRule="atLeast"/>
        </w:trPr>
        <w:tc>
          <w:tcPr>
            <w:tcW w:w="642" w:type="pct"/>
            <w:tcBorders>
              <w:top w:val="single" w:color="auto" w:sz="6" w:space="0"/>
              <w:left w:val="single" w:color="auto" w:sz="6" w:space="0"/>
              <w:bottom w:val="single" w:color="auto" w:sz="6" w:space="0"/>
              <w:right w:val="single" w:color="auto" w:sz="6" w:space="0"/>
            </w:tcBorders>
          </w:tcPr>
          <w:p w14:paraId="198D628E">
            <w:pPr>
              <w:spacing w:before="0" w:after="0" w:afterAutospacing="0" w:line="240" w:lineRule="auto"/>
              <w:ind w:left="0" w:right="0" w:firstLine="424" w:firstLineChars="202"/>
              <w:rPr>
                <w:rFonts w:hint="eastAsia" w:cs="仿宋" w:asciiTheme="minorEastAsia" w:hAnsiTheme="minorEastAsia" w:eastAsiaTheme="minorEastAsia"/>
                <w:color w:val="auto"/>
                <w:highlight w:val="none"/>
                <w:lang w:val="zh-CN"/>
              </w:rPr>
            </w:pPr>
            <w:r>
              <w:rPr>
                <w:rFonts w:hint="eastAsia" w:cs="仿宋" w:asciiTheme="minorEastAsia" w:hAnsiTheme="minorEastAsia" w:eastAsiaTheme="minorEastAsia"/>
                <w:color w:val="auto"/>
                <w:highlight w:val="none"/>
                <w:lang w:val="zh-CN"/>
              </w:rPr>
              <w:t>3★</w:t>
            </w:r>
          </w:p>
        </w:tc>
        <w:tc>
          <w:tcPr>
            <w:tcW w:w="835" w:type="pct"/>
            <w:tcBorders>
              <w:top w:val="single" w:color="auto" w:sz="6" w:space="0"/>
              <w:left w:val="single" w:color="auto" w:sz="6" w:space="0"/>
              <w:bottom w:val="single" w:color="auto" w:sz="6" w:space="0"/>
              <w:right w:val="single" w:color="auto" w:sz="6" w:space="0"/>
            </w:tcBorders>
          </w:tcPr>
          <w:p w14:paraId="600A9AD4">
            <w:pPr>
              <w:autoSpaceDE w:val="0"/>
              <w:autoSpaceDN w:val="0"/>
              <w:adjustRightInd w:val="0"/>
              <w:spacing w:before="0" w:after="0" w:afterAutospacing="0" w:line="240" w:lineRule="auto"/>
              <w:ind w:left="0" w:right="0" w:firstLine="21" w:firstLineChars="10"/>
              <w:jc w:val="center"/>
              <w:rPr>
                <w:rFonts w:hint="eastAsia" w:asciiTheme="minorEastAsia" w:hAnsiTheme="minorEastAsia" w:eastAsiaTheme="minorEastAsia"/>
                <w:color w:val="auto"/>
                <w:highlight w:val="none"/>
                <w:lang w:val="zh-CN"/>
              </w:rPr>
            </w:pPr>
            <w:r>
              <w:rPr>
                <w:rFonts w:hint="eastAsia" w:asciiTheme="minorEastAsia" w:hAnsiTheme="minorEastAsia" w:eastAsiaTheme="minorEastAsia"/>
                <w:color w:val="auto"/>
                <w:highlight w:val="none"/>
                <w:lang w:val="zh-CN"/>
              </w:rPr>
              <w:t>施工服务阶段</w:t>
            </w:r>
          </w:p>
        </w:tc>
        <w:tc>
          <w:tcPr>
            <w:tcW w:w="3523" w:type="pct"/>
            <w:tcBorders>
              <w:top w:val="single" w:color="auto" w:sz="6" w:space="0"/>
              <w:left w:val="single" w:color="auto" w:sz="6" w:space="0"/>
              <w:bottom w:val="single" w:color="auto" w:sz="6" w:space="0"/>
              <w:right w:val="single" w:color="auto" w:sz="6" w:space="0"/>
            </w:tcBorders>
          </w:tcPr>
          <w:p w14:paraId="11D7F2B9">
            <w:pPr>
              <w:autoSpaceDE w:val="0"/>
              <w:autoSpaceDN w:val="0"/>
              <w:adjustRightInd w:val="0"/>
              <w:ind w:left="0" w:leftChars="0" w:firstLine="0" w:firstLineChars="0"/>
              <w:rPr>
                <w:rFonts w:asciiTheme="minorEastAsia" w:hAnsiTheme="minorEastAsia" w:eastAsiaTheme="minorEastAsia"/>
                <w:color w:val="auto"/>
                <w:highlight w:val="none"/>
                <w:lang w:val="zh-CN"/>
              </w:rPr>
            </w:pPr>
            <w:r>
              <w:rPr>
                <w:rFonts w:hint="eastAsia" w:asciiTheme="minorEastAsia" w:hAnsiTheme="minorEastAsia" w:eastAsiaTheme="minorEastAsia"/>
                <w:color w:val="auto"/>
                <w:highlight w:val="none"/>
                <w:lang w:val="zh-CN"/>
              </w:rPr>
              <w:t>1、乙方的图纸会审设计师须按甲方要求及时到甲方处进行技术交底，答疑解决问题。</w:t>
            </w:r>
          </w:p>
          <w:p w14:paraId="2487545D">
            <w:pPr>
              <w:autoSpaceDE w:val="0"/>
              <w:autoSpaceDN w:val="0"/>
              <w:adjustRightInd w:val="0"/>
              <w:ind w:left="0" w:leftChars="0" w:firstLine="0" w:firstLineChars="0"/>
              <w:rPr>
                <w:rFonts w:asciiTheme="minorEastAsia" w:hAnsiTheme="minorEastAsia" w:eastAsiaTheme="minorEastAsia"/>
                <w:color w:val="auto"/>
                <w:highlight w:val="none"/>
                <w:lang w:val="zh-CN"/>
              </w:rPr>
            </w:pPr>
            <w:r>
              <w:rPr>
                <w:rFonts w:hint="eastAsia" w:asciiTheme="minorEastAsia" w:hAnsiTheme="minorEastAsia" w:eastAsiaTheme="minorEastAsia"/>
                <w:color w:val="auto"/>
                <w:highlight w:val="none"/>
                <w:lang w:val="zh-CN"/>
              </w:rPr>
              <w:t>2、乙方应指派设计师对施工送样进行审核并在甲方要求的时限内给出意见。</w:t>
            </w:r>
          </w:p>
          <w:p w14:paraId="76BC2D41">
            <w:pPr>
              <w:autoSpaceDE w:val="0"/>
              <w:autoSpaceDN w:val="0"/>
              <w:adjustRightInd w:val="0"/>
              <w:ind w:left="0" w:leftChars="0" w:firstLine="0" w:firstLineChars="0"/>
              <w:rPr>
                <w:rFonts w:asciiTheme="minorEastAsia" w:hAnsiTheme="minorEastAsia" w:eastAsiaTheme="minorEastAsia"/>
                <w:color w:val="auto"/>
                <w:highlight w:val="none"/>
                <w:lang w:val="zh-CN"/>
              </w:rPr>
            </w:pPr>
            <w:r>
              <w:rPr>
                <w:rFonts w:hint="eastAsia" w:asciiTheme="minorEastAsia" w:hAnsiTheme="minorEastAsia" w:eastAsiaTheme="minorEastAsia"/>
                <w:color w:val="auto"/>
                <w:highlight w:val="none"/>
                <w:lang w:val="zh-CN"/>
              </w:rPr>
              <w:t>3、装修施工单位进场前，乙方应指派设计师至施工现场与施工单位进行对接、交底。</w:t>
            </w:r>
          </w:p>
          <w:p w14:paraId="2C20FCAB">
            <w:pPr>
              <w:autoSpaceDE w:val="0"/>
              <w:autoSpaceDN w:val="0"/>
              <w:adjustRightInd w:val="0"/>
              <w:ind w:left="0" w:leftChars="0" w:firstLine="0" w:firstLineChars="0"/>
              <w:rPr>
                <w:rFonts w:asciiTheme="minorEastAsia" w:hAnsiTheme="minorEastAsia" w:eastAsiaTheme="minorEastAsia"/>
                <w:color w:val="auto"/>
                <w:highlight w:val="none"/>
                <w:lang w:val="zh-CN"/>
              </w:rPr>
            </w:pPr>
            <w:r>
              <w:rPr>
                <w:rFonts w:hint="eastAsia" w:asciiTheme="minorEastAsia" w:hAnsiTheme="minorEastAsia" w:eastAsiaTheme="minorEastAsia"/>
                <w:color w:val="auto"/>
                <w:highlight w:val="none"/>
                <w:lang w:val="zh-CN"/>
              </w:rPr>
              <w:t>4、乙方提供的装修施工图应整合消防图、通风空调图、灯具图等图纸内容，且在基层施工、面层施工时乙方应指派设计师至现场进行指</w:t>
            </w:r>
            <w:r>
              <w:rPr>
                <w:rFonts w:asciiTheme="minorEastAsia" w:hAnsiTheme="minorEastAsia" w:eastAsiaTheme="minorEastAsia"/>
                <w:color w:val="auto"/>
                <w:highlight w:val="none"/>
                <w:lang w:val="zh-CN"/>
              </w:rPr>
              <w:t>导、</w:t>
            </w:r>
            <w:r>
              <w:rPr>
                <w:rFonts w:hint="eastAsia" w:asciiTheme="minorEastAsia" w:hAnsiTheme="minorEastAsia" w:eastAsiaTheme="minorEastAsia"/>
                <w:color w:val="auto"/>
                <w:highlight w:val="none"/>
                <w:lang w:val="zh-CN"/>
              </w:rPr>
              <w:t>巡查。</w:t>
            </w:r>
          </w:p>
          <w:p w14:paraId="0889EEE3">
            <w:pPr>
              <w:pStyle w:val="2"/>
              <w:ind w:left="0" w:leftChars="0" w:firstLine="0" w:firstLineChars="0"/>
              <w:rPr>
                <w:rFonts w:asciiTheme="minorEastAsia" w:hAnsiTheme="minorEastAsia" w:eastAsiaTheme="minorEastAsia"/>
                <w:color w:val="auto"/>
                <w:sz w:val="21"/>
                <w:highlight w:val="none"/>
              </w:rPr>
            </w:pPr>
            <w:r>
              <w:rPr>
                <w:rFonts w:hint="eastAsia" w:asciiTheme="minorEastAsia" w:hAnsiTheme="minorEastAsia" w:eastAsiaTheme="minorEastAsia"/>
                <w:color w:val="auto"/>
                <w:sz w:val="21"/>
                <w:highlight w:val="none"/>
              </w:rPr>
              <w:t>5、配合施工单位选样定样。</w:t>
            </w:r>
          </w:p>
          <w:p w14:paraId="5C8662C6">
            <w:pPr>
              <w:pStyle w:val="2"/>
              <w:spacing w:before="0" w:after="0" w:afterAutospacing="0"/>
              <w:ind w:left="0" w:leftChars="0" w:right="0" w:firstLine="0" w:firstLineChars="0"/>
              <w:rPr>
                <w:rFonts w:asciiTheme="minorEastAsia" w:hAnsiTheme="minorEastAsia" w:eastAsiaTheme="minorEastAsia"/>
                <w:color w:val="auto"/>
                <w:sz w:val="21"/>
                <w:highlight w:val="none"/>
              </w:rPr>
            </w:pPr>
            <w:r>
              <w:rPr>
                <w:rFonts w:hint="eastAsia" w:asciiTheme="minorEastAsia" w:hAnsiTheme="minorEastAsia" w:eastAsiaTheme="minorEastAsia"/>
                <w:color w:val="auto"/>
                <w:sz w:val="21"/>
                <w:highlight w:val="none"/>
              </w:rPr>
              <w:t>6、</w:t>
            </w:r>
            <w:r>
              <w:rPr>
                <w:rFonts w:hint="eastAsia" w:asciiTheme="minorEastAsia" w:hAnsiTheme="minorEastAsia" w:eastAsiaTheme="minorEastAsia"/>
                <w:color w:val="auto"/>
                <w:sz w:val="21"/>
                <w:highlight w:val="none"/>
                <w:lang w:val="zh-CN"/>
              </w:rPr>
              <w:t>装修施工</w:t>
            </w:r>
            <w:r>
              <w:rPr>
                <w:rFonts w:hint="eastAsia" w:asciiTheme="minorEastAsia" w:hAnsiTheme="minorEastAsia" w:eastAsiaTheme="minorEastAsia"/>
                <w:color w:val="auto"/>
                <w:sz w:val="21"/>
                <w:highlight w:val="none"/>
              </w:rPr>
              <w:t>过程中</w:t>
            </w:r>
            <w:r>
              <w:rPr>
                <w:rFonts w:hint="eastAsia" w:asciiTheme="minorEastAsia" w:hAnsiTheme="minorEastAsia" w:eastAsiaTheme="minorEastAsia"/>
                <w:color w:val="auto"/>
                <w:sz w:val="21"/>
                <w:highlight w:val="none"/>
                <w:lang w:val="zh-CN"/>
              </w:rPr>
              <w:t>，乙方应指派</w:t>
            </w:r>
            <w:r>
              <w:rPr>
                <w:rFonts w:hint="eastAsia" w:asciiTheme="minorEastAsia" w:hAnsiTheme="minorEastAsia" w:eastAsiaTheme="minorEastAsia"/>
                <w:color w:val="auto"/>
                <w:sz w:val="21"/>
                <w:highlight w:val="none"/>
              </w:rPr>
              <w:t>方案</w:t>
            </w:r>
            <w:r>
              <w:rPr>
                <w:rFonts w:hint="eastAsia" w:asciiTheme="minorEastAsia" w:hAnsiTheme="minorEastAsia" w:eastAsiaTheme="minorEastAsia"/>
                <w:color w:val="auto"/>
                <w:sz w:val="21"/>
                <w:highlight w:val="none"/>
                <w:lang w:val="zh-CN"/>
              </w:rPr>
              <w:t>设计师</w:t>
            </w:r>
            <w:r>
              <w:rPr>
                <w:rFonts w:hint="eastAsia" w:asciiTheme="minorEastAsia" w:hAnsiTheme="minorEastAsia" w:eastAsiaTheme="minorEastAsia"/>
                <w:color w:val="auto"/>
                <w:sz w:val="21"/>
                <w:highlight w:val="none"/>
              </w:rPr>
              <w:t>和施工图设计师</w:t>
            </w:r>
            <w:r>
              <w:rPr>
                <w:rFonts w:hint="eastAsia" w:asciiTheme="minorEastAsia" w:hAnsiTheme="minorEastAsia" w:eastAsiaTheme="minorEastAsia"/>
                <w:color w:val="auto"/>
                <w:sz w:val="21"/>
                <w:highlight w:val="none"/>
                <w:lang w:val="zh-CN"/>
              </w:rPr>
              <w:t>至施工现场</w:t>
            </w:r>
            <w:r>
              <w:rPr>
                <w:rFonts w:hint="eastAsia" w:asciiTheme="minorEastAsia" w:hAnsiTheme="minorEastAsia" w:eastAsiaTheme="minorEastAsia"/>
                <w:color w:val="auto"/>
                <w:sz w:val="21"/>
                <w:highlight w:val="none"/>
              </w:rPr>
              <w:t>驻场</w:t>
            </w:r>
            <w:r>
              <w:rPr>
                <w:rFonts w:hint="eastAsia" w:asciiTheme="minorEastAsia" w:hAnsiTheme="minorEastAsia" w:eastAsiaTheme="minorEastAsia"/>
                <w:color w:val="auto"/>
                <w:sz w:val="21"/>
                <w:highlight w:val="none"/>
                <w:lang w:val="zh-CN"/>
              </w:rPr>
              <w:t>。</w:t>
            </w:r>
          </w:p>
        </w:tc>
      </w:tr>
    </w:tbl>
    <w:p w14:paraId="473F8BCF">
      <w:pPr>
        <w:autoSpaceDE w:val="0"/>
        <w:autoSpaceDN w:val="0"/>
        <w:adjustRightInd w:val="0"/>
        <w:spacing w:line="240" w:lineRule="auto"/>
        <w:ind w:right="-28" w:firstLine="424" w:firstLineChars="202"/>
        <w:rPr>
          <w:rFonts w:hint="eastAsia" w:ascii="宋体" w:hAnsi="宋体" w:cs="仿宋"/>
          <w:color w:val="auto"/>
          <w:highlight w:val="none"/>
          <w:lang w:val="zh-CN"/>
        </w:rPr>
      </w:pPr>
      <w:r>
        <w:rPr>
          <w:rFonts w:hint="eastAsia" w:ascii="宋体" w:hAnsi="宋体" w:cs="仿宋"/>
          <w:color w:val="auto"/>
          <w:highlight w:val="none"/>
          <w:lang w:val="zh-CN"/>
        </w:rPr>
        <w:t>注：本表请按如下要求进行标注：</w:t>
      </w:r>
    </w:p>
    <w:p w14:paraId="6BE36E4C">
      <w:pPr>
        <w:autoSpaceDE w:val="0"/>
        <w:autoSpaceDN w:val="0"/>
        <w:adjustRightInd w:val="0"/>
        <w:spacing w:line="240" w:lineRule="auto"/>
        <w:ind w:right="-28" w:firstLine="424" w:firstLineChars="202"/>
        <w:rPr>
          <w:rFonts w:hint="eastAsia" w:ascii="宋体" w:hAnsi="宋体" w:cs="仿宋"/>
          <w:color w:val="auto"/>
          <w:highlight w:val="none"/>
          <w:lang w:val="zh-CN"/>
        </w:rPr>
      </w:pPr>
      <w:r>
        <w:rPr>
          <w:rFonts w:hint="eastAsia" w:ascii="宋体" w:hAnsi="宋体" w:cs="仿宋"/>
          <w:color w:val="auto"/>
          <w:highlight w:val="none"/>
          <w:lang w:val="zh-CN"/>
        </w:rPr>
        <w:t>带“★”条款为实质性条款，投标人必须按照招标文件的要求做出实质性响应，有一项不满足的即为投标无效。（在技术指标中进行标注）</w:t>
      </w:r>
      <w:bookmarkEnd w:id="1791"/>
      <w:bookmarkEnd w:id="1792"/>
      <w:bookmarkEnd w:id="1793"/>
    </w:p>
    <w:p w14:paraId="0F0B3B3F">
      <w:pPr>
        <w:spacing w:line="240" w:lineRule="auto"/>
        <w:ind w:right="-28" w:firstLine="424" w:firstLineChars="202"/>
        <w:rPr>
          <w:rFonts w:hint="eastAsia" w:ascii="宋体" w:hAnsi="宋体" w:cs="仿宋"/>
          <w:color w:val="auto"/>
          <w:highlight w:val="none"/>
          <w:lang w:val="zh-CN"/>
        </w:rPr>
      </w:pPr>
      <w:r>
        <w:rPr>
          <w:rFonts w:hint="eastAsia" w:ascii="宋体" w:hAnsi="宋体" w:cs="仿宋"/>
          <w:color w:val="auto"/>
          <w:highlight w:val="none"/>
          <w:lang w:val="zh-CN"/>
        </w:rPr>
        <w:t>三．项目实施方案及其他技术要求：（根据项目实际情况和评审标准编写）。</w:t>
      </w:r>
    </w:p>
    <w:p w14:paraId="3CEC8713">
      <w:pPr>
        <w:spacing w:line="240" w:lineRule="auto"/>
        <w:ind w:right="-28" w:firstLine="424" w:firstLineChars="202"/>
        <w:rPr>
          <w:rFonts w:hint="eastAsia" w:ascii="宋体" w:hAnsi="宋体"/>
          <w:color w:val="auto"/>
          <w:highlight w:val="none"/>
        </w:rPr>
      </w:pPr>
      <w:r>
        <w:rPr>
          <w:rFonts w:hint="eastAsia" w:ascii="宋体" w:hAnsi="宋体"/>
          <w:color w:val="auto"/>
          <w:highlight w:val="none"/>
        </w:rPr>
        <w:t>四、验收标准</w:t>
      </w:r>
      <w:r>
        <w:rPr>
          <w:rFonts w:hint="eastAsia" w:ascii="宋体" w:hAnsi="宋体" w:cs="仿宋"/>
          <w:color w:val="auto"/>
          <w:highlight w:val="none"/>
          <w:lang w:val="zh-CN"/>
        </w:rPr>
        <w:t>（根据项目实际情况编写）</w:t>
      </w:r>
    </w:p>
    <w:p w14:paraId="5906BDAA">
      <w:pPr>
        <w:spacing w:line="240" w:lineRule="auto"/>
        <w:ind w:right="-28" w:firstLine="424" w:firstLineChars="202"/>
        <w:rPr>
          <w:rFonts w:hint="eastAsia" w:ascii="宋体" w:hAnsi="宋体"/>
          <w:color w:val="auto"/>
          <w:highlight w:val="none"/>
        </w:rPr>
      </w:pPr>
      <w:r>
        <w:rPr>
          <w:rFonts w:hint="eastAsia" w:ascii="宋体" w:hAnsi="宋体"/>
          <w:color w:val="auto"/>
          <w:highlight w:val="none"/>
        </w:rPr>
        <w:t>五、后期服务（如有）</w:t>
      </w:r>
    </w:p>
    <w:p w14:paraId="72A713D2">
      <w:pPr>
        <w:pStyle w:val="17"/>
        <w:pageBreakBefore/>
        <w:ind w:right="-57" w:firstLine="0"/>
        <w:jc w:val="center"/>
        <w:outlineLvl w:val="0"/>
        <w:rPr>
          <w:rStyle w:val="54"/>
          <w:rFonts w:hint="eastAsia" w:ascii="宋体" w:hAnsi="宋体" w:eastAsia="宋体"/>
          <w:color w:val="auto"/>
          <w:highlight w:val="none"/>
        </w:rPr>
      </w:pPr>
      <w:r>
        <w:rPr>
          <w:rStyle w:val="54"/>
          <w:rFonts w:hint="eastAsia" w:ascii="宋体" w:hAnsi="宋体" w:eastAsia="宋体"/>
          <w:color w:val="auto"/>
          <w:highlight w:val="none"/>
        </w:rPr>
        <w:t>第六章</w:t>
      </w:r>
      <w:r>
        <w:rPr>
          <w:rStyle w:val="54"/>
          <w:rFonts w:hint="eastAsia" w:hAnsi="宋体"/>
          <w:color w:val="auto"/>
          <w:highlight w:val="none"/>
        </w:rPr>
        <w:t xml:space="preserve">  </w:t>
      </w:r>
      <w:r>
        <w:rPr>
          <w:rStyle w:val="54"/>
          <w:rFonts w:hint="eastAsia" w:ascii="宋体" w:hAnsi="宋体" w:eastAsia="宋体"/>
          <w:color w:val="auto"/>
          <w:highlight w:val="none"/>
        </w:rPr>
        <w:t>评分办法</w:t>
      </w:r>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p>
    <w:p w14:paraId="0EB0632B">
      <w:pPr>
        <w:spacing w:before="0" w:after="0" w:afterAutospacing="0"/>
        <w:ind w:left="0" w:right="0" w:firstLine="562" w:firstLineChars="200"/>
        <w:outlineLvl w:val="1"/>
        <w:rPr>
          <w:rFonts w:hint="eastAsia" w:ascii="宋体" w:hAnsi="宋体" w:cs="Arial"/>
          <w:b/>
          <w:bCs/>
          <w:color w:val="auto"/>
          <w:sz w:val="28"/>
          <w:szCs w:val="28"/>
          <w:highlight w:val="none"/>
        </w:rPr>
      </w:pPr>
      <w:bookmarkStart w:id="1794" w:name="_Toc114134684"/>
      <w:bookmarkStart w:id="1795" w:name="_Toc30293"/>
      <w:r>
        <w:rPr>
          <w:rFonts w:hint="eastAsia" w:ascii="宋体" w:hAnsi="宋体" w:cs="Arial"/>
          <w:b/>
          <w:bCs/>
          <w:color w:val="auto"/>
          <w:sz w:val="28"/>
          <w:szCs w:val="28"/>
          <w:highlight w:val="none"/>
        </w:rPr>
        <w:t>一、评审原则</w:t>
      </w:r>
      <w:bookmarkEnd w:id="1794"/>
      <w:bookmarkEnd w:id="1795"/>
    </w:p>
    <w:p w14:paraId="1FD9101C">
      <w:pPr>
        <w:spacing w:before="0" w:after="0" w:afterAutospacing="0"/>
        <w:ind w:left="0" w:right="0" w:firstLine="420" w:firstLineChars="200"/>
        <w:rPr>
          <w:rFonts w:hint="eastAsia" w:ascii="宋体" w:hAnsi="宋体" w:cs="Arial"/>
          <w:color w:val="auto"/>
          <w:highlight w:val="none"/>
        </w:rPr>
      </w:pPr>
      <w:r>
        <w:rPr>
          <w:rFonts w:ascii="宋体" w:hAnsi="宋体" w:cs="Arial"/>
          <w:color w:val="auto"/>
          <w:highlight w:val="none"/>
        </w:rPr>
        <w:t>1.1</w:t>
      </w:r>
      <w:r>
        <w:rPr>
          <w:rFonts w:hint="eastAsia" w:ascii="宋体" w:hAnsi="宋体" w:cs="Arial"/>
          <w:bCs/>
          <w:color w:val="auto"/>
          <w:highlight w:val="none"/>
        </w:rPr>
        <w:t>比选评审小组成员构成：本项目由南宁轨道盛拓天和房地产有限公司</w:t>
      </w:r>
      <w:r>
        <w:rPr>
          <w:rFonts w:hint="eastAsia" w:ascii="宋体" w:hAnsi="宋体" w:cs="Arial"/>
          <w:bCs/>
          <w:color w:val="auto"/>
          <w:highlight w:val="none"/>
          <w:lang w:val="en-US" w:eastAsia="zh-CN"/>
        </w:rPr>
        <w:t>3</w:t>
      </w:r>
      <w:r>
        <w:rPr>
          <w:rFonts w:hint="eastAsia" w:ascii="宋体" w:hAnsi="宋体" w:cs="Arial"/>
          <w:bCs/>
          <w:color w:val="auto"/>
          <w:highlight w:val="none"/>
        </w:rPr>
        <w:t>人及以上单数组成评审小组，对比选申请文件按评审标准进行评审。</w:t>
      </w:r>
    </w:p>
    <w:p w14:paraId="654BD172">
      <w:pPr>
        <w:spacing w:before="0" w:after="0" w:afterAutospacing="0"/>
        <w:ind w:left="0" w:right="0" w:firstLine="420" w:firstLineChars="200"/>
        <w:rPr>
          <w:rFonts w:hint="eastAsia" w:ascii="宋体" w:hAnsi="宋体" w:cs="Arial"/>
          <w:color w:val="auto"/>
          <w:highlight w:val="none"/>
        </w:rPr>
      </w:pPr>
      <w:r>
        <w:rPr>
          <w:rFonts w:ascii="宋体" w:hAnsi="宋体" w:cs="Arial"/>
          <w:color w:val="auto"/>
          <w:highlight w:val="none"/>
        </w:rPr>
        <w:t>1.2</w:t>
      </w:r>
      <w:r>
        <w:rPr>
          <w:rFonts w:hint="eastAsia" w:ascii="宋体" w:hAnsi="宋体" w:cs="Arial"/>
          <w:bCs/>
          <w:color w:val="auto"/>
          <w:highlight w:val="none"/>
        </w:rPr>
        <w:t>评审依据：比选评审小组以比选文件、比选申请文件为评审依据。</w:t>
      </w:r>
    </w:p>
    <w:p w14:paraId="28AEE300">
      <w:pPr>
        <w:spacing w:before="0" w:after="0" w:afterAutospacing="0"/>
        <w:ind w:left="0" w:right="0" w:firstLine="420" w:firstLineChars="200"/>
        <w:rPr>
          <w:rFonts w:hint="eastAsia" w:ascii="宋体" w:hAnsi="宋体" w:cs="Arial"/>
          <w:bCs/>
          <w:color w:val="auto"/>
          <w:highlight w:val="none"/>
        </w:rPr>
      </w:pPr>
      <w:r>
        <w:rPr>
          <w:rFonts w:ascii="宋体" w:hAnsi="宋体" w:cs="Arial"/>
          <w:color w:val="auto"/>
          <w:highlight w:val="none"/>
        </w:rPr>
        <w:t>1.3</w:t>
      </w:r>
      <w:r>
        <w:rPr>
          <w:rFonts w:hint="eastAsia" w:ascii="宋体" w:hAnsi="宋体" w:cs="Arial"/>
          <w:bCs/>
          <w:color w:val="auto"/>
          <w:highlight w:val="none"/>
        </w:rPr>
        <w:t>评审方式：以封闭方式进行。</w:t>
      </w:r>
    </w:p>
    <w:p w14:paraId="58472FA5">
      <w:pPr>
        <w:spacing w:before="0" w:after="0" w:afterAutospacing="0"/>
        <w:ind w:left="0" w:right="0" w:firstLine="562" w:firstLineChars="200"/>
        <w:outlineLvl w:val="1"/>
        <w:rPr>
          <w:rFonts w:hint="eastAsia" w:ascii="宋体" w:hAnsi="宋体" w:cs="Arial"/>
          <w:b/>
          <w:bCs/>
          <w:color w:val="auto"/>
          <w:sz w:val="28"/>
          <w:szCs w:val="28"/>
          <w:highlight w:val="none"/>
        </w:rPr>
      </w:pPr>
      <w:bookmarkStart w:id="1796" w:name="_Toc11240"/>
      <w:bookmarkStart w:id="1797" w:name="_Toc29000"/>
      <w:bookmarkStart w:id="1798" w:name="_Toc3711"/>
      <w:bookmarkStart w:id="1799" w:name="_Toc114134685"/>
      <w:bookmarkStart w:id="1800" w:name="_Toc5136"/>
      <w:bookmarkStart w:id="1801" w:name="_Toc478566177"/>
      <w:bookmarkStart w:id="1802" w:name="_Toc15880"/>
      <w:r>
        <w:rPr>
          <w:rFonts w:hint="eastAsia" w:ascii="宋体" w:hAnsi="宋体" w:cs="Arial"/>
          <w:b/>
          <w:bCs/>
          <w:color w:val="auto"/>
          <w:sz w:val="28"/>
          <w:szCs w:val="28"/>
          <w:highlight w:val="none"/>
        </w:rPr>
        <w:t>二、评定方法</w:t>
      </w:r>
      <w:bookmarkEnd w:id="1796"/>
      <w:bookmarkEnd w:id="1797"/>
      <w:bookmarkEnd w:id="1798"/>
      <w:bookmarkEnd w:id="1799"/>
      <w:bookmarkEnd w:id="1800"/>
      <w:bookmarkEnd w:id="1801"/>
      <w:bookmarkEnd w:id="1802"/>
    </w:p>
    <w:p w14:paraId="3DFBB312">
      <w:pPr>
        <w:spacing w:before="0" w:after="0" w:afterAutospacing="0"/>
        <w:ind w:left="0" w:right="0" w:firstLine="420" w:firstLineChars="200"/>
        <w:outlineLvl w:val="1"/>
        <w:rPr>
          <w:rFonts w:hint="eastAsia" w:ascii="宋体" w:hAnsi="宋体" w:cs="Arial"/>
          <w:color w:val="auto"/>
          <w:highlight w:val="none"/>
        </w:rPr>
      </w:pPr>
      <w:bookmarkStart w:id="1803" w:name="_Toc11152"/>
      <w:bookmarkStart w:id="1804" w:name="_Toc114134686"/>
      <w:r>
        <w:rPr>
          <w:rFonts w:hint="eastAsia" w:ascii="宋体" w:hAnsi="宋体" w:cs="Arial"/>
          <w:color w:val="auto"/>
          <w:highlight w:val="none"/>
        </w:rPr>
        <w:t>2.1对资格性和符合性检查合格的比选申请文件，进入技术、商务评审采用综合评分法进行评审。</w:t>
      </w:r>
      <w:r>
        <w:rPr>
          <w:rFonts w:hint="eastAsia"/>
          <w:color w:val="auto"/>
          <w:highlight w:val="none"/>
        </w:rPr>
        <w:t>满分</w:t>
      </w:r>
      <w:r>
        <w:rPr>
          <w:color w:val="auto"/>
          <w:highlight w:val="none"/>
        </w:rPr>
        <w:t>100</w:t>
      </w:r>
      <w:r>
        <w:rPr>
          <w:rFonts w:hint="eastAsia"/>
          <w:color w:val="auto"/>
          <w:highlight w:val="none"/>
        </w:rPr>
        <w:t>分，其中</w:t>
      </w:r>
      <w:r>
        <w:rPr>
          <w:rFonts w:hint="eastAsia"/>
          <w:b/>
          <w:color w:val="auto"/>
          <w:highlight w:val="none"/>
        </w:rPr>
        <w:t>技术得分</w:t>
      </w:r>
      <w:r>
        <w:rPr>
          <w:rFonts w:hint="eastAsia"/>
          <w:b/>
          <w:color w:val="auto"/>
          <w:highlight w:val="none"/>
          <w:u w:val="single"/>
        </w:rPr>
        <w:t>60</w:t>
      </w:r>
      <w:r>
        <w:rPr>
          <w:rFonts w:hint="eastAsia"/>
          <w:b/>
          <w:color w:val="auto"/>
          <w:highlight w:val="none"/>
        </w:rPr>
        <w:t>分，价格得分</w:t>
      </w:r>
      <w:r>
        <w:rPr>
          <w:rFonts w:hint="eastAsia"/>
          <w:b/>
          <w:color w:val="auto"/>
          <w:highlight w:val="none"/>
          <w:u w:val="single"/>
        </w:rPr>
        <w:t>40</w:t>
      </w:r>
      <w:r>
        <w:rPr>
          <w:rFonts w:hint="eastAsia"/>
          <w:b/>
          <w:color w:val="auto"/>
          <w:highlight w:val="none"/>
        </w:rPr>
        <w:t>分。</w:t>
      </w:r>
      <w:bookmarkEnd w:id="1803"/>
      <w:bookmarkEnd w:id="1804"/>
    </w:p>
    <w:p w14:paraId="7C11831E">
      <w:pPr>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2.2比选评审小组将依照本比选文件相关要求，对照比选申请文件的应答进行比较，并对各比选申请文件的技术、商务内容进行评审打分。</w:t>
      </w:r>
      <w:bookmarkStart w:id="1854" w:name="_GoBack"/>
      <w:bookmarkEnd w:id="1854"/>
    </w:p>
    <w:p w14:paraId="46DFFDF9">
      <w:pPr>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报价做无效报价处理。</w:t>
      </w:r>
    </w:p>
    <w:p w14:paraId="1A1F1ED6">
      <w:pPr>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2.4总分=技术得分+价格得分。各项指标的分数计算四舍五入，取小数点后两位。计算比选申请人综合评分，并按照总分（综合得分）由高到低的顺序提出</w:t>
      </w:r>
      <w:r>
        <w:rPr>
          <w:rFonts w:ascii="宋体" w:hAnsi="宋体" w:cs="Arial"/>
          <w:color w:val="auto"/>
          <w:highlight w:val="none"/>
        </w:rPr>
        <w:t>1-</w:t>
      </w:r>
      <w:r>
        <w:rPr>
          <w:rFonts w:hint="eastAsia" w:ascii="宋体" w:hAnsi="宋体" w:cs="Arial"/>
          <w:color w:val="auto"/>
          <w:highlight w:val="none"/>
        </w:rPr>
        <w:t>3名中选候选人，并编写评审报告。</w:t>
      </w:r>
    </w:p>
    <w:p w14:paraId="36EEC85E">
      <w:pPr>
        <w:spacing w:before="0" w:after="0" w:afterAutospacing="0"/>
        <w:ind w:left="0" w:right="0" w:firstLine="420" w:firstLineChars="200"/>
        <w:outlineLvl w:val="1"/>
        <w:rPr>
          <w:rFonts w:hint="eastAsia" w:ascii="宋体" w:hAnsi="宋体" w:cs="Arial"/>
          <w:b/>
          <w:bCs/>
          <w:color w:val="auto"/>
          <w:sz w:val="28"/>
          <w:szCs w:val="28"/>
          <w:highlight w:val="none"/>
        </w:rPr>
      </w:pPr>
      <w:bookmarkStart w:id="1805" w:name="_Toc114134687"/>
      <w:bookmarkStart w:id="1806" w:name="_Toc23518"/>
      <w:r>
        <w:rPr>
          <w:rFonts w:hint="eastAsia" w:ascii="宋体" w:hAnsi="宋体" w:cs="Arial"/>
          <w:color w:val="auto"/>
          <w:highlight w:val="none"/>
        </w:rPr>
        <w:t>2.5</w:t>
      </w:r>
      <w:r>
        <w:rPr>
          <w:rFonts w:hint="eastAsia" w:ascii="宋体" w:hAnsi="宋体" w:cs="Arial"/>
          <w:b/>
          <w:bCs/>
          <w:color w:val="auto"/>
          <w:highlight w:val="none"/>
        </w:rPr>
        <w:t>技术得分低于技术得分满分的60%（即36分）的比选申请人不得推选为中选候选人。</w:t>
      </w:r>
    </w:p>
    <w:p w14:paraId="018982B6">
      <w:pPr>
        <w:spacing w:before="0" w:after="0" w:afterAutospacing="0"/>
        <w:ind w:left="0" w:right="0" w:firstLine="562" w:firstLineChars="200"/>
        <w:outlineLvl w:val="1"/>
        <w:rPr>
          <w:rFonts w:hint="eastAsia" w:ascii="宋体" w:hAnsi="宋体" w:cs="Arial"/>
          <w:b/>
          <w:bCs/>
          <w:color w:val="auto"/>
          <w:sz w:val="28"/>
          <w:szCs w:val="28"/>
          <w:highlight w:val="none"/>
        </w:rPr>
      </w:pPr>
      <w:r>
        <w:rPr>
          <w:rFonts w:hint="eastAsia" w:ascii="宋体" w:hAnsi="宋体" w:cs="Arial"/>
          <w:b/>
          <w:bCs/>
          <w:color w:val="auto"/>
          <w:sz w:val="28"/>
          <w:szCs w:val="28"/>
          <w:highlight w:val="none"/>
        </w:rPr>
        <w:t>三、评审流程</w:t>
      </w:r>
      <w:bookmarkEnd w:id="1805"/>
      <w:bookmarkEnd w:id="1806"/>
    </w:p>
    <w:p w14:paraId="13683B50">
      <w:pPr>
        <w:tabs>
          <w:tab w:val="left" w:pos="567"/>
        </w:tabs>
        <w:spacing w:before="0" w:after="0" w:afterAutospacing="0"/>
        <w:ind w:left="422" w:right="0" w:firstLine="0"/>
        <w:rPr>
          <w:rFonts w:hint="eastAsia" w:ascii="宋体" w:hAnsi="宋体"/>
          <w:b/>
          <w:color w:val="auto"/>
          <w:highlight w:val="none"/>
        </w:rPr>
      </w:pPr>
      <w:r>
        <w:rPr>
          <w:rFonts w:hint="eastAsia" w:ascii="宋体" w:hAnsi="宋体"/>
          <w:b/>
          <w:color w:val="auto"/>
          <w:highlight w:val="none"/>
        </w:rPr>
        <w:t>3.1资格审查</w:t>
      </w:r>
    </w:p>
    <w:p w14:paraId="20B83293">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资格审查采用定性评审法，审查比选申请人是否符合法律、法规、规章及比选文件对企业资质、业绩和其他强制性标准，是否处于正常的经营状况等情况。</w:t>
      </w:r>
    </w:p>
    <w:p w14:paraId="5578ED75">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在本阶段不符合任何一项资格评审标准的比选申请人将被比选人拒绝，不得进入下一阶段的评审。评审标准详见附表一《资格审查表》。</w:t>
      </w:r>
    </w:p>
    <w:p w14:paraId="1B3A7E9B">
      <w:pPr>
        <w:tabs>
          <w:tab w:val="left" w:pos="567"/>
        </w:tabs>
        <w:spacing w:before="0" w:after="0" w:afterAutospacing="0"/>
        <w:ind w:left="422" w:right="0" w:firstLine="0"/>
        <w:rPr>
          <w:rFonts w:hint="eastAsia" w:ascii="宋体" w:hAnsi="宋体"/>
          <w:b/>
          <w:color w:val="auto"/>
          <w:highlight w:val="none"/>
        </w:rPr>
      </w:pPr>
      <w:r>
        <w:rPr>
          <w:rFonts w:hint="eastAsia" w:ascii="宋体" w:hAnsi="宋体"/>
          <w:b/>
          <w:color w:val="auto"/>
          <w:highlight w:val="none"/>
        </w:rPr>
        <w:t>3.2初步评审</w:t>
      </w:r>
    </w:p>
    <w:p w14:paraId="2E17BB0E">
      <w:pPr>
        <w:tabs>
          <w:tab w:val="left" w:pos="851"/>
        </w:tabs>
        <w:spacing w:before="0" w:after="0" w:afterAutospacing="0"/>
        <w:ind w:left="0" w:right="0" w:firstLine="420" w:firstLineChars="200"/>
        <w:rPr>
          <w:rFonts w:hint="eastAsia" w:hAnsi="宋体"/>
          <w:color w:val="auto"/>
          <w:highlight w:val="none"/>
        </w:rPr>
      </w:pPr>
      <w:r>
        <w:rPr>
          <w:rFonts w:hint="eastAsia" w:hAnsi="宋体"/>
          <w:color w:val="auto"/>
          <w:highlight w:val="none"/>
        </w:rPr>
        <w:t>（1）比选评审小组将对比选申请文件的实质性内容进行初步评审，判定其内容是否真实、完整，是否满足比选文件要求并在实质性内容上予以响应。</w:t>
      </w:r>
    </w:p>
    <w:p w14:paraId="5F6FCB25">
      <w:pPr>
        <w:tabs>
          <w:tab w:val="left" w:pos="851"/>
        </w:tabs>
        <w:spacing w:before="0" w:after="0" w:afterAutospacing="0"/>
        <w:ind w:left="0" w:right="0" w:firstLine="420" w:firstLineChars="200"/>
        <w:rPr>
          <w:rFonts w:hint="eastAsia" w:hAnsi="宋体"/>
          <w:color w:val="auto"/>
          <w:highlight w:val="none"/>
        </w:rPr>
      </w:pPr>
      <w:r>
        <w:rPr>
          <w:rFonts w:hint="eastAsia" w:hAnsi="宋体"/>
          <w:color w:val="auto"/>
          <w:highlight w:val="none"/>
        </w:rPr>
        <w:t>（2）如果比选申请文件实质性不响应比选文件的要求和条件的，比选评审小组将判定为重大偏差并作否决比选申请处理，并且不允许比选申请人通过修正或撤销其不符要求的差异或保留，使之成为具有响应性的比选申请文件。</w:t>
      </w:r>
    </w:p>
    <w:p w14:paraId="5ED13A15">
      <w:pPr>
        <w:tabs>
          <w:tab w:val="left" w:pos="851"/>
        </w:tabs>
        <w:spacing w:before="0" w:after="0" w:afterAutospacing="0"/>
        <w:ind w:left="0" w:right="0" w:firstLine="420" w:firstLineChars="200"/>
        <w:rPr>
          <w:rFonts w:hint="eastAsia" w:ascii="宋体" w:hAnsi="宋体"/>
          <w:color w:val="auto"/>
          <w:highlight w:val="none"/>
        </w:rPr>
      </w:pPr>
      <w:r>
        <w:rPr>
          <w:rFonts w:hint="eastAsia" w:hAnsi="宋体"/>
          <w:color w:val="auto"/>
          <w:highlight w:val="none"/>
        </w:rPr>
        <w:t>（3）</w:t>
      </w:r>
      <w:r>
        <w:rPr>
          <w:color w:val="auto"/>
          <w:highlight w:val="none"/>
        </w:rPr>
        <w:t>比选评审小组</w:t>
      </w:r>
      <w:r>
        <w:rPr>
          <w:rFonts w:hAnsi="宋体"/>
          <w:color w:val="auto"/>
          <w:highlight w:val="none"/>
        </w:rPr>
        <w:t>根据</w:t>
      </w:r>
      <w:r>
        <w:rPr>
          <w:rFonts w:hint="eastAsia" w:hAnsi="宋体"/>
          <w:color w:val="auto"/>
          <w:highlight w:val="none"/>
        </w:rPr>
        <w:t>比选</w:t>
      </w:r>
      <w:r>
        <w:rPr>
          <w:rFonts w:hAnsi="宋体"/>
          <w:color w:val="auto"/>
          <w:highlight w:val="none"/>
        </w:rPr>
        <w:t>文件的要求对</w:t>
      </w:r>
      <w:r>
        <w:rPr>
          <w:rFonts w:hint="eastAsia" w:hAnsi="宋体"/>
          <w:color w:val="auto"/>
          <w:highlight w:val="none"/>
        </w:rPr>
        <w:t>比选申请</w:t>
      </w:r>
      <w:r>
        <w:rPr>
          <w:rFonts w:hAnsi="宋体"/>
          <w:color w:val="auto"/>
          <w:highlight w:val="none"/>
        </w:rPr>
        <w:t>人进行</w:t>
      </w:r>
      <w:r>
        <w:rPr>
          <w:rFonts w:hint="eastAsia" w:hAnsi="宋体"/>
          <w:color w:val="auto"/>
          <w:highlight w:val="none"/>
        </w:rPr>
        <w:t>符合性</w:t>
      </w:r>
      <w:r>
        <w:rPr>
          <w:rFonts w:hAnsi="宋体"/>
          <w:color w:val="auto"/>
          <w:highlight w:val="none"/>
        </w:rPr>
        <w:t>评审，未通过</w:t>
      </w:r>
      <w:r>
        <w:rPr>
          <w:rFonts w:hint="eastAsia" w:hAnsi="宋体"/>
          <w:color w:val="auto"/>
          <w:highlight w:val="none"/>
        </w:rPr>
        <w:t>符合性</w:t>
      </w:r>
      <w:r>
        <w:rPr>
          <w:rFonts w:hAnsi="宋体"/>
          <w:color w:val="auto"/>
          <w:highlight w:val="none"/>
        </w:rPr>
        <w:t>评审的</w:t>
      </w:r>
      <w:r>
        <w:rPr>
          <w:rFonts w:hint="eastAsia" w:hAnsi="宋体"/>
          <w:color w:val="auto"/>
          <w:highlight w:val="none"/>
        </w:rPr>
        <w:t>比选申请</w:t>
      </w:r>
      <w:r>
        <w:rPr>
          <w:rFonts w:hAnsi="宋体"/>
          <w:color w:val="auto"/>
          <w:highlight w:val="none"/>
        </w:rPr>
        <w:t>人不得进入下一阶段的评审。评审</w:t>
      </w:r>
      <w:r>
        <w:rPr>
          <w:rFonts w:hint="eastAsia" w:hAnsi="宋体"/>
          <w:color w:val="auto"/>
          <w:highlight w:val="none"/>
        </w:rPr>
        <w:t>标准</w:t>
      </w:r>
      <w:r>
        <w:rPr>
          <w:rFonts w:hAnsi="宋体"/>
          <w:color w:val="auto"/>
          <w:highlight w:val="none"/>
        </w:rPr>
        <w:t>见附表二《</w:t>
      </w:r>
      <w:r>
        <w:rPr>
          <w:rFonts w:hint="eastAsia" w:hAnsi="宋体"/>
          <w:color w:val="auto"/>
          <w:highlight w:val="none"/>
        </w:rPr>
        <w:t>符合性</w:t>
      </w:r>
      <w:r>
        <w:rPr>
          <w:rFonts w:hAnsi="宋体"/>
          <w:color w:val="auto"/>
          <w:highlight w:val="none"/>
        </w:rPr>
        <w:t>评审表》。</w:t>
      </w:r>
    </w:p>
    <w:p w14:paraId="1BAE2A32">
      <w:pPr>
        <w:tabs>
          <w:tab w:val="left" w:pos="851"/>
          <w:tab w:val="left" w:pos="1134"/>
        </w:tabs>
        <w:spacing w:before="0" w:after="0" w:afterAutospacing="0"/>
        <w:ind w:left="422" w:right="0" w:firstLine="0"/>
        <w:rPr>
          <w:rFonts w:hint="eastAsia" w:ascii="宋体" w:hAnsi="宋体"/>
          <w:b/>
          <w:color w:val="auto"/>
          <w:highlight w:val="none"/>
        </w:rPr>
      </w:pPr>
      <w:r>
        <w:rPr>
          <w:rFonts w:hint="eastAsia" w:ascii="宋体" w:hAnsi="宋体"/>
          <w:b/>
          <w:color w:val="auto"/>
          <w:highlight w:val="none"/>
        </w:rPr>
        <w:t>3.3详细评审</w:t>
      </w:r>
    </w:p>
    <w:p w14:paraId="03958F98">
      <w:pPr>
        <w:tabs>
          <w:tab w:val="left" w:pos="851"/>
        </w:tabs>
        <w:spacing w:before="0" w:after="0" w:afterAutospacing="0"/>
        <w:ind w:left="0" w:right="0" w:firstLine="420" w:firstLineChars="200"/>
        <w:rPr>
          <w:rFonts w:hint="eastAsia" w:hAnsi="宋体"/>
          <w:color w:val="auto"/>
          <w:highlight w:val="none"/>
        </w:rPr>
      </w:pPr>
      <w:r>
        <w:rPr>
          <w:rFonts w:hAnsi="宋体"/>
          <w:color w:val="auto"/>
          <w:highlight w:val="none"/>
        </w:rPr>
        <w:t>3.3.1</w:t>
      </w:r>
      <w:r>
        <w:rPr>
          <w:color w:val="auto"/>
          <w:highlight w:val="none"/>
        </w:rPr>
        <w:t>比选评审小组</w:t>
      </w:r>
      <w:r>
        <w:rPr>
          <w:rFonts w:hint="eastAsia"/>
          <w:color w:val="auto"/>
          <w:highlight w:val="none"/>
        </w:rPr>
        <w:t>对通过初步评审的比选申请文件的技术文件进行详细评审</w:t>
      </w:r>
      <w:r>
        <w:rPr>
          <w:rFonts w:hint="eastAsia" w:hAnsi="宋体"/>
          <w:color w:val="auto"/>
          <w:highlight w:val="none"/>
        </w:rPr>
        <w:t>。</w:t>
      </w:r>
    </w:p>
    <w:p w14:paraId="1BB25C04">
      <w:pPr>
        <w:tabs>
          <w:tab w:val="left" w:pos="851"/>
        </w:tabs>
        <w:spacing w:before="0" w:after="0" w:afterAutospacing="0"/>
        <w:ind w:left="-2" w:leftChars="-1" w:right="0" w:firstLine="420" w:firstLineChars="200"/>
        <w:rPr>
          <w:rFonts w:hint="eastAsia" w:ascii="宋体" w:hAnsi="宋体"/>
          <w:color w:val="auto"/>
          <w:highlight w:val="none"/>
        </w:rPr>
      </w:pPr>
      <w:r>
        <w:rPr>
          <w:rFonts w:hint="eastAsia" w:hAnsi="宋体"/>
          <w:color w:val="auto"/>
          <w:highlight w:val="none"/>
        </w:rPr>
        <w:t xml:space="preserve">3.3.2 </w:t>
      </w:r>
      <w:r>
        <w:rPr>
          <w:color w:val="auto"/>
          <w:highlight w:val="none"/>
        </w:rPr>
        <w:t>比选评审小组</w:t>
      </w:r>
      <w:r>
        <w:rPr>
          <w:rFonts w:hint="eastAsia"/>
          <w:color w:val="auto"/>
          <w:highlight w:val="none"/>
        </w:rPr>
        <w:t>按照附表三《技术文件评分表》规定的量化因素和分值，对各比选申请人技术部分评审。各评委对比选申请人的各评分项评分累加后得出各评委的总得分。比选申请人技术得分取所有评委总得分的算术平均值（得分出现小数点，保留小数点后二位，第三位小数四舍五入）。</w:t>
      </w:r>
    </w:p>
    <w:p w14:paraId="2480B5DC">
      <w:pPr>
        <w:tabs>
          <w:tab w:val="left" w:pos="851"/>
          <w:tab w:val="left" w:pos="1134"/>
        </w:tabs>
        <w:spacing w:before="0" w:after="0" w:afterAutospacing="0"/>
        <w:ind w:left="422" w:right="0" w:firstLine="0"/>
        <w:rPr>
          <w:rFonts w:hint="eastAsia" w:hAnsi="宋体"/>
          <w:color w:val="auto"/>
          <w:highlight w:val="none"/>
        </w:rPr>
      </w:pPr>
      <w:r>
        <w:rPr>
          <w:rFonts w:hAnsi="宋体"/>
          <w:color w:val="auto"/>
          <w:highlight w:val="none"/>
        </w:rPr>
        <w:t>3.3.</w:t>
      </w:r>
      <w:r>
        <w:rPr>
          <w:rFonts w:hint="eastAsia" w:hAnsi="宋体"/>
          <w:color w:val="auto"/>
          <w:highlight w:val="none"/>
        </w:rPr>
        <w:t>3价格评审</w:t>
      </w:r>
    </w:p>
    <w:p w14:paraId="78CD796F">
      <w:pPr>
        <w:tabs>
          <w:tab w:val="left" w:pos="851"/>
          <w:tab w:val="left" w:pos="1134"/>
        </w:tabs>
        <w:spacing w:before="0" w:after="0" w:afterAutospacing="0"/>
        <w:ind w:left="942" w:leftChars="112" w:right="0" w:hanging="707" w:hangingChars="337"/>
        <w:jc w:val="left"/>
        <w:rPr>
          <w:color w:val="auto"/>
          <w:highlight w:val="none"/>
        </w:rPr>
      </w:pPr>
      <w:r>
        <w:rPr>
          <w:rFonts w:hint="eastAsia"/>
          <w:color w:val="auto"/>
          <w:highlight w:val="none"/>
        </w:rPr>
        <w:t>3.3.3.1</w:t>
      </w:r>
      <w:r>
        <w:rPr>
          <w:color w:val="auto"/>
          <w:highlight w:val="none"/>
        </w:rPr>
        <w:t>比选评审小组</w:t>
      </w:r>
      <w:r>
        <w:rPr>
          <w:rFonts w:hint="eastAsia"/>
          <w:color w:val="auto"/>
          <w:highlight w:val="none"/>
        </w:rPr>
        <w:t>对通过初步评审的比选申请文件的报价文件进行详细评审。</w:t>
      </w:r>
    </w:p>
    <w:p w14:paraId="7DB88038">
      <w:pPr>
        <w:tabs>
          <w:tab w:val="left" w:pos="851"/>
          <w:tab w:val="left" w:pos="1134"/>
        </w:tabs>
        <w:spacing w:before="0" w:after="0" w:afterAutospacing="0"/>
        <w:ind w:left="105" w:leftChars="50" w:right="0" w:firstLine="105" w:firstLineChars="50"/>
        <w:jc w:val="left"/>
        <w:rPr>
          <w:color w:val="auto"/>
          <w:highlight w:val="none"/>
        </w:rPr>
      </w:pPr>
      <w:r>
        <w:rPr>
          <w:rFonts w:hint="eastAsia"/>
          <w:color w:val="auto"/>
          <w:highlight w:val="none"/>
        </w:rPr>
        <w:t>3.3.3.2比选申请报价有算术错误的，比选评审小组按以下原则对比选申请报价进行修正，修正的价格经比选申请人书面确认后具有约束力。比选申请人不接受修正价格的，其比选申请作否决比选申请处理：</w:t>
      </w:r>
    </w:p>
    <w:p w14:paraId="2A1BEFF0">
      <w:pPr>
        <w:tabs>
          <w:tab w:val="left" w:pos="851"/>
          <w:tab w:val="left" w:pos="1134"/>
        </w:tabs>
        <w:spacing w:before="0" w:after="0" w:afterAutospacing="0"/>
        <w:ind w:left="105" w:leftChars="50" w:right="0" w:firstLine="105" w:firstLineChars="50"/>
        <w:jc w:val="left"/>
        <w:rPr>
          <w:rFonts w:cs="宋体"/>
          <w:color w:val="auto"/>
          <w:highlight w:val="none"/>
        </w:rPr>
      </w:pPr>
      <w:r>
        <w:rPr>
          <w:rFonts w:hint="eastAsia"/>
          <w:color w:val="auto"/>
          <w:highlight w:val="none"/>
        </w:rPr>
        <w:t xml:space="preserve"> (1）比选申请</w:t>
      </w:r>
      <w:r>
        <w:rPr>
          <w:rFonts w:hint="eastAsia" w:cs="宋体"/>
          <w:color w:val="auto"/>
          <w:highlight w:val="none"/>
        </w:rPr>
        <w:t>文件中的大写金额与小写金额不一致的，以大写金额为准；</w:t>
      </w:r>
    </w:p>
    <w:p w14:paraId="0CD08CF4">
      <w:pPr>
        <w:tabs>
          <w:tab w:val="left" w:pos="851"/>
          <w:tab w:val="left" w:pos="1134"/>
        </w:tabs>
        <w:spacing w:before="0" w:after="0" w:afterAutospacing="0"/>
        <w:ind w:left="105" w:leftChars="50" w:right="0" w:firstLine="105" w:firstLineChars="50"/>
        <w:jc w:val="left"/>
        <w:rPr>
          <w:rFonts w:cs="宋体"/>
          <w:color w:val="auto"/>
          <w:highlight w:val="none"/>
        </w:rPr>
      </w:pPr>
      <w:r>
        <w:rPr>
          <w:rFonts w:hint="eastAsia"/>
          <w:color w:val="auto"/>
          <w:highlight w:val="none"/>
        </w:rPr>
        <w:t>（2）</w:t>
      </w:r>
      <w:r>
        <w:rPr>
          <w:rFonts w:hint="eastAsia" w:cs="宋体"/>
          <w:color w:val="auto"/>
          <w:highlight w:val="none"/>
        </w:rPr>
        <w:t>总价金额与依据单价计算出的结果不一致的，以单价金额为准修正总价，但单价金额小数点有明显错误的除外；</w:t>
      </w:r>
    </w:p>
    <w:p w14:paraId="37BC1A0C">
      <w:pPr>
        <w:tabs>
          <w:tab w:val="left" w:pos="851"/>
          <w:tab w:val="left" w:pos="1134"/>
        </w:tabs>
        <w:spacing w:before="0" w:after="0" w:afterAutospacing="0"/>
        <w:ind w:left="105" w:leftChars="50" w:right="0" w:firstLine="210" w:firstLineChars="100"/>
        <w:jc w:val="left"/>
        <w:rPr>
          <w:color w:val="auto"/>
          <w:highlight w:val="none"/>
        </w:rPr>
      </w:pPr>
      <w:r>
        <w:rPr>
          <w:rFonts w:hint="eastAsia" w:cs="宋体"/>
          <w:color w:val="auto"/>
          <w:highlight w:val="none"/>
        </w:rPr>
        <w:t>(3)</w:t>
      </w:r>
      <w:r>
        <w:rPr>
          <w:rFonts w:hint="eastAsia"/>
          <w:color w:val="auto"/>
          <w:highlight w:val="none"/>
        </w:rPr>
        <w:t xml:space="preserve"> 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46401B0C">
      <w:pPr>
        <w:tabs>
          <w:tab w:val="left" w:pos="851"/>
          <w:tab w:val="left" w:pos="1134"/>
        </w:tabs>
        <w:spacing w:before="0" w:after="0" w:afterAutospacing="0"/>
        <w:ind w:left="105" w:leftChars="50" w:right="0" w:firstLine="105" w:firstLineChars="50"/>
        <w:jc w:val="left"/>
        <w:rPr>
          <w:rFonts w:cs="宋体"/>
          <w:color w:val="auto"/>
          <w:highlight w:val="none"/>
        </w:rPr>
      </w:pPr>
      <w:r>
        <w:rPr>
          <w:rFonts w:hint="eastAsia"/>
          <w:color w:val="auto"/>
          <w:highlight w:val="none"/>
        </w:rPr>
        <w:t>（4）若</w:t>
      </w:r>
      <w:r>
        <w:rPr>
          <w:color w:val="auto"/>
          <w:highlight w:val="none"/>
        </w:rPr>
        <w:t>修正后的总价</w:t>
      </w:r>
      <w:r>
        <w:rPr>
          <w:rFonts w:hint="eastAsia"/>
          <w:color w:val="auto"/>
          <w:highlight w:val="none"/>
        </w:rPr>
        <w:t>与</w:t>
      </w:r>
      <w:r>
        <w:rPr>
          <w:color w:val="auto"/>
          <w:highlight w:val="none"/>
        </w:rPr>
        <w:t>比选申请报价</w:t>
      </w:r>
      <w:r>
        <w:rPr>
          <w:rFonts w:hint="eastAsia"/>
          <w:color w:val="auto"/>
          <w:highlight w:val="none"/>
        </w:rPr>
        <w:t>不相等</w:t>
      </w:r>
      <w:r>
        <w:rPr>
          <w:color w:val="auto"/>
          <w:highlight w:val="none"/>
        </w:rPr>
        <w:t>，则</w:t>
      </w:r>
      <w:r>
        <w:rPr>
          <w:rFonts w:hint="eastAsia"/>
          <w:color w:val="auto"/>
          <w:highlight w:val="none"/>
        </w:rPr>
        <w:t>评标总价和</w:t>
      </w:r>
      <w:r>
        <w:rPr>
          <w:color w:val="auto"/>
          <w:highlight w:val="none"/>
        </w:rPr>
        <w:t>中标价</w:t>
      </w:r>
      <w:r>
        <w:rPr>
          <w:rFonts w:hint="eastAsia"/>
          <w:color w:val="auto"/>
          <w:highlight w:val="none"/>
        </w:rPr>
        <w:t>均</w:t>
      </w:r>
      <w:r>
        <w:rPr>
          <w:color w:val="auto"/>
          <w:highlight w:val="none"/>
        </w:rPr>
        <w:t>以</w:t>
      </w:r>
      <w:r>
        <w:rPr>
          <w:rFonts w:hint="eastAsia"/>
          <w:color w:val="auto"/>
          <w:highlight w:val="none"/>
        </w:rPr>
        <w:t>修正后的总价</w:t>
      </w:r>
      <w:r>
        <w:rPr>
          <w:color w:val="auto"/>
          <w:highlight w:val="none"/>
        </w:rPr>
        <w:t>为准，</w:t>
      </w:r>
      <w:r>
        <w:rPr>
          <w:rFonts w:hint="eastAsia"/>
          <w:color w:val="auto"/>
          <w:highlight w:val="none"/>
        </w:rPr>
        <w:t>如比选申请人不接受按以上规则确定的评标总价和中标价，则其比选申请将被拒绝。</w:t>
      </w:r>
    </w:p>
    <w:p w14:paraId="245A6949">
      <w:pPr>
        <w:tabs>
          <w:tab w:val="left" w:pos="851"/>
          <w:tab w:val="left" w:pos="1134"/>
        </w:tabs>
        <w:spacing w:before="0" w:after="0" w:afterAutospacing="0"/>
        <w:ind w:left="105" w:leftChars="50" w:right="0" w:firstLine="105" w:firstLineChars="50"/>
        <w:jc w:val="left"/>
        <w:rPr>
          <w:rFonts w:cs="宋体"/>
          <w:color w:val="auto"/>
          <w:highlight w:val="none"/>
        </w:rPr>
      </w:pPr>
      <w:r>
        <w:rPr>
          <w:rFonts w:hint="eastAsia" w:cs="宋体"/>
          <w:color w:val="auto"/>
          <w:highlight w:val="none"/>
        </w:rPr>
        <w:t>3.3.3.3</w:t>
      </w:r>
      <w:r>
        <w:rPr>
          <w:rFonts w:hint="eastAsia"/>
          <w:color w:val="auto"/>
          <w:highlight w:val="none"/>
        </w:rPr>
        <w:t>出现下列情况的比选申请文件将予以否决：</w:t>
      </w:r>
    </w:p>
    <w:p w14:paraId="3B85EBC3">
      <w:pPr>
        <w:tabs>
          <w:tab w:val="left" w:pos="851"/>
          <w:tab w:val="left" w:pos="1134"/>
        </w:tabs>
        <w:spacing w:before="0" w:after="0" w:afterAutospacing="0"/>
        <w:ind w:left="105" w:leftChars="50" w:right="0" w:firstLine="105" w:firstLineChars="50"/>
        <w:jc w:val="left"/>
        <w:rPr>
          <w:bCs/>
          <w:color w:val="auto"/>
          <w:highlight w:val="none"/>
        </w:rPr>
      </w:pPr>
      <w:r>
        <w:rPr>
          <w:rFonts w:hint="eastAsia"/>
          <w:color w:val="auto"/>
          <w:highlight w:val="none"/>
        </w:rPr>
        <w:t>（1）</w:t>
      </w:r>
      <w:r>
        <w:rPr>
          <w:color w:val="auto"/>
          <w:highlight w:val="none"/>
        </w:rPr>
        <w:t>比选评审小组</w:t>
      </w:r>
      <w:r>
        <w:rPr>
          <w:rFonts w:hint="eastAsia"/>
          <w:bCs/>
          <w:color w:val="auto"/>
          <w:highlight w:val="none"/>
        </w:rPr>
        <w:t>发现比选申请人的报价明显低于其他比选申请报价，使得其比选申请报价可能低于其个别成本的，应当要求该比选申请人作出书面说明并提供相应的证明材料。比选申请人不能合理说明或者不能提供相应证明材料的，</w:t>
      </w:r>
      <w:r>
        <w:rPr>
          <w:color w:val="auto"/>
          <w:highlight w:val="none"/>
        </w:rPr>
        <w:t>比选评审小组</w:t>
      </w:r>
      <w:r>
        <w:rPr>
          <w:rFonts w:hint="eastAsia"/>
          <w:bCs/>
          <w:color w:val="auto"/>
          <w:highlight w:val="none"/>
        </w:rPr>
        <w:t>应当认定该比选申请人以低于成本报价比选申请，否决其比选申请。</w:t>
      </w:r>
    </w:p>
    <w:p w14:paraId="1BB2744E">
      <w:pPr>
        <w:tabs>
          <w:tab w:val="left" w:pos="851"/>
          <w:tab w:val="left" w:pos="1134"/>
        </w:tabs>
        <w:spacing w:before="0" w:after="0" w:afterAutospacing="0"/>
        <w:ind w:left="105" w:leftChars="50" w:right="0" w:firstLine="105" w:firstLineChars="50"/>
        <w:jc w:val="left"/>
        <w:rPr>
          <w:b/>
          <w:bCs/>
          <w:color w:val="auto"/>
          <w:highlight w:val="none"/>
        </w:rPr>
      </w:pPr>
      <w:r>
        <w:rPr>
          <w:rFonts w:hint="eastAsia"/>
          <w:bCs/>
          <w:color w:val="auto"/>
          <w:highlight w:val="none"/>
        </w:rPr>
        <w:t>（2）</w:t>
      </w:r>
      <w:bookmarkStart w:id="1807" w:name="_Hlk36511445"/>
      <w:r>
        <w:rPr>
          <w:rFonts w:hint="eastAsia"/>
          <w:b/>
          <w:bCs/>
          <w:color w:val="auto"/>
          <w:highlight w:val="none"/>
        </w:rPr>
        <w:t>比选申请报价清单如有漏项的比选申请文件，将予以否决。</w:t>
      </w:r>
      <w:bookmarkEnd w:id="1807"/>
    </w:p>
    <w:p w14:paraId="28248D5C">
      <w:pPr>
        <w:tabs>
          <w:tab w:val="left" w:pos="851"/>
          <w:tab w:val="left" w:pos="1134"/>
        </w:tabs>
        <w:spacing w:before="0" w:after="0" w:afterAutospacing="0"/>
        <w:ind w:left="105" w:leftChars="50" w:right="0" w:firstLine="105" w:firstLineChars="50"/>
        <w:jc w:val="left"/>
        <w:rPr>
          <w:color w:val="auto"/>
          <w:highlight w:val="none"/>
        </w:rPr>
      </w:pPr>
      <w:r>
        <w:rPr>
          <w:rFonts w:hint="eastAsia"/>
          <w:bCs/>
          <w:color w:val="auto"/>
          <w:highlight w:val="none"/>
        </w:rPr>
        <w:t>3.3.3.4</w:t>
      </w:r>
      <w:r>
        <w:rPr>
          <w:color w:val="auto"/>
          <w:highlight w:val="none"/>
        </w:rPr>
        <w:t>比选评审小组</w:t>
      </w:r>
      <w:r>
        <w:rPr>
          <w:rFonts w:hint="eastAsia"/>
          <w:color w:val="auto"/>
          <w:highlight w:val="none"/>
        </w:rPr>
        <w:t>按照附表四《比选报价评分表》规定的量化因素和分值，对各比选申请人的比选申请报价评审，并计算出价格得分（得分出现小数点，保留小数点后二位，第三位小数四舍五入）。</w:t>
      </w:r>
    </w:p>
    <w:p w14:paraId="1D4FBEAB">
      <w:pPr>
        <w:tabs>
          <w:tab w:val="left" w:pos="567"/>
        </w:tabs>
        <w:spacing w:before="0" w:after="0" w:afterAutospacing="0"/>
        <w:ind w:left="422" w:right="0" w:firstLine="0"/>
        <w:rPr>
          <w:rFonts w:hint="eastAsia" w:ascii="宋体" w:hAnsi="宋体"/>
          <w:b/>
          <w:color w:val="auto"/>
          <w:highlight w:val="none"/>
        </w:rPr>
      </w:pPr>
      <w:r>
        <w:rPr>
          <w:rFonts w:hint="eastAsia" w:ascii="宋体" w:hAnsi="宋体"/>
          <w:b/>
          <w:color w:val="auto"/>
          <w:highlight w:val="none"/>
        </w:rPr>
        <w:t>3.4</w:t>
      </w:r>
      <w:r>
        <w:rPr>
          <w:rFonts w:ascii="宋体" w:hAnsi="宋体"/>
          <w:b/>
          <w:color w:val="auto"/>
          <w:highlight w:val="none"/>
        </w:rPr>
        <w:t>澄清或补正</w:t>
      </w:r>
    </w:p>
    <w:p w14:paraId="17525B19">
      <w:pPr>
        <w:tabs>
          <w:tab w:val="left" w:pos="851"/>
          <w:tab w:val="left" w:pos="1134"/>
        </w:tabs>
        <w:spacing w:before="0" w:after="0" w:afterAutospacing="0"/>
        <w:ind w:left="420" w:right="0" w:firstLine="0"/>
        <w:rPr>
          <w:rFonts w:hint="eastAsia" w:ascii="宋体" w:hAnsi="宋体"/>
          <w:color w:val="auto"/>
          <w:highlight w:val="none"/>
        </w:rPr>
      </w:pPr>
      <w:r>
        <w:rPr>
          <w:rFonts w:hint="eastAsia" w:ascii="宋体" w:hAnsi="宋体"/>
          <w:color w:val="auto"/>
          <w:highlight w:val="none"/>
        </w:rPr>
        <w:t>3.4.1在评审阶段，比选评审小组认为必要时，可书面通知比选申请人要求其澄清或补正比选申请文件中的问题，或者要求其补充某些资料。对此，比选申请人不得拒绝。</w:t>
      </w:r>
    </w:p>
    <w:p w14:paraId="4D7D91AB">
      <w:pPr>
        <w:tabs>
          <w:tab w:val="left" w:pos="851"/>
          <w:tab w:val="left" w:pos="1134"/>
        </w:tabs>
        <w:spacing w:before="0" w:after="0" w:afterAutospacing="0"/>
        <w:ind w:left="420" w:right="0" w:firstLine="0"/>
        <w:rPr>
          <w:rFonts w:hint="eastAsia" w:ascii="宋体" w:hAnsi="宋体"/>
          <w:color w:val="auto"/>
          <w:highlight w:val="none"/>
        </w:rPr>
      </w:pPr>
      <w:r>
        <w:rPr>
          <w:rFonts w:hint="eastAsia" w:ascii="宋体" w:hAnsi="宋体"/>
          <w:color w:val="auto"/>
          <w:highlight w:val="none"/>
        </w:rPr>
        <w:t>3.4.2</w:t>
      </w:r>
      <w:r>
        <w:rPr>
          <w:rFonts w:ascii="宋体" w:hAnsi="宋体"/>
          <w:color w:val="auto"/>
          <w:highlight w:val="none"/>
        </w:rPr>
        <w:t>比选申请人须以书面形式提供澄清或补正文件，经比选评审小组确认方可作为比选申请文件的组成部分。</w:t>
      </w:r>
    </w:p>
    <w:p w14:paraId="654A20D0">
      <w:pPr>
        <w:tabs>
          <w:tab w:val="left" w:pos="851"/>
          <w:tab w:val="left" w:pos="1134"/>
        </w:tabs>
        <w:spacing w:before="0" w:after="0" w:afterAutospacing="0"/>
        <w:ind w:left="420" w:right="0" w:firstLine="0"/>
        <w:rPr>
          <w:rFonts w:hint="eastAsia" w:ascii="宋体" w:hAnsi="宋体"/>
          <w:color w:val="auto"/>
          <w:highlight w:val="none"/>
        </w:rPr>
      </w:pPr>
      <w:r>
        <w:rPr>
          <w:rFonts w:hint="eastAsia" w:ascii="宋体" w:hAnsi="宋体"/>
          <w:color w:val="auto"/>
          <w:highlight w:val="none"/>
        </w:rPr>
        <w:t>3.4.3</w:t>
      </w:r>
      <w:r>
        <w:rPr>
          <w:rFonts w:ascii="宋体" w:hAnsi="宋体"/>
          <w:color w:val="auto"/>
          <w:highlight w:val="none"/>
        </w:rPr>
        <w:t>比选申请人能够合理说明或提供有效证明资料的，比选评审小组将予以采信，取消该疑问事项及对应的比选申请报价偏差；不能合理说明或者不能提供有效证明材料的，比选评审小组将不予采信，该疑问事项及对应的比选申请报价偏差将确认成立，但其比选申请总价保持不变。</w:t>
      </w:r>
    </w:p>
    <w:p w14:paraId="67D9C7A4">
      <w:pPr>
        <w:tabs>
          <w:tab w:val="left" w:pos="851"/>
          <w:tab w:val="left" w:pos="1134"/>
        </w:tabs>
        <w:spacing w:before="0" w:after="0" w:afterAutospacing="0"/>
        <w:ind w:left="420" w:right="0" w:firstLine="0"/>
        <w:rPr>
          <w:rFonts w:hint="eastAsia" w:ascii="宋体" w:hAnsi="宋体"/>
          <w:color w:val="auto"/>
          <w:highlight w:val="none"/>
        </w:rPr>
      </w:pPr>
      <w:r>
        <w:rPr>
          <w:rFonts w:hint="eastAsia" w:ascii="宋体" w:hAnsi="宋体"/>
          <w:color w:val="auto"/>
          <w:highlight w:val="none"/>
        </w:rPr>
        <w:t>3.4.4</w:t>
      </w:r>
      <w:r>
        <w:rPr>
          <w:rFonts w:ascii="宋体" w:hAnsi="宋体"/>
          <w:color w:val="auto"/>
          <w:highlight w:val="none"/>
        </w:rPr>
        <w:t>如果比选评审小组对比选申请人提交的澄清、说明或补正依然存有疑问，可以对比选申请人进一步质疑。比选申请人应当相应地进一步澄清、说明或补正，直至比选评审小组认为全部质疑得到解答。</w:t>
      </w:r>
    </w:p>
    <w:p w14:paraId="28CCD6FD">
      <w:pPr>
        <w:tabs>
          <w:tab w:val="left" w:pos="851"/>
          <w:tab w:val="left" w:pos="1134"/>
        </w:tabs>
        <w:spacing w:before="0" w:after="0" w:afterAutospacing="0"/>
        <w:ind w:left="420" w:right="0" w:firstLine="0"/>
        <w:rPr>
          <w:rFonts w:hint="eastAsia" w:ascii="宋体" w:hAnsi="宋体"/>
          <w:color w:val="auto"/>
          <w:highlight w:val="none"/>
        </w:rPr>
      </w:pPr>
      <w:r>
        <w:rPr>
          <w:rFonts w:hint="eastAsia" w:ascii="宋体" w:hAnsi="宋体"/>
          <w:color w:val="auto"/>
          <w:highlight w:val="none"/>
        </w:rPr>
        <w:t>3.4.5</w:t>
      </w:r>
      <w:r>
        <w:rPr>
          <w:rFonts w:ascii="宋体" w:hAnsi="宋体"/>
          <w:color w:val="auto"/>
          <w:highlight w:val="none"/>
        </w:rPr>
        <w:t>比选申请人不得借澄清或补正问题的机会，与比选人及比选评审小组私下接触或对原比选申请价和内容提出修改，但在评审中进行的初步修正，则不在此列。比选人不接受比选申请人主动提出的对比选申请文件的澄清或补正。</w:t>
      </w:r>
    </w:p>
    <w:p w14:paraId="55607DC7">
      <w:pPr>
        <w:spacing w:before="0" w:after="0" w:afterAutospacing="0"/>
        <w:ind w:left="0" w:right="0" w:firstLine="422" w:firstLineChars="200"/>
        <w:rPr>
          <w:rFonts w:hint="eastAsia" w:ascii="宋体" w:hAnsi="宋体"/>
          <w:b/>
          <w:color w:val="auto"/>
          <w:highlight w:val="none"/>
        </w:rPr>
      </w:pPr>
      <w:r>
        <w:rPr>
          <w:rFonts w:hint="eastAsia" w:ascii="宋体" w:hAnsi="宋体"/>
          <w:b/>
          <w:color w:val="auto"/>
          <w:highlight w:val="none"/>
        </w:rPr>
        <w:t>3.5</w:t>
      </w:r>
      <w:r>
        <w:rPr>
          <w:rFonts w:ascii="宋体" w:hAnsi="宋体"/>
          <w:b/>
          <w:color w:val="auto"/>
          <w:highlight w:val="none"/>
        </w:rPr>
        <w:t>评审报告</w:t>
      </w:r>
    </w:p>
    <w:p w14:paraId="71C61B46">
      <w:pPr>
        <w:tabs>
          <w:tab w:val="left" w:pos="993"/>
          <w:tab w:val="left" w:pos="113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w:t>
      </w:r>
      <w:r>
        <w:rPr>
          <w:rFonts w:ascii="宋体" w:hAnsi="宋体"/>
          <w:color w:val="auto"/>
          <w:highlight w:val="none"/>
        </w:rPr>
        <w:t>1</w:t>
      </w:r>
      <w:r>
        <w:rPr>
          <w:rFonts w:hint="eastAsia" w:ascii="宋体" w:hAnsi="宋体"/>
          <w:color w:val="auto"/>
          <w:highlight w:val="none"/>
        </w:rPr>
        <w:t>）比选评审小组应根据评审情况和结果，向比选人提交评审报告。评审报告由比选评审小组成员起草，按少数服从多数的原则通过。比选评审小组全体成员应在评审报告上签字确认，评审专家如有保留意见可以在评审报告中阐明</w:t>
      </w:r>
      <w:r>
        <w:rPr>
          <w:rFonts w:ascii="宋体" w:hAnsi="宋体"/>
          <w:color w:val="auto"/>
          <w:highlight w:val="none"/>
        </w:rPr>
        <w:t>。</w:t>
      </w:r>
    </w:p>
    <w:p w14:paraId="5811406B">
      <w:pPr>
        <w:tabs>
          <w:tab w:val="left" w:pos="851"/>
          <w:tab w:val="left" w:pos="993"/>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w:t>
      </w:r>
      <w:r>
        <w:rPr>
          <w:rFonts w:ascii="宋体" w:hAnsi="宋体"/>
          <w:color w:val="auto"/>
          <w:highlight w:val="none"/>
        </w:rPr>
        <w:t>2</w:t>
      </w:r>
      <w:r>
        <w:rPr>
          <w:rFonts w:hint="eastAsia" w:ascii="宋体" w:hAnsi="宋体"/>
          <w:color w:val="auto"/>
          <w:highlight w:val="none"/>
        </w:rPr>
        <w:t>）比选评审小组根据</w:t>
      </w:r>
      <w:r>
        <w:rPr>
          <w:rFonts w:hint="eastAsia" w:cs="宋体"/>
          <w:color w:val="auto"/>
          <w:highlight w:val="none"/>
        </w:rPr>
        <w:t>综合评分由高到低顺序推荐中选候选人。综合评分相同时，则技术得分较高的排名靠前；如技术得分也相同，则价格得分较高的排名靠前；如价格得分也相同，</w:t>
      </w:r>
      <w:bookmarkStart w:id="1808" w:name="_Hlk31877730"/>
      <w:r>
        <w:rPr>
          <w:rFonts w:hint="eastAsia" w:cs="宋体"/>
          <w:color w:val="auto"/>
          <w:highlight w:val="none"/>
        </w:rPr>
        <w:t>则由比选评审小组采用记名投票方式确定</w:t>
      </w:r>
      <w:bookmarkEnd w:id="1808"/>
      <w:r>
        <w:rPr>
          <w:rFonts w:hint="eastAsia" w:ascii="宋体" w:hAnsi="宋体"/>
          <w:color w:val="auto"/>
          <w:highlight w:val="none"/>
        </w:rPr>
        <w:t>其排名顺序。</w:t>
      </w:r>
    </w:p>
    <w:p w14:paraId="28E1299B">
      <w:pPr>
        <w:spacing w:before="0" w:after="0" w:afterAutospacing="0"/>
        <w:ind w:left="0" w:right="0" w:firstLine="420" w:firstLineChars="200"/>
        <w:rPr>
          <w:rFonts w:hint="eastAsia" w:ascii="宋体" w:hAnsi="宋体"/>
          <w:b/>
          <w:color w:val="auto"/>
          <w:highlight w:val="none"/>
        </w:rPr>
      </w:pPr>
      <w:r>
        <w:rPr>
          <w:rFonts w:hint="eastAsia" w:ascii="宋体" w:hAnsi="宋体"/>
          <w:color w:val="auto"/>
          <w:highlight w:val="none"/>
        </w:rPr>
        <w:t>（3）</w:t>
      </w:r>
      <w:r>
        <w:rPr>
          <w:rFonts w:hint="eastAsia" w:ascii="宋体" w:hAnsi="宋体" w:cs="Arial"/>
          <w:b/>
          <w:bCs/>
          <w:color w:val="auto"/>
          <w:highlight w:val="none"/>
        </w:rPr>
        <w:t>技术得分低于技术得分满分的60%（即36分）的比选申请人不得推选为中选候选人。</w:t>
      </w:r>
    </w:p>
    <w:p w14:paraId="6105E5E4">
      <w:pPr>
        <w:spacing w:before="0" w:after="0" w:afterAutospacing="0"/>
        <w:ind w:left="0" w:right="0" w:firstLine="422" w:firstLineChars="200"/>
        <w:rPr>
          <w:rFonts w:hint="eastAsia" w:ascii="宋体" w:hAnsi="宋体"/>
          <w:b/>
          <w:color w:val="auto"/>
          <w:highlight w:val="none"/>
        </w:rPr>
      </w:pPr>
      <w:r>
        <w:rPr>
          <w:rFonts w:hint="eastAsia" w:ascii="宋体" w:hAnsi="宋体"/>
          <w:b/>
          <w:color w:val="auto"/>
          <w:highlight w:val="none"/>
        </w:rPr>
        <w:t>3.6</w:t>
      </w:r>
      <w:r>
        <w:rPr>
          <w:rFonts w:ascii="宋体" w:hAnsi="宋体"/>
          <w:b/>
          <w:color w:val="auto"/>
          <w:highlight w:val="none"/>
        </w:rPr>
        <w:t>否决比选申请条件</w:t>
      </w:r>
    </w:p>
    <w:p w14:paraId="3A5139B7">
      <w:pPr>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比选申请文件有下列情形之一的，比选评审小组应按否决比选申请处理：</w:t>
      </w:r>
    </w:p>
    <w:p w14:paraId="591FEBCF">
      <w:pPr>
        <w:tabs>
          <w:tab w:val="left" w:pos="1276"/>
        </w:tabs>
        <w:spacing w:before="0" w:after="0" w:afterAutospacing="0"/>
        <w:ind w:left="0" w:right="0" w:firstLine="422" w:firstLineChars="200"/>
        <w:jc w:val="left"/>
        <w:rPr>
          <w:rFonts w:hint="eastAsia" w:ascii="宋体" w:hAnsi="宋体"/>
          <w:b/>
          <w:color w:val="auto"/>
          <w:highlight w:val="none"/>
        </w:rPr>
      </w:pPr>
      <w:r>
        <w:rPr>
          <w:rFonts w:hint="eastAsia" w:ascii="宋体" w:hAnsi="宋体"/>
          <w:b/>
          <w:color w:val="auto"/>
          <w:highlight w:val="none"/>
        </w:rPr>
        <w:t>（1）不符合附表一《资格审查表》规定的；</w:t>
      </w:r>
    </w:p>
    <w:p w14:paraId="38A6453B">
      <w:pPr>
        <w:tabs>
          <w:tab w:val="left" w:pos="1276"/>
        </w:tabs>
        <w:spacing w:before="0" w:after="0" w:afterAutospacing="0"/>
        <w:ind w:left="0" w:right="0" w:firstLine="422" w:firstLineChars="200"/>
        <w:jc w:val="left"/>
        <w:rPr>
          <w:rFonts w:hint="eastAsia" w:ascii="宋体" w:hAnsi="宋体"/>
          <w:b/>
          <w:color w:val="auto"/>
          <w:highlight w:val="none"/>
        </w:rPr>
      </w:pPr>
      <w:r>
        <w:rPr>
          <w:rFonts w:hint="eastAsia" w:ascii="宋体" w:hAnsi="宋体"/>
          <w:b/>
          <w:color w:val="auto"/>
          <w:highlight w:val="none"/>
        </w:rPr>
        <w:t>（2）不符合附表二《符合性评审表》规定的；</w:t>
      </w:r>
    </w:p>
    <w:p w14:paraId="5DBACAE3">
      <w:pPr>
        <w:tabs>
          <w:tab w:val="left" w:pos="1276"/>
        </w:tabs>
        <w:spacing w:before="0" w:after="0" w:afterAutospacing="0"/>
        <w:ind w:left="0" w:right="0" w:firstLine="422" w:firstLineChars="200"/>
        <w:jc w:val="left"/>
        <w:rPr>
          <w:rFonts w:hint="eastAsia" w:ascii="宋体" w:hAnsi="宋体"/>
          <w:b/>
          <w:color w:val="auto"/>
          <w:highlight w:val="none"/>
        </w:rPr>
      </w:pPr>
      <w:r>
        <w:rPr>
          <w:rFonts w:hint="eastAsia" w:ascii="宋体" w:hAnsi="宋体"/>
          <w:b/>
          <w:color w:val="auto"/>
          <w:highlight w:val="none"/>
        </w:rPr>
        <w:t>（3）法定代表人未按规定出具授权委托书的(采用委托代理人形式的)；</w:t>
      </w:r>
    </w:p>
    <w:p w14:paraId="62065A3A">
      <w:pPr>
        <w:tabs>
          <w:tab w:val="left" w:pos="1276"/>
        </w:tabs>
        <w:spacing w:before="0" w:after="0" w:afterAutospacing="0"/>
        <w:ind w:left="0" w:right="0" w:firstLine="422" w:firstLineChars="200"/>
        <w:jc w:val="left"/>
        <w:rPr>
          <w:rFonts w:hint="eastAsia" w:ascii="宋体" w:hAnsi="宋体"/>
          <w:b/>
          <w:color w:val="auto"/>
          <w:highlight w:val="none"/>
        </w:rPr>
      </w:pPr>
      <w:r>
        <w:rPr>
          <w:rFonts w:hint="eastAsia" w:ascii="宋体" w:hAnsi="宋体"/>
          <w:b/>
          <w:color w:val="auto"/>
          <w:highlight w:val="none"/>
        </w:rPr>
        <w:t>（4）在比选申请文件中有虚假文件和/或资料的；</w:t>
      </w:r>
    </w:p>
    <w:p w14:paraId="28C05543">
      <w:pPr>
        <w:tabs>
          <w:tab w:val="left" w:pos="1276"/>
        </w:tabs>
        <w:spacing w:before="0" w:after="0" w:afterAutospacing="0"/>
        <w:ind w:left="0" w:right="0" w:firstLine="422" w:firstLineChars="200"/>
        <w:jc w:val="left"/>
        <w:rPr>
          <w:rFonts w:hint="eastAsia" w:ascii="宋体" w:hAnsi="宋体"/>
          <w:b/>
          <w:color w:val="auto"/>
          <w:highlight w:val="none"/>
        </w:rPr>
      </w:pPr>
      <w:r>
        <w:rPr>
          <w:rFonts w:hint="eastAsia" w:ascii="宋体" w:hAnsi="宋体"/>
          <w:b/>
          <w:color w:val="auto"/>
          <w:highlight w:val="none"/>
        </w:rPr>
        <w:t>（5）比选申请文件中附有比选人不能接受的条件；</w:t>
      </w:r>
    </w:p>
    <w:p w14:paraId="7593BE48">
      <w:pPr>
        <w:tabs>
          <w:tab w:val="left" w:pos="1276"/>
        </w:tabs>
        <w:spacing w:before="0" w:after="0" w:afterAutospacing="0"/>
        <w:ind w:left="0" w:right="0" w:firstLine="422" w:firstLineChars="200"/>
        <w:jc w:val="left"/>
        <w:rPr>
          <w:rFonts w:hint="eastAsia" w:ascii="宋体" w:hAnsi="宋体"/>
          <w:b/>
          <w:color w:val="auto"/>
          <w:highlight w:val="none"/>
        </w:rPr>
      </w:pPr>
      <w:r>
        <w:rPr>
          <w:rFonts w:hint="eastAsia" w:ascii="宋体" w:hAnsi="宋体"/>
          <w:b/>
          <w:color w:val="auto"/>
          <w:highlight w:val="none"/>
        </w:rPr>
        <w:t>（6）比选申请文件实质上不响应比选文件的要求的；</w:t>
      </w:r>
    </w:p>
    <w:p w14:paraId="3FF7D348">
      <w:pPr>
        <w:tabs>
          <w:tab w:val="left" w:pos="1276"/>
        </w:tabs>
        <w:spacing w:before="0" w:after="0" w:afterAutospacing="0"/>
        <w:ind w:left="0" w:right="0" w:firstLine="422" w:firstLineChars="200"/>
        <w:jc w:val="left"/>
        <w:rPr>
          <w:rFonts w:hint="eastAsia" w:ascii="宋体" w:hAnsi="宋体"/>
          <w:b/>
          <w:color w:val="auto"/>
          <w:highlight w:val="none"/>
        </w:rPr>
      </w:pPr>
      <w:r>
        <w:rPr>
          <w:rFonts w:hint="eastAsia" w:ascii="宋体" w:hAnsi="宋体"/>
          <w:b/>
          <w:color w:val="auto"/>
          <w:highlight w:val="none"/>
        </w:rPr>
        <w:t xml:space="preserve">（7）比选申请人以经比选评审小组评审认定为低于成本的报价竞标； </w:t>
      </w:r>
    </w:p>
    <w:p w14:paraId="21714634">
      <w:pPr>
        <w:tabs>
          <w:tab w:val="left" w:pos="1276"/>
        </w:tabs>
        <w:spacing w:before="0" w:after="0" w:afterAutospacing="0"/>
        <w:ind w:left="0" w:right="0" w:firstLine="422" w:firstLineChars="200"/>
        <w:jc w:val="left"/>
        <w:rPr>
          <w:rFonts w:hint="eastAsia" w:ascii="宋体" w:hAnsi="宋体"/>
          <w:b/>
          <w:color w:val="auto"/>
          <w:highlight w:val="none"/>
        </w:rPr>
      </w:pPr>
      <w:r>
        <w:rPr>
          <w:rFonts w:hint="eastAsia" w:ascii="宋体" w:hAnsi="宋体"/>
          <w:b/>
          <w:color w:val="auto"/>
          <w:highlight w:val="none"/>
        </w:rPr>
        <w:t>（8）比选申请人扰乱会场秩序，经劝阻仍然无理取闹的；</w:t>
      </w:r>
    </w:p>
    <w:p w14:paraId="119EF297">
      <w:pPr>
        <w:tabs>
          <w:tab w:val="left" w:pos="1276"/>
        </w:tabs>
        <w:spacing w:before="0" w:after="0" w:afterAutospacing="0"/>
        <w:ind w:left="0" w:right="0" w:firstLine="422" w:firstLineChars="200"/>
        <w:jc w:val="left"/>
        <w:rPr>
          <w:rFonts w:hint="eastAsia" w:ascii="宋体" w:hAnsi="宋体"/>
          <w:b/>
          <w:color w:val="auto"/>
          <w:highlight w:val="none"/>
        </w:rPr>
      </w:pPr>
      <w:r>
        <w:rPr>
          <w:rFonts w:hint="eastAsia" w:ascii="宋体" w:hAnsi="宋体"/>
          <w:b/>
          <w:color w:val="auto"/>
          <w:highlight w:val="none"/>
        </w:rPr>
        <w:t>（9）比选申请人未能按照比选评审小组要求，对其比选申请文件进行澄清、说明和补正的；</w:t>
      </w:r>
    </w:p>
    <w:p w14:paraId="19CD3917">
      <w:pPr>
        <w:tabs>
          <w:tab w:val="left" w:pos="1276"/>
        </w:tabs>
        <w:spacing w:before="0" w:after="0" w:afterAutospacing="0"/>
        <w:ind w:left="0" w:right="0" w:firstLine="422" w:firstLineChars="200"/>
        <w:jc w:val="left"/>
        <w:rPr>
          <w:rFonts w:hint="eastAsia" w:ascii="宋体" w:hAnsi="宋体"/>
          <w:b/>
          <w:color w:val="auto"/>
          <w:highlight w:val="none"/>
        </w:rPr>
      </w:pPr>
      <w:r>
        <w:rPr>
          <w:rFonts w:hint="eastAsia" w:ascii="宋体" w:hAnsi="宋体"/>
          <w:b/>
          <w:color w:val="auto"/>
          <w:highlight w:val="none"/>
        </w:rPr>
        <w:t>（10）比选申请人以他人的名义比选申请、串通比选申请、以行贿手段谋取中选或者以其他弄虚作假方式比选申请的。</w:t>
      </w:r>
    </w:p>
    <w:p w14:paraId="7113DD9A">
      <w:pPr>
        <w:tabs>
          <w:tab w:val="left" w:pos="1276"/>
        </w:tabs>
        <w:spacing w:before="0" w:after="0"/>
        <w:ind w:left="420" w:right="0" w:firstLine="0"/>
        <w:jc w:val="left"/>
        <w:rPr>
          <w:rFonts w:hint="eastAsia" w:ascii="宋体" w:hAnsi="宋体"/>
          <w:b/>
          <w:color w:val="auto"/>
          <w:highlight w:val="none"/>
        </w:rPr>
        <w:sectPr>
          <w:pgSz w:w="11905" w:h="16838"/>
          <w:pgMar w:top="1418" w:right="1418" w:bottom="1304" w:left="1418" w:header="454" w:footer="567" w:gutter="0"/>
          <w:pgBorders>
            <w:top w:val="none" w:sz="0" w:space="0"/>
            <w:left w:val="none" w:sz="0" w:space="0"/>
            <w:bottom w:val="none" w:sz="0" w:space="0"/>
            <w:right w:val="none" w:sz="0" w:space="0"/>
          </w:pgBorders>
          <w:cols w:space="720" w:num="1"/>
          <w:docGrid w:linePitch="312" w:charSpace="0"/>
        </w:sectPr>
      </w:pPr>
    </w:p>
    <w:p w14:paraId="22294A45">
      <w:pPr>
        <w:pStyle w:val="6"/>
        <w:spacing w:after="0" w:line="360" w:lineRule="auto"/>
        <w:ind w:right="-57"/>
        <w:rPr>
          <w:color w:val="auto"/>
          <w:sz w:val="21"/>
          <w:szCs w:val="21"/>
          <w:highlight w:val="none"/>
        </w:rPr>
      </w:pPr>
      <w:bookmarkStart w:id="1809" w:name="_Toc25750694"/>
      <w:bookmarkStart w:id="1810" w:name="_Toc19557"/>
      <w:bookmarkStart w:id="1811" w:name="_Toc27271"/>
      <w:bookmarkStart w:id="1812" w:name="_Toc9730"/>
      <w:bookmarkStart w:id="1813" w:name="_Toc414290583"/>
      <w:bookmarkStart w:id="1814" w:name="_Toc9189"/>
      <w:bookmarkStart w:id="1815" w:name="_Toc16364"/>
      <w:bookmarkStart w:id="1816" w:name="_Toc29245"/>
      <w:bookmarkStart w:id="1817" w:name="_Toc23314"/>
      <w:bookmarkStart w:id="1818" w:name="_Toc114134688"/>
      <w:bookmarkStart w:id="1819" w:name="_Toc19430"/>
      <w:bookmarkStart w:id="1820" w:name="_Toc492478849"/>
      <w:bookmarkStart w:id="1821" w:name="_Toc29923"/>
      <w:bookmarkStart w:id="1822" w:name="_Toc15224"/>
      <w:bookmarkStart w:id="1823" w:name="_Toc10968"/>
      <w:bookmarkStart w:id="1824" w:name="_Toc18096"/>
      <w:bookmarkStart w:id="1825" w:name="_Toc22464"/>
      <w:bookmarkStart w:id="1826" w:name="_Toc28404"/>
      <w:bookmarkStart w:id="1827" w:name="_Toc15073"/>
      <w:bookmarkStart w:id="1828" w:name="_Toc9588"/>
      <w:bookmarkStart w:id="1829" w:name="_Toc434"/>
      <w:bookmarkStart w:id="1830" w:name="_Toc31611"/>
      <w:r>
        <w:rPr>
          <w:rFonts w:hint="eastAsia"/>
          <w:color w:val="auto"/>
          <w:sz w:val="21"/>
          <w:szCs w:val="21"/>
          <w:highlight w:val="none"/>
        </w:rPr>
        <w:t>附表一 资格审查表</w:t>
      </w:r>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p>
    <w:p w14:paraId="2512ED25">
      <w:pPr>
        <w:snapToGrid w:val="0"/>
        <w:spacing w:before="0" w:line="360" w:lineRule="exact"/>
        <w:ind w:left="420" w:right="240" w:firstLine="0"/>
        <w:jc w:val="center"/>
        <w:rPr>
          <w:rFonts w:hint="eastAsia" w:ascii="宋体" w:hAnsi="宋体"/>
          <w:b/>
          <w:color w:val="auto"/>
          <w:sz w:val="24"/>
          <w:szCs w:val="24"/>
          <w:highlight w:val="none"/>
        </w:rPr>
      </w:pPr>
      <w:r>
        <w:rPr>
          <w:rFonts w:hint="eastAsia" w:ascii="宋体" w:hAnsi="宋体"/>
          <w:b/>
          <w:color w:val="auto"/>
          <w:sz w:val="24"/>
          <w:szCs w:val="24"/>
          <w:highlight w:val="none"/>
        </w:rPr>
        <w:t>资格审查表</w:t>
      </w:r>
    </w:p>
    <w:tbl>
      <w:tblPr>
        <w:tblStyle w:val="36"/>
        <w:tblW w:w="9260"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437"/>
        <w:gridCol w:w="741"/>
        <w:gridCol w:w="3067"/>
        <w:gridCol w:w="1425"/>
        <w:gridCol w:w="1087"/>
        <w:gridCol w:w="2503"/>
      </w:tblGrid>
      <w:tr w14:paraId="0AC04B1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37" w:hRule="atLeast"/>
          <w:tblHeader/>
          <w:jc w:val="center"/>
        </w:trPr>
        <w:tc>
          <w:tcPr>
            <w:tcW w:w="437" w:type="dxa"/>
            <w:vAlign w:val="center"/>
          </w:tcPr>
          <w:p w14:paraId="62206122">
            <w:pPr>
              <w:spacing w:before="0" w:after="0" w:afterAutospacing="0" w:line="240" w:lineRule="auto"/>
              <w:ind w:left="0" w:right="0" w:firstLine="0"/>
              <w:jc w:val="center"/>
              <w:rPr>
                <w:rFonts w:hint="eastAsia" w:ascii="宋体" w:hAnsi="宋体"/>
                <w:color w:val="auto"/>
                <w:highlight w:val="none"/>
              </w:rPr>
            </w:pPr>
            <w:r>
              <w:rPr>
                <w:rFonts w:hint="eastAsia" w:ascii="宋体" w:hAnsi="宋体"/>
                <w:color w:val="auto"/>
                <w:highlight w:val="none"/>
              </w:rPr>
              <w:t>序号</w:t>
            </w:r>
          </w:p>
        </w:tc>
        <w:tc>
          <w:tcPr>
            <w:tcW w:w="741" w:type="dxa"/>
            <w:vAlign w:val="center"/>
          </w:tcPr>
          <w:p w14:paraId="0F3B3424">
            <w:pPr>
              <w:spacing w:before="0" w:after="0" w:afterAutospacing="0" w:line="240" w:lineRule="auto"/>
              <w:ind w:left="0" w:right="0" w:firstLine="0"/>
              <w:jc w:val="center"/>
              <w:rPr>
                <w:rFonts w:hint="eastAsia" w:ascii="宋体" w:hAnsi="宋体"/>
                <w:color w:val="auto"/>
                <w:highlight w:val="none"/>
              </w:rPr>
            </w:pPr>
            <w:r>
              <w:rPr>
                <w:rFonts w:hint="eastAsia" w:ascii="宋体" w:hAnsi="宋体"/>
                <w:color w:val="auto"/>
                <w:highlight w:val="none"/>
              </w:rPr>
              <w:t>项目内容</w:t>
            </w:r>
          </w:p>
        </w:tc>
        <w:tc>
          <w:tcPr>
            <w:tcW w:w="3067" w:type="dxa"/>
            <w:vAlign w:val="center"/>
          </w:tcPr>
          <w:p w14:paraId="6D4BF3EF">
            <w:pPr>
              <w:spacing w:before="0" w:after="0" w:afterAutospacing="0" w:line="240" w:lineRule="auto"/>
              <w:ind w:left="0" w:right="0" w:firstLine="0"/>
              <w:jc w:val="center"/>
              <w:rPr>
                <w:rFonts w:hint="eastAsia" w:ascii="宋体" w:hAnsi="宋体"/>
                <w:color w:val="auto"/>
                <w:highlight w:val="none"/>
              </w:rPr>
            </w:pPr>
            <w:r>
              <w:rPr>
                <w:rFonts w:hint="eastAsia" w:ascii="宋体" w:hAnsi="宋体"/>
                <w:color w:val="auto"/>
                <w:highlight w:val="none"/>
              </w:rPr>
              <w:t>合格条件标准</w:t>
            </w:r>
          </w:p>
        </w:tc>
        <w:tc>
          <w:tcPr>
            <w:tcW w:w="1425" w:type="dxa"/>
            <w:vAlign w:val="center"/>
          </w:tcPr>
          <w:p w14:paraId="15DA1422">
            <w:pPr>
              <w:spacing w:before="0" w:after="0" w:afterAutospacing="0" w:line="240" w:lineRule="auto"/>
              <w:ind w:left="0" w:right="0" w:firstLine="0"/>
              <w:jc w:val="center"/>
              <w:rPr>
                <w:rFonts w:hint="eastAsia" w:ascii="宋体" w:hAnsi="宋体"/>
                <w:color w:val="auto"/>
                <w:highlight w:val="none"/>
              </w:rPr>
            </w:pPr>
            <w:r>
              <w:rPr>
                <w:rFonts w:hint="eastAsia" w:ascii="宋体" w:hAnsi="宋体"/>
                <w:color w:val="auto"/>
                <w:highlight w:val="none"/>
              </w:rPr>
              <w:t>评审依据</w:t>
            </w:r>
          </w:p>
        </w:tc>
        <w:tc>
          <w:tcPr>
            <w:tcW w:w="1087" w:type="dxa"/>
            <w:vAlign w:val="center"/>
          </w:tcPr>
          <w:p w14:paraId="6A431D03">
            <w:pPr>
              <w:spacing w:before="0" w:after="0" w:afterAutospacing="0" w:line="240" w:lineRule="auto"/>
              <w:ind w:left="0" w:right="0" w:firstLine="0"/>
              <w:jc w:val="center"/>
              <w:rPr>
                <w:rFonts w:hint="eastAsia" w:ascii="宋体" w:hAnsi="宋体"/>
                <w:color w:val="auto"/>
                <w:highlight w:val="none"/>
              </w:rPr>
            </w:pPr>
            <w:r>
              <w:rPr>
                <w:rFonts w:hint="eastAsia" w:ascii="宋体" w:hAnsi="宋体"/>
                <w:color w:val="auto"/>
                <w:highlight w:val="none"/>
              </w:rPr>
              <w:t>评审结果（合格</w:t>
            </w:r>
            <w:r>
              <w:rPr>
                <w:rFonts w:ascii="宋体" w:hAnsi="宋体"/>
                <w:color w:val="auto"/>
                <w:highlight w:val="none"/>
              </w:rPr>
              <w:t>/</w:t>
            </w:r>
            <w:r>
              <w:rPr>
                <w:rFonts w:hint="eastAsia" w:ascii="宋体" w:hAnsi="宋体"/>
                <w:color w:val="auto"/>
                <w:highlight w:val="none"/>
              </w:rPr>
              <w:t>不合格）</w:t>
            </w:r>
          </w:p>
        </w:tc>
        <w:tc>
          <w:tcPr>
            <w:tcW w:w="2503" w:type="dxa"/>
            <w:vAlign w:val="center"/>
          </w:tcPr>
          <w:p w14:paraId="2BBCF2ED">
            <w:pPr>
              <w:spacing w:before="0" w:after="0" w:afterAutospacing="0" w:line="240" w:lineRule="auto"/>
              <w:ind w:left="0" w:right="0" w:firstLine="0"/>
              <w:jc w:val="center"/>
              <w:rPr>
                <w:rFonts w:hint="eastAsia" w:ascii="宋体" w:hAnsi="宋体"/>
                <w:color w:val="auto"/>
                <w:highlight w:val="none"/>
              </w:rPr>
            </w:pPr>
            <w:r>
              <w:rPr>
                <w:rFonts w:hint="eastAsia" w:ascii="宋体" w:hAnsi="宋体"/>
                <w:color w:val="auto"/>
                <w:highlight w:val="none"/>
              </w:rPr>
              <w:t>备注</w:t>
            </w:r>
          </w:p>
        </w:tc>
      </w:tr>
      <w:tr w14:paraId="761780D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858" w:hRule="atLeast"/>
          <w:jc w:val="center"/>
        </w:trPr>
        <w:tc>
          <w:tcPr>
            <w:tcW w:w="437" w:type="dxa"/>
            <w:vAlign w:val="center"/>
          </w:tcPr>
          <w:p w14:paraId="0E0D4E6E">
            <w:pPr>
              <w:spacing w:before="0" w:after="0" w:afterAutospacing="0" w:line="240" w:lineRule="auto"/>
              <w:ind w:left="0" w:right="0" w:firstLine="0"/>
              <w:rPr>
                <w:rFonts w:hint="eastAsia" w:ascii="宋体" w:hAnsi="宋体"/>
                <w:color w:val="auto"/>
                <w:highlight w:val="none"/>
              </w:rPr>
            </w:pPr>
            <w:r>
              <w:rPr>
                <w:rFonts w:ascii="宋体" w:hAnsi="宋体"/>
                <w:color w:val="auto"/>
                <w:highlight w:val="none"/>
              </w:rPr>
              <w:t>1</w:t>
            </w:r>
          </w:p>
        </w:tc>
        <w:tc>
          <w:tcPr>
            <w:tcW w:w="741" w:type="dxa"/>
            <w:vAlign w:val="center"/>
          </w:tcPr>
          <w:p w14:paraId="2F8697B8">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身份</w:t>
            </w:r>
          </w:p>
          <w:p w14:paraId="59774BCD">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证明</w:t>
            </w:r>
          </w:p>
          <w:p w14:paraId="50A3EF22">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材料</w:t>
            </w:r>
          </w:p>
        </w:tc>
        <w:tc>
          <w:tcPr>
            <w:tcW w:w="3067" w:type="dxa"/>
            <w:vAlign w:val="center"/>
          </w:tcPr>
          <w:p w14:paraId="3C19C843">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法定代表人授权书及法定代表人资格证明书（如无授权时，只需提供法定代表人资格证明书）、法定代表人及被授权人身份证复印件。</w:t>
            </w:r>
          </w:p>
        </w:tc>
        <w:tc>
          <w:tcPr>
            <w:tcW w:w="1425" w:type="dxa"/>
            <w:vAlign w:val="center"/>
          </w:tcPr>
          <w:p w14:paraId="4424952C">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法定代表人授权书，法定代表人资格证明书和身份证复印件</w:t>
            </w:r>
          </w:p>
        </w:tc>
        <w:tc>
          <w:tcPr>
            <w:tcW w:w="1087" w:type="dxa"/>
            <w:vAlign w:val="center"/>
          </w:tcPr>
          <w:p w14:paraId="4A7B82DD">
            <w:pPr>
              <w:spacing w:before="0" w:after="0" w:afterAutospacing="0" w:line="240" w:lineRule="auto"/>
              <w:ind w:left="0" w:right="0" w:firstLine="0"/>
              <w:rPr>
                <w:rFonts w:hint="eastAsia" w:ascii="宋体" w:hAnsi="宋体"/>
                <w:color w:val="auto"/>
                <w:highlight w:val="none"/>
              </w:rPr>
            </w:pPr>
          </w:p>
        </w:tc>
        <w:tc>
          <w:tcPr>
            <w:tcW w:w="2503" w:type="dxa"/>
            <w:vAlign w:val="center"/>
          </w:tcPr>
          <w:p w14:paraId="7F5835DE">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比选申请人应提供法定代表人授权书及法定代表人资格证明书（如无授权时，只需提供法定代表人资格证明书），法人及被授权人身份证复印件加盖公章。</w:t>
            </w:r>
          </w:p>
        </w:tc>
      </w:tr>
      <w:tr w14:paraId="6090095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806" w:hRule="atLeast"/>
          <w:jc w:val="center"/>
        </w:trPr>
        <w:tc>
          <w:tcPr>
            <w:tcW w:w="437" w:type="dxa"/>
            <w:vAlign w:val="center"/>
          </w:tcPr>
          <w:p w14:paraId="7EB63687">
            <w:pPr>
              <w:spacing w:before="0" w:after="0" w:afterAutospacing="0" w:line="240" w:lineRule="auto"/>
              <w:ind w:left="0" w:right="0" w:firstLine="0"/>
              <w:rPr>
                <w:rFonts w:hint="eastAsia" w:ascii="宋体" w:hAnsi="宋体"/>
                <w:color w:val="auto"/>
                <w:highlight w:val="none"/>
              </w:rPr>
            </w:pPr>
            <w:r>
              <w:rPr>
                <w:rFonts w:ascii="宋体" w:hAnsi="宋体"/>
                <w:color w:val="auto"/>
                <w:highlight w:val="none"/>
              </w:rPr>
              <w:t>2</w:t>
            </w:r>
          </w:p>
        </w:tc>
        <w:tc>
          <w:tcPr>
            <w:tcW w:w="741" w:type="dxa"/>
            <w:vAlign w:val="center"/>
          </w:tcPr>
          <w:p w14:paraId="2F56E071">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比选</w:t>
            </w:r>
          </w:p>
          <w:p w14:paraId="32ED0B38">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申请人</w:t>
            </w:r>
          </w:p>
          <w:p w14:paraId="4AD437B6">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资格</w:t>
            </w:r>
          </w:p>
        </w:tc>
        <w:tc>
          <w:tcPr>
            <w:tcW w:w="3067" w:type="dxa"/>
            <w:vAlign w:val="center"/>
          </w:tcPr>
          <w:p w14:paraId="4A6A2F30">
            <w:pPr>
              <w:numPr>
                <w:ilvl w:val="255"/>
                <w:numId w:val="0"/>
              </w:numPr>
              <w:spacing w:before="0" w:after="0" w:afterAutospacing="0" w:line="240" w:lineRule="auto"/>
              <w:ind w:right="0"/>
              <w:rPr>
                <w:color w:val="auto"/>
                <w:highlight w:val="none"/>
              </w:rPr>
            </w:pPr>
            <w:r>
              <w:rPr>
                <w:rFonts w:hint="eastAsia"/>
                <w:color w:val="auto"/>
                <w:highlight w:val="none"/>
              </w:rPr>
              <w:t>比选申请人为中华人民共和国境内</w:t>
            </w:r>
            <w:r>
              <w:rPr>
                <w:color w:val="auto"/>
                <w:highlight w:val="none"/>
              </w:rPr>
              <w:t>依法设立独立合格法人</w:t>
            </w:r>
            <w:r>
              <w:rPr>
                <w:rFonts w:hint="eastAsia"/>
                <w:color w:val="auto"/>
                <w:highlight w:val="none"/>
              </w:rPr>
              <w:t>或其他组织。</w:t>
            </w:r>
          </w:p>
        </w:tc>
        <w:tc>
          <w:tcPr>
            <w:tcW w:w="1425" w:type="dxa"/>
            <w:vAlign w:val="center"/>
          </w:tcPr>
          <w:p w14:paraId="66A117C1">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营业执照副本或事业单位法人证书等证明文件复印件</w:t>
            </w:r>
          </w:p>
        </w:tc>
        <w:tc>
          <w:tcPr>
            <w:tcW w:w="1087" w:type="dxa"/>
            <w:vAlign w:val="center"/>
          </w:tcPr>
          <w:p w14:paraId="4D1946B7">
            <w:pPr>
              <w:spacing w:before="0" w:after="0" w:afterAutospacing="0" w:line="240" w:lineRule="auto"/>
              <w:ind w:left="0" w:right="0" w:firstLine="0"/>
              <w:rPr>
                <w:rFonts w:hint="eastAsia" w:ascii="宋体" w:hAnsi="宋体"/>
                <w:color w:val="auto"/>
                <w:highlight w:val="none"/>
              </w:rPr>
            </w:pPr>
          </w:p>
        </w:tc>
        <w:tc>
          <w:tcPr>
            <w:tcW w:w="2503" w:type="dxa"/>
            <w:vAlign w:val="center"/>
          </w:tcPr>
          <w:p w14:paraId="5DBAC121">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比选申请人有效的营业执照或事业单位法人证书复印件等证明文件复印件，并加盖公章。</w:t>
            </w:r>
          </w:p>
        </w:tc>
      </w:tr>
      <w:tr w14:paraId="655D8A8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806" w:hRule="atLeast"/>
          <w:jc w:val="center"/>
        </w:trPr>
        <w:tc>
          <w:tcPr>
            <w:tcW w:w="437" w:type="dxa"/>
            <w:vAlign w:val="center"/>
          </w:tcPr>
          <w:p w14:paraId="10C36690">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3</w:t>
            </w:r>
          </w:p>
        </w:tc>
        <w:tc>
          <w:tcPr>
            <w:tcW w:w="741" w:type="dxa"/>
            <w:vAlign w:val="center"/>
          </w:tcPr>
          <w:p w14:paraId="334263E0">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业绩</w:t>
            </w:r>
          </w:p>
          <w:p w14:paraId="14FE5FBF">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证明</w:t>
            </w:r>
          </w:p>
          <w:p w14:paraId="7DABCDEB">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（如有）</w:t>
            </w:r>
          </w:p>
        </w:tc>
        <w:tc>
          <w:tcPr>
            <w:tcW w:w="3067" w:type="dxa"/>
            <w:vAlign w:val="center"/>
          </w:tcPr>
          <w:p w14:paraId="43079EAA">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lang w:eastAsia="zh-CN"/>
              </w:rPr>
              <w:t>比选申请人自2023年1月1日至比选申请截止时间前，承接过（完工/在建项目）1个以上样板房装修设计项目，单个业绩合同金额设计单价达1300元/㎡及以上的设计业绩</w:t>
            </w:r>
            <w:r>
              <w:rPr>
                <w:rFonts w:hint="eastAsia" w:ascii="宋体" w:hAnsi="宋体"/>
                <w:color w:val="auto"/>
                <w:highlight w:val="none"/>
              </w:rPr>
              <w:t>。提供相应的业绩证明材料：提供下述材料之一即可：①合同文件；②业主（采购方）开具的证明材料，但所提供的材料须能明确反映项目特征（设计面积及单方造价等），复印件加盖比选申请人公章</w:t>
            </w:r>
            <w:r>
              <w:rPr>
                <w:rFonts w:hint="eastAsia"/>
                <w:color w:val="auto"/>
                <w:highlight w:val="none"/>
              </w:rPr>
              <w:t>提供合同文件或甲方证明，提供复印件，原件备查；</w:t>
            </w:r>
          </w:p>
        </w:tc>
        <w:tc>
          <w:tcPr>
            <w:tcW w:w="1425" w:type="dxa"/>
            <w:vAlign w:val="center"/>
          </w:tcPr>
          <w:p w14:paraId="165EC7FC">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相应的业绩证明材料</w:t>
            </w:r>
          </w:p>
        </w:tc>
        <w:tc>
          <w:tcPr>
            <w:tcW w:w="1087" w:type="dxa"/>
            <w:vAlign w:val="center"/>
          </w:tcPr>
          <w:p w14:paraId="4D2ADB6C">
            <w:pPr>
              <w:spacing w:before="0" w:after="0" w:afterAutospacing="0" w:line="240" w:lineRule="auto"/>
              <w:ind w:left="0" w:right="0" w:firstLine="0"/>
              <w:rPr>
                <w:rFonts w:hint="eastAsia" w:ascii="宋体" w:hAnsi="宋体"/>
                <w:color w:val="auto"/>
                <w:highlight w:val="none"/>
              </w:rPr>
            </w:pPr>
          </w:p>
        </w:tc>
        <w:tc>
          <w:tcPr>
            <w:tcW w:w="2503" w:type="dxa"/>
            <w:vAlign w:val="center"/>
          </w:tcPr>
          <w:p w14:paraId="0030A604">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提供相应的业绩证明材料：提供下述材料之一即可：①合同文件；②业主（采购方）开具的证明材料，但所提供的材料须能明确反映项目特征（设计面积及单方造价等），复印件加盖比选申请人公章</w:t>
            </w:r>
          </w:p>
        </w:tc>
      </w:tr>
      <w:tr w14:paraId="6E7DDA9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806" w:hRule="atLeast"/>
          <w:jc w:val="center"/>
        </w:trPr>
        <w:tc>
          <w:tcPr>
            <w:tcW w:w="437" w:type="dxa"/>
            <w:vAlign w:val="center"/>
          </w:tcPr>
          <w:p w14:paraId="4FAD7EEE">
            <w:pPr>
              <w:spacing w:before="0" w:after="0" w:afterAutospacing="0" w:line="240" w:lineRule="auto"/>
              <w:ind w:left="0" w:right="0" w:firstLine="0"/>
              <w:rPr>
                <w:rFonts w:hint="eastAsia" w:ascii="宋体" w:hAnsi="宋体" w:eastAsia="宋体"/>
                <w:color w:val="auto"/>
                <w:highlight w:val="none"/>
                <w:lang w:val="en-US" w:eastAsia="zh-CN"/>
              </w:rPr>
            </w:pPr>
            <w:r>
              <w:rPr>
                <w:rFonts w:hint="eastAsia" w:ascii="宋体" w:hAnsi="宋体"/>
                <w:color w:val="auto"/>
                <w:highlight w:val="none"/>
                <w:lang w:val="en-US" w:eastAsia="zh-CN"/>
              </w:rPr>
              <w:t>4</w:t>
            </w:r>
          </w:p>
        </w:tc>
        <w:tc>
          <w:tcPr>
            <w:tcW w:w="741" w:type="dxa"/>
            <w:vAlign w:val="center"/>
          </w:tcPr>
          <w:p w14:paraId="68BE371E">
            <w:pPr>
              <w:spacing w:before="0" w:after="0" w:afterAutospacing="0" w:line="240" w:lineRule="auto"/>
              <w:ind w:left="0" w:right="0" w:firstLine="0"/>
              <w:rPr>
                <w:rFonts w:hint="eastAsia" w:ascii="宋体" w:hAnsi="宋体"/>
                <w:color w:val="auto"/>
                <w:highlight w:val="none"/>
              </w:rPr>
            </w:pPr>
            <w:r>
              <w:rPr>
                <w:rFonts w:hint="eastAsia"/>
                <w:color w:val="auto"/>
                <w:highlight w:val="none"/>
              </w:rPr>
              <w:t>人员要求</w:t>
            </w:r>
          </w:p>
        </w:tc>
        <w:tc>
          <w:tcPr>
            <w:tcW w:w="3067" w:type="dxa"/>
            <w:vAlign w:val="center"/>
          </w:tcPr>
          <w:p w14:paraId="6CA28B87">
            <w:pPr>
              <w:spacing w:before="0" w:after="0" w:afterAutospacing="0" w:line="240" w:lineRule="auto"/>
              <w:ind w:left="0" w:right="0" w:firstLine="0"/>
              <w:rPr>
                <w:rFonts w:hint="eastAsia" w:ascii="宋体" w:hAnsi="宋体"/>
                <w:color w:val="auto"/>
                <w:highlight w:val="none"/>
              </w:rPr>
            </w:pPr>
            <w:r>
              <w:rPr>
                <w:rFonts w:hint="eastAsia"/>
                <w:color w:val="auto"/>
                <w:highlight w:val="none"/>
                <w:lang w:val="en-US" w:eastAsia="zh-CN"/>
              </w:rPr>
              <w:t>项目设计负责人要求负责过1个及以上的房地产项目样板间或展示区设计项目业绩，提供所负责项目单项业绩设计单价为达1300元/㎡及以上的设计业绩，提供合同或者方案文本案例（含项目名称和效果图即可无需全套文本）作为项目负责人的证明材料，提供业绩列表加盖公司公章作为证明</w:t>
            </w:r>
          </w:p>
        </w:tc>
        <w:tc>
          <w:tcPr>
            <w:tcW w:w="1425" w:type="dxa"/>
            <w:vAlign w:val="center"/>
          </w:tcPr>
          <w:p w14:paraId="58E1D302">
            <w:pPr>
              <w:spacing w:before="0" w:after="0" w:afterAutospacing="0" w:line="240" w:lineRule="auto"/>
              <w:ind w:left="0" w:leftChars="0" w:right="0" w:rightChars="0" w:firstLine="0" w:firstLineChars="0"/>
              <w:rPr>
                <w:rFonts w:hint="eastAsia" w:ascii="宋体" w:hAnsi="宋体"/>
                <w:color w:val="auto"/>
                <w:highlight w:val="none"/>
              </w:rPr>
            </w:pPr>
            <w:r>
              <w:rPr>
                <w:rFonts w:hint="eastAsia" w:ascii="宋体" w:hAnsi="宋体"/>
                <w:color w:val="auto"/>
                <w:highlight w:val="none"/>
              </w:rPr>
              <w:t>相应的业绩证明材料</w:t>
            </w:r>
          </w:p>
        </w:tc>
        <w:tc>
          <w:tcPr>
            <w:tcW w:w="1087" w:type="dxa"/>
            <w:vAlign w:val="center"/>
          </w:tcPr>
          <w:p w14:paraId="13F39A0E">
            <w:pPr>
              <w:spacing w:before="0" w:after="0" w:afterAutospacing="0" w:line="240" w:lineRule="auto"/>
              <w:ind w:left="0" w:leftChars="0" w:right="0" w:rightChars="0" w:firstLine="0" w:firstLineChars="0"/>
              <w:rPr>
                <w:rFonts w:hint="eastAsia" w:ascii="宋体" w:hAnsi="宋体"/>
                <w:color w:val="auto"/>
                <w:highlight w:val="none"/>
              </w:rPr>
            </w:pPr>
          </w:p>
        </w:tc>
        <w:tc>
          <w:tcPr>
            <w:tcW w:w="2503" w:type="dxa"/>
            <w:vAlign w:val="center"/>
          </w:tcPr>
          <w:p w14:paraId="77143509">
            <w:pPr>
              <w:spacing w:before="0" w:after="0" w:afterAutospacing="0" w:line="240" w:lineRule="auto"/>
              <w:ind w:left="0" w:leftChars="0" w:right="0" w:rightChars="0" w:firstLine="0" w:firstLineChars="0"/>
              <w:rPr>
                <w:rFonts w:hint="eastAsia" w:ascii="宋体" w:hAnsi="宋体"/>
                <w:color w:val="auto"/>
                <w:highlight w:val="none"/>
              </w:rPr>
            </w:pPr>
            <w:r>
              <w:rPr>
                <w:rFonts w:hint="eastAsia" w:ascii="宋体" w:hAnsi="宋体"/>
                <w:color w:val="auto"/>
                <w:highlight w:val="none"/>
              </w:rPr>
              <w:t>提供相应的业绩证明材料：提供下述材料之一即可：①合同文件；②</w:t>
            </w:r>
            <w:r>
              <w:rPr>
                <w:rFonts w:hint="eastAsia"/>
                <w:color w:val="auto"/>
                <w:highlight w:val="none"/>
                <w:lang w:val="en-US" w:eastAsia="zh-CN"/>
              </w:rPr>
              <w:t>方案文本案例</w:t>
            </w:r>
            <w:r>
              <w:rPr>
                <w:rFonts w:hint="eastAsia" w:ascii="宋体" w:hAnsi="宋体"/>
                <w:color w:val="auto"/>
                <w:highlight w:val="none"/>
              </w:rPr>
              <w:t>，复印件加盖比选申请人公章</w:t>
            </w:r>
          </w:p>
        </w:tc>
      </w:tr>
      <w:tr w14:paraId="2A494EE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970" w:hRule="atLeast"/>
          <w:jc w:val="center"/>
        </w:trPr>
        <w:tc>
          <w:tcPr>
            <w:tcW w:w="437" w:type="dxa"/>
            <w:vAlign w:val="center"/>
          </w:tcPr>
          <w:p w14:paraId="5097EA75">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4</w:t>
            </w:r>
          </w:p>
        </w:tc>
        <w:tc>
          <w:tcPr>
            <w:tcW w:w="741" w:type="dxa"/>
            <w:vAlign w:val="center"/>
          </w:tcPr>
          <w:p w14:paraId="6F0A6012">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承诺书</w:t>
            </w:r>
          </w:p>
        </w:tc>
        <w:tc>
          <w:tcPr>
            <w:tcW w:w="3067" w:type="dxa"/>
            <w:vAlign w:val="center"/>
          </w:tcPr>
          <w:p w14:paraId="7C147D02">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比选申请人没有处于行政主管部门或业主取消比选申请资格的处罚期内，且没有被责令停业，财产被接管、冻结，破产状态；比选申请截止日前</w:t>
            </w:r>
            <w:r>
              <w:rPr>
                <w:rFonts w:ascii="宋体" w:hAnsi="宋体"/>
                <w:color w:val="auto"/>
                <w:highlight w:val="none"/>
              </w:rPr>
              <w:t>3</w:t>
            </w:r>
            <w:r>
              <w:rPr>
                <w:rFonts w:hint="eastAsia" w:ascii="宋体" w:hAnsi="宋体"/>
                <w:color w:val="auto"/>
                <w:highlight w:val="none"/>
              </w:rPr>
              <w:t>年内没有骗取中选、严重违约或重大质量安全责任事故的情况。</w:t>
            </w:r>
          </w:p>
        </w:tc>
        <w:tc>
          <w:tcPr>
            <w:tcW w:w="1425" w:type="dxa"/>
            <w:vAlign w:val="center"/>
          </w:tcPr>
          <w:p w14:paraId="390CBA47">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承诺书原件</w:t>
            </w:r>
          </w:p>
        </w:tc>
        <w:tc>
          <w:tcPr>
            <w:tcW w:w="1087" w:type="dxa"/>
            <w:vAlign w:val="center"/>
          </w:tcPr>
          <w:p w14:paraId="3852F5B5">
            <w:pPr>
              <w:spacing w:before="0" w:after="0" w:afterAutospacing="0" w:line="240" w:lineRule="auto"/>
              <w:ind w:left="0" w:right="0" w:firstLine="0"/>
              <w:rPr>
                <w:rFonts w:hint="eastAsia" w:ascii="宋体" w:hAnsi="宋体"/>
                <w:color w:val="auto"/>
                <w:highlight w:val="none"/>
              </w:rPr>
            </w:pPr>
          </w:p>
        </w:tc>
        <w:tc>
          <w:tcPr>
            <w:tcW w:w="2503" w:type="dxa"/>
            <w:vAlign w:val="center"/>
          </w:tcPr>
          <w:p w14:paraId="61A8F845">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按规定格式提供承诺书</w:t>
            </w:r>
          </w:p>
        </w:tc>
      </w:tr>
    </w:tbl>
    <w:p w14:paraId="5964B39B">
      <w:pPr>
        <w:snapToGrid w:val="0"/>
        <w:spacing w:before="0" w:after="0" w:afterAutospacing="0" w:line="240" w:lineRule="auto"/>
        <w:ind w:left="0" w:right="0" w:firstLine="0"/>
        <w:rPr>
          <w:rFonts w:hint="eastAsia" w:ascii="宋体" w:hAnsi="宋体"/>
          <w:b/>
          <w:color w:val="auto"/>
          <w:highlight w:val="none"/>
        </w:rPr>
      </w:pPr>
      <w:r>
        <w:rPr>
          <w:rFonts w:hint="eastAsia" w:ascii="宋体" w:hAnsi="宋体"/>
          <w:b/>
          <w:color w:val="auto"/>
          <w:highlight w:val="none"/>
        </w:rPr>
        <w:t>注：</w:t>
      </w:r>
    </w:p>
    <w:p w14:paraId="074B2A49">
      <w:pPr>
        <w:snapToGrid w:val="0"/>
        <w:spacing w:before="0" w:after="0" w:afterAutospacing="0" w:line="240" w:lineRule="auto"/>
        <w:ind w:left="0" w:right="0" w:firstLine="0"/>
        <w:rPr>
          <w:rFonts w:hint="eastAsia" w:ascii="宋体" w:hAnsi="宋体"/>
          <w:b/>
          <w:color w:val="auto"/>
          <w:highlight w:val="none"/>
        </w:rPr>
      </w:pPr>
      <w:r>
        <w:rPr>
          <w:rFonts w:hint="eastAsia" w:ascii="宋体" w:hAnsi="宋体"/>
          <w:b/>
          <w:color w:val="auto"/>
          <w:highlight w:val="none"/>
        </w:rPr>
        <w:t>1.以上所有证明资料原件备查。</w:t>
      </w:r>
    </w:p>
    <w:p w14:paraId="69A1F85A">
      <w:pPr>
        <w:snapToGrid w:val="0"/>
        <w:spacing w:before="0" w:after="0" w:afterAutospacing="0" w:line="240" w:lineRule="auto"/>
        <w:ind w:left="0" w:right="0" w:firstLine="0"/>
        <w:rPr>
          <w:rFonts w:hint="eastAsia" w:ascii="宋体" w:hAnsi="宋体"/>
          <w:b/>
          <w:color w:val="auto"/>
          <w:highlight w:val="none"/>
        </w:rPr>
      </w:pPr>
      <w:r>
        <w:rPr>
          <w:rFonts w:hint="eastAsia" w:ascii="宋体" w:hAnsi="宋体"/>
          <w:b/>
          <w:color w:val="auto"/>
          <w:highlight w:val="none"/>
        </w:rPr>
        <w:t>2.比选申请人如未通过上述资格审查，则作比选申请被否决处理并不得进入下一阶段评审。</w:t>
      </w:r>
    </w:p>
    <w:p w14:paraId="05C179A1">
      <w:pPr>
        <w:pStyle w:val="6"/>
        <w:spacing w:after="0" w:line="360" w:lineRule="auto"/>
        <w:ind w:right="-57"/>
        <w:rPr>
          <w:color w:val="auto"/>
          <w:sz w:val="24"/>
          <w:szCs w:val="24"/>
          <w:highlight w:val="none"/>
        </w:rPr>
      </w:pPr>
      <w:r>
        <w:rPr>
          <w:rFonts w:ascii="宋体" w:hAnsi="宋体"/>
          <w:color w:val="auto"/>
          <w:highlight w:val="none"/>
        </w:rPr>
        <w:br w:type="page"/>
      </w:r>
      <w:bookmarkStart w:id="1831" w:name="_Toc25750695"/>
      <w:bookmarkStart w:id="1832" w:name="_Toc29351"/>
      <w:bookmarkStart w:id="1833" w:name="_Toc114134689"/>
      <w:bookmarkStart w:id="1834" w:name="_Toc12983557"/>
      <w:bookmarkStart w:id="1835" w:name="_Toc25123"/>
      <w:bookmarkStart w:id="1836" w:name="_Toc12984826"/>
      <w:bookmarkStart w:id="1837" w:name="_Toc7852"/>
      <w:bookmarkStart w:id="1838" w:name="_Toc19299"/>
      <w:bookmarkStart w:id="1839" w:name="_Toc31487"/>
      <w:bookmarkStart w:id="1840" w:name="_Toc6102"/>
      <w:bookmarkStart w:id="1841" w:name="_Toc492478850"/>
      <w:bookmarkStart w:id="1842" w:name="_Toc8945"/>
      <w:bookmarkStart w:id="1843" w:name="_Toc5811"/>
      <w:bookmarkStart w:id="1844" w:name="_Toc29670"/>
      <w:bookmarkStart w:id="1845" w:name="_Toc5737"/>
      <w:bookmarkStart w:id="1846" w:name="_Toc9343"/>
      <w:bookmarkStart w:id="1847" w:name="_Toc20215"/>
      <w:bookmarkStart w:id="1848" w:name="_Toc1459"/>
      <w:bookmarkStart w:id="1849" w:name="_Toc15103"/>
      <w:bookmarkStart w:id="1850" w:name="_Toc191"/>
      <w:bookmarkStart w:id="1851" w:name="_Toc3409"/>
      <w:bookmarkStart w:id="1852" w:name="_Toc22635"/>
      <w:bookmarkStart w:id="1853" w:name="_Toc6612"/>
      <w:r>
        <w:rPr>
          <w:color w:val="auto"/>
          <w:sz w:val="21"/>
          <w:szCs w:val="21"/>
          <w:highlight w:val="none"/>
        </w:rPr>
        <w:t>附表二</w:t>
      </w:r>
      <w:r>
        <w:rPr>
          <w:rFonts w:hint="eastAsia"/>
          <w:color w:val="auto"/>
          <w:sz w:val="21"/>
          <w:szCs w:val="21"/>
          <w:highlight w:val="none"/>
        </w:rPr>
        <w:t xml:space="preserve"> 符合性</w:t>
      </w:r>
      <w:r>
        <w:rPr>
          <w:color w:val="auto"/>
          <w:sz w:val="21"/>
          <w:szCs w:val="21"/>
          <w:highlight w:val="none"/>
        </w:rPr>
        <w:t>评审表</w:t>
      </w:r>
      <w:bookmarkEnd w:id="1831"/>
      <w:bookmarkEnd w:id="1832"/>
      <w:bookmarkEnd w:id="1833"/>
    </w:p>
    <w:p w14:paraId="6A63BC4D">
      <w:pPr>
        <w:spacing w:before="0"/>
        <w:ind w:right="0" w:firstLine="0"/>
        <w:jc w:val="center"/>
        <w:rPr>
          <w:b/>
          <w:color w:val="auto"/>
          <w:sz w:val="24"/>
          <w:szCs w:val="24"/>
          <w:highlight w:val="none"/>
        </w:rPr>
      </w:pPr>
      <w:r>
        <w:rPr>
          <w:rFonts w:hint="eastAsia" w:hAnsi="宋体"/>
          <w:b/>
          <w:color w:val="auto"/>
          <w:sz w:val="24"/>
          <w:szCs w:val="24"/>
          <w:highlight w:val="none"/>
        </w:rPr>
        <w:t>符合性</w:t>
      </w:r>
      <w:r>
        <w:rPr>
          <w:rFonts w:hAnsi="宋体"/>
          <w:b/>
          <w:color w:val="auto"/>
          <w:sz w:val="24"/>
          <w:szCs w:val="24"/>
          <w:highlight w:val="none"/>
        </w:rPr>
        <w:t>评审表</w:t>
      </w:r>
    </w:p>
    <w:tbl>
      <w:tblPr>
        <w:tblStyle w:val="36"/>
        <w:tblW w:w="9003"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6096"/>
        <w:gridCol w:w="1134"/>
        <w:gridCol w:w="1098"/>
      </w:tblGrid>
      <w:tr w14:paraId="26B248D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02" w:hRule="atLeast"/>
          <w:tblHeader/>
          <w:jc w:val="center"/>
        </w:trPr>
        <w:tc>
          <w:tcPr>
            <w:tcW w:w="675" w:type="dxa"/>
            <w:tcBorders>
              <w:top w:val="single" w:color="auto" w:sz="12" w:space="0"/>
            </w:tcBorders>
            <w:vAlign w:val="center"/>
          </w:tcPr>
          <w:p w14:paraId="0F3BB343">
            <w:pPr>
              <w:ind w:left="0" w:firstLine="0"/>
              <w:rPr>
                <w:color w:val="auto"/>
                <w:highlight w:val="none"/>
              </w:rPr>
            </w:pPr>
            <w:r>
              <w:rPr>
                <w:color w:val="auto"/>
                <w:highlight w:val="none"/>
              </w:rPr>
              <w:t>序号</w:t>
            </w:r>
          </w:p>
        </w:tc>
        <w:tc>
          <w:tcPr>
            <w:tcW w:w="6096" w:type="dxa"/>
            <w:tcBorders>
              <w:top w:val="single" w:color="auto" w:sz="12" w:space="0"/>
            </w:tcBorders>
            <w:vAlign w:val="center"/>
          </w:tcPr>
          <w:p w14:paraId="0058CA4A">
            <w:pPr>
              <w:ind w:left="0" w:firstLine="0"/>
              <w:rPr>
                <w:color w:val="auto"/>
                <w:highlight w:val="none"/>
              </w:rPr>
            </w:pPr>
            <w:r>
              <w:rPr>
                <w:rFonts w:hint="eastAsia"/>
                <w:color w:val="auto"/>
                <w:highlight w:val="none"/>
              </w:rPr>
              <w:t>评审项目</w:t>
            </w:r>
          </w:p>
        </w:tc>
        <w:tc>
          <w:tcPr>
            <w:tcW w:w="1134" w:type="dxa"/>
            <w:tcBorders>
              <w:top w:val="single" w:color="auto" w:sz="12" w:space="0"/>
            </w:tcBorders>
          </w:tcPr>
          <w:p w14:paraId="69552E28">
            <w:pPr>
              <w:ind w:left="0" w:firstLine="0"/>
              <w:rPr>
                <w:color w:val="auto"/>
                <w:highlight w:val="none"/>
              </w:rPr>
            </w:pPr>
            <w:r>
              <w:rPr>
                <w:rFonts w:hint="eastAsia"/>
                <w:color w:val="auto"/>
                <w:highlight w:val="none"/>
              </w:rPr>
              <w:t>评审结果</w:t>
            </w:r>
          </w:p>
        </w:tc>
        <w:tc>
          <w:tcPr>
            <w:tcW w:w="1098" w:type="dxa"/>
            <w:tcBorders>
              <w:top w:val="single" w:color="auto" w:sz="12" w:space="0"/>
            </w:tcBorders>
            <w:vAlign w:val="center"/>
          </w:tcPr>
          <w:p w14:paraId="03D893FF">
            <w:pPr>
              <w:ind w:left="0" w:firstLine="0"/>
              <w:rPr>
                <w:color w:val="auto"/>
                <w:highlight w:val="none"/>
              </w:rPr>
            </w:pPr>
            <w:r>
              <w:rPr>
                <w:rFonts w:hint="eastAsia"/>
                <w:color w:val="auto"/>
                <w:highlight w:val="none"/>
              </w:rPr>
              <w:t>结论</w:t>
            </w:r>
          </w:p>
        </w:tc>
      </w:tr>
      <w:tr w14:paraId="06C7992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23" w:hRule="atLeast"/>
          <w:jc w:val="center"/>
        </w:trPr>
        <w:tc>
          <w:tcPr>
            <w:tcW w:w="675" w:type="dxa"/>
            <w:vAlign w:val="center"/>
          </w:tcPr>
          <w:p w14:paraId="20A2656F">
            <w:pPr>
              <w:ind w:left="0" w:firstLine="0"/>
              <w:jc w:val="center"/>
              <w:rPr>
                <w:color w:val="auto"/>
                <w:highlight w:val="none"/>
              </w:rPr>
            </w:pPr>
            <w:r>
              <w:rPr>
                <w:color w:val="auto"/>
                <w:highlight w:val="none"/>
              </w:rPr>
              <w:t>1</w:t>
            </w:r>
          </w:p>
        </w:tc>
        <w:tc>
          <w:tcPr>
            <w:tcW w:w="6096" w:type="dxa"/>
            <w:vAlign w:val="center"/>
          </w:tcPr>
          <w:p w14:paraId="111A25AC">
            <w:pPr>
              <w:ind w:left="0" w:firstLine="0"/>
              <w:rPr>
                <w:color w:val="auto"/>
                <w:highlight w:val="none"/>
              </w:rPr>
            </w:pPr>
            <w:r>
              <w:rPr>
                <w:rFonts w:hint="eastAsia"/>
                <w:color w:val="auto"/>
                <w:highlight w:val="none"/>
              </w:rPr>
              <w:t>比选申请文件按要求在规定的位置签字（或盖章）并加盖比选申请人单位公章的</w:t>
            </w:r>
          </w:p>
        </w:tc>
        <w:tc>
          <w:tcPr>
            <w:tcW w:w="1134" w:type="dxa"/>
          </w:tcPr>
          <w:p w14:paraId="332402DD">
            <w:pPr>
              <w:ind w:left="0" w:firstLine="0"/>
              <w:rPr>
                <w:color w:val="auto"/>
                <w:highlight w:val="none"/>
              </w:rPr>
            </w:pPr>
          </w:p>
        </w:tc>
        <w:tc>
          <w:tcPr>
            <w:tcW w:w="1098" w:type="dxa"/>
            <w:vMerge w:val="restart"/>
            <w:vAlign w:val="center"/>
          </w:tcPr>
          <w:p w14:paraId="078EA7CA">
            <w:pPr>
              <w:ind w:left="0" w:firstLine="0"/>
              <w:rPr>
                <w:color w:val="auto"/>
                <w:highlight w:val="none"/>
              </w:rPr>
            </w:pPr>
          </w:p>
        </w:tc>
      </w:tr>
      <w:tr w14:paraId="0AECE67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648" w:hRule="atLeast"/>
          <w:jc w:val="center"/>
        </w:trPr>
        <w:tc>
          <w:tcPr>
            <w:tcW w:w="675" w:type="dxa"/>
            <w:vAlign w:val="center"/>
          </w:tcPr>
          <w:p w14:paraId="324AF317">
            <w:pPr>
              <w:ind w:left="0" w:firstLine="0"/>
              <w:jc w:val="center"/>
              <w:rPr>
                <w:color w:val="auto"/>
                <w:highlight w:val="none"/>
              </w:rPr>
            </w:pPr>
            <w:r>
              <w:rPr>
                <w:color w:val="auto"/>
                <w:highlight w:val="none"/>
              </w:rPr>
              <w:t>2</w:t>
            </w:r>
          </w:p>
        </w:tc>
        <w:tc>
          <w:tcPr>
            <w:tcW w:w="6096" w:type="dxa"/>
            <w:vAlign w:val="center"/>
          </w:tcPr>
          <w:p w14:paraId="005C7A3F">
            <w:pPr>
              <w:ind w:left="0" w:firstLine="0"/>
              <w:rPr>
                <w:color w:val="auto"/>
                <w:highlight w:val="none"/>
              </w:rPr>
            </w:pPr>
            <w:r>
              <w:rPr>
                <w:rFonts w:hint="eastAsia"/>
                <w:color w:val="auto"/>
                <w:highlight w:val="none"/>
              </w:rPr>
              <w:t>比选申请文件的实质性内容按规定填写、内容齐全的；（按比选文件第四章节规定格式填写的）</w:t>
            </w:r>
          </w:p>
        </w:tc>
        <w:tc>
          <w:tcPr>
            <w:tcW w:w="1134" w:type="dxa"/>
          </w:tcPr>
          <w:p w14:paraId="76CA81E6">
            <w:pPr>
              <w:ind w:left="0" w:firstLine="0"/>
              <w:rPr>
                <w:color w:val="auto"/>
                <w:highlight w:val="none"/>
              </w:rPr>
            </w:pPr>
          </w:p>
        </w:tc>
        <w:tc>
          <w:tcPr>
            <w:tcW w:w="1098" w:type="dxa"/>
            <w:vMerge w:val="continue"/>
            <w:vAlign w:val="center"/>
          </w:tcPr>
          <w:p w14:paraId="51E64B8B">
            <w:pPr>
              <w:ind w:left="0" w:firstLine="0"/>
              <w:rPr>
                <w:color w:val="auto"/>
                <w:highlight w:val="none"/>
              </w:rPr>
            </w:pPr>
          </w:p>
        </w:tc>
      </w:tr>
      <w:tr w14:paraId="1AB2CA3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648" w:hRule="atLeast"/>
          <w:jc w:val="center"/>
        </w:trPr>
        <w:tc>
          <w:tcPr>
            <w:tcW w:w="675" w:type="dxa"/>
            <w:vAlign w:val="center"/>
          </w:tcPr>
          <w:p w14:paraId="3D5159D0">
            <w:pPr>
              <w:ind w:left="0" w:firstLine="0"/>
              <w:jc w:val="center"/>
              <w:rPr>
                <w:color w:val="auto"/>
                <w:highlight w:val="none"/>
              </w:rPr>
            </w:pPr>
            <w:r>
              <w:rPr>
                <w:rFonts w:hint="eastAsia"/>
                <w:color w:val="auto"/>
                <w:highlight w:val="none"/>
              </w:rPr>
              <w:t>3</w:t>
            </w:r>
          </w:p>
        </w:tc>
        <w:tc>
          <w:tcPr>
            <w:tcW w:w="6096" w:type="dxa"/>
            <w:vAlign w:val="center"/>
          </w:tcPr>
          <w:p w14:paraId="74EF5574">
            <w:pPr>
              <w:ind w:left="0" w:firstLine="0"/>
              <w:rPr>
                <w:color w:val="auto"/>
                <w:highlight w:val="none"/>
              </w:rPr>
            </w:pPr>
            <w:r>
              <w:rPr>
                <w:rFonts w:hint="eastAsia"/>
                <w:color w:val="auto"/>
                <w:highlight w:val="none"/>
              </w:rPr>
              <w:t>比选申请人在资格审查文件或技术文件中未透露有关报价的信息</w:t>
            </w:r>
          </w:p>
        </w:tc>
        <w:tc>
          <w:tcPr>
            <w:tcW w:w="1134" w:type="dxa"/>
          </w:tcPr>
          <w:p w14:paraId="1CAE3BA1">
            <w:pPr>
              <w:ind w:left="0" w:firstLine="0"/>
              <w:rPr>
                <w:color w:val="auto"/>
                <w:highlight w:val="none"/>
              </w:rPr>
            </w:pPr>
          </w:p>
        </w:tc>
        <w:tc>
          <w:tcPr>
            <w:tcW w:w="1098" w:type="dxa"/>
            <w:vMerge w:val="continue"/>
            <w:vAlign w:val="center"/>
          </w:tcPr>
          <w:p w14:paraId="633245F6">
            <w:pPr>
              <w:ind w:left="0" w:firstLine="0"/>
              <w:rPr>
                <w:color w:val="auto"/>
                <w:highlight w:val="none"/>
              </w:rPr>
            </w:pPr>
          </w:p>
        </w:tc>
      </w:tr>
      <w:tr w14:paraId="0BB5488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37" w:hRule="atLeast"/>
          <w:jc w:val="center"/>
        </w:trPr>
        <w:tc>
          <w:tcPr>
            <w:tcW w:w="675" w:type="dxa"/>
            <w:vAlign w:val="center"/>
          </w:tcPr>
          <w:p w14:paraId="5805076F">
            <w:pPr>
              <w:ind w:left="0" w:firstLine="0"/>
              <w:jc w:val="center"/>
              <w:rPr>
                <w:color w:val="auto"/>
                <w:highlight w:val="none"/>
              </w:rPr>
            </w:pPr>
            <w:r>
              <w:rPr>
                <w:rFonts w:hint="eastAsia"/>
                <w:color w:val="auto"/>
                <w:highlight w:val="none"/>
              </w:rPr>
              <w:t>4</w:t>
            </w:r>
          </w:p>
        </w:tc>
        <w:tc>
          <w:tcPr>
            <w:tcW w:w="6096" w:type="dxa"/>
            <w:vAlign w:val="center"/>
          </w:tcPr>
          <w:p w14:paraId="53FB0A89">
            <w:pPr>
              <w:ind w:left="0" w:firstLine="0"/>
              <w:rPr>
                <w:color w:val="auto"/>
                <w:highlight w:val="none"/>
              </w:rPr>
            </w:pPr>
            <w:r>
              <w:rPr>
                <w:rFonts w:hint="eastAsia"/>
                <w:color w:val="auto"/>
                <w:highlight w:val="none"/>
              </w:rPr>
              <w:t>在比选申请文件中无虚假资料的</w:t>
            </w:r>
          </w:p>
        </w:tc>
        <w:tc>
          <w:tcPr>
            <w:tcW w:w="1134" w:type="dxa"/>
          </w:tcPr>
          <w:p w14:paraId="60D0021C">
            <w:pPr>
              <w:ind w:left="0" w:firstLine="0"/>
              <w:rPr>
                <w:color w:val="auto"/>
                <w:highlight w:val="none"/>
              </w:rPr>
            </w:pPr>
          </w:p>
        </w:tc>
        <w:tc>
          <w:tcPr>
            <w:tcW w:w="1098" w:type="dxa"/>
            <w:vMerge w:val="continue"/>
            <w:vAlign w:val="center"/>
          </w:tcPr>
          <w:p w14:paraId="26EDCBEF">
            <w:pPr>
              <w:ind w:left="0" w:firstLine="0"/>
              <w:rPr>
                <w:color w:val="auto"/>
                <w:highlight w:val="none"/>
              </w:rPr>
            </w:pPr>
          </w:p>
        </w:tc>
      </w:tr>
      <w:tr w14:paraId="68E41AB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70" w:hRule="atLeast"/>
          <w:jc w:val="center"/>
        </w:trPr>
        <w:tc>
          <w:tcPr>
            <w:tcW w:w="675" w:type="dxa"/>
            <w:vAlign w:val="center"/>
          </w:tcPr>
          <w:p w14:paraId="44ACE997">
            <w:pPr>
              <w:ind w:left="0" w:firstLine="0"/>
              <w:jc w:val="center"/>
              <w:rPr>
                <w:color w:val="auto"/>
                <w:highlight w:val="none"/>
              </w:rPr>
            </w:pPr>
            <w:r>
              <w:rPr>
                <w:rFonts w:hint="eastAsia"/>
                <w:color w:val="auto"/>
                <w:highlight w:val="none"/>
              </w:rPr>
              <w:t>5</w:t>
            </w:r>
          </w:p>
        </w:tc>
        <w:tc>
          <w:tcPr>
            <w:tcW w:w="6096" w:type="dxa"/>
            <w:vAlign w:val="center"/>
          </w:tcPr>
          <w:p w14:paraId="388A31AE">
            <w:pPr>
              <w:ind w:left="0" w:firstLine="0"/>
              <w:rPr>
                <w:color w:val="auto"/>
                <w:highlight w:val="none"/>
              </w:rPr>
            </w:pPr>
            <w:r>
              <w:rPr>
                <w:rFonts w:hint="eastAsia"/>
                <w:color w:val="auto"/>
                <w:highlight w:val="none"/>
              </w:rPr>
              <w:t>技术部分响应无负偏离的</w:t>
            </w:r>
          </w:p>
        </w:tc>
        <w:tc>
          <w:tcPr>
            <w:tcW w:w="1134" w:type="dxa"/>
            <w:tcBorders>
              <w:bottom w:val="single" w:color="auto" w:sz="4" w:space="0"/>
            </w:tcBorders>
          </w:tcPr>
          <w:p w14:paraId="28A0A24D">
            <w:pPr>
              <w:ind w:left="0" w:firstLine="0"/>
              <w:rPr>
                <w:color w:val="auto"/>
                <w:highlight w:val="none"/>
              </w:rPr>
            </w:pPr>
          </w:p>
        </w:tc>
        <w:tc>
          <w:tcPr>
            <w:tcW w:w="1098" w:type="dxa"/>
            <w:vMerge w:val="continue"/>
            <w:vAlign w:val="center"/>
          </w:tcPr>
          <w:p w14:paraId="357F1F64">
            <w:pPr>
              <w:ind w:left="0" w:firstLine="0"/>
              <w:rPr>
                <w:color w:val="auto"/>
                <w:highlight w:val="none"/>
              </w:rPr>
            </w:pPr>
          </w:p>
        </w:tc>
      </w:tr>
      <w:tr w14:paraId="71A052D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70" w:hRule="atLeast"/>
          <w:jc w:val="center"/>
        </w:trPr>
        <w:tc>
          <w:tcPr>
            <w:tcW w:w="675" w:type="dxa"/>
            <w:vAlign w:val="center"/>
          </w:tcPr>
          <w:p w14:paraId="11E2B595">
            <w:pPr>
              <w:ind w:left="0" w:firstLine="0"/>
              <w:jc w:val="center"/>
              <w:rPr>
                <w:color w:val="auto"/>
                <w:highlight w:val="none"/>
              </w:rPr>
            </w:pPr>
            <w:r>
              <w:rPr>
                <w:rFonts w:hint="eastAsia"/>
                <w:color w:val="auto"/>
                <w:highlight w:val="none"/>
              </w:rPr>
              <w:t>6</w:t>
            </w:r>
          </w:p>
        </w:tc>
        <w:tc>
          <w:tcPr>
            <w:tcW w:w="6096" w:type="dxa"/>
            <w:vAlign w:val="center"/>
          </w:tcPr>
          <w:p w14:paraId="415CBE57">
            <w:pPr>
              <w:ind w:left="0" w:firstLine="0"/>
              <w:rPr>
                <w:color w:val="auto"/>
                <w:highlight w:val="none"/>
              </w:rPr>
            </w:pPr>
            <w:r>
              <w:rPr>
                <w:rFonts w:hint="eastAsia"/>
                <w:color w:val="auto"/>
                <w:highlight w:val="none"/>
              </w:rPr>
              <w:t>商务响应表无负偏离的</w:t>
            </w:r>
          </w:p>
        </w:tc>
        <w:tc>
          <w:tcPr>
            <w:tcW w:w="1134" w:type="dxa"/>
            <w:tcBorders>
              <w:bottom w:val="single" w:color="auto" w:sz="4" w:space="0"/>
            </w:tcBorders>
          </w:tcPr>
          <w:p w14:paraId="1DFEE5B3">
            <w:pPr>
              <w:ind w:left="0" w:firstLine="0"/>
              <w:rPr>
                <w:color w:val="auto"/>
                <w:highlight w:val="none"/>
              </w:rPr>
            </w:pPr>
          </w:p>
        </w:tc>
        <w:tc>
          <w:tcPr>
            <w:tcW w:w="1098" w:type="dxa"/>
            <w:vMerge w:val="continue"/>
            <w:vAlign w:val="center"/>
          </w:tcPr>
          <w:p w14:paraId="56BED28D">
            <w:pPr>
              <w:ind w:left="0" w:firstLine="0"/>
              <w:rPr>
                <w:color w:val="auto"/>
                <w:highlight w:val="none"/>
              </w:rPr>
            </w:pPr>
          </w:p>
        </w:tc>
      </w:tr>
      <w:tr w14:paraId="52721BC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37" w:hRule="atLeast"/>
          <w:jc w:val="center"/>
        </w:trPr>
        <w:tc>
          <w:tcPr>
            <w:tcW w:w="675" w:type="dxa"/>
            <w:vAlign w:val="center"/>
          </w:tcPr>
          <w:p w14:paraId="2E9730B1">
            <w:pPr>
              <w:ind w:left="0" w:firstLine="0"/>
              <w:jc w:val="center"/>
              <w:rPr>
                <w:color w:val="auto"/>
                <w:highlight w:val="none"/>
              </w:rPr>
            </w:pPr>
            <w:r>
              <w:rPr>
                <w:rFonts w:hint="eastAsia"/>
                <w:color w:val="auto"/>
                <w:highlight w:val="none"/>
              </w:rPr>
              <w:t>7</w:t>
            </w:r>
          </w:p>
        </w:tc>
        <w:tc>
          <w:tcPr>
            <w:tcW w:w="6096" w:type="dxa"/>
            <w:vAlign w:val="center"/>
          </w:tcPr>
          <w:p w14:paraId="7933B277">
            <w:pPr>
              <w:ind w:left="0" w:firstLine="0"/>
              <w:rPr>
                <w:color w:val="auto"/>
                <w:highlight w:val="none"/>
              </w:rPr>
            </w:pPr>
            <w:r>
              <w:rPr>
                <w:rFonts w:hint="eastAsia"/>
                <w:color w:val="auto"/>
                <w:highlight w:val="none"/>
              </w:rPr>
              <w:t>无比选文件、法律、法规规定的其他否决比选申请条件</w:t>
            </w:r>
          </w:p>
        </w:tc>
        <w:tc>
          <w:tcPr>
            <w:tcW w:w="1134" w:type="dxa"/>
          </w:tcPr>
          <w:p w14:paraId="4F5279F6">
            <w:pPr>
              <w:ind w:left="0" w:firstLine="0"/>
              <w:rPr>
                <w:color w:val="auto"/>
                <w:highlight w:val="none"/>
              </w:rPr>
            </w:pPr>
          </w:p>
        </w:tc>
        <w:tc>
          <w:tcPr>
            <w:tcW w:w="1098" w:type="dxa"/>
            <w:vMerge w:val="continue"/>
            <w:vAlign w:val="center"/>
          </w:tcPr>
          <w:p w14:paraId="2A1DC097">
            <w:pPr>
              <w:ind w:left="0" w:firstLine="0"/>
              <w:rPr>
                <w:color w:val="auto"/>
                <w:highlight w:val="none"/>
              </w:rPr>
            </w:pPr>
          </w:p>
        </w:tc>
      </w:tr>
    </w:tbl>
    <w:p w14:paraId="7E9F65BE">
      <w:pPr>
        <w:spacing w:before="0" w:after="0" w:afterAutospacing="0"/>
        <w:ind w:left="0" w:right="0" w:firstLine="0"/>
        <w:jc w:val="left"/>
        <w:rPr>
          <w:color w:val="auto"/>
          <w:sz w:val="24"/>
          <w:szCs w:val="24"/>
          <w:highlight w:val="none"/>
        </w:rPr>
      </w:pPr>
      <w:r>
        <w:rPr>
          <w:rFonts w:hAnsi="宋体"/>
          <w:color w:val="auto"/>
          <w:highlight w:val="none"/>
        </w:rPr>
        <w:t>注：</w:t>
      </w:r>
      <w:r>
        <w:rPr>
          <w:rFonts w:hint="eastAsia" w:hAnsi="宋体"/>
          <w:color w:val="auto"/>
          <w:highlight w:val="none"/>
        </w:rPr>
        <w:t>1.</w:t>
      </w:r>
      <w:r>
        <w:rPr>
          <w:rFonts w:hAnsi="宋体"/>
          <w:color w:val="auto"/>
          <w:highlight w:val="none"/>
        </w:rPr>
        <w:t>评审结果填写合格打</w:t>
      </w:r>
      <w:r>
        <w:rPr>
          <w:color w:val="auto"/>
          <w:highlight w:val="none"/>
        </w:rPr>
        <w:t>√</w:t>
      </w:r>
      <w:r>
        <w:rPr>
          <w:rFonts w:hAnsi="宋体"/>
          <w:color w:val="auto"/>
          <w:highlight w:val="none"/>
        </w:rPr>
        <w:t>，不合格打</w:t>
      </w:r>
      <w:r>
        <w:rPr>
          <w:color w:val="auto"/>
          <w:highlight w:val="none"/>
        </w:rPr>
        <w:t>×</w:t>
      </w:r>
      <w:r>
        <w:rPr>
          <w:rFonts w:hAnsi="宋体"/>
          <w:color w:val="auto"/>
          <w:highlight w:val="none"/>
        </w:rPr>
        <w:t>，凡评审结果有一项不合格者，结论为不通过。</w:t>
      </w:r>
    </w:p>
    <w:p w14:paraId="440F37CA">
      <w:pPr>
        <w:pStyle w:val="2"/>
        <w:ind w:firstLine="480"/>
        <w:rPr>
          <w:rFonts w:eastAsiaTheme="minorEastAsia"/>
          <w:color w:val="auto"/>
          <w:highlight w:val="none"/>
        </w:rPr>
      </w:pPr>
    </w:p>
    <w:p w14:paraId="16DC0D56">
      <w:pPr>
        <w:spacing w:before="0" w:after="0"/>
        <w:ind w:left="0" w:right="0" w:firstLine="0"/>
        <w:rPr>
          <w:b/>
          <w:bCs/>
          <w:color w:val="auto"/>
          <w:highlight w:val="none"/>
        </w:rPr>
      </w:pPr>
    </w:p>
    <w:p w14:paraId="12F864A0">
      <w:pPr>
        <w:spacing w:before="0" w:after="0"/>
        <w:ind w:left="0" w:right="0" w:firstLine="0"/>
        <w:rPr>
          <w:b/>
          <w:bCs/>
          <w:color w:val="auto"/>
          <w:highlight w:val="none"/>
        </w:rPr>
      </w:pPr>
    </w:p>
    <w:p w14:paraId="5E39136F">
      <w:pPr>
        <w:spacing w:before="0" w:after="0"/>
        <w:ind w:left="0" w:right="0" w:firstLine="0"/>
        <w:rPr>
          <w:b/>
          <w:bCs/>
          <w:color w:val="auto"/>
          <w:highlight w:val="none"/>
        </w:rPr>
      </w:pPr>
    </w:p>
    <w:p w14:paraId="4EAB63D6">
      <w:pPr>
        <w:spacing w:before="0" w:after="0"/>
        <w:ind w:left="0" w:right="0" w:firstLine="0"/>
        <w:rPr>
          <w:b/>
          <w:bCs/>
          <w:color w:val="auto"/>
          <w:highlight w:val="none"/>
        </w:rPr>
      </w:pPr>
    </w:p>
    <w:p w14:paraId="2021F2C5">
      <w:pPr>
        <w:spacing w:before="0" w:after="0"/>
        <w:ind w:left="0" w:right="0" w:firstLine="0"/>
        <w:rPr>
          <w:b/>
          <w:bCs/>
          <w:color w:val="auto"/>
          <w:highlight w:val="none"/>
        </w:rPr>
      </w:pPr>
    </w:p>
    <w:p w14:paraId="516B23DE">
      <w:pPr>
        <w:spacing w:before="0" w:after="0"/>
        <w:ind w:left="0" w:right="0" w:firstLine="0"/>
        <w:rPr>
          <w:b/>
          <w:bCs/>
          <w:color w:val="auto"/>
          <w:highlight w:val="none"/>
        </w:rPr>
      </w:pPr>
    </w:p>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14:paraId="164BCD40">
      <w:pPr>
        <w:spacing w:before="0" w:after="0" w:afterAutospacing="0" w:line="240" w:lineRule="auto"/>
        <w:ind w:left="0" w:right="0" w:firstLine="0"/>
        <w:jc w:val="left"/>
        <w:rPr>
          <w:rFonts w:hint="eastAsia" w:ascii="宋体" w:hAnsi="宋体"/>
          <w:b/>
          <w:color w:val="auto"/>
          <w:highlight w:val="none"/>
        </w:rPr>
        <w:sectPr>
          <w:footerReference r:id="rId14" w:type="default"/>
          <w:pgSz w:w="11905" w:h="16838"/>
          <w:pgMar w:top="1418" w:right="1418" w:bottom="1418" w:left="1418" w:header="454" w:footer="567" w:gutter="0"/>
          <w:pgBorders>
            <w:top w:val="none" w:sz="0" w:space="0"/>
            <w:left w:val="none" w:sz="0" w:space="0"/>
            <w:bottom w:val="none" w:sz="0" w:space="0"/>
            <w:right w:val="none" w:sz="0" w:space="0"/>
          </w:pgBorders>
          <w:cols w:space="720" w:num="1"/>
          <w:docGrid w:linePitch="319" w:charSpace="0"/>
        </w:sectPr>
      </w:pPr>
    </w:p>
    <w:p w14:paraId="750DBC4E">
      <w:pPr>
        <w:spacing w:before="0" w:after="0"/>
        <w:ind w:left="0" w:right="0" w:firstLine="0"/>
        <w:rPr>
          <w:b/>
          <w:bCs/>
          <w:color w:val="auto"/>
          <w:highlight w:val="none"/>
        </w:rPr>
      </w:pPr>
      <w:r>
        <w:rPr>
          <w:rFonts w:hint="eastAsia"/>
          <w:b/>
          <w:bCs/>
          <w:color w:val="auto"/>
          <w:highlight w:val="none"/>
        </w:rPr>
        <w:t>附表三  《技术文件评分表》</w:t>
      </w:r>
    </w:p>
    <w:tbl>
      <w:tblPr>
        <w:tblStyle w:val="36"/>
        <w:tblW w:w="0" w:type="auto"/>
        <w:jc w:val="center"/>
        <w:tblLayout w:type="fixed"/>
        <w:tblCellMar>
          <w:top w:w="0" w:type="dxa"/>
          <w:left w:w="108" w:type="dxa"/>
          <w:bottom w:w="0" w:type="dxa"/>
          <w:right w:w="108" w:type="dxa"/>
        </w:tblCellMar>
      </w:tblPr>
      <w:tblGrid>
        <w:gridCol w:w="650"/>
        <w:gridCol w:w="1357"/>
        <w:gridCol w:w="1350"/>
        <w:gridCol w:w="5100"/>
        <w:gridCol w:w="829"/>
      </w:tblGrid>
      <w:tr w14:paraId="7AFBA144">
        <w:tblPrEx>
          <w:tblCellMar>
            <w:top w:w="0" w:type="dxa"/>
            <w:left w:w="108" w:type="dxa"/>
            <w:bottom w:w="0" w:type="dxa"/>
            <w:right w:w="108" w:type="dxa"/>
          </w:tblCellMar>
        </w:tblPrEx>
        <w:trPr>
          <w:trHeight w:val="580" w:hRule="atLeast"/>
          <w:jc w:val="center"/>
        </w:trPr>
        <w:tc>
          <w:tcPr>
            <w:tcW w:w="650" w:type="dxa"/>
            <w:tcBorders>
              <w:top w:val="single" w:color="000000" w:sz="4" w:space="0"/>
              <w:left w:val="single" w:color="000000" w:sz="4" w:space="0"/>
              <w:bottom w:val="single" w:color="000000" w:sz="4" w:space="0"/>
              <w:right w:val="single" w:color="000000" w:sz="4" w:space="0"/>
            </w:tcBorders>
            <w:noWrap/>
            <w:vAlign w:val="center"/>
          </w:tcPr>
          <w:p w14:paraId="2AFDF50C">
            <w:pPr>
              <w:spacing w:before="0" w:after="0" w:afterAutospacing="0" w:line="240" w:lineRule="auto"/>
              <w:ind w:left="0" w:right="0" w:firstLine="0"/>
              <w:jc w:val="center"/>
              <w:textAlignment w:val="center"/>
              <w:rPr>
                <w:rFonts w:hint="eastAsia" w:ascii="宋体" w:hAnsi="宋体" w:cs="宋体"/>
                <w:color w:val="auto"/>
                <w:highlight w:val="none"/>
              </w:rPr>
            </w:pPr>
            <w:r>
              <w:rPr>
                <w:rFonts w:hint="eastAsia" w:ascii="宋体" w:hAnsi="宋体" w:cs="宋体"/>
                <w:color w:val="auto"/>
                <w:highlight w:val="none"/>
                <w:lang w:bidi="ar"/>
              </w:rPr>
              <w:t>序号</w:t>
            </w:r>
          </w:p>
        </w:tc>
        <w:tc>
          <w:tcPr>
            <w:tcW w:w="1357" w:type="dxa"/>
            <w:tcBorders>
              <w:top w:val="single" w:color="000000" w:sz="4" w:space="0"/>
              <w:left w:val="single" w:color="000000" w:sz="4" w:space="0"/>
              <w:bottom w:val="single" w:color="000000" w:sz="4" w:space="0"/>
              <w:right w:val="single" w:color="000000" w:sz="4" w:space="0"/>
            </w:tcBorders>
            <w:noWrap/>
            <w:vAlign w:val="center"/>
          </w:tcPr>
          <w:p w14:paraId="6BAE98CF">
            <w:pPr>
              <w:spacing w:before="0" w:after="0" w:afterAutospacing="0" w:line="240" w:lineRule="auto"/>
              <w:ind w:left="0" w:right="0" w:firstLine="0"/>
              <w:jc w:val="center"/>
              <w:textAlignment w:val="center"/>
              <w:rPr>
                <w:rFonts w:hint="eastAsia" w:ascii="宋体" w:hAnsi="宋体" w:cs="宋体"/>
                <w:color w:val="auto"/>
                <w:highlight w:val="none"/>
              </w:rPr>
            </w:pPr>
            <w:r>
              <w:rPr>
                <w:rFonts w:hint="eastAsia" w:ascii="宋体" w:hAnsi="宋体" w:cs="宋体"/>
                <w:color w:val="auto"/>
                <w:highlight w:val="none"/>
                <w:lang w:bidi="ar"/>
              </w:rPr>
              <w:t>评审项目和内容</w:t>
            </w:r>
          </w:p>
        </w:tc>
        <w:tc>
          <w:tcPr>
            <w:tcW w:w="1350" w:type="dxa"/>
            <w:tcBorders>
              <w:top w:val="single" w:color="000000" w:sz="4" w:space="0"/>
              <w:left w:val="single" w:color="000000" w:sz="4" w:space="0"/>
              <w:bottom w:val="single" w:color="000000" w:sz="4" w:space="0"/>
              <w:right w:val="single" w:color="000000" w:sz="4" w:space="0"/>
            </w:tcBorders>
            <w:noWrap/>
            <w:vAlign w:val="center"/>
          </w:tcPr>
          <w:p w14:paraId="24293A08">
            <w:pPr>
              <w:spacing w:before="0" w:after="0" w:afterAutospacing="0" w:line="240" w:lineRule="auto"/>
              <w:ind w:left="0" w:right="0" w:firstLine="0"/>
              <w:jc w:val="center"/>
              <w:textAlignment w:val="center"/>
              <w:rPr>
                <w:rFonts w:hint="eastAsia" w:ascii="宋体" w:hAnsi="宋体" w:cs="宋体"/>
                <w:color w:val="auto"/>
                <w:highlight w:val="none"/>
              </w:rPr>
            </w:pPr>
            <w:r>
              <w:rPr>
                <w:rFonts w:hint="eastAsia" w:ascii="宋体" w:hAnsi="宋体" w:cs="宋体"/>
                <w:color w:val="auto"/>
                <w:highlight w:val="none"/>
                <w:lang w:bidi="ar"/>
              </w:rPr>
              <w:t>标准分</w:t>
            </w:r>
          </w:p>
        </w:tc>
        <w:tc>
          <w:tcPr>
            <w:tcW w:w="5100" w:type="dxa"/>
            <w:tcBorders>
              <w:top w:val="single" w:color="000000" w:sz="4" w:space="0"/>
              <w:left w:val="single" w:color="000000" w:sz="4" w:space="0"/>
              <w:bottom w:val="single" w:color="000000" w:sz="4" w:space="0"/>
              <w:right w:val="single" w:color="000000" w:sz="4" w:space="0"/>
            </w:tcBorders>
            <w:noWrap/>
            <w:vAlign w:val="center"/>
          </w:tcPr>
          <w:p w14:paraId="5CA4100F">
            <w:pPr>
              <w:spacing w:before="0" w:after="0" w:afterAutospacing="0" w:line="240" w:lineRule="auto"/>
              <w:ind w:left="0" w:right="0" w:firstLine="0"/>
              <w:jc w:val="center"/>
              <w:textAlignment w:val="center"/>
              <w:rPr>
                <w:rFonts w:hint="eastAsia" w:ascii="宋体" w:hAnsi="宋体" w:cs="宋体"/>
                <w:color w:val="auto"/>
                <w:highlight w:val="none"/>
              </w:rPr>
            </w:pPr>
            <w:r>
              <w:rPr>
                <w:rFonts w:hint="eastAsia" w:ascii="宋体" w:hAnsi="宋体" w:cs="宋体"/>
                <w:color w:val="auto"/>
                <w:highlight w:val="none"/>
                <w:lang w:bidi="ar"/>
              </w:rPr>
              <w:t>评审标准</w:t>
            </w:r>
          </w:p>
        </w:tc>
        <w:tc>
          <w:tcPr>
            <w:tcW w:w="829" w:type="dxa"/>
            <w:tcBorders>
              <w:top w:val="single" w:color="000000" w:sz="4" w:space="0"/>
              <w:left w:val="single" w:color="000000" w:sz="4" w:space="0"/>
              <w:bottom w:val="single" w:color="000000" w:sz="4" w:space="0"/>
              <w:right w:val="single" w:color="000000" w:sz="4" w:space="0"/>
            </w:tcBorders>
            <w:noWrap/>
            <w:vAlign w:val="center"/>
          </w:tcPr>
          <w:p w14:paraId="1D08F069">
            <w:pPr>
              <w:spacing w:before="0" w:after="0" w:afterAutospacing="0" w:line="240" w:lineRule="auto"/>
              <w:ind w:left="0" w:right="0" w:firstLine="0"/>
              <w:jc w:val="center"/>
              <w:textAlignment w:val="center"/>
              <w:rPr>
                <w:rFonts w:hint="eastAsia" w:ascii="宋体" w:hAnsi="宋体" w:cs="宋体"/>
                <w:color w:val="auto"/>
                <w:highlight w:val="none"/>
              </w:rPr>
            </w:pPr>
            <w:r>
              <w:rPr>
                <w:rFonts w:hint="eastAsia" w:ascii="宋体" w:hAnsi="宋体" w:cs="宋体"/>
                <w:color w:val="auto"/>
                <w:highlight w:val="none"/>
                <w:lang w:bidi="ar"/>
              </w:rPr>
              <w:t>备注</w:t>
            </w:r>
          </w:p>
        </w:tc>
      </w:tr>
      <w:tr w14:paraId="557A522C">
        <w:tblPrEx>
          <w:tblCellMar>
            <w:top w:w="0" w:type="dxa"/>
            <w:left w:w="108" w:type="dxa"/>
            <w:bottom w:w="0" w:type="dxa"/>
            <w:right w:w="108" w:type="dxa"/>
          </w:tblCellMar>
        </w:tblPrEx>
        <w:trPr>
          <w:trHeight w:val="718" w:hRule="atLeast"/>
          <w:jc w:val="center"/>
        </w:trPr>
        <w:tc>
          <w:tcPr>
            <w:tcW w:w="650" w:type="dxa"/>
            <w:vMerge w:val="restart"/>
            <w:tcBorders>
              <w:top w:val="single" w:color="000000" w:sz="4" w:space="0"/>
              <w:left w:val="single" w:color="000000" w:sz="4" w:space="0"/>
              <w:right w:val="single" w:color="000000" w:sz="4" w:space="0"/>
            </w:tcBorders>
            <w:noWrap/>
            <w:vAlign w:val="center"/>
          </w:tcPr>
          <w:p w14:paraId="14CEA766">
            <w:pPr>
              <w:spacing w:before="0" w:after="0" w:afterAutospacing="0" w:line="240" w:lineRule="auto"/>
              <w:ind w:left="0" w:right="0"/>
              <w:jc w:val="center"/>
              <w:textAlignment w:val="center"/>
              <w:rPr>
                <w:rFonts w:hint="eastAsia" w:ascii="宋体" w:hAnsi="宋体" w:cs="宋体"/>
                <w:color w:val="auto"/>
                <w:highlight w:val="none"/>
                <w:lang w:val="en-US" w:eastAsia="zh-CN"/>
              </w:rPr>
            </w:pPr>
          </w:p>
          <w:p w14:paraId="050BFF50">
            <w:pPr>
              <w:bidi w:val="0"/>
              <w:jc w:val="center"/>
              <w:rPr>
                <w:rFonts w:hint="default" w:ascii="Times New Roman" w:hAnsi="Times New Roman" w:eastAsia="宋体" w:cs="Times New Roman"/>
                <w:color w:val="auto"/>
                <w:sz w:val="21"/>
                <w:szCs w:val="21"/>
                <w:highlight w:val="none"/>
                <w:lang w:val="en-US" w:eastAsia="zh-CN" w:bidi="ar-SA"/>
              </w:rPr>
            </w:pPr>
            <w:r>
              <w:rPr>
                <w:rFonts w:hint="eastAsia" w:cs="Times New Roman"/>
                <w:color w:val="auto"/>
                <w:sz w:val="21"/>
                <w:szCs w:val="21"/>
                <w:highlight w:val="none"/>
                <w:lang w:val="en-US" w:eastAsia="zh-CN" w:bidi="ar-SA"/>
              </w:rPr>
              <w:t>1</w:t>
            </w:r>
          </w:p>
        </w:tc>
        <w:tc>
          <w:tcPr>
            <w:tcW w:w="1357" w:type="dxa"/>
            <w:vMerge w:val="restart"/>
            <w:tcBorders>
              <w:top w:val="single" w:color="000000" w:sz="4" w:space="0"/>
              <w:left w:val="single" w:color="000000" w:sz="4" w:space="0"/>
              <w:bottom w:val="single" w:color="000000" w:sz="4" w:space="0"/>
              <w:right w:val="single" w:color="000000" w:sz="4" w:space="0"/>
            </w:tcBorders>
            <w:vAlign w:val="center"/>
          </w:tcPr>
          <w:p w14:paraId="56EB5D4F">
            <w:pPr>
              <w:spacing w:before="0" w:after="0" w:afterAutospacing="0" w:line="240" w:lineRule="auto"/>
              <w:ind w:left="0" w:right="0" w:firstLine="0"/>
              <w:jc w:val="center"/>
              <w:textAlignment w:val="center"/>
              <w:rPr>
                <w:rFonts w:hint="eastAsia" w:ascii="宋体" w:hAnsi="宋体" w:cs="宋体"/>
                <w:b/>
                <w:bCs/>
                <w:color w:val="auto"/>
                <w:sz w:val="18"/>
                <w:szCs w:val="18"/>
                <w:highlight w:val="none"/>
              </w:rPr>
            </w:pPr>
            <w:r>
              <w:rPr>
                <w:rFonts w:hint="eastAsia" w:ascii="宋体" w:hAnsi="宋体" w:cs="宋体"/>
                <w:b/>
                <w:bCs/>
                <w:color w:val="auto"/>
                <w:sz w:val="18"/>
                <w:szCs w:val="18"/>
                <w:highlight w:val="none"/>
                <w:lang w:bidi="ar"/>
              </w:rPr>
              <w:t>人员配置</w:t>
            </w:r>
            <w:r>
              <w:rPr>
                <w:rFonts w:hint="eastAsia" w:ascii="宋体" w:hAnsi="宋体" w:cs="宋体"/>
                <w:b/>
                <w:bCs/>
                <w:color w:val="auto"/>
                <w:sz w:val="18"/>
                <w:szCs w:val="18"/>
                <w:highlight w:val="none"/>
                <w:lang w:bidi="ar"/>
              </w:rPr>
              <w:br w:type="textWrapping"/>
            </w:r>
            <w:r>
              <w:rPr>
                <w:rFonts w:hint="eastAsia" w:ascii="宋体" w:hAnsi="宋体" w:cs="宋体"/>
                <w:b/>
                <w:bCs/>
                <w:color w:val="auto"/>
                <w:sz w:val="18"/>
                <w:szCs w:val="18"/>
                <w:highlight w:val="none"/>
                <w:lang w:bidi="ar"/>
              </w:rPr>
              <w:t>（15分）</w:t>
            </w:r>
          </w:p>
        </w:tc>
        <w:tc>
          <w:tcPr>
            <w:tcW w:w="1350" w:type="dxa"/>
            <w:tcBorders>
              <w:top w:val="single" w:color="000000" w:sz="4" w:space="0"/>
              <w:left w:val="single" w:color="000000" w:sz="4" w:space="0"/>
              <w:right w:val="single" w:color="000000" w:sz="4" w:space="0"/>
            </w:tcBorders>
            <w:noWrap/>
            <w:vAlign w:val="center"/>
          </w:tcPr>
          <w:p w14:paraId="1E67762B">
            <w:pPr>
              <w:spacing w:before="0" w:after="0" w:afterAutospacing="0" w:line="240" w:lineRule="auto"/>
              <w:ind w:left="0" w:right="0" w:firstLine="0"/>
              <w:jc w:val="center"/>
              <w:textAlignment w:val="center"/>
              <w:rPr>
                <w:rFonts w:hint="eastAsia" w:ascii="宋体" w:hAnsi="宋体" w:cs="宋体"/>
                <w:color w:val="auto"/>
                <w:highlight w:val="none"/>
              </w:rPr>
            </w:pPr>
            <w:r>
              <w:rPr>
                <w:rFonts w:hint="eastAsia" w:ascii="宋体" w:hAnsi="宋体" w:cs="宋体"/>
                <w:color w:val="auto"/>
                <w:highlight w:val="none"/>
                <w:lang w:bidi="ar"/>
              </w:rPr>
              <w:t>12&lt;m≤15</w:t>
            </w:r>
          </w:p>
        </w:tc>
        <w:tc>
          <w:tcPr>
            <w:tcW w:w="5100" w:type="dxa"/>
            <w:tcBorders>
              <w:top w:val="single" w:color="000000" w:sz="4" w:space="0"/>
              <w:left w:val="single" w:color="000000" w:sz="4" w:space="0"/>
              <w:bottom w:val="single" w:color="000000" w:sz="4" w:space="0"/>
              <w:right w:val="single" w:color="000000" w:sz="4" w:space="0"/>
            </w:tcBorders>
            <w:vAlign w:val="center"/>
          </w:tcPr>
          <w:p w14:paraId="022D1AA1">
            <w:pPr>
              <w:spacing w:before="0" w:after="0" w:afterAutospacing="0" w:line="240" w:lineRule="auto"/>
              <w:ind w:left="0" w:right="0" w:firstLine="0"/>
              <w:rPr>
                <w:color w:val="auto"/>
                <w:kern w:val="2"/>
                <w:highlight w:val="none"/>
              </w:rPr>
            </w:pPr>
            <w:r>
              <w:rPr>
                <w:rFonts w:hint="eastAsia"/>
                <w:color w:val="auto"/>
                <w:kern w:val="2"/>
                <w:highlight w:val="none"/>
              </w:rPr>
              <w:t>拟投入本项目装修设计专业人员总人数不少于 5人；</w:t>
            </w:r>
          </w:p>
        </w:tc>
        <w:tc>
          <w:tcPr>
            <w:tcW w:w="829" w:type="dxa"/>
            <w:vMerge w:val="restart"/>
            <w:tcBorders>
              <w:top w:val="single" w:color="000000" w:sz="4" w:space="0"/>
              <w:left w:val="single" w:color="000000" w:sz="4" w:space="0"/>
              <w:right w:val="single" w:color="000000" w:sz="4" w:space="0"/>
            </w:tcBorders>
            <w:noWrap/>
            <w:vAlign w:val="center"/>
          </w:tcPr>
          <w:p w14:paraId="17633F26">
            <w:pPr>
              <w:spacing w:before="0" w:after="0" w:afterAutospacing="0" w:line="240" w:lineRule="auto"/>
              <w:ind w:left="0" w:right="0"/>
              <w:rPr>
                <w:rFonts w:hint="eastAsia" w:ascii="宋体" w:hAnsi="宋体" w:cs="宋体"/>
                <w:color w:val="auto"/>
                <w:sz w:val="22"/>
                <w:szCs w:val="22"/>
                <w:highlight w:val="none"/>
              </w:rPr>
            </w:pPr>
          </w:p>
        </w:tc>
      </w:tr>
      <w:tr w14:paraId="048531B5">
        <w:tblPrEx>
          <w:tblCellMar>
            <w:top w:w="0" w:type="dxa"/>
            <w:left w:w="108" w:type="dxa"/>
            <w:bottom w:w="0" w:type="dxa"/>
            <w:right w:w="108" w:type="dxa"/>
          </w:tblCellMar>
        </w:tblPrEx>
        <w:trPr>
          <w:trHeight w:val="623" w:hRule="atLeast"/>
          <w:jc w:val="center"/>
        </w:trPr>
        <w:tc>
          <w:tcPr>
            <w:tcW w:w="650" w:type="dxa"/>
            <w:vMerge w:val="continue"/>
            <w:tcBorders>
              <w:left w:val="single" w:color="000000" w:sz="4" w:space="0"/>
              <w:right w:val="single" w:color="000000" w:sz="4" w:space="0"/>
            </w:tcBorders>
            <w:noWrap/>
            <w:vAlign w:val="center"/>
          </w:tcPr>
          <w:p w14:paraId="50AF49C2">
            <w:pPr>
              <w:spacing w:before="0" w:after="0" w:afterAutospacing="0" w:line="240" w:lineRule="auto"/>
              <w:ind w:left="0" w:right="0"/>
              <w:jc w:val="center"/>
              <w:textAlignment w:val="center"/>
              <w:rPr>
                <w:rFonts w:hint="eastAsia" w:ascii="宋体" w:hAnsi="宋体" w:cs="宋体"/>
                <w:color w:val="auto"/>
                <w:highlight w:val="none"/>
              </w:rPr>
            </w:pPr>
          </w:p>
        </w:tc>
        <w:tc>
          <w:tcPr>
            <w:tcW w:w="1357" w:type="dxa"/>
            <w:vMerge w:val="continue"/>
            <w:tcBorders>
              <w:top w:val="single" w:color="000000" w:sz="4" w:space="0"/>
              <w:left w:val="single" w:color="000000" w:sz="4" w:space="0"/>
              <w:bottom w:val="single" w:color="000000" w:sz="4" w:space="0"/>
              <w:right w:val="single" w:color="000000" w:sz="4" w:space="0"/>
            </w:tcBorders>
            <w:vAlign w:val="center"/>
          </w:tcPr>
          <w:p w14:paraId="6FAD8744">
            <w:pPr>
              <w:spacing w:before="0" w:after="0" w:afterAutospacing="0" w:line="240" w:lineRule="auto"/>
              <w:ind w:left="0" w:right="0" w:firstLine="0"/>
              <w:jc w:val="center"/>
              <w:rPr>
                <w:rFonts w:hint="eastAsia" w:ascii="宋体" w:hAnsi="宋体" w:cs="宋体"/>
                <w:b/>
                <w:bCs/>
                <w:color w:val="auto"/>
                <w:sz w:val="18"/>
                <w:szCs w:val="18"/>
                <w:highlight w:val="none"/>
              </w:rPr>
            </w:pPr>
          </w:p>
        </w:tc>
        <w:tc>
          <w:tcPr>
            <w:tcW w:w="1350" w:type="dxa"/>
            <w:tcBorders>
              <w:top w:val="single" w:color="000000" w:sz="4" w:space="0"/>
              <w:left w:val="single" w:color="000000" w:sz="4" w:space="0"/>
              <w:right w:val="single" w:color="000000" w:sz="4" w:space="0"/>
            </w:tcBorders>
            <w:noWrap/>
            <w:vAlign w:val="center"/>
          </w:tcPr>
          <w:p w14:paraId="6F2B3C34">
            <w:pPr>
              <w:spacing w:before="0" w:after="0" w:afterAutospacing="0" w:line="240" w:lineRule="auto"/>
              <w:ind w:left="0" w:right="0" w:firstLine="0"/>
              <w:jc w:val="center"/>
              <w:textAlignment w:val="center"/>
              <w:rPr>
                <w:rFonts w:hint="eastAsia" w:ascii="宋体" w:hAnsi="宋体" w:cs="宋体"/>
                <w:color w:val="auto"/>
                <w:highlight w:val="none"/>
              </w:rPr>
            </w:pPr>
            <w:r>
              <w:rPr>
                <w:rFonts w:hint="eastAsia" w:ascii="宋体" w:hAnsi="宋体" w:cs="宋体"/>
                <w:color w:val="auto"/>
                <w:highlight w:val="none"/>
                <w:lang w:bidi="ar"/>
              </w:rPr>
              <w:t>10&lt;m≤12</w:t>
            </w:r>
          </w:p>
        </w:tc>
        <w:tc>
          <w:tcPr>
            <w:tcW w:w="5100" w:type="dxa"/>
            <w:tcBorders>
              <w:top w:val="single" w:color="000000" w:sz="4" w:space="0"/>
              <w:left w:val="single" w:color="000000" w:sz="4" w:space="0"/>
              <w:bottom w:val="single" w:color="000000" w:sz="4" w:space="0"/>
              <w:right w:val="single" w:color="000000" w:sz="4" w:space="0"/>
            </w:tcBorders>
            <w:vAlign w:val="center"/>
          </w:tcPr>
          <w:p w14:paraId="68B18482">
            <w:pPr>
              <w:spacing w:before="0" w:after="0" w:afterAutospacing="0" w:line="240" w:lineRule="auto"/>
              <w:ind w:left="0" w:right="0" w:firstLine="0"/>
              <w:rPr>
                <w:color w:val="auto"/>
                <w:kern w:val="2"/>
                <w:highlight w:val="none"/>
              </w:rPr>
            </w:pPr>
            <w:r>
              <w:rPr>
                <w:rFonts w:hint="eastAsia"/>
                <w:color w:val="auto"/>
                <w:kern w:val="2"/>
                <w:highlight w:val="none"/>
              </w:rPr>
              <w:t>拟投入本项目装修设计专业人员总人数不少于 3人；</w:t>
            </w:r>
          </w:p>
        </w:tc>
        <w:tc>
          <w:tcPr>
            <w:tcW w:w="829" w:type="dxa"/>
            <w:vMerge w:val="continue"/>
            <w:tcBorders>
              <w:left w:val="single" w:color="000000" w:sz="4" w:space="0"/>
              <w:right w:val="single" w:color="000000" w:sz="4" w:space="0"/>
            </w:tcBorders>
            <w:noWrap/>
            <w:vAlign w:val="center"/>
          </w:tcPr>
          <w:p w14:paraId="7D356589">
            <w:pPr>
              <w:spacing w:before="0" w:after="0" w:afterAutospacing="0" w:line="240" w:lineRule="auto"/>
              <w:ind w:left="0" w:right="0"/>
              <w:jc w:val="center"/>
              <w:rPr>
                <w:rFonts w:hint="eastAsia" w:ascii="宋体" w:hAnsi="宋体" w:cs="宋体"/>
                <w:color w:val="auto"/>
                <w:highlight w:val="none"/>
              </w:rPr>
            </w:pPr>
          </w:p>
        </w:tc>
      </w:tr>
      <w:tr w14:paraId="4E6C9F64">
        <w:tblPrEx>
          <w:tblCellMar>
            <w:top w:w="0" w:type="dxa"/>
            <w:left w:w="108" w:type="dxa"/>
            <w:bottom w:w="0" w:type="dxa"/>
            <w:right w:w="108" w:type="dxa"/>
          </w:tblCellMar>
        </w:tblPrEx>
        <w:trPr>
          <w:trHeight w:val="490" w:hRule="atLeast"/>
          <w:jc w:val="center"/>
        </w:trPr>
        <w:tc>
          <w:tcPr>
            <w:tcW w:w="650" w:type="dxa"/>
            <w:vMerge w:val="continue"/>
            <w:tcBorders>
              <w:left w:val="single" w:color="000000" w:sz="4" w:space="0"/>
              <w:bottom w:val="single" w:color="000000" w:sz="4" w:space="0"/>
              <w:right w:val="single" w:color="000000" w:sz="4" w:space="0"/>
            </w:tcBorders>
            <w:noWrap/>
            <w:vAlign w:val="center"/>
          </w:tcPr>
          <w:p w14:paraId="04D0A6D4">
            <w:pPr>
              <w:spacing w:before="0" w:after="0" w:afterAutospacing="0" w:line="240" w:lineRule="auto"/>
              <w:ind w:left="0" w:right="0"/>
              <w:jc w:val="center"/>
              <w:textAlignment w:val="center"/>
              <w:rPr>
                <w:rFonts w:hint="eastAsia" w:ascii="宋体" w:hAnsi="宋体" w:cs="宋体"/>
                <w:color w:val="auto"/>
                <w:highlight w:val="none"/>
              </w:rPr>
            </w:pPr>
          </w:p>
        </w:tc>
        <w:tc>
          <w:tcPr>
            <w:tcW w:w="1357" w:type="dxa"/>
            <w:vMerge w:val="continue"/>
            <w:tcBorders>
              <w:top w:val="single" w:color="000000" w:sz="4" w:space="0"/>
              <w:left w:val="single" w:color="000000" w:sz="4" w:space="0"/>
              <w:bottom w:val="single" w:color="000000" w:sz="4" w:space="0"/>
              <w:right w:val="single" w:color="000000" w:sz="4" w:space="0"/>
            </w:tcBorders>
            <w:vAlign w:val="center"/>
          </w:tcPr>
          <w:p w14:paraId="539CBDB9">
            <w:pPr>
              <w:spacing w:before="0" w:after="0" w:afterAutospacing="0" w:line="240" w:lineRule="auto"/>
              <w:ind w:left="0" w:right="0" w:firstLine="0"/>
              <w:jc w:val="center"/>
              <w:rPr>
                <w:rFonts w:hint="eastAsia" w:ascii="宋体" w:hAnsi="宋体" w:cs="宋体"/>
                <w:b/>
                <w:bCs/>
                <w:color w:val="auto"/>
                <w:sz w:val="18"/>
                <w:szCs w:val="18"/>
                <w:highlight w:val="none"/>
              </w:rPr>
            </w:pPr>
          </w:p>
        </w:tc>
        <w:tc>
          <w:tcPr>
            <w:tcW w:w="1350" w:type="dxa"/>
            <w:tcBorders>
              <w:top w:val="single" w:color="000000" w:sz="4" w:space="0"/>
              <w:left w:val="single" w:color="000000" w:sz="4" w:space="0"/>
              <w:right w:val="single" w:color="000000" w:sz="4" w:space="0"/>
            </w:tcBorders>
            <w:noWrap/>
            <w:vAlign w:val="center"/>
          </w:tcPr>
          <w:p w14:paraId="3F275094">
            <w:pPr>
              <w:spacing w:before="0" w:after="0" w:afterAutospacing="0" w:line="240" w:lineRule="auto"/>
              <w:ind w:left="0" w:right="0" w:firstLine="0"/>
              <w:jc w:val="center"/>
              <w:textAlignment w:val="center"/>
              <w:rPr>
                <w:rFonts w:hint="eastAsia" w:ascii="宋体" w:hAnsi="宋体" w:cs="宋体"/>
                <w:color w:val="auto"/>
                <w:highlight w:val="none"/>
              </w:rPr>
            </w:pPr>
            <w:r>
              <w:rPr>
                <w:rFonts w:hint="eastAsia" w:ascii="宋体" w:hAnsi="宋体" w:cs="宋体"/>
                <w:color w:val="auto"/>
                <w:highlight w:val="none"/>
                <w:lang w:bidi="ar"/>
              </w:rPr>
              <w:t>0&lt;m≤10</w:t>
            </w:r>
          </w:p>
        </w:tc>
        <w:tc>
          <w:tcPr>
            <w:tcW w:w="5100" w:type="dxa"/>
            <w:tcBorders>
              <w:top w:val="single" w:color="000000" w:sz="4" w:space="0"/>
              <w:left w:val="single" w:color="000000" w:sz="4" w:space="0"/>
              <w:bottom w:val="single" w:color="000000" w:sz="4" w:space="0"/>
              <w:right w:val="single" w:color="000000" w:sz="4" w:space="0"/>
            </w:tcBorders>
            <w:vAlign w:val="center"/>
          </w:tcPr>
          <w:p w14:paraId="624B0698">
            <w:pPr>
              <w:spacing w:before="0" w:after="0" w:afterAutospacing="0" w:line="240" w:lineRule="auto"/>
              <w:ind w:left="0" w:right="0" w:firstLine="0"/>
              <w:rPr>
                <w:color w:val="auto"/>
                <w:kern w:val="2"/>
                <w:highlight w:val="none"/>
              </w:rPr>
            </w:pPr>
            <w:r>
              <w:rPr>
                <w:rFonts w:hint="eastAsia"/>
                <w:color w:val="auto"/>
                <w:kern w:val="2"/>
                <w:highlight w:val="none"/>
              </w:rPr>
              <w:t>拟投入本项目装修设计专业人员总人数不少于 2人；</w:t>
            </w:r>
          </w:p>
        </w:tc>
        <w:tc>
          <w:tcPr>
            <w:tcW w:w="829" w:type="dxa"/>
            <w:vMerge w:val="continue"/>
            <w:tcBorders>
              <w:left w:val="single" w:color="000000" w:sz="4" w:space="0"/>
              <w:bottom w:val="single" w:color="000000" w:sz="4" w:space="0"/>
              <w:right w:val="single" w:color="000000" w:sz="4" w:space="0"/>
            </w:tcBorders>
            <w:noWrap/>
            <w:vAlign w:val="center"/>
          </w:tcPr>
          <w:p w14:paraId="7348E456">
            <w:pPr>
              <w:spacing w:before="0" w:after="0" w:afterAutospacing="0" w:line="240" w:lineRule="auto"/>
              <w:ind w:left="0" w:right="0"/>
              <w:jc w:val="center"/>
              <w:rPr>
                <w:rFonts w:hint="eastAsia" w:ascii="宋体" w:hAnsi="宋体" w:cs="宋体"/>
                <w:color w:val="auto"/>
                <w:highlight w:val="none"/>
              </w:rPr>
            </w:pPr>
          </w:p>
        </w:tc>
      </w:tr>
      <w:tr w14:paraId="760167CC">
        <w:tblPrEx>
          <w:tblCellMar>
            <w:top w:w="0" w:type="dxa"/>
            <w:left w:w="108" w:type="dxa"/>
            <w:bottom w:w="0" w:type="dxa"/>
            <w:right w:w="108" w:type="dxa"/>
          </w:tblCellMar>
        </w:tblPrEx>
        <w:trPr>
          <w:trHeight w:val="546" w:hRule="atLeast"/>
          <w:jc w:val="center"/>
        </w:trPr>
        <w:tc>
          <w:tcPr>
            <w:tcW w:w="650" w:type="dxa"/>
            <w:vMerge w:val="restart"/>
            <w:tcBorders>
              <w:top w:val="single" w:color="000000" w:sz="4" w:space="0"/>
              <w:left w:val="single" w:color="000000" w:sz="4" w:space="0"/>
              <w:bottom w:val="single" w:color="000000" w:sz="4" w:space="0"/>
              <w:right w:val="single" w:color="000000" w:sz="4" w:space="0"/>
            </w:tcBorders>
            <w:noWrap/>
            <w:vAlign w:val="center"/>
          </w:tcPr>
          <w:p w14:paraId="0D6F763F">
            <w:pPr>
              <w:spacing w:before="0" w:after="0" w:afterAutospacing="0" w:line="240" w:lineRule="auto"/>
              <w:ind w:left="0" w:right="0"/>
              <w:jc w:val="center"/>
              <w:textAlignment w:val="center"/>
              <w:rPr>
                <w:rFonts w:hint="eastAsia" w:ascii="宋体" w:hAnsi="宋体" w:cs="宋体"/>
                <w:color w:val="auto"/>
                <w:highlight w:val="none"/>
                <w:lang w:val="en-US" w:eastAsia="zh-CN"/>
              </w:rPr>
            </w:pPr>
          </w:p>
          <w:p w14:paraId="0D697139">
            <w:pPr>
              <w:bidi w:val="0"/>
              <w:jc w:val="center"/>
              <w:rPr>
                <w:rFonts w:hint="default" w:ascii="Times New Roman" w:hAnsi="Times New Roman" w:eastAsia="宋体" w:cs="Times New Roman"/>
                <w:color w:val="auto"/>
                <w:sz w:val="21"/>
                <w:szCs w:val="21"/>
                <w:highlight w:val="none"/>
                <w:lang w:val="en-US" w:eastAsia="zh-CN" w:bidi="ar-SA"/>
              </w:rPr>
            </w:pPr>
            <w:r>
              <w:rPr>
                <w:rFonts w:hint="eastAsia" w:cs="Times New Roman"/>
                <w:color w:val="auto"/>
                <w:sz w:val="21"/>
                <w:szCs w:val="21"/>
                <w:highlight w:val="none"/>
                <w:lang w:val="en-US" w:eastAsia="zh-CN" w:bidi="ar-SA"/>
              </w:rPr>
              <w:t>2</w:t>
            </w:r>
          </w:p>
          <w:p w14:paraId="4C444C14">
            <w:pPr>
              <w:bidi w:val="0"/>
              <w:jc w:val="center"/>
              <w:rPr>
                <w:rFonts w:hint="eastAsia" w:cs="Times New Roman"/>
                <w:color w:val="auto"/>
                <w:sz w:val="21"/>
                <w:szCs w:val="21"/>
                <w:highlight w:val="none"/>
                <w:lang w:val="en-US" w:eastAsia="zh-CN" w:bidi="ar-SA"/>
              </w:rPr>
            </w:pPr>
          </w:p>
        </w:tc>
        <w:tc>
          <w:tcPr>
            <w:tcW w:w="1357" w:type="dxa"/>
            <w:vMerge w:val="restart"/>
            <w:tcBorders>
              <w:top w:val="single" w:color="000000" w:sz="4" w:space="0"/>
              <w:left w:val="single" w:color="000000" w:sz="4" w:space="0"/>
              <w:right w:val="single" w:color="000000" w:sz="4" w:space="0"/>
            </w:tcBorders>
            <w:vAlign w:val="center"/>
          </w:tcPr>
          <w:p w14:paraId="08181925">
            <w:pPr>
              <w:pStyle w:val="2"/>
              <w:spacing w:before="0" w:after="0" w:afterAutospacing="0"/>
              <w:ind w:left="0" w:leftChars="0" w:right="0" w:firstLine="0" w:firstLineChars="0"/>
              <w:jc w:val="center"/>
              <w:rPr>
                <w:rFonts w:hint="eastAsia" w:ascii="宋体" w:hAnsi="宋体" w:eastAsia="宋体" w:cs="宋体"/>
                <w:color w:val="auto"/>
                <w:sz w:val="21"/>
                <w:highlight w:val="none"/>
                <w:lang w:bidi="ar"/>
              </w:rPr>
            </w:pPr>
            <w:r>
              <w:rPr>
                <w:rFonts w:hint="eastAsia" w:ascii="宋体" w:hAnsi="宋体" w:eastAsia="宋体" w:cs="宋体"/>
                <w:b/>
                <w:bCs/>
                <w:color w:val="auto"/>
                <w:sz w:val="21"/>
                <w:highlight w:val="none"/>
                <w:lang w:bidi="ar"/>
              </w:rPr>
              <w:t>设计服务方案（1</w:t>
            </w:r>
            <w:r>
              <w:rPr>
                <w:rFonts w:hint="eastAsia" w:ascii="宋体" w:hAnsi="宋体" w:eastAsia="宋体" w:cs="宋体"/>
                <w:b/>
                <w:bCs/>
                <w:color w:val="auto"/>
                <w:sz w:val="21"/>
                <w:highlight w:val="none"/>
                <w:lang w:val="en-US" w:eastAsia="zh-CN" w:bidi="ar"/>
              </w:rPr>
              <w:t>5</w:t>
            </w:r>
            <w:r>
              <w:rPr>
                <w:rFonts w:hint="eastAsia" w:ascii="宋体" w:hAnsi="宋体" w:eastAsia="宋体" w:cs="宋体"/>
                <w:b/>
                <w:bCs/>
                <w:color w:val="auto"/>
                <w:sz w:val="21"/>
                <w:highlight w:val="none"/>
                <w:lang w:bidi="ar"/>
              </w:rPr>
              <w:t>分）</w:t>
            </w:r>
          </w:p>
        </w:tc>
        <w:tc>
          <w:tcPr>
            <w:tcW w:w="1350" w:type="dxa"/>
            <w:tcBorders>
              <w:top w:val="single" w:color="000000" w:sz="4" w:space="0"/>
              <w:left w:val="single" w:color="000000" w:sz="4" w:space="0"/>
              <w:bottom w:val="single" w:color="auto" w:sz="4" w:space="0"/>
              <w:right w:val="single" w:color="000000" w:sz="4" w:space="0"/>
            </w:tcBorders>
            <w:noWrap/>
            <w:vAlign w:val="center"/>
          </w:tcPr>
          <w:p w14:paraId="1F895425">
            <w:pPr>
              <w:spacing w:before="0" w:after="0" w:afterAutospacing="0" w:line="240" w:lineRule="auto"/>
              <w:ind w:left="0" w:leftChars="0" w:right="0" w:rightChars="0" w:firstLine="0" w:firstLineChars="0"/>
              <w:jc w:val="center"/>
              <w:textAlignment w:val="center"/>
              <w:rPr>
                <w:rFonts w:hint="eastAsia" w:ascii="宋体" w:hAnsi="宋体" w:eastAsia="宋体" w:cs="宋体"/>
                <w:color w:val="auto"/>
                <w:highlight w:val="none"/>
                <w:lang w:eastAsia="zh-CN" w:bidi="ar"/>
              </w:rPr>
            </w:pPr>
            <w:r>
              <w:rPr>
                <w:rFonts w:hint="eastAsia" w:ascii="宋体" w:hAnsi="宋体" w:cs="宋体"/>
                <w:color w:val="auto"/>
                <w:highlight w:val="none"/>
                <w:lang w:bidi="ar"/>
              </w:rPr>
              <w:t>12&lt;m≤15</w:t>
            </w:r>
          </w:p>
        </w:tc>
        <w:tc>
          <w:tcPr>
            <w:tcW w:w="5100" w:type="dxa"/>
            <w:tcBorders>
              <w:top w:val="single" w:color="000000" w:sz="4" w:space="0"/>
              <w:left w:val="single" w:color="000000" w:sz="4" w:space="0"/>
              <w:bottom w:val="single" w:color="auto" w:sz="4" w:space="0"/>
              <w:right w:val="single" w:color="000000" w:sz="4" w:space="0"/>
            </w:tcBorders>
            <w:vAlign w:val="center"/>
          </w:tcPr>
          <w:p w14:paraId="726DCFA7">
            <w:pPr>
              <w:spacing w:before="0" w:after="0" w:afterAutospacing="0" w:line="240" w:lineRule="auto"/>
              <w:ind w:left="0" w:right="0" w:firstLine="0"/>
              <w:rPr>
                <w:color w:val="auto"/>
                <w:kern w:val="2"/>
                <w:highlight w:val="none"/>
              </w:rPr>
            </w:pPr>
            <w:r>
              <w:rPr>
                <w:rFonts w:hint="eastAsia"/>
                <w:color w:val="auto"/>
                <w:kern w:val="2"/>
                <w:highlight w:val="none"/>
              </w:rPr>
              <w:t xml:space="preserve">设计实施方案科学合理，详尽有针对性。至少包含对项目所处区域建设条件的分析、对具体设计工作组织实施分析、对现状分析、能提出科学性建议、对设计造价分析与限额设计措施等内容，内容具体深刻，可行性很强。  </w:t>
            </w:r>
          </w:p>
        </w:tc>
        <w:tc>
          <w:tcPr>
            <w:tcW w:w="829" w:type="dxa"/>
            <w:vMerge w:val="restart"/>
            <w:tcBorders>
              <w:top w:val="single" w:color="000000" w:sz="4" w:space="0"/>
              <w:left w:val="single" w:color="000000" w:sz="4" w:space="0"/>
              <w:right w:val="single" w:color="000000" w:sz="4" w:space="0"/>
            </w:tcBorders>
            <w:noWrap/>
            <w:vAlign w:val="center"/>
          </w:tcPr>
          <w:p w14:paraId="79C42D0E">
            <w:pPr>
              <w:spacing w:before="0" w:after="0" w:afterAutospacing="0" w:line="240" w:lineRule="auto"/>
              <w:ind w:left="0" w:right="0" w:firstLine="0"/>
              <w:rPr>
                <w:rFonts w:hint="eastAsia" w:ascii="宋体" w:hAnsi="宋体" w:cs="宋体"/>
                <w:color w:val="auto"/>
                <w:highlight w:val="none"/>
              </w:rPr>
            </w:pPr>
            <w:r>
              <w:rPr>
                <w:rFonts w:hint="eastAsia"/>
                <w:b/>
                <w:bCs/>
                <w:color w:val="auto"/>
                <w:highlight w:val="none"/>
              </w:rPr>
              <w:t>服务建议书</w:t>
            </w:r>
          </w:p>
        </w:tc>
      </w:tr>
      <w:tr w14:paraId="138029E8">
        <w:tblPrEx>
          <w:tblCellMar>
            <w:top w:w="0" w:type="dxa"/>
            <w:left w:w="108" w:type="dxa"/>
            <w:bottom w:w="0" w:type="dxa"/>
            <w:right w:w="108" w:type="dxa"/>
          </w:tblCellMar>
        </w:tblPrEx>
        <w:trPr>
          <w:trHeight w:val="370" w:hRule="atLeast"/>
          <w:jc w:val="center"/>
        </w:trPr>
        <w:tc>
          <w:tcPr>
            <w:tcW w:w="650" w:type="dxa"/>
            <w:vMerge w:val="continue"/>
            <w:tcBorders>
              <w:top w:val="single" w:color="000000" w:sz="4" w:space="0"/>
              <w:left w:val="single" w:color="000000" w:sz="4" w:space="0"/>
              <w:bottom w:val="single" w:color="000000" w:sz="4" w:space="0"/>
              <w:right w:val="single" w:color="000000" w:sz="4" w:space="0"/>
            </w:tcBorders>
            <w:noWrap/>
            <w:vAlign w:val="center"/>
          </w:tcPr>
          <w:p w14:paraId="56B7A67F">
            <w:pPr>
              <w:spacing w:before="0" w:after="0" w:afterAutospacing="0" w:line="240" w:lineRule="auto"/>
              <w:ind w:left="0" w:right="0"/>
              <w:jc w:val="center"/>
              <w:textAlignment w:val="center"/>
              <w:rPr>
                <w:rFonts w:hint="eastAsia" w:ascii="宋体" w:hAnsi="宋体" w:cs="宋体"/>
                <w:color w:val="auto"/>
                <w:highlight w:val="none"/>
              </w:rPr>
            </w:pPr>
          </w:p>
        </w:tc>
        <w:tc>
          <w:tcPr>
            <w:tcW w:w="1357" w:type="dxa"/>
            <w:vMerge w:val="continue"/>
            <w:tcBorders>
              <w:left w:val="single" w:color="000000" w:sz="4" w:space="0"/>
              <w:right w:val="single" w:color="000000" w:sz="4" w:space="0"/>
            </w:tcBorders>
            <w:vAlign w:val="center"/>
          </w:tcPr>
          <w:p w14:paraId="770EE23A">
            <w:pPr>
              <w:pStyle w:val="2"/>
              <w:spacing w:before="0" w:after="0" w:afterAutospacing="0"/>
              <w:ind w:left="0" w:leftChars="0" w:right="0" w:firstLine="0" w:firstLineChars="0"/>
              <w:jc w:val="center"/>
              <w:rPr>
                <w:rFonts w:ascii="宋体" w:hAnsi="宋体" w:cs="宋体"/>
                <w:b/>
                <w:bCs/>
                <w:color w:val="auto"/>
                <w:sz w:val="18"/>
                <w:szCs w:val="18"/>
                <w:highlight w:val="none"/>
              </w:rPr>
            </w:pPr>
          </w:p>
        </w:tc>
        <w:tc>
          <w:tcPr>
            <w:tcW w:w="1350" w:type="dxa"/>
            <w:tcBorders>
              <w:left w:val="single" w:color="000000" w:sz="4" w:space="0"/>
              <w:bottom w:val="single" w:color="auto" w:sz="4" w:space="0"/>
              <w:right w:val="single" w:color="000000" w:sz="4" w:space="0"/>
            </w:tcBorders>
            <w:noWrap/>
            <w:vAlign w:val="center"/>
          </w:tcPr>
          <w:p w14:paraId="1109B46C">
            <w:pPr>
              <w:spacing w:before="0" w:after="0" w:afterAutospacing="0" w:line="240" w:lineRule="auto"/>
              <w:ind w:left="0" w:leftChars="0" w:right="0" w:rightChars="0" w:firstLine="0" w:firstLineChars="0"/>
              <w:jc w:val="center"/>
              <w:textAlignment w:val="center"/>
              <w:rPr>
                <w:rFonts w:hint="default" w:ascii="宋体" w:hAnsi="宋体" w:eastAsia="宋体" w:cs="宋体"/>
                <w:color w:val="auto"/>
                <w:highlight w:val="none"/>
                <w:lang w:val="en-US" w:eastAsia="zh-CN" w:bidi="ar"/>
              </w:rPr>
            </w:pPr>
            <w:r>
              <w:rPr>
                <w:rFonts w:hint="eastAsia" w:ascii="宋体" w:hAnsi="宋体" w:cs="宋体"/>
                <w:color w:val="auto"/>
                <w:highlight w:val="none"/>
                <w:lang w:bidi="ar"/>
              </w:rPr>
              <w:t>10&lt;m≤12</w:t>
            </w:r>
          </w:p>
        </w:tc>
        <w:tc>
          <w:tcPr>
            <w:tcW w:w="5100" w:type="dxa"/>
            <w:tcBorders>
              <w:top w:val="single" w:color="auto" w:sz="4" w:space="0"/>
              <w:left w:val="single" w:color="000000" w:sz="4" w:space="0"/>
              <w:bottom w:val="single" w:color="auto" w:sz="4" w:space="0"/>
              <w:right w:val="single" w:color="000000" w:sz="4" w:space="0"/>
            </w:tcBorders>
            <w:vAlign w:val="center"/>
          </w:tcPr>
          <w:p w14:paraId="3C5B55B2">
            <w:pPr>
              <w:spacing w:before="0" w:after="0" w:afterAutospacing="0" w:line="240" w:lineRule="auto"/>
              <w:ind w:left="0" w:right="0" w:firstLine="0"/>
              <w:rPr>
                <w:color w:val="auto"/>
                <w:kern w:val="2"/>
                <w:highlight w:val="none"/>
              </w:rPr>
            </w:pPr>
            <w:r>
              <w:rPr>
                <w:rFonts w:hint="eastAsia"/>
                <w:color w:val="auto"/>
                <w:kern w:val="2"/>
                <w:highlight w:val="none"/>
              </w:rPr>
              <w:t>设计实施方案合理、明了。至少包含对具体设计工作组织实施分析、对设计现状分析、对设计造价分析与限额设计措施等内容，内容可行。</w:t>
            </w:r>
          </w:p>
        </w:tc>
        <w:tc>
          <w:tcPr>
            <w:tcW w:w="829" w:type="dxa"/>
            <w:vMerge w:val="continue"/>
            <w:tcBorders>
              <w:left w:val="single" w:color="000000" w:sz="4" w:space="0"/>
              <w:right w:val="single" w:color="000000" w:sz="4" w:space="0"/>
            </w:tcBorders>
            <w:noWrap/>
            <w:vAlign w:val="center"/>
          </w:tcPr>
          <w:p w14:paraId="16F36BED">
            <w:pPr>
              <w:spacing w:before="0" w:after="0" w:afterAutospacing="0" w:line="240" w:lineRule="auto"/>
              <w:ind w:left="0" w:right="0"/>
              <w:jc w:val="center"/>
              <w:rPr>
                <w:rFonts w:hint="eastAsia" w:ascii="宋体" w:hAnsi="宋体" w:cs="宋体"/>
                <w:color w:val="auto"/>
                <w:highlight w:val="none"/>
              </w:rPr>
            </w:pPr>
          </w:p>
        </w:tc>
      </w:tr>
      <w:tr w14:paraId="0EF55474">
        <w:tblPrEx>
          <w:tblCellMar>
            <w:top w:w="0" w:type="dxa"/>
            <w:left w:w="108" w:type="dxa"/>
            <w:bottom w:w="0" w:type="dxa"/>
            <w:right w:w="108" w:type="dxa"/>
          </w:tblCellMar>
        </w:tblPrEx>
        <w:trPr>
          <w:trHeight w:val="636" w:hRule="atLeast"/>
          <w:jc w:val="center"/>
        </w:trPr>
        <w:tc>
          <w:tcPr>
            <w:tcW w:w="650" w:type="dxa"/>
            <w:vMerge w:val="continue"/>
            <w:tcBorders>
              <w:top w:val="single" w:color="000000" w:sz="4" w:space="0"/>
              <w:left w:val="single" w:color="000000" w:sz="4" w:space="0"/>
              <w:bottom w:val="single" w:color="000000" w:sz="4" w:space="0"/>
              <w:right w:val="single" w:color="000000" w:sz="4" w:space="0"/>
            </w:tcBorders>
            <w:noWrap/>
            <w:vAlign w:val="center"/>
          </w:tcPr>
          <w:p w14:paraId="66912965">
            <w:pPr>
              <w:spacing w:before="0" w:after="0" w:afterAutospacing="0" w:line="240" w:lineRule="auto"/>
              <w:ind w:left="0" w:right="0"/>
              <w:jc w:val="center"/>
              <w:textAlignment w:val="center"/>
              <w:rPr>
                <w:rFonts w:hint="eastAsia" w:ascii="宋体" w:hAnsi="宋体" w:cs="宋体"/>
                <w:color w:val="auto"/>
                <w:highlight w:val="none"/>
              </w:rPr>
            </w:pPr>
          </w:p>
        </w:tc>
        <w:tc>
          <w:tcPr>
            <w:tcW w:w="1357" w:type="dxa"/>
            <w:vMerge w:val="continue"/>
            <w:tcBorders>
              <w:left w:val="single" w:color="000000" w:sz="4" w:space="0"/>
              <w:bottom w:val="single" w:color="auto" w:sz="4" w:space="0"/>
              <w:right w:val="single" w:color="000000" w:sz="4" w:space="0"/>
            </w:tcBorders>
            <w:vAlign w:val="center"/>
          </w:tcPr>
          <w:p w14:paraId="0FB48516">
            <w:pPr>
              <w:pStyle w:val="2"/>
              <w:spacing w:before="0" w:after="0" w:afterAutospacing="0"/>
              <w:ind w:left="0" w:leftChars="0" w:right="0" w:firstLine="0" w:firstLineChars="0"/>
              <w:jc w:val="center"/>
              <w:rPr>
                <w:rFonts w:ascii="宋体" w:hAnsi="宋体" w:cs="宋体"/>
                <w:b/>
                <w:bCs/>
                <w:color w:val="auto"/>
                <w:sz w:val="18"/>
                <w:szCs w:val="18"/>
                <w:highlight w:val="none"/>
              </w:rPr>
            </w:pPr>
          </w:p>
        </w:tc>
        <w:tc>
          <w:tcPr>
            <w:tcW w:w="1350" w:type="dxa"/>
            <w:tcBorders>
              <w:left w:val="single" w:color="000000" w:sz="4" w:space="0"/>
              <w:bottom w:val="single" w:color="000000" w:sz="4" w:space="0"/>
              <w:right w:val="single" w:color="000000" w:sz="4" w:space="0"/>
            </w:tcBorders>
            <w:noWrap/>
            <w:vAlign w:val="center"/>
          </w:tcPr>
          <w:p w14:paraId="1B6258CA">
            <w:pPr>
              <w:spacing w:before="0" w:after="0" w:afterAutospacing="0" w:line="240" w:lineRule="auto"/>
              <w:ind w:left="0" w:leftChars="0" w:right="0" w:rightChars="0" w:firstLine="0" w:firstLineChars="0"/>
              <w:jc w:val="center"/>
              <w:textAlignment w:val="center"/>
              <w:rPr>
                <w:rFonts w:hint="eastAsia" w:ascii="宋体" w:hAnsi="宋体" w:cs="宋体"/>
                <w:color w:val="auto"/>
                <w:highlight w:val="none"/>
                <w:lang w:bidi="ar"/>
              </w:rPr>
            </w:pPr>
            <w:r>
              <w:rPr>
                <w:rFonts w:hint="eastAsia" w:ascii="宋体" w:hAnsi="宋体" w:cs="宋体"/>
                <w:color w:val="auto"/>
                <w:highlight w:val="none"/>
                <w:lang w:bidi="ar"/>
              </w:rPr>
              <w:t>0&lt;m≤10</w:t>
            </w:r>
          </w:p>
        </w:tc>
        <w:tc>
          <w:tcPr>
            <w:tcW w:w="5100" w:type="dxa"/>
            <w:tcBorders>
              <w:top w:val="single" w:color="auto" w:sz="4" w:space="0"/>
              <w:left w:val="single" w:color="000000" w:sz="4" w:space="0"/>
              <w:bottom w:val="single" w:color="000000" w:sz="4" w:space="0"/>
              <w:right w:val="single" w:color="000000" w:sz="4" w:space="0"/>
            </w:tcBorders>
            <w:vAlign w:val="center"/>
          </w:tcPr>
          <w:p w14:paraId="26F4EEEA">
            <w:pPr>
              <w:spacing w:before="0" w:after="0" w:afterAutospacing="0" w:line="240" w:lineRule="auto"/>
              <w:ind w:left="0" w:right="0" w:firstLine="0"/>
              <w:rPr>
                <w:color w:val="auto"/>
                <w:kern w:val="2"/>
                <w:highlight w:val="none"/>
              </w:rPr>
            </w:pPr>
            <w:r>
              <w:rPr>
                <w:rFonts w:hint="eastAsia"/>
                <w:color w:val="auto"/>
                <w:kern w:val="2"/>
                <w:highlight w:val="none"/>
              </w:rPr>
              <w:t>设计实施方案不合理，内容缺失。没有对设计工作组织实施分析，无设计造价分析与限额设计措施等内容。</w:t>
            </w:r>
          </w:p>
        </w:tc>
        <w:tc>
          <w:tcPr>
            <w:tcW w:w="829" w:type="dxa"/>
            <w:vMerge w:val="continue"/>
            <w:tcBorders>
              <w:left w:val="single" w:color="000000" w:sz="4" w:space="0"/>
              <w:right w:val="single" w:color="000000" w:sz="4" w:space="0"/>
            </w:tcBorders>
            <w:noWrap/>
            <w:vAlign w:val="center"/>
          </w:tcPr>
          <w:p w14:paraId="1D7E3CF5">
            <w:pPr>
              <w:spacing w:before="0" w:after="0" w:afterAutospacing="0" w:line="240" w:lineRule="auto"/>
              <w:ind w:left="0" w:right="0"/>
              <w:jc w:val="center"/>
              <w:rPr>
                <w:rFonts w:hint="eastAsia" w:ascii="宋体" w:hAnsi="宋体" w:cs="宋体"/>
                <w:color w:val="auto"/>
                <w:highlight w:val="none"/>
              </w:rPr>
            </w:pPr>
          </w:p>
        </w:tc>
      </w:tr>
      <w:tr w14:paraId="02C8F350">
        <w:tblPrEx>
          <w:tblCellMar>
            <w:top w:w="0" w:type="dxa"/>
            <w:left w:w="108" w:type="dxa"/>
            <w:bottom w:w="0" w:type="dxa"/>
            <w:right w:w="108" w:type="dxa"/>
          </w:tblCellMar>
        </w:tblPrEx>
        <w:trPr>
          <w:trHeight w:val="90" w:hRule="atLeast"/>
          <w:jc w:val="center"/>
        </w:trPr>
        <w:tc>
          <w:tcPr>
            <w:tcW w:w="650" w:type="dxa"/>
            <w:vMerge w:val="restart"/>
            <w:tcBorders>
              <w:top w:val="single" w:color="000000" w:sz="4" w:space="0"/>
              <w:left w:val="single" w:color="000000" w:sz="4" w:space="0"/>
              <w:bottom w:val="single" w:color="000000" w:sz="4" w:space="0"/>
              <w:right w:val="single" w:color="000000" w:sz="4" w:space="0"/>
            </w:tcBorders>
            <w:noWrap/>
            <w:vAlign w:val="center"/>
          </w:tcPr>
          <w:p w14:paraId="49FF5AE2">
            <w:pPr>
              <w:spacing w:before="0" w:after="0" w:afterAutospacing="0" w:line="240" w:lineRule="auto"/>
              <w:ind w:right="0"/>
              <w:jc w:val="center"/>
              <w:textAlignment w:val="center"/>
              <w:rPr>
                <w:rFonts w:hint="default" w:ascii="Times New Roman" w:hAnsi="Times New Roman" w:eastAsia="宋体" w:cs="Times New Roman"/>
                <w:color w:val="auto"/>
                <w:sz w:val="21"/>
                <w:szCs w:val="21"/>
                <w:highlight w:val="none"/>
                <w:lang w:val="en-US" w:eastAsia="zh-CN" w:bidi="ar-SA"/>
              </w:rPr>
            </w:pPr>
            <w:r>
              <w:rPr>
                <w:rFonts w:hint="eastAsia" w:cs="Times New Roman"/>
                <w:color w:val="auto"/>
                <w:sz w:val="21"/>
                <w:szCs w:val="21"/>
                <w:highlight w:val="none"/>
                <w:lang w:val="en-US" w:eastAsia="zh-CN" w:bidi="ar-SA"/>
              </w:rPr>
              <w:t>3</w:t>
            </w:r>
          </w:p>
        </w:tc>
        <w:tc>
          <w:tcPr>
            <w:tcW w:w="1357" w:type="dxa"/>
            <w:vMerge w:val="restart"/>
            <w:tcBorders>
              <w:top w:val="single" w:color="auto" w:sz="4" w:space="0"/>
              <w:left w:val="single" w:color="000000" w:sz="4" w:space="0"/>
              <w:right w:val="single" w:color="000000" w:sz="4" w:space="0"/>
            </w:tcBorders>
            <w:vAlign w:val="center"/>
          </w:tcPr>
          <w:p w14:paraId="785F96B6">
            <w:pPr>
              <w:spacing w:before="0" w:after="0" w:afterAutospacing="0" w:line="240" w:lineRule="auto"/>
              <w:ind w:left="0" w:right="0" w:firstLine="0"/>
              <w:jc w:val="center"/>
              <w:rPr>
                <w:rFonts w:hint="eastAsia" w:ascii="宋体" w:hAnsi="宋体" w:cs="宋体"/>
                <w:b/>
                <w:bCs/>
                <w:color w:val="auto"/>
                <w:highlight w:val="none"/>
                <w:lang w:bidi="ar"/>
              </w:rPr>
            </w:pPr>
            <w:r>
              <w:rPr>
                <w:rFonts w:hint="eastAsia" w:ascii="宋体" w:hAnsi="宋体" w:cs="宋体"/>
                <w:b/>
                <w:bCs/>
                <w:color w:val="auto"/>
                <w:highlight w:val="none"/>
                <w:lang w:bidi="ar"/>
              </w:rPr>
              <w:t>服务响应方案</w:t>
            </w:r>
          </w:p>
          <w:p w14:paraId="0625B530">
            <w:pPr>
              <w:spacing w:before="0" w:after="0" w:afterAutospacing="0" w:line="240" w:lineRule="auto"/>
              <w:ind w:left="0" w:right="0" w:firstLine="0"/>
              <w:jc w:val="center"/>
              <w:rPr>
                <w:rFonts w:hint="eastAsia" w:ascii="宋体" w:hAnsi="宋体" w:cs="宋体"/>
                <w:b/>
                <w:bCs/>
                <w:color w:val="auto"/>
                <w:sz w:val="18"/>
                <w:szCs w:val="18"/>
                <w:highlight w:val="none"/>
              </w:rPr>
            </w:pPr>
            <w:r>
              <w:rPr>
                <w:rFonts w:hint="eastAsia" w:ascii="宋体" w:hAnsi="宋体" w:cs="宋体"/>
                <w:b/>
                <w:bCs/>
                <w:color w:val="auto"/>
                <w:sz w:val="18"/>
                <w:szCs w:val="18"/>
                <w:highlight w:val="none"/>
              </w:rPr>
              <w:t>（1</w:t>
            </w:r>
            <w:r>
              <w:rPr>
                <w:rFonts w:hint="eastAsia" w:ascii="宋体" w:hAnsi="宋体" w:cs="宋体"/>
                <w:b/>
                <w:bCs/>
                <w:color w:val="auto"/>
                <w:sz w:val="18"/>
                <w:szCs w:val="18"/>
                <w:highlight w:val="none"/>
                <w:lang w:val="en-US" w:eastAsia="zh-CN"/>
              </w:rPr>
              <w:t>5</w:t>
            </w:r>
            <w:r>
              <w:rPr>
                <w:rFonts w:hint="eastAsia" w:ascii="宋体" w:hAnsi="宋体" w:cs="宋体"/>
                <w:b/>
                <w:bCs/>
                <w:color w:val="auto"/>
                <w:sz w:val="18"/>
                <w:szCs w:val="18"/>
                <w:highlight w:val="none"/>
              </w:rPr>
              <w:t>分）</w:t>
            </w:r>
          </w:p>
        </w:tc>
        <w:tc>
          <w:tcPr>
            <w:tcW w:w="1350" w:type="dxa"/>
            <w:tcBorders>
              <w:top w:val="single" w:color="000000" w:sz="4" w:space="0"/>
              <w:left w:val="single" w:color="000000" w:sz="4" w:space="0"/>
              <w:bottom w:val="single" w:color="000000" w:sz="4" w:space="0"/>
              <w:right w:val="single" w:color="000000" w:sz="4" w:space="0"/>
            </w:tcBorders>
            <w:noWrap/>
            <w:vAlign w:val="center"/>
          </w:tcPr>
          <w:p w14:paraId="6FA4A9A8">
            <w:pPr>
              <w:spacing w:before="0" w:after="0" w:afterAutospacing="0" w:line="240" w:lineRule="auto"/>
              <w:ind w:left="0" w:leftChars="0" w:right="0" w:rightChars="0" w:firstLine="0" w:firstLineChars="0"/>
              <w:jc w:val="center"/>
              <w:textAlignment w:val="center"/>
              <w:rPr>
                <w:rFonts w:hint="eastAsia" w:ascii="宋体" w:hAnsi="宋体" w:cs="宋体"/>
                <w:color w:val="auto"/>
                <w:highlight w:val="none"/>
                <w:lang w:bidi="ar"/>
              </w:rPr>
            </w:pPr>
            <w:r>
              <w:rPr>
                <w:rFonts w:hint="eastAsia" w:ascii="宋体" w:hAnsi="宋体" w:cs="宋体"/>
                <w:color w:val="auto"/>
                <w:highlight w:val="none"/>
                <w:lang w:bidi="ar"/>
              </w:rPr>
              <w:t>12&lt;m≤15</w:t>
            </w:r>
          </w:p>
        </w:tc>
        <w:tc>
          <w:tcPr>
            <w:tcW w:w="5100" w:type="dxa"/>
            <w:tcBorders>
              <w:top w:val="single" w:color="000000" w:sz="4" w:space="0"/>
              <w:left w:val="single" w:color="000000" w:sz="4" w:space="0"/>
              <w:bottom w:val="single" w:color="000000" w:sz="4" w:space="0"/>
              <w:right w:val="single" w:color="000000" w:sz="4" w:space="0"/>
            </w:tcBorders>
            <w:vAlign w:val="center"/>
          </w:tcPr>
          <w:p w14:paraId="1B0D8D37">
            <w:pPr>
              <w:spacing w:before="0" w:after="0" w:afterAutospacing="0" w:line="240" w:lineRule="auto"/>
              <w:ind w:left="0" w:right="0" w:firstLine="0"/>
              <w:rPr>
                <w:color w:val="auto"/>
                <w:kern w:val="2"/>
                <w:highlight w:val="none"/>
              </w:rPr>
            </w:pPr>
            <w:r>
              <w:rPr>
                <w:rFonts w:hint="eastAsia"/>
                <w:color w:val="auto"/>
                <w:kern w:val="2"/>
                <w:highlight w:val="none"/>
              </w:rPr>
              <w:t xml:space="preserve">设计管理要点明确清晰、可行性非常强，至少包含工作计划编排及保证措施、质量保证措施、优化设计管理、对拟投入人员考核及处罚管理等内容，内容充实，完全满足比选文件要求。  </w:t>
            </w:r>
          </w:p>
        </w:tc>
        <w:tc>
          <w:tcPr>
            <w:tcW w:w="829" w:type="dxa"/>
            <w:vMerge w:val="continue"/>
            <w:tcBorders>
              <w:left w:val="single" w:color="000000" w:sz="4" w:space="0"/>
              <w:right w:val="single" w:color="000000" w:sz="4" w:space="0"/>
            </w:tcBorders>
            <w:noWrap/>
            <w:vAlign w:val="center"/>
          </w:tcPr>
          <w:p w14:paraId="71EF4221">
            <w:pPr>
              <w:spacing w:before="0" w:after="0" w:afterAutospacing="0" w:line="240" w:lineRule="auto"/>
              <w:ind w:left="0" w:right="0"/>
              <w:jc w:val="center"/>
              <w:rPr>
                <w:rFonts w:hint="eastAsia" w:ascii="宋体" w:hAnsi="宋体" w:cs="宋体"/>
                <w:color w:val="auto"/>
                <w:highlight w:val="none"/>
              </w:rPr>
            </w:pPr>
          </w:p>
        </w:tc>
      </w:tr>
      <w:tr w14:paraId="166885CF">
        <w:tblPrEx>
          <w:tblCellMar>
            <w:top w:w="0" w:type="dxa"/>
            <w:left w:w="108" w:type="dxa"/>
            <w:bottom w:w="0" w:type="dxa"/>
            <w:right w:w="108" w:type="dxa"/>
          </w:tblCellMar>
        </w:tblPrEx>
        <w:trPr>
          <w:trHeight w:val="600" w:hRule="atLeast"/>
          <w:jc w:val="center"/>
        </w:trPr>
        <w:tc>
          <w:tcPr>
            <w:tcW w:w="650" w:type="dxa"/>
            <w:vMerge w:val="continue"/>
            <w:tcBorders>
              <w:top w:val="single" w:color="000000" w:sz="4" w:space="0"/>
              <w:left w:val="single" w:color="000000" w:sz="4" w:space="0"/>
              <w:bottom w:val="single" w:color="000000" w:sz="4" w:space="0"/>
              <w:right w:val="single" w:color="000000" w:sz="4" w:space="0"/>
            </w:tcBorders>
            <w:noWrap/>
            <w:vAlign w:val="center"/>
          </w:tcPr>
          <w:p w14:paraId="26899FA0">
            <w:pPr>
              <w:spacing w:before="0" w:after="0" w:afterAutospacing="0" w:line="240" w:lineRule="auto"/>
              <w:ind w:left="0" w:right="0"/>
              <w:jc w:val="center"/>
              <w:textAlignment w:val="center"/>
              <w:rPr>
                <w:rFonts w:hint="eastAsia" w:ascii="宋体" w:hAnsi="宋体" w:cs="宋体"/>
                <w:color w:val="auto"/>
                <w:highlight w:val="none"/>
              </w:rPr>
            </w:pPr>
          </w:p>
        </w:tc>
        <w:tc>
          <w:tcPr>
            <w:tcW w:w="1357" w:type="dxa"/>
            <w:vMerge w:val="continue"/>
            <w:tcBorders>
              <w:left w:val="single" w:color="000000" w:sz="4" w:space="0"/>
              <w:right w:val="single" w:color="000000" w:sz="4" w:space="0"/>
            </w:tcBorders>
            <w:vAlign w:val="center"/>
          </w:tcPr>
          <w:p w14:paraId="75AC37B3">
            <w:pPr>
              <w:spacing w:before="0" w:after="0" w:afterAutospacing="0" w:line="240" w:lineRule="auto"/>
              <w:ind w:left="0" w:right="0" w:firstLine="0"/>
              <w:jc w:val="center"/>
              <w:rPr>
                <w:rFonts w:hint="eastAsia" w:ascii="宋体" w:hAnsi="宋体" w:cs="宋体"/>
                <w:b/>
                <w:bCs/>
                <w:color w:val="auto"/>
                <w:sz w:val="18"/>
                <w:szCs w:val="18"/>
                <w:highlight w:val="none"/>
              </w:rPr>
            </w:pPr>
          </w:p>
        </w:tc>
        <w:tc>
          <w:tcPr>
            <w:tcW w:w="1350" w:type="dxa"/>
            <w:tcBorders>
              <w:top w:val="single" w:color="000000" w:sz="4" w:space="0"/>
              <w:left w:val="single" w:color="000000" w:sz="4" w:space="0"/>
              <w:bottom w:val="single" w:color="000000" w:sz="4" w:space="0"/>
              <w:right w:val="single" w:color="000000" w:sz="4" w:space="0"/>
            </w:tcBorders>
            <w:noWrap/>
            <w:vAlign w:val="center"/>
          </w:tcPr>
          <w:p w14:paraId="6AE1CEAD">
            <w:pPr>
              <w:spacing w:before="0" w:after="0" w:afterAutospacing="0" w:line="240" w:lineRule="auto"/>
              <w:ind w:left="0" w:leftChars="0" w:right="0" w:rightChars="0" w:firstLine="0" w:firstLineChars="0"/>
              <w:jc w:val="center"/>
              <w:textAlignment w:val="center"/>
              <w:rPr>
                <w:rFonts w:hint="eastAsia" w:ascii="宋体" w:hAnsi="宋体" w:cs="宋体"/>
                <w:color w:val="auto"/>
                <w:highlight w:val="none"/>
              </w:rPr>
            </w:pPr>
            <w:r>
              <w:rPr>
                <w:rFonts w:hint="eastAsia" w:ascii="宋体" w:hAnsi="宋体" w:cs="宋体"/>
                <w:color w:val="auto"/>
                <w:highlight w:val="none"/>
                <w:lang w:bidi="ar"/>
              </w:rPr>
              <w:t>10&lt;m≤12</w:t>
            </w:r>
          </w:p>
        </w:tc>
        <w:tc>
          <w:tcPr>
            <w:tcW w:w="5100" w:type="dxa"/>
            <w:tcBorders>
              <w:top w:val="single" w:color="000000" w:sz="4" w:space="0"/>
              <w:left w:val="single" w:color="000000" w:sz="4" w:space="0"/>
              <w:bottom w:val="single" w:color="000000" w:sz="4" w:space="0"/>
              <w:right w:val="single" w:color="000000" w:sz="4" w:space="0"/>
            </w:tcBorders>
            <w:vAlign w:val="center"/>
          </w:tcPr>
          <w:p w14:paraId="73C2BE67">
            <w:pPr>
              <w:spacing w:before="0" w:after="0" w:afterAutospacing="0" w:line="240" w:lineRule="auto"/>
              <w:ind w:left="0" w:right="0" w:firstLine="0"/>
              <w:rPr>
                <w:color w:val="auto"/>
                <w:kern w:val="2"/>
                <w:highlight w:val="none"/>
              </w:rPr>
            </w:pPr>
            <w:r>
              <w:rPr>
                <w:rFonts w:hint="eastAsia"/>
                <w:color w:val="auto"/>
                <w:kern w:val="2"/>
                <w:highlight w:val="none"/>
              </w:rPr>
              <w:t>设计管理要点清晰、可行性强，至少包含工作计划编排或保证措施、质量保证措施、对拟投入人员考核及处罚管理等内容，内容充实，能满足比选文件要求。</w:t>
            </w:r>
          </w:p>
        </w:tc>
        <w:tc>
          <w:tcPr>
            <w:tcW w:w="829" w:type="dxa"/>
            <w:vMerge w:val="continue"/>
            <w:tcBorders>
              <w:left w:val="single" w:color="000000" w:sz="4" w:space="0"/>
              <w:right w:val="single" w:color="000000" w:sz="4" w:space="0"/>
            </w:tcBorders>
            <w:noWrap/>
            <w:vAlign w:val="center"/>
          </w:tcPr>
          <w:p w14:paraId="110F637E">
            <w:pPr>
              <w:spacing w:before="0" w:after="0" w:afterAutospacing="0" w:line="240" w:lineRule="auto"/>
              <w:ind w:left="0" w:right="0"/>
              <w:jc w:val="center"/>
              <w:rPr>
                <w:rFonts w:hint="eastAsia" w:ascii="宋体" w:hAnsi="宋体" w:cs="宋体"/>
                <w:color w:val="auto"/>
                <w:highlight w:val="none"/>
              </w:rPr>
            </w:pPr>
          </w:p>
        </w:tc>
      </w:tr>
      <w:tr w14:paraId="2ED3E0DE">
        <w:tblPrEx>
          <w:tblCellMar>
            <w:top w:w="0" w:type="dxa"/>
            <w:left w:w="108" w:type="dxa"/>
            <w:bottom w:w="0" w:type="dxa"/>
            <w:right w:w="108" w:type="dxa"/>
          </w:tblCellMar>
        </w:tblPrEx>
        <w:trPr>
          <w:trHeight w:val="483" w:hRule="atLeast"/>
          <w:jc w:val="center"/>
        </w:trPr>
        <w:tc>
          <w:tcPr>
            <w:tcW w:w="650" w:type="dxa"/>
            <w:vMerge w:val="continue"/>
            <w:tcBorders>
              <w:top w:val="single" w:color="000000" w:sz="4" w:space="0"/>
              <w:left w:val="single" w:color="000000" w:sz="4" w:space="0"/>
              <w:bottom w:val="single" w:color="000000" w:sz="4" w:space="0"/>
              <w:right w:val="single" w:color="000000" w:sz="4" w:space="0"/>
            </w:tcBorders>
            <w:noWrap/>
            <w:vAlign w:val="center"/>
          </w:tcPr>
          <w:p w14:paraId="0DC2BDAA">
            <w:pPr>
              <w:spacing w:before="0" w:after="0" w:afterAutospacing="0" w:line="240" w:lineRule="auto"/>
              <w:ind w:left="0" w:right="0"/>
              <w:jc w:val="center"/>
              <w:textAlignment w:val="center"/>
              <w:rPr>
                <w:rFonts w:hint="eastAsia" w:ascii="宋体" w:hAnsi="宋体" w:cs="宋体"/>
                <w:color w:val="auto"/>
                <w:highlight w:val="none"/>
              </w:rPr>
            </w:pPr>
          </w:p>
        </w:tc>
        <w:tc>
          <w:tcPr>
            <w:tcW w:w="1357" w:type="dxa"/>
            <w:vMerge w:val="continue"/>
            <w:tcBorders>
              <w:left w:val="single" w:color="000000" w:sz="4" w:space="0"/>
              <w:bottom w:val="single" w:color="000000" w:sz="4" w:space="0"/>
              <w:right w:val="single" w:color="000000" w:sz="4" w:space="0"/>
            </w:tcBorders>
            <w:vAlign w:val="center"/>
          </w:tcPr>
          <w:p w14:paraId="758E5886">
            <w:pPr>
              <w:spacing w:before="0" w:after="0" w:afterAutospacing="0" w:line="240" w:lineRule="auto"/>
              <w:ind w:left="0" w:right="0" w:firstLine="0"/>
              <w:jc w:val="center"/>
              <w:rPr>
                <w:rFonts w:hint="eastAsia" w:ascii="宋体" w:hAnsi="宋体" w:cs="宋体"/>
                <w:b/>
                <w:bCs/>
                <w:color w:val="auto"/>
                <w:sz w:val="18"/>
                <w:szCs w:val="18"/>
                <w:highlight w:val="none"/>
              </w:rPr>
            </w:pPr>
          </w:p>
        </w:tc>
        <w:tc>
          <w:tcPr>
            <w:tcW w:w="1350" w:type="dxa"/>
            <w:tcBorders>
              <w:top w:val="single" w:color="000000" w:sz="4" w:space="0"/>
              <w:left w:val="single" w:color="000000" w:sz="4" w:space="0"/>
              <w:bottom w:val="single" w:color="000000" w:sz="4" w:space="0"/>
              <w:right w:val="single" w:color="000000" w:sz="4" w:space="0"/>
            </w:tcBorders>
            <w:noWrap/>
            <w:vAlign w:val="center"/>
          </w:tcPr>
          <w:p w14:paraId="70E70769">
            <w:pPr>
              <w:spacing w:before="0" w:after="0" w:afterAutospacing="0" w:line="240" w:lineRule="auto"/>
              <w:ind w:left="0" w:leftChars="0" w:right="0" w:rightChars="0" w:firstLine="0" w:firstLineChars="0"/>
              <w:jc w:val="center"/>
              <w:textAlignment w:val="center"/>
              <w:rPr>
                <w:rFonts w:hint="eastAsia" w:ascii="宋体" w:hAnsi="宋体" w:cs="宋体"/>
                <w:color w:val="auto"/>
                <w:highlight w:val="none"/>
              </w:rPr>
            </w:pPr>
            <w:r>
              <w:rPr>
                <w:rFonts w:hint="eastAsia" w:ascii="宋体" w:hAnsi="宋体" w:cs="宋体"/>
                <w:color w:val="auto"/>
                <w:highlight w:val="none"/>
                <w:lang w:bidi="ar"/>
              </w:rPr>
              <w:t>0&lt;m≤10</w:t>
            </w:r>
          </w:p>
        </w:tc>
        <w:tc>
          <w:tcPr>
            <w:tcW w:w="5100" w:type="dxa"/>
            <w:tcBorders>
              <w:top w:val="single" w:color="000000" w:sz="4" w:space="0"/>
              <w:left w:val="single" w:color="000000" w:sz="4" w:space="0"/>
              <w:bottom w:val="single" w:color="000000" w:sz="4" w:space="0"/>
              <w:right w:val="single" w:color="000000" w:sz="4" w:space="0"/>
            </w:tcBorders>
            <w:vAlign w:val="center"/>
          </w:tcPr>
          <w:p w14:paraId="6A14355D">
            <w:pPr>
              <w:spacing w:before="0" w:after="0" w:afterAutospacing="0" w:line="240" w:lineRule="auto"/>
              <w:ind w:left="0" w:right="0" w:firstLine="0"/>
              <w:rPr>
                <w:color w:val="auto"/>
                <w:kern w:val="2"/>
                <w:highlight w:val="none"/>
              </w:rPr>
            </w:pPr>
            <w:r>
              <w:rPr>
                <w:rFonts w:hint="eastAsia"/>
                <w:color w:val="auto"/>
                <w:kern w:val="2"/>
                <w:highlight w:val="none"/>
              </w:rPr>
              <w:t>无设计管理要点，缺少工作计划编排或保证措施、质量保证措施等内容，无法满足比选文件要求。</w:t>
            </w:r>
          </w:p>
        </w:tc>
        <w:tc>
          <w:tcPr>
            <w:tcW w:w="829" w:type="dxa"/>
            <w:vMerge w:val="continue"/>
            <w:tcBorders>
              <w:left w:val="single" w:color="000000" w:sz="4" w:space="0"/>
              <w:bottom w:val="single" w:color="000000" w:sz="4" w:space="0"/>
              <w:right w:val="single" w:color="000000" w:sz="4" w:space="0"/>
            </w:tcBorders>
            <w:noWrap/>
            <w:vAlign w:val="center"/>
          </w:tcPr>
          <w:p w14:paraId="2450121E">
            <w:pPr>
              <w:spacing w:before="0" w:after="0" w:afterAutospacing="0" w:line="240" w:lineRule="auto"/>
              <w:ind w:left="0" w:right="0"/>
              <w:jc w:val="center"/>
              <w:rPr>
                <w:rFonts w:hint="eastAsia" w:ascii="宋体" w:hAnsi="宋体" w:cs="宋体"/>
                <w:color w:val="auto"/>
                <w:highlight w:val="none"/>
              </w:rPr>
            </w:pPr>
          </w:p>
        </w:tc>
      </w:tr>
      <w:tr w14:paraId="49E7F8D7">
        <w:tblPrEx>
          <w:tblCellMar>
            <w:top w:w="0" w:type="dxa"/>
            <w:left w:w="108" w:type="dxa"/>
            <w:bottom w:w="0" w:type="dxa"/>
            <w:right w:w="108" w:type="dxa"/>
          </w:tblCellMar>
        </w:tblPrEx>
        <w:trPr>
          <w:trHeight w:val="681" w:hRule="atLeast"/>
          <w:jc w:val="center"/>
        </w:trPr>
        <w:tc>
          <w:tcPr>
            <w:tcW w:w="650" w:type="dxa"/>
            <w:tcBorders>
              <w:top w:val="single" w:color="000000" w:sz="4" w:space="0"/>
              <w:left w:val="single" w:color="000000" w:sz="4" w:space="0"/>
              <w:bottom w:val="single" w:color="000000" w:sz="4" w:space="0"/>
              <w:right w:val="single" w:color="000000" w:sz="4" w:space="0"/>
            </w:tcBorders>
            <w:noWrap/>
            <w:vAlign w:val="center"/>
          </w:tcPr>
          <w:p w14:paraId="11666191">
            <w:pPr>
              <w:ind w:left="709" w:leftChars="0" w:right="-27" w:rightChars="0" w:hanging="709" w:firstLineChars="0"/>
              <w:jc w:val="center"/>
              <w:textAlignment w:val="center"/>
              <w:rPr>
                <w:rFonts w:hint="default" w:ascii="宋体" w:hAnsi="宋体" w:eastAsia="宋体" w:cs="宋体"/>
                <w:b/>
                <w:bCs/>
                <w:color w:val="auto"/>
                <w:highlight w:val="none"/>
                <w:lang w:val="en-US" w:eastAsia="zh-CN" w:bidi="ar"/>
              </w:rPr>
            </w:pPr>
            <w:r>
              <w:rPr>
                <w:rFonts w:hint="eastAsia" w:ascii="宋体" w:hAnsi="宋体" w:cs="宋体"/>
                <w:color w:val="auto"/>
                <w:highlight w:val="none"/>
                <w:lang w:val="en-US" w:eastAsia="zh-CN" w:bidi="ar"/>
              </w:rPr>
              <w:t>4</w:t>
            </w:r>
          </w:p>
        </w:tc>
        <w:tc>
          <w:tcPr>
            <w:tcW w:w="1357" w:type="dxa"/>
            <w:tcBorders>
              <w:top w:val="single" w:color="000000" w:sz="4" w:space="0"/>
              <w:left w:val="single" w:color="000000" w:sz="4" w:space="0"/>
              <w:bottom w:val="single" w:color="000000" w:sz="4" w:space="0"/>
              <w:right w:val="single" w:color="000000" w:sz="4" w:space="0"/>
            </w:tcBorders>
            <w:vAlign w:val="center"/>
          </w:tcPr>
          <w:p w14:paraId="1FB9C501">
            <w:pPr>
              <w:ind w:left="0" w:leftChars="0" w:right="-27" w:rightChars="0" w:firstLine="0" w:firstLineChars="0"/>
              <w:jc w:val="both"/>
              <w:textAlignment w:val="center"/>
              <w:rPr>
                <w:rFonts w:hint="eastAsia" w:ascii="宋体" w:hAnsi="宋体" w:cs="宋体"/>
                <w:b/>
                <w:bCs/>
                <w:color w:val="auto"/>
                <w:highlight w:val="none"/>
                <w:lang w:bidi="ar"/>
              </w:rPr>
            </w:pPr>
            <w:r>
              <w:rPr>
                <w:rFonts w:hint="eastAsia" w:ascii="宋体" w:hAnsi="宋体" w:cs="宋体"/>
                <w:b/>
                <w:bCs/>
                <w:color w:val="auto"/>
                <w:highlight w:val="none"/>
                <w:lang w:val="en-US" w:eastAsia="zh-CN" w:bidi="ar"/>
              </w:rPr>
              <w:t>项目</w:t>
            </w:r>
            <w:r>
              <w:rPr>
                <w:rFonts w:hint="eastAsia" w:ascii="宋体" w:hAnsi="宋体" w:cs="宋体"/>
                <w:b/>
                <w:bCs/>
                <w:color w:val="auto"/>
                <w:highlight w:val="none"/>
                <w:lang w:bidi="ar"/>
              </w:rPr>
              <w:t>业绩</w:t>
            </w:r>
            <w:r>
              <w:rPr>
                <w:rFonts w:hint="eastAsia" w:ascii="宋体" w:hAnsi="宋体" w:cs="宋体"/>
                <w:b/>
                <w:bCs/>
                <w:color w:val="auto"/>
                <w:highlight w:val="none"/>
                <w:lang w:bidi="ar"/>
              </w:rPr>
              <w:br w:type="textWrapping"/>
            </w:r>
            <w:r>
              <w:rPr>
                <w:rFonts w:hint="eastAsia" w:ascii="宋体" w:hAnsi="宋体" w:cs="宋体"/>
                <w:b/>
                <w:bCs/>
                <w:color w:val="auto"/>
                <w:highlight w:val="none"/>
                <w:lang w:bidi="ar"/>
              </w:rPr>
              <w:t>（</w:t>
            </w:r>
            <w:r>
              <w:rPr>
                <w:rFonts w:hint="eastAsia" w:ascii="宋体" w:hAnsi="宋体" w:cs="宋体"/>
                <w:b/>
                <w:bCs/>
                <w:color w:val="auto"/>
                <w:highlight w:val="none"/>
                <w:lang w:val="en-US" w:eastAsia="zh-CN" w:bidi="ar"/>
              </w:rPr>
              <w:t>9</w:t>
            </w:r>
            <w:r>
              <w:rPr>
                <w:rFonts w:hint="eastAsia" w:ascii="宋体" w:hAnsi="宋体" w:cs="宋体"/>
                <w:b/>
                <w:bCs/>
                <w:color w:val="auto"/>
                <w:highlight w:val="none"/>
                <w:lang w:bidi="ar"/>
              </w:rPr>
              <w:t>分）</w:t>
            </w:r>
          </w:p>
        </w:tc>
        <w:tc>
          <w:tcPr>
            <w:tcW w:w="6450" w:type="dxa"/>
            <w:gridSpan w:val="2"/>
            <w:tcBorders>
              <w:top w:val="single" w:color="000000" w:sz="4" w:space="0"/>
              <w:left w:val="single" w:color="000000" w:sz="4" w:space="0"/>
              <w:bottom w:val="single" w:color="000000" w:sz="4" w:space="0"/>
              <w:right w:val="single" w:color="000000" w:sz="4" w:space="0"/>
            </w:tcBorders>
            <w:vAlign w:val="center"/>
          </w:tcPr>
          <w:p w14:paraId="1D7F5138">
            <w:pPr>
              <w:spacing w:before="0" w:after="0" w:afterAutospacing="0" w:line="240" w:lineRule="auto"/>
              <w:ind w:left="0" w:right="0" w:firstLine="0"/>
              <w:rPr>
                <w:rFonts w:hint="eastAsia"/>
                <w:color w:val="auto"/>
                <w:kern w:val="2"/>
                <w:highlight w:val="none"/>
              </w:rPr>
            </w:pPr>
            <w:r>
              <w:rPr>
                <w:rFonts w:hint="eastAsia"/>
                <w:color w:val="auto"/>
                <w:kern w:val="2"/>
                <w:highlight w:val="none"/>
              </w:rPr>
              <w:t>比选申请人自2023年1月1日至比选申请截止时间前，承接过（完工/在建项目）房地产项目样板房装修设计业绩，</w:t>
            </w:r>
            <w:r>
              <w:rPr>
                <w:rFonts w:hint="eastAsia"/>
                <w:color w:val="auto"/>
                <w:kern w:val="2"/>
                <w:highlight w:val="none"/>
                <w:lang w:val="en-US" w:eastAsia="zh-CN"/>
              </w:rPr>
              <w:t>提供</w:t>
            </w:r>
            <w:r>
              <w:rPr>
                <w:rFonts w:hint="eastAsia"/>
                <w:color w:val="auto"/>
                <w:kern w:val="2"/>
                <w:highlight w:val="none"/>
              </w:rPr>
              <w:t>单个业绩合同金额</w:t>
            </w:r>
            <w:r>
              <w:rPr>
                <w:rFonts w:hint="eastAsia"/>
                <w:color w:val="auto"/>
                <w:kern w:val="2"/>
                <w:highlight w:val="none"/>
                <w:lang w:val="en-US" w:eastAsia="zh-CN"/>
              </w:rPr>
              <w:t>设计单价</w:t>
            </w:r>
            <w:r>
              <w:rPr>
                <w:rFonts w:hint="eastAsia"/>
                <w:color w:val="auto"/>
                <w:kern w:val="2"/>
                <w:highlight w:val="none"/>
              </w:rPr>
              <w:t>达</w:t>
            </w:r>
            <w:r>
              <w:rPr>
                <w:rFonts w:hint="eastAsia"/>
                <w:color w:val="auto"/>
                <w:kern w:val="2"/>
                <w:highlight w:val="none"/>
                <w:lang w:val="en-US" w:eastAsia="zh-CN"/>
              </w:rPr>
              <w:t>1300元/㎡</w:t>
            </w:r>
            <w:r>
              <w:rPr>
                <w:rFonts w:hint="eastAsia"/>
                <w:color w:val="auto"/>
                <w:kern w:val="2"/>
                <w:highlight w:val="none"/>
              </w:rPr>
              <w:t>及以上</w:t>
            </w:r>
            <w:r>
              <w:rPr>
                <w:rFonts w:hint="eastAsia"/>
                <w:color w:val="auto"/>
                <w:kern w:val="2"/>
                <w:highlight w:val="none"/>
                <w:lang w:val="en-US" w:eastAsia="zh-CN"/>
              </w:rPr>
              <w:t>的</w:t>
            </w:r>
            <w:r>
              <w:rPr>
                <w:rFonts w:hint="eastAsia"/>
                <w:color w:val="auto"/>
                <w:kern w:val="2"/>
                <w:highlight w:val="none"/>
              </w:rPr>
              <w:t>设计业绩，</w:t>
            </w:r>
            <w:r>
              <w:rPr>
                <w:rFonts w:hint="eastAsia"/>
                <w:color w:val="auto"/>
                <w:kern w:val="2"/>
                <w:highlight w:val="none"/>
                <w:lang w:val="en-US" w:eastAsia="zh-CN"/>
              </w:rPr>
              <w:t>提供1个得3分，满分9分。</w:t>
            </w:r>
          </w:p>
          <w:p w14:paraId="39257D02">
            <w:pPr>
              <w:spacing w:before="0" w:after="0" w:afterAutospacing="0" w:line="240" w:lineRule="auto"/>
              <w:ind w:left="0" w:right="0" w:firstLine="0"/>
              <w:rPr>
                <w:rFonts w:hint="eastAsia" w:ascii="宋体" w:hAnsi="宋体" w:cs="宋体"/>
                <w:color w:val="auto"/>
                <w:kern w:val="2"/>
                <w:highlight w:val="none"/>
                <w:lang w:bidi="ar"/>
              </w:rPr>
            </w:pPr>
            <w:r>
              <w:rPr>
                <w:rFonts w:hint="eastAsia"/>
                <w:color w:val="auto"/>
                <w:kern w:val="2"/>
                <w:highlight w:val="none"/>
              </w:rPr>
              <w:t>提供下述材料之一即可：①合同文件；②中标通知书；③业主证明材料。所提供材料需能证明符合业绩内容，否则视为无效证明文件，提供复印件加盖比选申请人公章，原件备查。</w:t>
            </w:r>
          </w:p>
        </w:tc>
        <w:tc>
          <w:tcPr>
            <w:tcW w:w="829" w:type="dxa"/>
            <w:tcBorders>
              <w:top w:val="single" w:color="000000" w:sz="4" w:space="0"/>
              <w:left w:val="single" w:color="000000" w:sz="4" w:space="0"/>
              <w:bottom w:val="single" w:color="000000" w:sz="4" w:space="0"/>
              <w:right w:val="single" w:color="000000" w:sz="4" w:space="0"/>
            </w:tcBorders>
            <w:noWrap/>
            <w:vAlign w:val="center"/>
          </w:tcPr>
          <w:p w14:paraId="59812151">
            <w:pPr>
              <w:ind w:left="709" w:leftChars="0" w:right="-27" w:rightChars="0" w:hanging="709" w:firstLineChars="0"/>
              <w:jc w:val="center"/>
              <w:rPr>
                <w:rFonts w:hint="eastAsia" w:ascii="宋体" w:hAnsi="宋体" w:cs="宋体"/>
                <w:color w:val="auto"/>
                <w:highlight w:val="none"/>
              </w:rPr>
            </w:pPr>
          </w:p>
        </w:tc>
      </w:tr>
      <w:tr w14:paraId="0C19DF21">
        <w:tblPrEx>
          <w:tblCellMar>
            <w:top w:w="0" w:type="dxa"/>
            <w:left w:w="108" w:type="dxa"/>
            <w:bottom w:w="0" w:type="dxa"/>
            <w:right w:w="108" w:type="dxa"/>
          </w:tblCellMar>
        </w:tblPrEx>
        <w:trPr>
          <w:trHeight w:val="681" w:hRule="atLeast"/>
          <w:jc w:val="center"/>
        </w:trPr>
        <w:tc>
          <w:tcPr>
            <w:tcW w:w="650" w:type="dxa"/>
            <w:tcBorders>
              <w:top w:val="single" w:color="000000" w:sz="4" w:space="0"/>
              <w:left w:val="single" w:color="000000" w:sz="4" w:space="0"/>
              <w:bottom w:val="single" w:color="000000" w:sz="4" w:space="0"/>
              <w:right w:val="single" w:color="000000" w:sz="4" w:space="0"/>
            </w:tcBorders>
            <w:noWrap/>
            <w:vAlign w:val="center"/>
          </w:tcPr>
          <w:p w14:paraId="02AFF601">
            <w:pPr>
              <w:ind w:left="709" w:leftChars="0" w:right="-27" w:rightChars="0" w:hanging="709" w:firstLineChars="0"/>
              <w:jc w:val="center"/>
              <w:textAlignment w:val="center"/>
              <w:rPr>
                <w:rFonts w:hint="eastAsia" w:ascii="宋体" w:hAnsi="宋体" w:cs="宋体"/>
                <w:color w:val="auto"/>
                <w:highlight w:val="none"/>
                <w:lang w:bidi="ar"/>
              </w:rPr>
            </w:pPr>
            <w:r>
              <w:rPr>
                <w:rFonts w:hint="eastAsia" w:ascii="宋体" w:hAnsi="宋体" w:cs="宋体"/>
                <w:color w:val="auto"/>
                <w:highlight w:val="none"/>
                <w:lang w:val="en-US" w:eastAsia="zh-CN" w:bidi="ar"/>
              </w:rPr>
              <w:t>5</w:t>
            </w:r>
          </w:p>
        </w:tc>
        <w:tc>
          <w:tcPr>
            <w:tcW w:w="1357" w:type="dxa"/>
            <w:tcBorders>
              <w:top w:val="single" w:color="000000" w:sz="4" w:space="0"/>
              <w:left w:val="single" w:color="000000" w:sz="4" w:space="0"/>
              <w:bottom w:val="single" w:color="000000" w:sz="4" w:space="0"/>
              <w:right w:val="single" w:color="000000" w:sz="4" w:space="0"/>
            </w:tcBorders>
            <w:vAlign w:val="center"/>
          </w:tcPr>
          <w:p w14:paraId="6E4A26C9">
            <w:pPr>
              <w:ind w:left="0" w:leftChars="0" w:firstLine="0" w:firstLineChars="0"/>
              <w:jc w:val="both"/>
              <w:textAlignment w:val="center"/>
              <w:rPr>
                <w:rFonts w:hint="eastAsia" w:ascii="宋体" w:hAnsi="宋体" w:cs="宋体"/>
                <w:b/>
                <w:bCs/>
                <w:color w:val="auto"/>
                <w:highlight w:val="none"/>
                <w:lang w:val="en-US" w:eastAsia="zh-CN" w:bidi="ar"/>
              </w:rPr>
            </w:pPr>
            <w:r>
              <w:rPr>
                <w:rFonts w:hint="eastAsia" w:ascii="宋体" w:hAnsi="宋体" w:cs="宋体"/>
                <w:b/>
                <w:bCs/>
                <w:color w:val="auto"/>
                <w:highlight w:val="none"/>
                <w:lang w:val="en-US" w:eastAsia="zh-CN" w:bidi="ar"/>
              </w:rPr>
              <w:t>负责人业绩</w:t>
            </w:r>
          </w:p>
          <w:p w14:paraId="6CDAFE6B">
            <w:pPr>
              <w:ind w:left="709" w:leftChars="0" w:right="-27" w:rightChars="0" w:hanging="709" w:firstLineChars="0"/>
              <w:jc w:val="center"/>
              <w:textAlignment w:val="center"/>
              <w:rPr>
                <w:rFonts w:hint="eastAsia" w:ascii="宋体" w:hAnsi="宋体" w:cs="宋体"/>
                <w:b/>
                <w:bCs/>
                <w:color w:val="auto"/>
                <w:highlight w:val="none"/>
                <w:lang w:bidi="ar"/>
              </w:rPr>
            </w:pPr>
            <w:r>
              <w:rPr>
                <w:rFonts w:hint="eastAsia" w:ascii="宋体" w:hAnsi="宋体" w:cs="宋体"/>
                <w:b/>
                <w:bCs/>
                <w:color w:val="auto"/>
                <w:highlight w:val="none"/>
                <w:lang w:val="en-US" w:eastAsia="zh-CN" w:bidi="ar"/>
              </w:rPr>
              <w:t>（6分）</w:t>
            </w:r>
          </w:p>
        </w:tc>
        <w:tc>
          <w:tcPr>
            <w:tcW w:w="6450" w:type="dxa"/>
            <w:gridSpan w:val="2"/>
            <w:tcBorders>
              <w:top w:val="single" w:color="000000" w:sz="4" w:space="0"/>
              <w:left w:val="single" w:color="000000" w:sz="4" w:space="0"/>
              <w:bottom w:val="single" w:color="000000" w:sz="4" w:space="0"/>
              <w:right w:val="single" w:color="000000" w:sz="4" w:space="0"/>
            </w:tcBorders>
            <w:vAlign w:val="center"/>
          </w:tcPr>
          <w:p w14:paraId="1E229CEE">
            <w:pPr>
              <w:spacing w:before="0" w:after="0" w:afterAutospacing="0" w:line="240" w:lineRule="auto"/>
              <w:ind w:left="0" w:right="0" w:firstLine="0"/>
              <w:rPr>
                <w:rFonts w:hint="eastAsia"/>
                <w:color w:val="auto"/>
                <w:kern w:val="2"/>
                <w:highlight w:val="none"/>
              </w:rPr>
            </w:pPr>
            <w:r>
              <w:rPr>
                <w:rFonts w:hint="eastAsia"/>
                <w:color w:val="auto"/>
                <w:kern w:val="2"/>
                <w:highlight w:val="none"/>
              </w:rPr>
              <w:t>比选申请人自2023年1月1日至比选申请截止时间前，</w:t>
            </w:r>
            <w:r>
              <w:rPr>
                <w:rFonts w:hint="eastAsia"/>
                <w:color w:val="auto"/>
                <w:kern w:val="2"/>
                <w:highlight w:val="none"/>
                <w:lang w:val="en-US" w:eastAsia="zh-CN"/>
              </w:rPr>
              <w:t>本项目负责人负责过房地产项目样板间或展示区设计业绩，单个业绩项目体量设计费达1300元/㎡及以上</w:t>
            </w:r>
            <w:r>
              <w:rPr>
                <w:rFonts w:hint="eastAsia"/>
                <w:color w:val="auto"/>
                <w:kern w:val="2"/>
                <w:highlight w:val="none"/>
              </w:rPr>
              <w:t>，</w:t>
            </w:r>
            <w:r>
              <w:rPr>
                <w:rFonts w:hint="eastAsia"/>
                <w:color w:val="auto"/>
                <w:kern w:val="2"/>
                <w:highlight w:val="none"/>
                <w:lang w:val="en-US" w:eastAsia="zh-CN"/>
              </w:rPr>
              <w:t>提供1个得3分，满分6分。</w:t>
            </w:r>
          </w:p>
          <w:p w14:paraId="62BFF235">
            <w:pPr>
              <w:spacing w:before="0" w:after="0" w:afterAutospacing="0" w:line="240" w:lineRule="auto"/>
              <w:ind w:left="0" w:right="0" w:firstLine="0"/>
              <w:rPr>
                <w:rFonts w:hint="eastAsia" w:ascii="宋体" w:hAnsi="宋体" w:cs="宋体"/>
                <w:color w:val="auto"/>
                <w:kern w:val="2"/>
                <w:highlight w:val="none"/>
                <w:lang w:bidi="ar"/>
              </w:rPr>
            </w:pPr>
            <w:r>
              <w:rPr>
                <w:rFonts w:hint="eastAsia"/>
                <w:color w:val="auto"/>
                <w:kern w:val="2"/>
                <w:highlight w:val="none"/>
              </w:rPr>
              <w:t>提供下述材料之一即可：①合同文件；②中标通知书；③</w:t>
            </w:r>
            <w:r>
              <w:rPr>
                <w:rFonts w:hint="eastAsia"/>
                <w:color w:val="auto"/>
                <w:kern w:val="2"/>
                <w:highlight w:val="none"/>
                <w:lang w:val="en-US" w:eastAsia="zh-CN"/>
              </w:rPr>
              <w:t>方案文本案例（含项目名称和效果图即可无需全套文本）④</w:t>
            </w:r>
            <w:r>
              <w:rPr>
                <w:rFonts w:hint="eastAsia"/>
                <w:color w:val="auto"/>
                <w:kern w:val="2"/>
                <w:highlight w:val="none"/>
              </w:rPr>
              <w:t>业主证明材料。所提供材料需能证明符合</w:t>
            </w:r>
            <w:r>
              <w:rPr>
                <w:rFonts w:hint="eastAsia" w:ascii="宋体" w:hAnsi="宋体" w:cs="宋体"/>
                <w:color w:val="auto"/>
                <w:highlight w:val="none"/>
                <w:lang w:val="en-US" w:eastAsia="zh-CN" w:bidi="ar"/>
              </w:rPr>
              <w:t>作为项目负责人的</w:t>
            </w:r>
            <w:r>
              <w:rPr>
                <w:rFonts w:hint="eastAsia"/>
                <w:color w:val="auto"/>
                <w:kern w:val="2"/>
                <w:highlight w:val="none"/>
              </w:rPr>
              <w:t>业绩内容，否则视为无效证明文件，提供复印件加盖比选申请人公章，原件备查。</w:t>
            </w:r>
          </w:p>
        </w:tc>
        <w:tc>
          <w:tcPr>
            <w:tcW w:w="829" w:type="dxa"/>
            <w:tcBorders>
              <w:top w:val="single" w:color="000000" w:sz="4" w:space="0"/>
              <w:left w:val="single" w:color="000000" w:sz="4" w:space="0"/>
              <w:bottom w:val="single" w:color="000000" w:sz="4" w:space="0"/>
              <w:right w:val="single" w:color="000000" w:sz="4" w:space="0"/>
            </w:tcBorders>
            <w:noWrap/>
            <w:vAlign w:val="center"/>
          </w:tcPr>
          <w:p w14:paraId="45268BED">
            <w:pPr>
              <w:ind w:left="709" w:leftChars="0" w:right="-27" w:rightChars="0" w:hanging="709" w:firstLineChars="0"/>
              <w:jc w:val="center"/>
              <w:rPr>
                <w:rFonts w:hint="eastAsia" w:ascii="宋体" w:hAnsi="宋体" w:cs="宋体"/>
                <w:color w:val="auto"/>
                <w:highlight w:val="none"/>
              </w:rPr>
            </w:pPr>
          </w:p>
        </w:tc>
      </w:tr>
      <w:tr w14:paraId="238C7E9C">
        <w:tblPrEx>
          <w:tblCellMar>
            <w:top w:w="0" w:type="dxa"/>
            <w:left w:w="108" w:type="dxa"/>
            <w:bottom w:w="0" w:type="dxa"/>
            <w:right w:w="108" w:type="dxa"/>
          </w:tblCellMar>
        </w:tblPrEx>
        <w:trPr>
          <w:trHeight w:val="540" w:hRule="atLeast"/>
          <w:jc w:val="center"/>
        </w:trPr>
        <w:tc>
          <w:tcPr>
            <w:tcW w:w="2007" w:type="dxa"/>
            <w:gridSpan w:val="2"/>
            <w:tcBorders>
              <w:top w:val="single" w:color="000000" w:sz="4" w:space="0"/>
              <w:left w:val="single" w:color="000000" w:sz="4" w:space="0"/>
              <w:bottom w:val="single" w:color="000000" w:sz="4" w:space="0"/>
              <w:right w:val="single" w:color="000000" w:sz="4" w:space="0"/>
            </w:tcBorders>
            <w:noWrap/>
            <w:vAlign w:val="center"/>
          </w:tcPr>
          <w:p w14:paraId="634236D5">
            <w:pPr>
              <w:spacing w:before="0" w:after="0" w:afterAutospacing="0" w:line="240" w:lineRule="auto"/>
              <w:ind w:left="0" w:right="0" w:firstLine="0"/>
              <w:jc w:val="center"/>
              <w:textAlignment w:val="center"/>
              <w:rPr>
                <w:rFonts w:hint="eastAsia" w:ascii="宋体" w:hAnsi="宋体" w:cs="宋体"/>
                <w:color w:val="auto"/>
                <w:highlight w:val="none"/>
              </w:rPr>
            </w:pPr>
            <w:r>
              <w:rPr>
                <w:rFonts w:hint="eastAsia" w:ascii="宋体" w:hAnsi="宋体" w:cs="宋体"/>
                <w:color w:val="auto"/>
                <w:highlight w:val="none"/>
                <w:lang w:bidi="ar"/>
              </w:rPr>
              <w:t>技术文件得分</w:t>
            </w:r>
          </w:p>
        </w:tc>
        <w:tc>
          <w:tcPr>
            <w:tcW w:w="1350" w:type="dxa"/>
            <w:tcBorders>
              <w:top w:val="single" w:color="000000" w:sz="4" w:space="0"/>
              <w:left w:val="single" w:color="000000" w:sz="4" w:space="0"/>
              <w:bottom w:val="single" w:color="000000" w:sz="4" w:space="0"/>
              <w:right w:val="single" w:color="000000" w:sz="4" w:space="0"/>
            </w:tcBorders>
            <w:noWrap/>
            <w:vAlign w:val="center"/>
          </w:tcPr>
          <w:p w14:paraId="7E3E6457">
            <w:pPr>
              <w:spacing w:before="0" w:after="0" w:afterAutospacing="0" w:line="240" w:lineRule="auto"/>
              <w:ind w:left="0" w:right="0" w:firstLine="0"/>
              <w:jc w:val="center"/>
              <w:textAlignment w:val="center"/>
              <w:rPr>
                <w:rFonts w:hint="eastAsia" w:ascii="宋体" w:hAnsi="宋体" w:cs="宋体"/>
                <w:color w:val="auto"/>
                <w:highlight w:val="none"/>
              </w:rPr>
            </w:pPr>
            <w:r>
              <w:rPr>
                <w:rFonts w:hint="eastAsia" w:ascii="宋体" w:hAnsi="宋体" w:cs="宋体"/>
                <w:color w:val="auto"/>
                <w:highlight w:val="none"/>
                <w:lang w:bidi="ar"/>
              </w:rPr>
              <w:t>60</w:t>
            </w:r>
          </w:p>
        </w:tc>
        <w:tc>
          <w:tcPr>
            <w:tcW w:w="5100" w:type="dxa"/>
            <w:tcBorders>
              <w:top w:val="single" w:color="000000" w:sz="4" w:space="0"/>
              <w:left w:val="single" w:color="000000" w:sz="4" w:space="0"/>
              <w:bottom w:val="single" w:color="000000" w:sz="4" w:space="0"/>
              <w:right w:val="single" w:color="000000" w:sz="4" w:space="0"/>
            </w:tcBorders>
            <w:noWrap/>
            <w:vAlign w:val="center"/>
          </w:tcPr>
          <w:p w14:paraId="3A9C4B14">
            <w:pPr>
              <w:spacing w:before="0" w:after="0" w:afterAutospacing="0" w:line="240" w:lineRule="auto"/>
              <w:ind w:left="0" w:right="0"/>
              <w:jc w:val="left"/>
              <w:rPr>
                <w:rFonts w:hint="eastAsia" w:ascii="宋体" w:hAnsi="宋体" w:cs="宋体"/>
                <w:color w:val="auto"/>
                <w:highlight w:val="none"/>
              </w:rPr>
            </w:pPr>
          </w:p>
        </w:tc>
        <w:tc>
          <w:tcPr>
            <w:tcW w:w="829" w:type="dxa"/>
            <w:tcBorders>
              <w:top w:val="single" w:color="000000" w:sz="4" w:space="0"/>
              <w:left w:val="single" w:color="000000" w:sz="4" w:space="0"/>
              <w:bottom w:val="single" w:color="000000" w:sz="4" w:space="0"/>
              <w:right w:val="single" w:color="000000" w:sz="4" w:space="0"/>
            </w:tcBorders>
            <w:noWrap/>
            <w:vAlign w:val="center"/>
          </w:tcPr>
          <w:p w14:paraId="18F90048">
            <w:pPr>
              <w:spacing w:before="0" w:after="0" w:afterAutospacing="0" w:line="240" w:lineRule="auto"/>
              <w:ind w:left="0" w:right="0"/>
              <w:rPr>
                <w:rFonts w:hint="eastAsia" w:ascii="宋体" w:hAnsi="宋体" w:cs="宋体"/>
                <w:color w:val="auto"/>
                <w:sz w:val="22"/>
                <w:szCs w:val="22"/>
                <w:highlight w:val="none"/>
              </w:rPr>
            </w:pPr>
          </w:p>
        </w:tc>
      </w:tr>
    </w:tbl>
    <w:p w14:paraId="5FE1DFD7">
      <w:pPr>
        <w:spacing w:before="0"/>
        <w:ind w:left="0" w:right="0" w:firstLine="0"/>
        <w:rPr>
          <w:rFonts w:hint="eastAsia" w:hAnsi="宋体"/>
          <w:b/>
          <w:color w:val="auto"/>
          <w:sz w:val="24"/>
          <w:szCs w:val="24"/>
          <w:highlight w:val="none"/>
        </w:rPr>
      </w:pPr>
      <w:r>
        <w:rPr>
          <w:rFonts w:hint="eastAsia"/>
          <w:b/>
          <w:bCs/>
          <w:color w:val="auto"/>
          <w:highlight w:val="none"/>
        </w:rPr>
        <w:t>注：</w:t>
      </w:r>
      <w:r>
        <w:rPr>
          <w:rFonts w:hint="eastAsia" w:ascii="宋体" w:hAnsi="宋体" w:cs="Arial"/>
          <w:b/>
          <w:bCs/>
          <w:color w:val="auto"/>
          <w:highlight w:val="none"/>
        </w:rPr>
        <w:t>技术得分低于技术得分满分的60%（即36分）的比选申请人不得推选为中选候选人。</w:t>
      </w:r>
    </w:p>
    <w:p w14:paraId="77552BA5">
      <w:pPr>
        <w:rPr>
          <w:rFonts w:hint="eastAsia" w:ascii="宋体" w:hAnsi="宋体"/>
          <w:color w:val="auto"/>
          <w:highlight w:val="none"/>
        </w:rPr>
      </w:pPr>
      <w:r>
        <w:rPr>
          <w:rFonts w:ascii="宋体" w:hAnsi="宋体"/>
          <w:color w:val="auto"/>
          <w:highlight w:val="none"/>
        </w:rPr>
        <w:br w:type="page"/>
      </w:r>
    </w:p>
    <w:p w14:paraId="19785267">
      <w:pPr>
        <w:spacing w:before="0" w:after="0"/>
        <w:ind w:left="0" w:right="0" w:firstLine="0"/>
        <w:jc w:val="left"/>
        <w:rPr>
          <w:b/>
          <w:bCs/>
          <w:color w:val="auto"/>
          <w:highlight w:val="none"/>
        </w:rPr>
      </w:pPr>
      <w:r>
        <w:rPr>
          <w:rFonts w:hint="eastAsia"/>
          <w:b/>
          <w:bCs/>
          <w:color w:val="auto"/>
          <w:highlight w:val="none"/>
        </w:rPr>
        <w:t>附表四  《价格文件评分表》</w:t>
      </w:r>
    </w:p>
    <w:p w14:paraId="37FDFDD4">
      <w:pPr>
        <w:spacing w:before="0" w:after="0"/>
        <w:ind w:left="0" w:right="0" w:firstLine="0"/>
        <w:jc w:val="center"/>
        <w:rPr>
          <w:b/>
          <w:bCs/>
          <w:color w:val="auto"/>
          <w:highlight w:val="none"/>
        </w:rPr>
      </w:pPr>
      <w:r>
        <w:rPr>
          <w:rFonts w:hint="eastAsia"/>
          <w:b/>
          <w:bCs/>
          <w:color w:val="auto"/>
          <w:highlight w:val="none"/>
        </w:rPr>
        <w:t>价格文件评分表</w:t>
      </w:r>
    </w:p>
    <w:tbl>
      <w:tblPr>
        <w:tblStyle w:val="36"/>
        <w:tblW w:w="109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1274"/>
        <w:gridCol w:w="3826"/>
        <w:gridCol w:w="3283"/>
        <w:gridCol w:w="882"/>
        <w:gridCol w:w="895"/>
      </w:tblGrid>
      <w:tr w14:paraId="3135E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tblHeader/>
          <w:jc w:val="center"/>
        </w:trPr>
        <w:tc>
          <w:tcPr>
            <w:tcW w:w="756" w:type="dxa"/>
            <w:tcBorders>
              <w:top w:val="single" w:color="auto" w:sz="4" w:space="0"/>
              <w:left w:val="single" w:color="auto" w:sz="4" w:space="0"/>
              <w:bottom w:val="single" w:color="auto" w:sz="4" w:space="0"/>
              <w:right w:val="single" w:color="auto" w:sz="4" w:space="0"/>
            </w:tcBorders>
            <w:vAlign w:val="center"/>
          </w:tcPr>
          <w:p w14:paraId="25FF81A3">
            <w:pPr>
              <w:widowControl w:val="0"/>
              <w:ind w:right="-57"/>
              <w:jc w:val="center"/>
              <w:rPr>
                <w:b/>
                <w:color w:val="auto"/>
                <w:kern w:val="2"/>
                <w:highlight w:val="none"/>
              </w:rPr>
            </w:pPr>
            <w:r>
              <w:rPr>
                <w:rFonts w:hint="eastAsia"/>
                <w:b/>
                <w:color w:val="auto"/>
                <w:highlight w:val="none"/>
              </w:rPr>
              <w:t>序号</w:t>
            </w:r>
          </w:p>
        </w:tc>
        <w:tc>
          <w:tcPr>
            <w:tcW w:w="1274" w:type="dxa"/>
            <w:tcBorders>
              <w:top w:val="single" w:color="auto" w:sz="4" w:space="0"/>
              <w:left w:val="single" w:color="auto" w:sz="4" w:space="0"/>
              <w:bottom w:val="single" w:color="auto" w:sz="4" w:space="0"/>
              <w:right w:val="single" w:color="auto" w:sz="4" w:space="0"/>
            </w:tcBorders>
            <w:vAlign w:val="center"/>
          </w:tcPr>
          <w:p w14:paraId="561D18F7">
            <w:pPr>
              <w:widowControl w:val="0"/>
              <w:ind w:right="-57"/>
              <w:jc w:val="center"/>
              <w:rPr>
                <w:b/>
                <w:color w:val="auto"/>
                <w:kern w:val="2"/>
                <w:highlight w:val="none"/>
              </w:rPr>
            </w:pPr>
            <w:r>
              <w:rPr>
                <w:rFonts w:hint="eastAsia"/>
                <w:color w:val="auto"/>
                <w:highlight w:val="none"/>
              </w:rPr>
              <w:t>项目</w:t>
            </w:r>
          </w:p>
        </w:tc>
        <w:tc>
          <w:tcPr>
            <w:tcW w:w="3826" w:type="dxa"/>
            <w:tcBorders>
              <w:top w:val="single" w:color="auto" w:sz="4" w:space="0"/>
              <w:left w:val="single" w:color="auto" w:sz="4" w:space="0"/>
              <w:bottom w:val="single" w:color="auto" w:sz="4" w:space="0"/>
              <w:right w:val="single" w:color="auto" w:sz="4" w:space="0"/>
            </w:tcBorders>
            <w:vAlign w:val="center"/>
          </w:tcPr>
          <w:p w14:paraId="355391E6">
            <w:pPr>
              <w:widowControl w:val="0"/>
              <w:ind w:right="-57"/>
              <w:jc w:val="center"/>
              <w:rPr>
                <w:b/>
                <w:bCs/>
                <w:color w:val="auto"/>
                <w:kern w:val="2"/>
                <w:highlight w:val="none"/>
              </w:rPr>
            </w:pPr>
            <w:r>
              <w:rPr>
                <w:rFonts w:hint="eastAsia"/>
                <w:color w:val="auto"/>
                <w:highlight w:val="none"/>
              </w:rPr>
              <w:t>评审基准价</w:t>
            </w:r>
          </w:p>
        </w:tc>
        <w:tc>
          <w:tcPr>
            <w:tcW w:w="3283" w:type="dxa"/>
            <w:tcBorders>
              <w:top w:val="single" w:color="auto" w:sz="4" w:space="0"/>
              <w:left w:val="single" w:color="auto" w:sz="4" w:space="0"/>
              <w:bottom w:val="single" w:color="auto" w:sz="4" w:space="0"/>
              <w:right w:val="single" w:color="auto" w:sz="4" w:space="0"/>
            </w:tcBorders>
            <w:vAlign w:val="center"/>
          </w:tcPr>
          <w:p w14:paraId="6210FA0C">
            <w:pPr>
              <w:widowControl w:val="0"/>
              <w:ind w:left="751" w:leftChars="20" w:right="113"/>
              <w:jc w:val="center"/>
              <w:rPr>
                <w:b/>
                <w:bCs/>
                <w:color w:val="auto"/>
                <w:kern w:val="2"/>
                <w:highlight w:val="none"/>
              </w:rPr>
            </w:pPr>
            <w:r>
              <w:rPr>
                <w:rFonts w:hint="eastAsia"/>
                <w:color w:val="auto"/>
                <w:highlight w:val="none"/>
              </w:rPr>
              <w:t>评分标准</w:t>
            </w:r>
          </w:p>
        </w:tc>
        <w:tc>
          <w:tcPr>
            <w:tcW w:w="882" w:type="dxa"/>
            <w:tcBorders>
              <w:top w:val="single" w:color="auto" w:sz="4" w:space="0"/>
              <w:left w:val="single" w:color="auto" w:sz="4" w:space="0"/>
              <w:bottom w:val="single" w:color="auto" w:sz="4" w:space="0"/>
              <w:right w:val="single" w:color="auto" w:sz="4" w:space="0"/>
            </w:tcBorders>
            <w:vAlign w:val="center"/>
          </w:tcPr>
          <w:p w14:paraId="405581DD">
            <w:pPr>
              <w:widowControl w:val="0"/>
              <w:ind w:left="751" w:leftChars="20" w:right="113"/>
              <w:jc w:val="center"/>
              <w:rPr>
                <w:b/>
                <w:bCs/>
                <w:color w:val="auto"/>
                <w:highlight w:val="none"/>
              </w:rPr>
            </w:pPr>
            <w:r>
              <w:rPr>
                <w:rFonts w:hint="eastAsia"/>
                <w:color w:val="auto"/>
                <w:highlight w:val="none"/>
              </w:rPr>
              <w:t>分值</w:t>
            </w:r>
          </w:p>
        </w:tc>
        <w:tc>
          <w:tcPr>
            <w:tcW w:w="895" w:type="dxa"/>
            <w:tcBorders>
              <w:top w:val="single" w:color="auto" w:sz="4" w:space="0"/>
              <w:left w:val="single" w:color="auto" w:sz="4" w:space="0"/>
              <w:bottom w:val="single" w:color="auto" w:sz="4" w:space="0"/>
              <w:right w:val="single" w:color="auto" w:sz="4" w:space="0"/>
            </w:tcBorders>
            <w:vAlign w:val="center"/>
          </w:tcPr>
          <w:p w14:paraId="2B63DD85">
            <w:pPr>
              <w:widowControl w:val="0"/>
              <w:ind w:left="751" w:leftChars="20" w:right="113"/>
              <w:jc w:val="center"/>
              <w:rPr>
                <w:color w:val="auto"/>
                <w:highlight w:val="none"/>
              </w:rPr>
            </w:pPr>
            <w:r>
              <w:rPr>
                <w:rFonts w:hint="eastAsia"/>
                <w:color w:val="auto"/>
                <w:highlight w:val="none"/>
              </w:rPr>
              <w:t>得分</w:t>
            </w:r>
          </w:p>
        </w:tc>
      </w:tr>
      <w:tr w14:paraId="64823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6" w:hRule="atLeast"/>
          <w:tblHeader/>
          <w:jc w:val="center"/>
        </w:trPr>
        <w:tc>
          <w:tcPr>
            <w:tcW w:w="756" w:type="dxa"/>
            <w:tcBorders>
              <w:top w:val="single" w:color="auto" w:sz="4" w:space="0"/>
              <w:left w:val="single" w:color="auto" w:sz="4" w:space="0"/>
              <w:bottom w:val="single" w:color="auto" w:sz="4" w:space="0"/>
              <w:right w:val="single" w:color="auto" w:sz="4" w:space="0"/>
            </w:tcBorders>
            <w:vAlign w:val="center"/>
          </w:tcPr>
          <w:p w14:paraId="7D3DD6C0">
            <w:pPr>
              <w:widowControl w:val="0"/>
              <w:ind w:right="-57"/>
              <w:jc w:val="center"/>
              <w:rPr>
                <w:b/>
                <w:color w:val="auto"/>
                <w:highlight w:val="none"/>
              </w:rPr>
            </w:pPr>
            <w:r>
              <w:rPr>
                <w:rFonts w:hint="eastAsia"/>
                <w:b/>
                <w:color w:val="auto"/>
                <w:highlight w:val="none"/>
              </w:rPr>
              <w:t>1</w:t>
            </w:r>
          </w:p>
        </w:tc>
        <w:tc>
          <w:tcPr>
            <w:tcW w:w="1274" w:type="dxa"/>
            <w:tcBorders>
              <w:top w:val="single" w:color="auto" w:sz="4" w:space="0"/>
              <w:left w:val="single" w:color="auto" w:sz="4" w:space="0"/>
              <w:bottom w:val="single" w:color="auto" w:sz="4" w:space="0"/>
              <w:right w:val="single" w:color="auto" w:sz="4" w:space="0"/>
            </w:tcBorders>
            <w:vAlign w:val="center"/>
          </w:tcPr>
          <w:p w14:paraId="48647BEF">
            <w:pPr>
              <w:widowControl w:val="0"/>
              <w:ind w:right="-57"/>
              <w:jc w:val="center"/>
              <w:rPr>
                <w:b/>
                <w:color w:val="auto"/>
                <w:highlight w:val="none"/>
              </w:rPr>
            </w:pPr>
            <w:r>
              <w:rPr>
                <w:rFonts w:hint="eastAsia" w:ascii="宋体" w:hAnsi="宋体"/>
                <w:color w:val="auto"/>
                <w:kern w:val="2"/>
                <w:highlight w:val="none"/>
              </w:rPr>
              <w:t>比选报价</w:t>
            </w:r>
          </w:p>
        </w:tc>
        <w:tc>
          <w:tcPr>
            <w:tcW w:w="3826" w:type="dxa"/>
            <w:tcBorders>
              <w:top w:val="single" w:color="auto" w:sz="4" w:space="0"/>
              <w:left w:val="single" w:color="auto" w:sz="4" w:space="0"/>
              <w:bottom w:val="single" w:color="auto" w:sz="4" w:space="0"/>
              <w:right w:val="single" w:color="auto" w:sz="4" w:space="0"/>
            </w:tcBorders>
            <w:vAlign w:val="center"/>
          </w:tcPr>
          <w:p w14:paraId="51F36726">
            <w:pPr>
              <w:widowControl w:val="0"/>
              <w:spacing w:before="0" w:after="0" w:afterAutospacing="0" w:line="240" w:lineRule="auto"/>
              <w:ind w:left="0" w:right="0" w:firstLine="0"/>
              <w:jc w:val="center"/>
              <w:textAlignment w:val="center"/>
              <w:rPr>
                <w:rFonts w:hint="eastAsia" w:ascii="宋体" w:hAnsi="宋体" w:cs="宋体"/>
                <w:color w:val="auto"/>
                <w:kern w:val="2"/>
                <w:highlight w:val="none"/>
                <w:lang w:bidi="ar"/>
              </w:rPr>
            </w:pPr>
            <w:r>
              <w:rPr>
                <w:rFonts w:hint="eastAsia" w:ascii="宋体" w:hAnsi="宋体" w:cs="宋体"/>
                <w:color w:val="auto"/>
                <w:highlight w:val="none"/>
                <w:lang w:bidi="ar"/>
              </w:rPr>
              <w:t>（1</w:t>
            </w:r>
            <w:r>
              <w:rPr>
                <w:rFonts w:hint="eastAsia" w:ascii="宋体" w:hAnsi="宋体" w:cs="宋体"/>
                <w:color w:val="auto"/>
                <w:kern w:val="2"/>
                <w:highlight w:val="none"/>
                <w:lang w:bidi="ar"/>
              </w:rPr>
              <w:t>）比选申请人总报价大于上控价时比选申请文件作无效处理。</w:t>
            </w:r>
          </w:p>
          <w:p w14:paraId="01C90928">
            <w:pPr>
              <w:widowControl w:val="0"/>
              <w:spacing w:before="0" w:after="0" w:afterAutospacing="0" w:line="240" w:lineRule="auto"/>
              <w:ind w:left="0" w:right="0" w:firstLine="0"/>
              <w:jc w:val="center"/>
              <w:textAlignment w:val="center"/>
              <w:rPr>
                <w:rFonts w:hint="eastAsia" w:ascii="宋体" w:hAnsi="宋体" w:cs="宋体"/>
                <w:color w:val="auto"/>
                <w:kern w:val="2"/>
                <w:highlight w:val="none"/>
                <w:lang w:bidi="ar"/>
              </w:rPr>
            </w:pPr>
            <w:r>
              <w:rPr>
                <w:rFonts w:hint="eastAsia" w:ascii="宋体" w:hAnsi="宋体" w:cs="宋体"/>
                <w:color w:val="auto"/>
                <w:kern w:val="2"/>
                <w:highlight w:val="none"/>
                <w:lang w:bidi="ar"/>
              </w:rPr>
              <w:t>（2）当比选申请人总报价小于或者等于上控价时，资格审查合格的有效报价比选申请人在3家以上（含3家）的，将去掉最高的有效报价后（报价相同的一并去掉），取不含税总报价的算术平均值作为评审基准价。基准价和比选申请价格得分计算结果均保留小数点后两位。</w:t>
            </w:r>
          </w:p>
          <w:p w14:paraId="1870E9AC">
            <w:pPr>
              <w:widowControl w:val="0"/>
              <w:spacing w:before="0" w:after="0" w:afterAutospacing="0" w:line="240" w:lineRule="auto"/>
              <w:ind w:left="0" w:right="0" w:firstLine="0"/>
              <w:jc w:val="center"/>
              <w:textAlignment w:val="center"/>
              <w:rPr>
                <w:b/>
                <w:bCs/>
                <w:color w:val="auto"/>
                <w:highlight w:val="none"/>
              </w:rPr>
            </w:pPr>
            <w:r>
              <w:rPr>
                <w:rFonts w:hint="eastAsia" w:ascii="宋体" w:hAnsi="宋体" w:cs="宋体"/>
                <w:color w:val="auto"/>
                <w:kern w:val="2"/>
                <w:highlight w:val="none"/>
                <w:lang w:bidi="ar"/>
              </w:rPr>
              <w:t>（3）如所有比选申请人的报价相同，则该报价为评审基准价。</w:t>
            </w:r>
          </w:p>
        </w:tc>
        <w:tc>
          <w:tcPr>
            <w:tcW w:w="3283" w:type="dxa"/>
            <w:tcBorders>
              <w:top w:val="single" w:color="auto" w:sz="4" w:space="0"/>
              <w:left w:val="single" w:color="auto" w:sz="4" w:space="0"/>
              <w:bottom w:val="single" w:color="auto" w:sz="4" w:space="0"/>
              <w:right w:val="single" w:color="auto" w:sz="4" w:space="0"/>
            </w:tcBorders>
            <w:vAlign w:val="center"/>
          </w:tcPr>
          <w:p w14:paraId="3EC1306C">
            <w:pPr>
              <w:widowControl w:val="0"/>
              <w:spacing w:before="0" w:after="0" w:afterAutospacing="0" w:line="240" w:lineRule="auto"/>
              <w:ind w:left="0" w:right="0" w:firstLine="0"/>
              <w:jc w:val="center"/>
              <w:textAlignment w:val="center"/>
              <w:rPr>
                <w:rFonts w:hint="eastAsia" w:ascii="宋体" w:hAnsi="宋体" w:cs="宋体"/>
                <w:color w:val="auto"/>
                <w:highlight w:val="none"/>
                <w:lang w:bidi="ar"/>
              </w:rPr>
            </w:pPr>
            <w:r>
              <w:rPr>
                <w:rFonts w:hint="eastAsia" w:ascii="宋体" w:hAnsi="宋体" w:cs="宋体"/>
                <w:color w:val="auto"/>
                <w:highlight w:val="none"/>
                <w:lang w:bidi="ar"/>
              </w:rPr>
              <w:t>评审时以经评审的基准价为最高分，采用内插法计算，比选申请人报价每高于基准价1％的扣1分，每低于基准价1％的扣0.5分，扣完即止。</w:t>
            </w:r>
          </w:p>
          <w:p w14:paraId="146B6DE9">
            <w:pPr>
              <w:widowControl w:val="0"/>
              <w:spacing w:before="0" w:after="0" w:afterAutospacing="0" w:line="240" w:lineRule="auto"/>
              <w:ind w:left="0" w:right="0" w:firstLine="0"/>
              <w:jc w:val="center"/>
              <w:textAlignment w:val="center"/>
              <w:rPr>
                <w:rFonts w:hint="eastAsia" w:ascii="宋体" w:hAnsi="宋体" w:cs="宋体"/>
                <w:color w:val="auto"/>
                <w:highlight w:val="none"/>
                <w:lang w:bidi="ar"/>
              </w:rPr>
            </w:pPr>
            <w:r>
              <w:rPr>
                <w:rFonts w:hint="eastAsia" w:ascii="宋体" w:hAnsi="宋体" w:cs="宋体"/>
                <w:color w:val="auto"/>
                <w:highlight w:val="none"/>
                <w:lang w:bidi="ar"/>
              </w:rPr>
              <w:t>1）当评审价等于基准价时，比选申请人的价格得分为40分；</w:t>
            </w:r>
          </w:p>
          <w:p w14:paraId="786452D7">
            <w:pPr>
              <w:widowControl w:val="0"/>
              <w:spacing w:before="0" w:after="0" w:afterAutospacing="0" w:line="240" w:lineRule="auto"/>
              <w:ind w:left="0" w:right="0" w:firstLine="0"/>
              <w:jc w:val="center"/>
              <w:textAlignment w:val="center"/>
              <w:rPr>
                <w:rFonts w:hint="eastAsia" w:ascii="宋体" w:hAnsi="宋体" w:cs="宋体"/>
                <w:color w:val="auto"/>
                <w:highlight w:val="none"/>
                <w:lang w:bidi="ar"/>
              </w:rPr>
            </w:pPr>
            <w:r>
              <w:rPr>
                <w:rFonts w:hint="eastAsia" w:ascii="宋体" w:hAnsi="宋体" w:cs="宋体"/>
                <w:color w:val="auto"/>
                <w:highlight w:val="none"/>
                <w:lang w:bidi="ar"/>
              </w:rPr>
              <w:t>2）当评审价高于基准价时，每高于基准价的1%，比选申请人的价格得分扣1分，中间数按内插法计算，即：某比选申请人价格分=40-（评审价-基准价）/基准价×100×1；</w:t>
            </w:r>
          </w:p>
          <w:p w14:paraId="3BCB0215">
            <w:pPr>
              <w:widowControl w:val="0"/>
              <w:spacing w:before="0" w:after="0" w:afterAutospacing="0" w:line="240" w:lineRule="auto"/>
              <w:ind w:left="0" w:right="0" w:firstLine="0"/>
              <w:jc w:val="center"/>
              <w:textAlignment w:val="center"/>
              <w:rPr>
                <w:rFonts w:hint="eastAsia" w:ascii="宋体" w:hAnsi="宋体" w:cs="宋体"/>
                <w:color w:val="auto"/>
                <w:highlight w:val="none"/>
                <w:lang w:bidi="ar"/>
              </w:rPr>
            </w:pPr>
            <w:r>
              <w:rPr>
                <w:rFonts w:hint="eastAsia" w:ascii="宋体" w:hAnsi="宋体" w:cs="宋体"/>
                <w:color w:val="auto"/>
                <w:highlight w:val="none"/>
                <w:lang w:bidi="ar"/>
              </w:rPr>
              <w:t>3）当评审价低于基准价时，每低于基准价的1%，比选申请人的价格得分扣0.5分，中间数按内插法计算，即:某比选申请人价格分=40-（基准价-评审价）/基准价×100×0.5；</w:t>
            </w:r>
          </w:p>
          <w:p w14:paraId="761BC2C2">
            <w:pPr>
              <w:widowControl w:val="0"/>
              <w:spacing w:before="0" w:after="0" w:afterAutospacing="0" w:line="240" w:lineRule="auto"/>
              <w:ind w:left="0" w:right="0" w:firstLine="0"/>
              <w:jc w:val="center"/>
              <w:textAlignment w:val="center"/>
              <w:rPr>
                <w:color w:val="auto"/>
                <w:highlight w:val="none"/>
              </w:rPr>
            </w:pPr>
            <w:r>
              <w:rPr>
                <w:rFonts w:hint="eastAsia" w:ascii="宋体" w:hAnsi="宋体" w:cs="宋体"/>
                <w:color w:val="auto"/>
                <w:highlight w:val="none"/>
                <w:lang w:bidi="ar"/>
              </w:rPr>
              <w:t>本项最低为0分。</w:t>
            </w:r>
          </w:p>
        </w:tc>
        <w:tc>
          <w:tcPr>
            <w:tcW w:w="882" w:type="dxa"/>
            <w:tcBorders>
              <w:top w:val="single" w:color="auto" w:sz="4" w:space="0"/>
              <w:left w:val="single" w:color="auto" w:sz="4" w:space="0"/>
              <w:bottom w:val="single" w:color="auto" w:sz="4" w:space="0"/>
              <w:right w:val="single" w:color="auto" w:sz="4" w:space="0"/>
            </w:tcBorders>
            <w:vAlign w:val="center"/>
          </w:tcPr>
          <w:p w14:paraId="220B723B">
            <w:pPr>
              <w:widowControl w:val="0"/>
              <w:spacing w:before="0" w:after="0" w:afterAutospacing="0"/>
              <w:ind w:left="0" w:right="0" w:firstLine="0"/>
              <w:rPr>
                <w:rFonts w:hint="eastAsia" w:ascii="宋体" w:hAnsi="宋体"/>
                <w:color w:val="auto"/>
                <w:kern w:val="2"/>
                <w:highlight w:val="none"/>
              </w:rPr>
            </w:pPr>
            <w:r>
              <w:rPr>
                <w:rFonts w:ascii="宋体" w:hAnsi="宋体"/>
                <w:color w:val="auto"/>
                <w:kern w:val="2"/>
                <w:highlight w:val="none"/>
              </w:rPr>
              <w:t>0</w:t>
            </w:r>
            <w:r>
              <w:rPr>
                <w:rFonts w:hint="eastAsia" w:ascii="宋体" w:hAnsi="宋体"/>
                <w:color w:val="auto"/>
                <w:kern w:val="2"/>
                <w:highlight w:val="none"/>
              </w:rPr>
              <w:t>≤</w:t>
            </w:r>
            <w:r>
              <w:rPr>
                <w:rFonts w:ascii="宋体" w:hAnsi="宋体"/>
                <w:color w:val="auto"/>
                <w:kern w:val="2"/>
                <w:highlight w:val="none"/>
              </w:rPr>
              <w:t>m</w:t>
            </w:r>
            <w:r>
              <w:rPr>
                <w:rFonts w:hint="eastAsia" w:ascii="宋体" w:hAnsi="宋体"/>
                <w:color w:val="auto"/>
                <w:kern w:val="2"/>
                <w:highlight w:val="none"/>
              </w:rPr>
              <w:t>≤40</w:t>
            </w:r>
          </w:p>
        </w:tc>
        <w:tc>
          <w:tcPr>
            <w:tcW w:w="895" w:type="dxa"/>
            <w:tcBorders>
              <w:top w:val="single" w:color="auto" w:sz="4" w:space="0"/>
              <w:left w:val="single" w:color="auto" w:sz="4" w:space="0"/>
              <w:bottom w:val="single" w:color="auto" w:sz="4" w:space="0"/>
              <w:right w:val="single" w:color="auto" w:sz="4" w:space="0"/>
            </w:tcBorders>
            <w:vAlign w:val="center"/>
          </w:tcPr>
          <w:p w14:paraId="2C2A0EB0">
            <w:pPr>
              <w:widowControl w:val="0"/>
              <w:spacing w:before="0" w:after="0" w:afterAutospacing="0"/>
              <w:ind w:left="0" w:right="0" w:firstLine="0"/>
              <w:rPr>
                <w:rFonts w:hint="eastAsia" w:ascii="宋体" w:hAnsi="宋体"/>
                <w:color w:val="auto"/>
                <w:kern w:val="2"/>
                <w:highlight w:val="none"/>
              </w:rPr>
            </w:pPr>
          </w:p>
        </w:tc>
      </w:tr>
      <w:tr w14:paraId="0E858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blHeader/>
          <w:jc w:val="center"/>
        </w:trPr>
        <w:tc>
          <w:tcPr>
            <w:tcW w:w="2030" w:type="dxa"/>
            <w:gridSpan w:val="2"/>
            <w:tcBorders>
              <w:top w:val="single" w:color="auto" w:sz="4" w:space="0"/>
              <w:left w:val="single" w:color="auto" w:sz="4" w:space="0"/>
              <w:bottom w:val="single" w:color="auto" w:sz="4" w:space="0"/>
              <w:right w:val="single" w:color="auto" w:sz="4" w:space="0"/>
            </w:tcBorders>
            <w:vAlign w:val="center"/>
          </w:tcPr>
          <w:p w14:paraId="720B2733">
            <w:pPr>
              <w:widowControl w:val="0"/>
              <w:ind w:right="-57"/>
              <w:jc w:val="center"/>
              <w:rPr>
                <w:color w:val="auto"/>
                <w:highlight w:val="none"/>
              </w:rPr>
            </w:pPr>
            <w:r>
              <w:rPr>
                <w:rFonts w:hint="eastAsia"/>
                <w:color w:val="auto"/>
                <w:highlight w:val="none"/>
              </w:rPr>
              <w:t>价格文件得分</w:t>
            </w:r>
          </w:p>
        </w:tc>
        <w:tc>
          <w:tcPr>
            <w:tcW w:w="3826" w:type="dxa"/>
            <w:tcBorders>
              <w:top w:val="single" w:color="auto" w:sz="4" w:space="0"/>
              <w:left w:val="single" w:color="auto" w:sz="4" w:space="0"/>
              <w:bottom w:val="single" w:color="auto" w:sz="4" w:space="0"/>
              <w:right w:val="single" w:color="auto" w:sz="4" w:space="0"/>
            </w:tcBorders>
            <w:vAlign w:val="center"/>
          </w:tcPr>
          <w:p w14:paraId="30EBD1E7">
            <w:pPr>
              <w:widowControl w:val="0"/>
              <w:ind w:right="-57"/>
              <w:jc w:val="center"/>
              <w:rPr>
                <w:b/>
                <w:bCs/>
                <w:color w:val="auto"/>
                <w:highlight w:val="none"/>
              </w:rPr>
            </w:pPr>
          </w:p>
        </w:tc>
        <w:tc>
          <w:tcPr>
            <w:tcW w:w="3283" w:type="dxa"/>
            <w:tcBorders>
              <w:top w:val="single" w:color="auto" w:sz="4" w:space="0"/>
              <w:left w:val="single" w:color="auto" w:sz="4" w:space="0"/>
              <w:bottom w:val="single" w:color="auto" w:sz="4" w:space="0"/>
              <w:right w:val="single" w:color="auto" w:sz="4" w:space="0"/>
            </w:tcBorders>
            <w:vAlign w:val="center"/>
          </w:tcPr>
          <w:p w14:paraId="61E066DA">
            <w:pPr>
              <w:widowControl w:val="0"/>
              <w:ind w:left="751" w:leftChars="20" w:right="113"/>
              <w:jc w:val="center"/>
              <w:rPr>
                <w:b/>
                <w:bCs/>
                <w:color w:val="auto"/>
                <w:highlight w:val="none"/>
              </w:rPr>
            </w:pPr>
            <w:r>
              <w:rPr>
                <w:rFonts w:hint="eastAsia"/>
                <w:b/>
                <w:bCs/>
                <w:color w:val="auto"/>
                <w:highlight w:val="none"/>
              </w:rPr>
              <w:t>40</w:t>
            </w:r>
          </w:p>
        </w:tc>
        <w:tc>
          <w:tcPr>
            <w:tcW w:w="882" w:type="dxa"/>
            <w:tcBorders>
              <w:top w:val="single" w:color="auto" w:sz="4" w:space="0"/>
              <w:left w:val="single" w:color="auto" w:sz="4" w:space="0"/>
              <w:bottom w:val="single" w:color="auto" w:sz="4" w:space="0"/>
              <w:right w:val="single" w:color="auto" w:sz="4" w:space="0"/>
            </w:tcBorders>
          </w:tcPr>
          <w:p w14:paraId="78D6B486">
            <w:pPr>
              <w:widowControl w:val="0"/>
              <w:ind w:left="751" w:leftChars="20" w:right="113"/>
              <w:jc w:val="center"/>
              <w:rPr>
                <w:b/>
                <w:bCs/>
                <w:color w:val="auto"/>
                <w:highlight w:val="none"/>
              </w:rPr>
            </w:pPr>
          </w:p>
        </w:tc>
        <w:tc>
          <w:tcPr>
            <w:tcW w:w="895" w:type="dxa"/>
            <w:tcBorders>
              <w:top w:val="single" w:color="auto" w:sz="4" w:space="0"/>
              <w:left w:val="single" w:color="auto" w:sz="4" w:space="0"/>
              <w:bottom w:val="single" w:color="auto" w:sz="4" w:space="0"/>
              <w:right w:val="single" w:color="auto" w:sz="4" w:space="0"/>
            </w:tcBorders>
          </w:tcPr>
          <w:p w14:paraId="5FD87822">
            <w:pPr>
              <w:widowControl w:val="0"/>
              <w:ind w:left="751" w:leftChars="20" w:right="113"/>
              <w:jc w:val="center"/>
              <w:rPr>
                <w:b/>
                <w:bCs/>
                <w:color w:val="auto"/>
                <w:highlight w:val="none"/>
              </w:rPr>
            </w:pPr>
          </w:p>
        </w:tc>
      </w:tr>
    </w:tbl>
    <w:p w14:paraId="33EB0D49">
      <w:pPr>
        <w:pStyle w:val="17"/>
        <w:ind w:left="707" w:leftChars="207" w:hanging="272" w:hangingChars="136"/>
        <w:rPr>
          <w:color w:val="auto"/>
          <w:highlight w:val="none"/>
        </w:rPr>
      </w:pPr>
      <w:r>
        <w:rPr>
          <w:rFonts w:hint="eastAsia"/>
          <w:color w:val="auto"/>
          <w:highlight w:val="none"/>
        </w:rPr>
        <w:t>注：比选报价如有修正，需填写附表《比选报价修正表》并由比选人代表签字确认。</w:t>
      </w:r>
    </w:p>
    <w:p w14:paraId="5B696FE0">
      <w:pPr>
        <w:pStyle w:val="17"/>
        <w:rPr>
          <w:b/>
          <w:bCs/>
          <w:color w:val="auto"/>
          <w:highlight w:val="none"/>
        </w:rPr>
      </w:pPr>
    </w:p>
    <w:p w14:paraId="76F5D3B7">
      <w:pPr>
        <w:pStyle w:val="17"/>
        <w:rPr>
          <w:b/>
          <w:bCs/>
          <w:color w:val="auto"/>
          <w:highlight w:val="none"/>
        </w:rPr>
      </w:pPr>
    </w:p>
    <w:p w14:paraId="4FC81089">
      <w:pPr>
        <w:pStyle w:val="17"/>
        <w:rPr>
          <w:b/>
          <w:bCs/>
          <w:color w:val="auto"/>
          <w:highlight w:val="none"/>
        </w:rPr>
      </w:pPr>
    </w:p>
    <w:p w14:paraId="492F37C1">
      <w:pPr>
        <w:spacing w:before="0" w:after="0"/>
        <w:ind w:left="0" w:right="0" w:firstLine="0"/>
        <w:jc w:val="left"/>
        <w:rPr>
          <w:rFonts w:hint="eastAsia" w:ascii="宋体" w:hAnsi="宋体"/>
          <w:color w:val="auto"/>
          <w:highlight w:val="none"/>
        </w:rPr>
      </w:pPr>
    </w:p>
    <w:p w14:paraId="337AB4BD">
      <w:pPr>
        <w:spacing w:before="0" w:after="0"/>
        <w:ind w:left="0" w:right="0" w:firstLine="0"/>
        <w:jc w:val="left"/>
        <w:rPr>
          <w:b/>
          <w:bCs/>
          <w:color w:val="auto"/>
          <w:highlight w:val="none"/>
        </w:rPr>
      </w:pPr>
    </w:p>
    <w:p w14:paraId="05749765">
      <w:pPr>
        <w:spacing w:before="0" w:after="0"/>
        <w:ind w:left="0" w:right="0" w:firstLine="0"/>
        <w:jc w:val="left"/>
        <w:rPr>
          <w:b/>
          <w:bCs/>
          <w:color w:val="auto"/>
          <w:highlight w:val="none"/>
        </w:rPr>
      </w:pPr>
      <w:r>
        <w:rPr>
          <w:rFonts w:hint="eastAsia"/>
          <w:b/>
          <w:bCs/>
          <w:color w:val="auto"/>
          <w:highlight w:val="none"/>
        </w:rPr>
        <w:t>附表五  综合评审得分表</w:t>
      </w:r>
    </w:p>
    <w:p w14:paraId="64E0C446">
      <w:pPr>
        <w:pStyle w:val="17"/>
        <w:jc w:val="center"/>
        <w:rPr>
          <w:rFonts w:hint="eastAsia" w:hAnsi="宋体" w:cs="Times New Roman"/>
          <w:b/>
          <w:color w:val="auto"/>
          <w:sz w:val="28"/>
          <w:szCs w:val="28"/>
          <w:highlight w:val="none"/>
        </w:rPr>
      </w:pPr>
      <w:r>
        <w:rPr>
          <w:rFonts w:hint="eastAsia" w:hAnsi="宋体" w:cs="Times New Roman"/>
          <w:b/>
          <w:color w:val="auto"/>
          <w:sz w:val="28"/>
          <w:szCs w:val="28"/>
          <w:highlight w:val="none"/>
        </w:rPr>
        <w:t>综合评审得分表</w:t>
      </w:r>
    </w:p>
    <w:tbl>
      <w:tblPr>
        <w:tblStyle w:val="37"/>
        <w:tblW w:w="104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2819"/>
        <w:gridCol w:w="2753"/>
        <w:gridCol w:w="2941"/>
      </w:tblGrid>
      <w:tr w14:paraId="37923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0" w:hRule="atLeast"/>
          <w:jc w:val="center"/>
        </w:trPr>
        <w:tc>
          <w:tcPr>
            <w:tcW w:w="1925" w:type="dxa"/>
            <w:vAlign w:val="center"/>
          </w:tcPr>
          <w:p w14:paraId="1DD68F51">
            <w:pPr>
              <w:spacing w:before="0" w:line="240" w:lineRule="auto"/>
              <w:ind w:right="0"/>
              <w:jc w:val="center"/>
              <w:rPr>
                <w:rFonts w:hint="eastAsia" w:ascii="宋体" w:hAnsi="宋体"/>
                <w:b/>
                <w:color w:val="auto"/>
                <w:sz w:val="24"/>
                <w:szCs w:val="24"/>
                <w:highlight w:val="none"/>
              </w:rPr>
            </w:pPr>
            <w:r>
              <w:rPr>
                <w:rFonts w:hint="eastAsia" w:ascii="宋体" w:hAnsi="宋体"/>
                <w:b/>
                <w:color w:val="auto"/>
                <w:sz w:val="24"/>
                <w:szCs w:val="24"/>
                <w:highlight w:val="none"/>
              </w:rPr>
              <w:t>序号</w:t>
            </w:r>
          </w:p>
        </w:tc>
        <w:tc>
          <w:tcPr>
            <w:tcW w:w="2819" w:type="dxa"/>
            <w:vAlign w:val="center"/>
          </w:tcPr>
          <w:p w14:paraId="4B44E0C1">
            <w:pPr>
              <w:spacing w:before="0" w:line="240" w:lineRule="auto"/>
              <w:ind w:left="0" w:right="0" w:firstLine="0"/>
              <w:jc w:val="center"/>
              <w:rPr>
                <w:rFonts w:hint="eastAsia" w:ascii="宋体" w:hAnsi="宋体"/>
                <w:b/>
                <w:color w:val="auto"/>
                <w:sz w:val="24"/>
                <w:szCs w:val="24"/>
                <w:highlight w:val="none"/>
              </w:rPr>
            </w:pPr>
            <w:r>
              <w:rPr>
                <w:rFonts w:hint="eastAsia" w:ascii="宋体" w:hAnsi="宋体"/>
                <w:b/>
                <w:color w:val="auto"/>
                <w:sz w:val="24"/>
                <w:szCs w:val="24"/>
                <w:highlight w:val="none"/>
              </w:rPr>
              <w:t>项目</w:t>
            </w:r>
          </w:p>
        </w:tc>
        <w:tc>
          <w:tcPr>
            <w:tcW w:w="2753" w:type="dxa"/>
            <w:vAlign w:val="center"/>
          </w:tcPr>
          <w:p w14:paraId="2C6F2D26">
            <w:pPr>
              <w:spacing w:before="0" w:line="240" w:lineRule="auto"/>
              <w:ind w:right="0"/>
              <w:jc w:val="center"/>
              <w:rPr>
                <w:rFonts w:hint="eastAsia" w:ascii="宋体" w:hAnsi="宋体"/>
                <w:b/>
                <w:color w:val="auto"/>
                <w:sz w:val="24"/>
                <w:szCs w:val="24"/>
                <w:highlight w:val="none"/>
              </w:rPr>
            </w:pPr>
            <w:r>
              <w:rPr>
                <w:rFonts w:hint="eastAsia" w:ascii="宋体" w:hAnsi="宋体"/>
                <w:b/>
                <w:color w:val="auto"/>
                <w:sz w:val="24"/>
                <w:szCs w:val="24"/>
                <w:highlight w:val="none"/>
              </w:rPr>
              <w:t>满分</w:t>
            </w:r>
          </w:p>
        </w:tc>
        <w:tc>
          <w:tcPr>
            <w:tcW w:w="2941" w:type="dxa"/>
            <w:vAlign w:val="center"/>
          </w:tcPr>
          <w:p w14:paraId="4023C6E6">
            <w:pPr>
              <w:spacing w:before="0" w:line="240" w:lineRule="auto"/>
              <w:ind w:right="0"/>
              <w:jc w:val="center"/>
              <w:rPr>
                <w:rFonts w:hint="eastAsia" w:ascii="宋体" w:hAnsi="宋体"/>
                <w:b/>
                <w:color w:val="auto"/>
                <w:sz w:val="24"/>
                <w:szCs w:val="24"/>
                <w:highlight w:val="none"/>
              </w:rPr>
            </w:pPr>
            <w:r>
              <w:rPr>
                <w:rFonts w:hint="eastAsia" w:ascii="宋体" w:hAnsi="宋体"/>
                <w:b/>
                <w:color w:val="auto"/>
                <w:sz w:val="24"/>
                <w:szCs w:val="24"/>
                <w:highlight w:val="none"/>
              </w:rPr>
              <w:t>得分</w:t>
            </w:r>
          </w:p>
        </w:tc>
      </w:tr>
      <w:tr w14:paraId="6DEBD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4" w:hRule="atLeast"/>
          <w:jc w:val="center"/>
        </w:trPr>
        <w:tc>
          <w:tcPr>
            <w:tcW w:w="1925" w:type="dxa"/>
            <w:vAlign w:val="center"/>
          </w:tcPr>
          <w:p w14:paraId="7EB9ACD4">
            <w:pPr>
              <w:pStyle w:val="17"/>
              <w:jc w:val="center"/>
              <w:rPr>
                <w:rFonts w:hint="eastAsia" w:hAnsi="宋体"/>
                <w:color w:val="auto"/>
                <w:highlight w:val="none"/>
              </w:rPr>
            </w:pPr>
            <w:r>
              <w:rPr>
                <w:rFonts w:hint="eastAsia" w:hAnsi="宋体"/>
                <w:color w:val="auto"/>
                <w:highlight w:val="none"/>
              </w:rPr>
              <w:t>1</w:t>
            </w:r>
          </w:p>
        </w:tc>
        <w:tc>
          <w:tcPr>
            <w:tcW w:w="2819" w:type="dxa"/>
            <w:vAlign w:val="center"/>
          </w:tcPr>
          <w:p w14:paraId="34283A53">
            <w:pPr>
              <w:pStyle w:val="17"/>
              <w:jc w:val="center"/>
              <w:rPr>
                <w:rFonts w:hint="eastAsia" w:hAnsi="宋体"/>
                <w:color w:val="auto"/>
                <w:highlight w:val="none"/>
              </w:rPr>
            </w:pPr>
            <w:r>
              <w:rPr>
                <w:rFonts w:hint="eastAsia" w:hAnsi="宋体"/>
                <w:color w:val="auto"/>
                <w:highlight w:val="none"/>
              </w:rPr>
              <w:t>技术文件得分</w:t>
            </w:r>
          </w:p>
        </w:tc>
        <w:tc>
          <w:tcPr>
            <w:tcW w:w="2753" w:type="dxa"/>
            <w:vAlign w:val="center"/>
          </w:tcPr>
          <w:p w14:paraId="06525EFE">
            <w:pPr>
              <w:pStyle w:val="17"/>
              <w:jc w:val="center"/>
              <w:rPr>
                <w:rFonts w:hint="eastAsia" w:hAnsi="宋体"/>
                <w:color w:val="auto"/>
                <w:highlight w:val="none"/>
              </w:rPr>
            </w:pPr>
            <w:r>
              <w:rPr>
                <w:rFonts w:hint="eastAsia" w:hAnsi="宋体"/>
                <w:color w:val="auto"/>
                <w:highlight w:val="none"/>
              </w:rPr>
              <w:t>60</w:t>
            </w:r>
          </w:p>
        </w:tc>
        <w:tc>
          <w:tcPr>
            <w:tcW w:w="2941" w:type="dxa"/>
            <w:vAlign w:val="center"/>
          </w:tcPr>
          <w:p w14:paraId="2112EBC6">
            <w:pPr>
              <w:pStyle w:val="17"/>
              <w:jc w:val="center"/>
              <w:rPr>
                <w:rFonts w:hint="eastAsia" w:hAnsi="宋体"/>
                <w:color w:val="auto"/>
                <w:highlight w:val="none"/>
              </w:rPr>
            </w:pPr>
          </w:p>
        </w:tc>
      </w:tr>
      <w:tr w14:paraId="30882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jc w:val="center"/>
        </w:trPr>
        <w:tc>
          <w:tcPr>
            <w:tcW w:w="1925" w:type="dxa"/>
            <w:vAlign w:val="center"/>
          </w:tcPr>
          <w:p w14:paraId="0BEDFFAD">
            <w:pPr>
              <w:pStyle w:val="17"/>
              <w:jc w:val="center"/>
              <w:rPr>
                <w:rFonts w:hint="eastAsia" w:hAnsi="宋体"/>
                <w:color w:val="auto"/>
                <w:highlight w:val="none"/>
              </w:rPr>
            </w:pPr>
            <w:r>
              <w:rPr>
                <w:rFonts w:hint="eastAsia" w:hAnsi="宋体"/>
                <w:color w:val="auto"/>
                <w:highlight w:val="none"/>
              </w:rPr>
              <w:t>2</w:t>
            </w:r>
          </w:p>
        </w:tc>
        <w:tc>
          <w:tcPr>
            <w:tcW w:w="2819" w:type="dxa"/>
            <w:vAlign w:val="center"/>
          </w:tcPr>
          <w:p w14:paraId="447641D3">
            <w:pPr>
              <w:pStyle w:val="17"/>
              <w:jc w:val="center"/>
              <w:rPr>
                <w:rFonts w:hint="eastAsia" w:hAnsi="宋体"/>
                <w:color w:val="auto"/>
                <w:highlight w:val="none"/>
              </w:rPr>
            </w:pPr>
            <w:r>
              <w:rPr>
                <w:rFonts w:hint="eastAsia" w:hAnsi="宋体"/>
                <w:color w:val="auto"/>
                <w:highlight w:val="none"/>
              </w:rPr>
              <w:t>价格文件得分</w:t>
            </w:r>
          </w:p>
        </w:tc>
        <w:tc>
          <w:tcPr>
            <w:tcW w:w="2753" w:type="dxa"/>
            <w:vAlign w:val="center"/>
          </w:tcPr>
          <w:p w14:paraId="07C81B6A">
            <w:pPr>
              <w:pStyle w:val="17"/>
              <w:jc w:val="center"/>
              <w:rPr>
                <w:rFonts w:hint="eastAsia" w:hAnsi="宋体"/>
                <w:color w:val="auto"/>
                <w:highlight w:val="none"/>
              </w:rPr>
            </w:pPr>
            <w:r>
              <w:rPr>
                <w:rFonts w:hint="eastAsia" w:hAnsi="宋体"/>
                <w:color w:val="auto"/>
                <w:highlight w:val="none"/>
              </w:rPr>
              <w:t>40</w:t>
            </w:r>
          </w:p>
        </w:tc>
        <w:tc>
          <w:tcPr>
            <w:tcW w:w="2941" w:type="dxa"/>
            <w:vAlign w:val="center"/>
          </w:tcPr>
          <w:p w14:paraId="22D06A3B">
            <w:pPr>
              <w:pStyle w:val="17"/>
              <w:ind w:left="0" w:firstLine="0"/>
              <w:jc w:val="center"/>
              <w:rPr>
                <w:rFonts w:hint="eastAsia" w:hAnsi="宋体"/>
                <w:color w:val="auto"/>
                <w:highlight w:val="none"/>
              </w:rPr>
            </w:pPr>
          </w:p>
        </w:tc>
      </w:tr>
      <w:tr w14:paraId="72930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8" w:hRule="atLeast"/>
          <w:jc w:val="center"/>
        </w:trPr>
        <w:tc>
          <w:tcPr>
            <w:tcW w:w="7497" w:type="dxa"/>
            <w:gridSpan w:val="3"/>
            <w:vAlign w:val="center"/>
          </w:tcPr>
          <w:p w14:paraId="7146D714">
            <w:pPr>
              <w:pStyle w:val="17"/>
              <w:jc w:val="center"/>
              <w:rPr>
                <w:rFonts w:hint="eastAsia" w:hAnsi="宋体"/>
                <w:color w:val="auto"/>
                <w:highlight w:val="none"/>
              </w:rPr>
            </w:pPr>
            <w:r>
              <w:rPr>
                <w:rFonts w:hint="eastAsia" w:hAnsi="宋体"/>
                <w:color w:val="auto"/>
                <w:highlight w:val="none"/>
              </w:rPr>
              <w:t>最终得分（合计）</w:t>
            </w:r>
          </w:p>
        </w:tc>
        <w:tc>
          <w:tcPr>
            <w:tcW w:w="2941" w:type="dxa"/>
            <w:vAlign w:val="center"/>
          </w:tcPr>
          <w:p w14:paraId="45B602B7">
            <w:pPr>
              <w:pStyle w:val="17"/>
              <w:jc w:val="center"/>
              <w:rPr>
                <w:rFonts w:hint="eastAsia" w:hAnsi="宋体"/>
                <w:color w:val="auto"/>
                <w:highlight w:val="none"/>
              </w:rPr>
            </w:pPr>
          </w:p>
        </w:tc>
      </w:tr>
    </w:tbl>
    <w:p w14:paraId="0DB68D7F">
      <w:pPr>
        <w:pStyle w:val="17"/>
        <w:rPr>
          <w:rFonts w:hint="eastAsia" w:hAnsi="宋体"/>
          <w:color w:val="auto"/>
          <w:highlight w:val="none"/>
        </w:rPr>
      </w:pPr>
    </w:p>
    <w:p w14:paraId="2F5F0399">
      <w:pPr>
        <w:pStyle w:val="17"/>
        <w:rPr>
          <w:rFonts w:hint="eastAsia" w:hAnsi="宋体"/>
          <w:color w:val="auto"/>
          <w:highlight w:val="none"/>
        </w:rPr>
      </w:pPr>
    </w:p>
    <w:p w14:paraId="6B19E2D7">
      <w:pPr>
        <w:spacing w:before="159"/>
        <w:ind w:right="-57" w:firstLine="0"/>
        <w:jc w:val="center"/>
        <w:rPr>
          <w:rFonts w:hint="eastAsia" w:ascii="宋体" w:hAnsi="宋体"/>
          <w:b/>
          <w:color w:val="auto"/>
          <w:sz w:val="28"/>
          <w:szCs w:val="28"/>
          <w:highlight w:val="none"/>
        </w:rPr>
      </w:pPr>
    </w:p>
    <w:p w14:paraId="5B203F46">
      <w:pPr>
        <w:spacing w:before="159"/>
        <w:ind w:right="-57" w:firstLine="0"/>
        <w:jc w:val="center"/>
        <w:rPr>
          <w:rFonts w:hint="eastAsia" w:ascii="宋体" w:hAnsi="宋体"/>
          <w:b/>
          <w:color w:val="auto"/>
          <w:sz w:val="28"/>
          <w:szCs w:val="28"/>
          <w:highlight w:val="none"/>
        </w:rPr>
      </w:pPr>
    </w:p>
    <w:p w14:paraId="7F28534B">
      <w:pPr>
        <w:spacing w:before="159"/>
        <w:ind w:right="-57" w:firstLine="0"/>
        <w:jc w:val="center"/>
        <w:rPr>
          <w:rFonts w:hint="eastAsia" w:ascii="宋体" w:hAnsi="宋体"/>
          <w:b/>
          <w:color w:val="auto"/>
          <w:sz w:val="28"/>
          <w:szCs w:val="28"/>
          <w:highlight w:val="none"/>
        </w:rPr>
      </w:pPr>
    </w:p>
    <w:p w14:paraId="49104F8B">
      <w:pPr>
        <w:rPr>
          <w:rFonts w:hint="eastAsia" w:ascii="宋体" w:hAnsi="宋体"/>
          <w:b/>
          <w:color w:val="auto"/>
          <w:sz w:val="28"/>
          <w:szCs w:val="28"/>
          <w:highlight w:val="none"/>
        </w:rPr>
      </w:pPr>
      <w:r>
        <w:rPr>
          <w:rFonts w:hint="eastAsia" w:ascii="宋体" w:hAnsi="宋体"/>
          <w:b/>
          <w:color w:val="auto"/>
          <w:sz w:val="28"/>
          <w:szCs w:val="28"/>
          <w:highlight w:val="none"/>
        </w:rPr>
        <w:br w:type="page"/>
      </w:r>
    </w:p>
    <w:p w14:paraId="11C86589">
      <w:pPr>
        <w:spacing w:before="159"/>
        <w:ind w:right="-57" w:firstLine="0"/>
        <w:jc w:val="center"/>
        <w:rPr>
          <w:rFonts w:hint="eastAsia" w:ascii="宋体" w:hAnsi="宋体"/>
          <w:b/>
          <w:color w:val="auto"/>
          <w:sz w:val="28"/>
          <w:szCs w:val="28"/>
          <w:highlight w:val="none"/>
        </w:rPr>
      </w:pPr>
      <w:r>
        <w:rPr>
          <w:rFonts w:hint="eastAsia" w:ascii="宋体" w:hAnsi="宋体"/>
          <w:b/>
          <w:color w:val="auto"/>
          <w:sz w:val="28"/>
          <w:szCs w:val="28"/>
          <w:highlight w:val="none"/>
        </w:rPr>
        <w:t>附表：比选申请报价修正表</w:t>
      </w:r>
    </w:p>
    <w:tbl>
      <w:tblPr>
        <w:tblStyle w:val="36"/>
        <w:tblW w:w="915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14"/>
        <w:gridCol w:w="2293"/>
        <w:gridCol w:w="2555"/>
        <w:gridCol w:w="2896"/>
      </w:tblGrid>
      <w:tr w14:paraId="502BDC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8" w:hRule="atLeast"/>
          <w:jc w:val="center"/>
        </w:trPr>
        <w:tc>
          <w:tcPr>
            <w:tcW w:w="1414" w:type="dxa"/>
            <w:tcBorders>
              <w:left w:val="single" w:color="auto" w:sz="4" w:space="0"/>
              <w:bottom w:val="single" w:color="auto" w:sz="4" w:space="0"/>
              <w:right w:val="single" w:color="auto" w:sz="4" w:space="0"/>
            </w:tcBorders>
            <w:vAlign w:val="center"/>
          </w:tcPr>
          <w:p w14:paraId="4FEBEAAC">
            <w:pPr>
              <w:spacing w:before="0" w:line="240" w:lineRule="auto"/>
              <w:ind w:left="0" w:right="0" w:firstLine="0"/>
              <w:jc w:val="center"/>
              <w:rPr>
                <w:rFonts w:hint="eastAsia" w:ascii="宋体" w:hAnsi="宋体"/>
                <w:b/>
                <w:color w:val="auto"/>
                <w:sz w:val="24"/>
                <w:szCs w:val="24"/>
                <w:highlight w:val="none"/>
              </w:rPr>
            </w:pPr>
            <w:r>
              <w:rPr>
                <w:rFonts w:hint="eastAsia" w:ascii="宋体" w:hAnsi="宋体"/>
                <w:b/>
                <w:color w:val="auto"/>
                <w:sz w:val="24"/>
                <w:szCs w:val="24"/>
                <w:highlight w:val="none"/>
              </w:rPr>
              <w:t>编号</w:t>
            </w:r>
          </w:p>
        </w:tc>
        <w:tc>
          <w:tcPr>
            <w:tcW w:w="2293" w:type="dxa"/>
            <w:tcBorders>
              <w:left w:val="single" w:color="auto" w:sz="4" w:space="0"/>
              <w:bottom w:val="single" w:color="auto" w:sz="4" w:space="0"/>
              <w:right w:val="single" w:color="auto" w:sz="4" w:space="0"/>
            </w:tcBorders>
            <w:vAlign w:val="center"/>
          </w:tcPr>
          <w:p w14:paraId="2896A147">
            <w:pPr>
              <w:spacing w:before="0" w:line="240" w:lineRule="auto"/>
              <w:ind w:left="0" w:right="0" w:firstLine="0"/>
              <w:jc w:val="center"/>
              <w:rPr>
                <w:rFonts w:hint="eastAsia" w:ascii="宋体" w:hAnsi="宋体"/>
                <w:b/>
                <w:color w:val="auto"/>
                <w:sz w:val="24"/>
                <w:szCs w:val="24"/>
                <w:highlight w:val="none"/>
              </w:rPr>
            </w:pPr>
            <w:r>
              <w:rPr>
                <w:rFonts w:hint="eastAsia" w:ascii="宋体" w:hAnsi="宋体"/>
                <w:b/>
                <w:color w:val="auto"/>
                <w:sz w:val="24"/>
                <w:szCs w:val="24"/>
                <w:highlight w:val="none"/>
              </w:rPr>
              <w:t>修正项目</w:t>
            </w:r>
          </w:p>
        </w:tc>
        <w:tc>
          <w:tcPr>
            <w:tcW w:w="2555" w:type="dxa"/>
            <w:tcBorders>
              <w:left w:val="single" w:color="auto" w:sz="4" w:space="0"/>
              <w:bottom w:val="single" w:color="auto" w:sz="4" w:space="0"/>
              <w:right w:val="single" w:color="auto" w:sz="4" w:space="0"/>
            </w:tcBorders>
            <w:vAlign w:val="center"/>
          </w:tcPr>
          <w:p w14:paraId="35B5DDA3">
            <w:pPr>
              <w:spacing w:before="0" w:line="240" w:lineRule="auto"/>
              <w:ind w:left="0" w:right="0" w:firstLine="0"/>
              <w:jc w:val="center"/>
              <w:rPr>
                <w:rFonts w:hint="eastAsia" w:ascii="宋体" w:hAnsi="宋体"/>
                <w:b/>
                <w:color w:val="auto"/>
                <w:sz w:val="24"/>
                <w:szCs w:val="24"/>
                <w:highlight w:val="none"/>
              </w:rPr>
            </w:pPr>
            <w:r>
              <w:rPr>
                <w:rFonts w:hint="eastAsia" w:ascii="宋体" w:hAnsi="宋体"/>
                <w:b/>
                <w:color w:val="auto"/>
                <w:sz w:val="24"/>
                <w:szCs w:val="24"/>
                <w:highlight w:val="none"/>
              </w:rPr>
              <w:t>修正前比选申请报价</w:t>
            </w:r>
          </w:p>
        </w:tc>
        <w:tc>
          <w:tcPr>
            <w:tcW w:w="2896" w:type="dxa"/>
            <w:tcBorders>
              <w:top w:val="single" w:color="auto" w:sz="4" w:space="0"/>
              <w:left w:val="single" w:color="auto" w:sz="4" w:space="0"/>
              <w:bottom w:val="single" w:color="auto" w:sz="4" w:space="0"/>
              <w:right w:val="single" w:color="auto" w:sz="4" w:space="0"/>
            </w:tcBorders>
            <w:vAlign w:val="center"/>
          </w:tcPr>
          <w:p w14:paraId="1D047C93">
            <w:pPr>
              <w:spacing w:before="0" w:line="240" w:lineRule="auto"/>
              <w:ind w:left="0" w:right="0" w:firstLine="0"/>
              <w:jc w:val="center"/>
              <w:rPr>
                <w:rFonts w:hint="eastAsia" w:ascii="宋体" w:hAnsi="宋体"/>
                <w:b/>
                <w:color w:val="auto"/>
                <w:sz w:val="24"/>
                <w:szCs w:val="24"/>
                <w:highlight w:val="none"/>
              </w:rPr>
            </w:pPr>
            <w:r>
              <w:rPr>
                <w:rFonts w:hint="eastAsia" w:ascii="宋体" w:hAnsi="宋体"/>
                <w:b/>
                <w:color w:val="auto"/>
                <w:sz w:val="24"/>
                <w:szCs w:val="24"/>
                <w:highlight w:val="none"/>
              </w:rPr>
              <w:t>修正后比选申请报价</w:t>
            </w:r>
          </w:p>
        </w:tc>
      </w:tr>
      <w:tr w14:paraId="348368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8" w:hRule="atLeast"/>
          <w:jc w:val="center"/>
        </w:trPr>
        <w:tc>
          <w:tcPr>
            <w:tcW w:w="1414" w:type="dxa"/>
            <w:tcBorders>
              <w:left w:val="single" w:color="auto" w:sz="4" w:space="0"/>
              <w:right w:val="single" w:color="auto" w:sz="4" w:space="0"/>
            </w:tcBorders>
            <w:vAlign w:val="center"/>
          </w:tcPr>
          <w:p w14:paraId="3DB2724B">
            <w:pPr>
              <w:spacing w:before="0" w:line="240" w:lineRule="auto"/>
              <w:ind w:right="0" w:firstLine="0"/>
              <w:jc w:val="center"/>
              <w:rPr>
                <w:rFonts w:hint="eastAsia" w:ascii="宋体" w:hAnsi="宋体"/>
                <w:color w:val="auto"/>
                <w:highlight w:val="none"/>
              </w:rPr>
            </w:pPr>
          </w:p>
        </w:tc>
        <w:tc>
          <w:tcPr>
            <w:tcW w:w="2293" w:type="dxa"/>
            <w:tcBorders>
              <w:left w:val="single" w:color="auto" w:sz="4" w:space="0"/>
              <w:right w:val="single" w:color="auto" w:sz="4" w:space="0"/>
            </w:tcBorders>
            <w:vAlign w:val="center"/>
          </w:tcPr>
          <w:p w14:paraId="01D78729">
            <w:pPr>
              <w:spacing w:before="0" w:line="240" w:lineRule="auto"/>
              <w:ind w:right="0" w:firstLine="0"/>
              <w:jc w:val="left"/>
              <w:rPr>
                <w:rFonts w:hint="eastAsia" w:ascii="宋体" w:hAnsi="宋体" w:cs="宋体"/>
                <w:color w:val="auto"/>
                <w:highlight w:val="none"/>
              </w:rPr>
            </w:pPr>
          </w:p>
        </w:tc>
        <w:tc>
          <w:tcPr>
            <w:tcW w:w="2555" w:type="dxa"/>
            <w:tcBorders>
              <w:left w:val="single" w:color="auto" w:sz="4" w:space="0"/>
              <w:right w:val="single" w:color="auto" w:sz="4" w:space="0"/>
            </w:tcBorders>
            <w:vAlign w:val="center"/>
          </w:tcPr>
          <w:p w14:paraId="4468D030">
            <w:pPr>
              <w:spacing w:before="0" w:line="240" w:lineRule="auto"/>
              <w:ind w:right="0" w:firstLine="0"/>
              <w:jc w:val="center"/>
              <w:rPr>
                <w:rFonts w:hint="eastAsia" w:ascii="宋体" w:hAnsi="宋体" w:cs="宋体"/>
                <w:color w:val="auto"/>
                <w:highlight w:val="none"/>
              </w:rPr>
            </w:pPr>
          </w:p>
        </w:tc>
        <w:tc>
          <w:tcPr>
            <w:tcW w:w="2896" w:type="dxa"/>
            <w:tcBorders>
              <w:top w:val="single" w:color="auto" w:sz="4" w:space="0"/>
              <w:left w:val="single" w:color="auto" w:sz="4" w:space="0"/>
              <w:bottom w:val="single" w:color="auto" w:sz="4" w:space="0"/>
              <w:right w:val="single" w:color="auto" w:sz="4" w:space="0"/>
            </w:tcBorders>
            <w:vAlign w:val="center"/>
          </w:tcPr>
          <w:p w14:paraId="0407A64C">
            <w:pPr>
              <w:spacing w:before="0" w:line="240" w:lineRule="auto"/>
              <w:ind w:right="0" w:firstLine="0"/>
              <w:rPr>
                <w:rFonts w:hint="eastAsia" w:ascii="宋体" w:hAnsi="宋体"/>
                <w:color w:val="auto"/>
                <w:highlight w:val="none"/>
              </w:rPr>
            </w:pPr>
          </w:p>
        </w:tc>
      </w:tr>
      <w:tr w14:paraId="7E2A75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8" w:hRule="atLeast"/>
          <w:jc w:val="center"/>
        </w:trPr>
        <w:tc>
          <w:tcPr>
            <w:tcW w:w="1414" w:type="dxa"/>
            <w:tcBorders>
              <w:left w:val="single" w:color="auto" w:sz="4" w:space="0"/>
              <w:right w:val="single" w:color="auto" w:sz="4" w:space="0"/>
            </w:tcBorders>
            <w:vAlign w:val="center"/>
          </w:tcPr>
          <w:p w14:paraId="304B28D8">
            <w:pPr>
              <w:spacing w:before="0" w:line="240" w:lineRule="auto"/>
              <w:ind w:right="0" w:firstLine="0"/>
              <w:jc w:val="center"/>
              <w:rPr>
                <w:rFonts w:hint="eastAsia" w:ascii="宋体" w:hAnsi="宋体"/>
                <w:color w:val="auto"/>
                <w:highlight w:val="none"/>
              </w:rPr>
            </w:pPr>
          </w:p>
        </w:tc>
        <w:tc>
          <w:tcPr>
            <w:tcW w:w="2293" w:type="dxa"/>
            <w:tcBorders>
              <w:left w:val="single" w:color="auto" w:sz="4" w:space="0"/>
              <w:right w:val="single" w:color="auto" w:sz="4" w:space="0"/>
            </w:tcBorders>
            <w:vAlign w:val="center"/>
          </w:tcPr>
          <w:p w14:paraId="4E6AC63A">
            <w:pPr>
              <w:spacing w:before="0" w:line="240" w:lineRule="auto"/>
              <w:ind w:right="0" w:firstLine="0"/>
              <w:jc w:val="center"/>
              <w:rPr>
                <w:rFonts w:hint="eastAsia" w:ascii="宋体" w:hAnsi="宋体"/>
                <w:color w:val="auto"/>
                <w:highlight w:val="none"/>
              </w:rPr>
            </w:pPr>
          </w:p>
        </w:tc>
        <w:tc>
          <w:tcPr>
            <w:tcW w:w="2555" w:type="dxa"/>
            <w:tcBorders>
              <w:left w:val="single" w:color="auto" w:sz="4" w:space="0"/>
              <w:right w:val="single" w:color="auto" w:sz="4" w:space="0"/>
            </w:tcBorders>
            <w:vAlign w:val="center"/>
          </w:tcPr>
          <w:p w14:paraId="71437E27">
            <w:pPr>
              <w:spacing w:before="0" w:line="240" w:lineRule="auto"/>
              <w:ind w:right="0" w:firstLine="0"/>
              <w:jc w:val="left"/>
              <w:rPr>
                <w:rFonts w:hint="eastAsia" w:ascii="宋体" w:hAnsi="宋体"/>
                <w:b/>
                <w:color w:val="auto"/>
                <w:sz w:val="24"/>
                <w:szCs w:val="24"/>
                <w:highlight w:val="none"/>
              </w:rPr>
            </w:pPr>
          </w:p>
        </w:tc>
        <w:tc>
          <w:tcPr>
            <w:tcW w:w="2896" w:type="dxa"/>
            <w:tcBorders>
              <w:top w:val="single" w:color="auto" w:sz="4" w:space="0"/>
              <w:left w:val="single" w:color="auto" w:sz="4" w:space="0"/>
              <w:bottom w:val="single" w:color="auto" w:sz="4" w:space="0"/>
              <w:right w:val="single" w:color="auto" w:sz="4" w:space="0"/>
            </w:tcBorders>
            <w:vAlign w:val="center"/>
          </w:tcPr>
          <w:p w14:paraId="454B8B43">
            <w:pPr>
              <w:spacing w:before="0" w:line="240" w:lineRule="auto"/>
              <w:ind w:right="0" w:firstLine="0"/>
              <w:jc w:val="left"/>
              <w:rPr>
                <w:rFonts w:hint="eastAsia" w:ascii="宋体" w:hAnsi="宋体" w:cs="宋体"/>
                <w:b/>
                <w:color w:val="auto"/>
                <w:sz w:val="24"/>
                <w:szCs w:val="24"/>
                <w:highlight w:val="none"/>
              </w:rPr>
            </w:pPr>
          </w:p>
        </w:tc>
      </w:tr>
      <w:tr w14:paraId="68F80B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76" w:hRule="atLeast"/>
          <w:jc w:val="center"/>
        </w:trPr>
        <w:tc>
          <w:tcPr>
            <w:tcW w:w="1414" w:type="dxa"/>
            <w:tcBorders>
              <w:left w:val="single" w:color="auto" w:sz="4" w:space="0"/>
              <w:right w:val="single" w:color="auto" w:sz="4" w:space="0"/>
            </w:tcBorders>
            <w:vAlign w:val="center"/>
          </w:tcPr>
          <w:p w14:paraId="3DDD8E58">
            <w:pPr>
              <w:spacing w:before="0" w:line="240" w:lineRule="auto"/>
              <w:ind w:left="0" w:right="0" w:firstLine="0"/>
              <w:jc w:val="left"/>
              <w:rPr>
                <w:rFonts w:hint="eastAsia" w:ascii="宋体" w:hAnsi="宋体"/>
                <w:b/>
                <w:color w:val="auto"/>
                <w:sz w:val="24"/>
                <w:szCs w:val="24"/>
                <w:highlight w:val="none"/>
              </w:rPr>
            </w:pPr>
            <w:r>
              <w:rPr>
                <w:rFonts w:hint="eastAsia" w:ascii="宋体" w:hAnsi="宋体"/>
                <w:b/>
                <w:color w:val="auto"/>
                <w:sz w:val="24"/>
                <w:szCs w:val="24"/>
                <w:highlight w:val="none"/>
              </w:rPr>
              <w:t>修正前比选申请报价总价：</w:t>
            </w:r>
          </w:p>
        </w:tc>
        <w:tc>
          <w:tcPr>
            <w:tcW w:w="7744" w:type="dxa"/>
            <w:gridSpan w:val="3"/>
            <w:tcBorders>
              <w:left w:val="single" w:color="auto" w:sz="4" w:space="0"/>
              <w:right w:val="single" w:color="auto" w:sz="4" w:space="0"/>
            </w:tcBorders>
            <w:vAlign w:val="center"/>
          </w:tcPr>
          <w:p w14:paraId="77AAA7E6">
            <w:pPr>
              <w:spacing w:before="0" w:line="240" w:lineRule="auto"/>
              <w:ind w:right="0" w:firstLine="0"/>
              <w:rPr>
                <w:rFonts w:hint="eastAsia" w:ascii="宋体" w:hAnsi="宋体" w:cs="宋体"/>
                <w:b/>
                <w:color w:val="auto"/>
                <w:sz w:val="24"/>
                <w:szCs w:val="24"/>
                <w:highlight w:val="none"/>
              </w:rPr>
            </w:pPr>
          </w:p>
        </w:tc>
      </w:tr>
      <w:tr w14:paraId="6AB4BF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76" w:hRule="atLeast"/>
          <w:jc w:val="center"/>
        </w:trPr>
        <w:tc>
          <w:tcPr>
            <w:tcW w:w="1414" w:type="dxa"/>
            <w:tcBorders>
              <w:left w:val="single" w:color="auto" w:sz="4" w:space="0"/>
              <w:right w:val="single" w:color="auto" w:sz="4" w:space="0"/>
            </w:tcBorders>
            <w:vAlign w:val="center"/>
          </w:tcPr>
          <w:p w14:paraId="0EED85BF">
            <w:pPr>
              <w:spacing w:before="0" w:line="240" w:lineRule="auto"/>
              <w:ind w:left="0" w:right="0" w:firstLine="0"/>
              <w:jc w:val="left"/>
              <w:rPr>
                <w:rFonts w:hint="eastAsia" w:ascii="宋体" w:hAnsi="宋体"/>
                <w:b/>
                <w:color w:val="auto"/>
                <w:sz w:val="24"/>
                <w:szCs w:val="24"/>
                <w:highlight w:val="none"/>
              </w:rPr>
            </w:pPr>
            <w:r>
              <w:rPr>
                <w:rFonts w:hint="eastAsia" w:ascii="宋体" w:hAnsi="宋体"/>
                <w:b/>
                <w:color w:val="auto"/>
                <w:sz w:val="24"/>
                <w:szCs w:val="24"/>
                <w:highlight w:val="none"/>
              </w:rPr>
              <w:t>修正后比选申请报价总价：</w:t>
            </w:r>
          </w:p>
        </w:tc>
        <w:tc>
          <w:tcPr>
            <w:tcW w:w="7744" w:type="dxa"/>
            <w:gridSpan w:val="3"/>
            <w:tcBorders>
              <w:left w:val="single" w:color="auto" w:sz="4" w:space="0"/>
              <w:right w:val="single" w:color="auto" w:sz="4" w:space="0"/>
            </w:tcBorders>
            <w:vAlign w:val="center"/>
          </w:tcPr>
          <w:p w14:paraId="4930A848">
            <w:pPr>
              <w:spacing w:before="0" w:line="240" w:lineRule="auto"/>
              <w:ind w:right="0" w:firstLine="0"/>
              <w:rPr>
                <w:rFonts w:hint="eastAsia" w:ascii="宋体" w:hAnsi="宋体" w:cs="宋体"/>
                <w:b/>
                <w:color w:val="auto"/>
                <w:sz w:val="24"/>
                <w:szCs w:val="24"/>
                <w:highlight w:val="none"/>
              </w:rPr>
            </w:pPr>
          </w:p>
        </w:tc>
      </w:tr>
      <w:tr w14:paraId="1C29A3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8" w:hRule="atLeast"/>
          <w:jc w:val="center"/>
        </w:trPr>
        <w:tc>
          <w:tcPr>
            <w:tcW w:w="1414" w:type="dxa"/>
            <w:tcBorders>
              <w:left w:val="single" w:color="auto" w:sz="4" w:space="0"/>
              <w:right w:val="single" w:color="auto" w:sz="4" w:space="0"/>
            </w:tcBorders>
            <w:vAlign w:val="center"/>
          </w:tcPr>
          <w:p w14:paraId="331CC5F2">
            <w:pPr>
              <w:spacing w:before="0" w:line="240" w:lineRule="auto"/>
              <w:ind w:left="0" w:right="0" w:firstLine="0"/>
              <w:jc w:val="left"/>
              <w:rPr>
                <w:rFonts w:hint="eastAsia" w:ascii="宋体" w:hAnsi="宋体"/>
                <w:b/>
                <w:color w:val="auto"/>
                <w:sz w:val="24"/>
                <w:szCs w:val="24"/>
                <w:highlight w:val="none"/>
              </w:rPr>
            </w:pPr>
            <w:r>
              <w:rPr>
                <w:rFonts w:hint="eastAsia" w:ascii="宋体" w:hAnsi="宋体"/>
                <w:b/>
                <w:color w:val="auto"/>
                <w:sz w:val="24"/>
                <w:szCs w:val="24"/>
                <w:highlight w:val="none"/>
              </w:rPr>
              <w:t>比选申请人名称</w:t>
            </w:r>
          </w:p>
        </w:tc>
        <w:tc>
          <w:tcPr>
            <w:tcW w:w="7744" w:type="dxa"/>
            <w:gridSpan w:val="3"/>
            <w:tcBorders>
              <w:left w:val="single" w:color="auto" w:sz="4" w:space="0"/>
              <w:right w:val="single" w:color="auto" w:sz="4" w:space="0"/>
            </w:tcBorders>
            <w:vAlign w:val="center"/>
          </w:tcPr>
          <w:p w14:paraId="71E292E1">
            <w:pPr>
              <w:spacing w:before="0" w:line="240" w:lineRule="auto"/>
              <w:ind w:right="0" w:firstLine="0"/>
              <w:rPr>
                <w:rFonts w:hint="eastAsia" w:ascii="宋体" w:hAnsi="宋体" w:cs="宋体"/>
                <w:b/>
                <w:color w:val="auto"/>
                <w:sz w:val="24"/>
                <w:szCs w:val="24"/>
                <w:highlight w:val="none"/>
              </w:rPr>
            </w:pPr>
          </w:p>
        </w:tc>
      </w:tr>
      <w:tr w14:paraId="5A287F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64" w:hRule="atLeast"/>
          <w:jc w:val="center"/>
        </w:trPr>
        <w:tc>
          <w:tcPr>
            <w:tcW w:w="1414" w:type="dxa"/>
            <w:tcBorders>
              <w:left w:val="single" w:color="auto" w:sz="4" w:space="0"/>
              <w:right w:val="single" w:color="auto" w:sz="4" w:space="0"/>
            </w:tcBorders>
            <w:vAlign w:val="center"/>
          </w:tcPr>
          <w:p w14:paraId="0481603C">
            <w:pPr>
              <w:spacing w:before="0" w:line="240" w:lineRule="auto"/>
              <w:ind w:left="0" w:right="0" w:firstLine="0"/>
              <w:jc w:val="left"/>
              <w:rPr>
                <w:rFonts w:hint="eastAsia" w:ascii="宋体" w:hAnsi="宋体"/>
                <w:b/>
                <w:color w:val="auto"/>
                <w:sz w:val="24"/>
                <w:szCs w:val="24"/>
                <w:highlight w:val="none"/>
              </w:rPr>
            </w:pPr>
            <w:r>
              <w:rPr>
                <w:rFonts w:hint="eastAsia" w:ascii="宋体" w:hAnsi="宋体"/>
                <w:b/>
                <w:color w:val="auto"/>
                <w:sz w:val="24"/>
                <w:szCs w:val="24"/>
                <w:highlight w:val="none"/>
              </w:rPr>
              <w:t>比选申请人声明</w:t>
            </w:r>
          </w:p>
        </w:tc>
        <w:tc>
          <w:tcPr>
            <w:tcW w:w="7744" w:type="dxa"/>
            <w:gridSpan w:val="3"/>
            <w:tcBorders>
              <w:left w:val="single" w:color="auto" w:sz="4" w:space="0"/>
              <w:right w:val="single" w:color="auto" w:sz="4" w:space="0"/>
            </w:tcBorders>
            <w:vAlign w:val="center"/>
          </w:tcPr>
          <w:p w14:paraId="7255A1AE">
            <w:pPr>
              <w:spacing w:before="0" w:line="240" w:lineRule="auto"/>
              <w:ind w:right="0" w:firstLine="0"/>
              <w:rPr>
                <w:rFonts w:hint="eastAsia" w:ascii="宋体" w:hAnsi="宋体"/>
                <w:b/>
                <w:color w:val="auto"/>
                <w:sz w:val="24"/>
                <w:szCs w:val="24"/>
                <w:highlight w:val="none"/>
              </w:rPr>
            </w:pPr>
            <w:r>
              <w:rPr>
                <w:rFonts w:hint="eastAsia" w:ascii="宋体" w:hAnsi="宋体" w:cs="宋体"/>
                <w:b/>
                <w:color w:val="auto"/>
                <w:sz w:val="24"/>
                <w:szCs w:val="24"/>
                <w:highlight w:val="none"/>
              </w:rPr>
              <w:t>我单位（</w:t>
            </w:r>
            <w:r>
              <w:rPr>
                <w:rFonts w:ascii="宋体" w:hAnsi="宋体"/>
                <w:b/>
                <w:color w:val="auto"/>
                <w:sz w:val="44"/>
                <w:szCs w:val="44"/>
                <w:highlight w:val="none"/>
              </w:rPr>
              <w:t>□</w:t>
            </w:r>
            <w:r>
              <w:rPr>
                <w:rFonts w:hint="eastAsia" w:ascii="宋体" w:hAnsi="宋体" w:cs="宋体"/>
                <w:b/>
                <w:color w:val="auto"/>
                <w:sz w:val="24"/>
                <w:szCs w:val="24"/>
                <w:highlight w:val="none"/>
              </w:rPr>
              <w:t>接受</w:t>
            </w:r>
            <w:r>
              <w:rPr>
                <w:rFonts w:ascii="宋体" w:hAnsi="宋体"/>
                <w:b/>
                <w:color w:val="auto"/>
                <w:sz w:val="44"/>
                <w:szCs w:val="44"/>
                <w:highlight w:val="none"/>
              </w:rPr>
              <w:t>□</w:t>
            </w:r>
            <w:r>
              <w:rPr>
                <w:rFonts w:ascii="宋体" w:hAnsi="宋体"/>
                <w:b/>
                <w:color w:val="auto"/>
                <w:sz w:val="24"/>
                <w:szCs w:val="24"/>
                <w:highlight w:val="none"/>
              </w:rPr>
              <w:t>不接受</w:t>
            </w:r>
            <w:r>
              <w:rPr>
                <w:rFonts w:hint="eastAsia" w:ascii="宋体" w:hAnsi="宋体"/>
                <w:b/>
                <w:color w:val="auto"/>
                <w:sz w:val="24"/>
                <w:szCs w:val="24"/>
                <w:highlight w:val="none"/>
              </w:rPr>
              <w:t>）本评审办法第3.3款价格评审确定的评审总价和中选价。</w:t>
            </w:r>
          </w:p>
        </w:tc>
      </w:tr>
      <w:tr w14:paraId="039E67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18" w:hRule="atLeast"/>
          <w:jc w:val="center"/>
        </w:trPr>
        <w:tc>
          <w:tcPr>
            <w:tcW w:w="1414" w:type="dxa"/>
            <w:tcBorders>
              <w:left w:val="single" w:color="auto" w:sz="4" w:space="0"/>
              <w:right w:val="single" w:color="auto" w:sz="4" w:space="0"/>
            </w:tcBorders>
            <w:vAlign w:val="center"/>
          </w:tcPr>
          <w:p w14:paraId="5EBAE0F7">
            <w:pPr>
              <w:spacing w:before="0" w:line="240" w:lineRule="auto"/>
              <w:ind w:left="0" w:right="0" w:firstLine="0"/>
              <w:jc w:val="left"/>
              <w:rPr>
                <w:rFonts w:hint="eastAsia" w:ascii="宋体" w:hAnsi="宋体"/>
                <w:b/>
                <w:color w:val="auto"/>
                <w:sz w:val="24"/>
                <w:szCs w:val="24"/>
                <w:highlight w:val="none"/>
              </w:rPr>
            </w:pPr>
            <w:r>
              <w:rPr>
                <w:rFonts w:hint="eastAsia" w:ascii="宋体" w:hAnsi="宋体"/>
                <w:b/>
                <w:color w:val="auto"/>
                <w:sz w:val="24"/>
                <w:szCs w:val="24"/>
                <w:highlight w:val="none"/>
              </w:rPr>
              <w:t>比选申请人代表签字</w:t>
            </w:r>
          </w:p>
        </w:tc>
        <w:tc>
          <w:tcPr>
            <w:tcW w:w="7744" w:type="dxa"/>
            <w:gridSpan w:val="3"/>
            <w:tcBorders>
              <w:left w:val="single" w:color="auto" w:sz="4" w:space="0"/>
              <w:right w:val="single" w:color="auto" w:sz="4" w:space="0"/>
            </w:tcBorders>
            <w:vAlign w:val="center"/>
          </w:tcPr>
          <w:p w14:paraId="42553E3E">
            <w:pPr>
              <w:spacing w:before="0" w:line="240" w:lineRule="auto"/>
              <w:ind w:right="0" w:firstLine="0"/>
              <w:rPr>
                <w:rFonts w:hint="eastAsia" w:ascii="宋体" w:hAnsi="宋体" w:cs="宋体"/>
                <w:b/>
                <w:color w:val="auto"/>
                <w:sz w:val="24"/>
                <w:szCs w:val="24"/>
                <w:highlight w:val="none"/>
              </w:rPr>
            </w:pPr>
          </w:p>
          <w:p w14:paraId="5B41BA8C">
            <w:pPr>
              <w:spacing w:before="0" w:line="240" w:lineRule="auto"/>
              <w:ind w:right="0" w:firstLine="0"/>
              <w:rPr>
                <w:rFonts w:hint="eastAsia" w:ascii="宋体" w:hAnsi="宋体" w:cs="宋体"/>
                <w:b/>
                <w:color w:val="auto"/>
                <w:sz w:val="24"/>
                <w:szCs w:val="24"/>
                <w:highlight w:val="none"/>
              </w:rPr>
            </w:pPr>
            <w:r>
              <w:rPr>
                <w:rFonts w:hint="eastAsia" w:ascii="宋体" w:hAnsi="宋体" w:cs="宋体"/>
                <w:b/>
                <w:color w:val="auto"/>
                <w:sz w:val="24"/>
                <w:szCs w:val="24"/>
                <w:highlight w:val="none"/>
              </w:rPr>
              <w:t xml:space="preserve">                                                                     日期：    年  月   日</w:t>
            </w:r>
          </w:p>
        </w:tc>
      </w:tr>
    </w:tbl>
    <w:p w14:paraId="6EF65146">
      <w:pPr>
        <w:spacing w:before="0" w:after="0"/>
        <w:ind w:left="420" w:right="0" w:firstLine="0"/>
        <w:jc w:val="left"/>
        <w:rPr>
          <w:rFonts w:hint="eastAsia" w:ascii="宋体" w:hAnsi="宋体"/>
          <w:color w:val="auto"/>
          <w:highlight w:val="none"/>
        </w:rPr>
      </w:pPr>
      <w:r>
        <w:rPr>
          <w:rFonts w:hint="eastAsia" w:ascii="宋体" w:hAnsi="宋体"/>
          <w:color w:val="auto"/>
          <w:highlight w:val="none"/>
        </w:rPr>
        <w:t>注：</w:t>
      </w:r>
      <w:r>
        <w:rPr>
          <w:rFonts w:hint="eastAsia"/>
          <w:color w:val="auto"/>
          <w:highlight w:val="none"/>
        </w:rPr>
        <w:t>若</w:t>
      </w:r>
      <w:r>
        <w:rPr>
          <w:color w:val="auto"/>
          <w:highlight w:val="none"/>
        </w:rPr>
        <w:t>修正后的总价</w:t>
      </w:r>
      <w:r>
        <w:rPr>
          <w:rFonts w:hint="eastAsia"/>
          <w:color w:val="auto"/>
          <w:highlight w:val="none"/>
        </w:rPr>
        <w:t>与</w:t>
      </w:r>
      <w:r>
        <w:rPr>
          <w:color w:val="auto"/>
          <w:highlight w:val="none"/>
        </w:rPr>
        <w:t>投标报价</w:t>
      </w:r>
      <w:r>
        <w:rPr>
          <w:rFonts w:hint="eastAsia"/>
          <w:color w:val="auto"/>
          <w:highlight w:val="none"/>
        </w:rPr>
        <w:t>不相等</w:t>
      </w:r>
      <w:r>
        <w:rPr>
          <w:color w:val="auto"/>
          <w:highlight w:val="none"/>
        </w:rPr>
        <w:t>，则</w:t>
      </w:r>
      <w:r>
        <w:rPr>
          <w:rFonts w:hint="eastAsia"/>
          <w:color w:val="auto"/>
          <w:highlight w:val="none"/>
        </w:rPr>
        <w:t>评标总价和</w:t>
      </w:r>
      <w:r>
        <w:rPr>
          <w:color w:val="auto"/>
          <w:highlight w:val="none"/>
        </w:rPr>
        <w:t>中标价</w:t>
      </w:r>
      <w:r>
        <w:rPr>
          <w:rFonts w:hint="eastAsia"/>
          <w:color w:val="auto"/>
          <w:highlight w:val="none"/>
        </w:rPr>
        <w:t>均</w:t>
      </w:r>
      <w:r>
        <w:rPr>
          <w:color w:val="auto"/>
          <w:highlight w:val="none"/>
        </w:rPr>
        <w:t>以</w:t>
      </w:r>
      <w:r>
        <w:rPr>
          <w:rFonts w:hint="eastAsia"/>
          <w:color w:val="auto"/>
          <w:highlight w:val="none"/>
        </w:rPr>
        <w:t>修正后的总价</w:t>
      </w:r>
      <w:r>
        <w:rPr>
          <w:color w:val="auto"/>
          <w:highlight w:val="none"/>
        </w:rPr>
        <w:t>为准，</w:t>
      </w:r>
      <w:r>
        <w:rPr>
          <w:rFonts w:hint="eastAsia"/>
          <w:color w:val="auto"/>
          <w:highlight w:val="none"/>
        </w:rPr>
        <w:t>如比选申请人不接受按以上规则确定的评标总价和中标价，则其投标将被拒绝。</w:t>
      </w:r>
    </w:p>
    <w:p w14:paraId="7A98E336">
      <w:pPr>
        <w:pStyle w:val="2"/>
        <w:ind w:left="0" w:leftChars="0" w:firstLine="0" w:firstLineChars="0"/>
        <w:rPr>
          <w:color w:val="auto"/>
          <w:highlight w:val="none"/>
        </w:rPr>
      </w:pPr>
    </w:p>
    <w:p w14:paraId="56518753">
      <w:pPr>
        <w:spacing w:before="0" w:after="0"/>
        <w:ind w:left="0" w:right="0" w:firstLine="0"/>
        <w:jc w:val="left"/>
        <w:rPr>
          <w:rFonts w:hint="eastAsia" w:ascii="宋体" w:hAnsi="宋体"/>
          <w:color w:val="auto"/>
          <w:highlight w:val="none"/>
        </w:rPr>
      </w:pPr>
    </w:p>
    <w:sectPr>
      <w:headerReference r:id="rId15" w:type="default"/>
      <w:pgSz w:w="11905" w:h="16838"/>
      <w:pgMar w:top="1417" w:right="1417" w:bottom="1417" w:left="1417" w:header="454" w:footer="567" w:gutter="0"/>
      <w:pgBorders>
        <w:top w:val="none" w:sz="0" w:space="0"/>
        <w:left w:val="none" w:sz="0" w:space="0"/>
        <w:bottom w:val="none" w:sz="0" w:space="0"/>
        <w:right w:val="none" w:sz="0" w:space="0"/>
      </w:pgBorders>
      <w:cols w:space="720" w:num="1"/>
      <w:docGrid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方正仿宋_GBK">
    <w:altName w:val="微软雅黑"/>
    <w:panose1 w:val="00000000000000000000"/>
    <w:charset w:val="00"/>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Consolas">
    <w:panose1 w:val="020B0609020204030204"/>
    <w:charset w:val="00"/>
    <w:family w:val="modern"/>
    <w:pitch w:val="default"/>
    <w:sig w:usb0="E00006FF" w:usb1="0000FCFF" w:usb2="00000001" w:usb3="00000000" w:csb0="6000019F" w:csb1="DFD70000"/>
  </w:font>
  <w:font w:name="inherit">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7CE4">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FCBBAA">
    <w:pPr>
      <w:pStyle w:val="21"/>
      <w:tabs>
        <w:tab w:val="clear" w:pos="4153"/>
      </w:tabs>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75B510">
    <w:pPr>
      <w:pStyle w:val="21"/>
      <w:jc w:val="center"/>
    </w:pPr>
    <w:r>
      <w:fldChar w:fldCharType="begin"/>
    </w:r>
    <w:r>
      <w:instrText xml:space="preserve">PAGE   \* MERGEFORMAT</w:instrText>
    </w:r>
    <w:r>
      <w:fldChar w:fldCharType="separate"/>
    </w:r>
    <w:r>
      <w:rPr>
        <w:lang w:val="zh-CN"/>
      </w:rPr>
      <w:t>2</w:t>
    </w:r>
    <w:r>
      <w:rPr>
        <w:lang w:val="zh-CN"/>
      </w:rPr>
      <w:fldChar w:fldCharType="end"/>
    </w:r>
  </w:p>
  <w:p w14:paraId="19AFDD83">
    <w:pPr>
      <w:pStyle w:val="23"/>
      <w:pBdr>
        <w:bottom w:val="none" w:color="auto" w:sz="0" w:space="0"/>
      </w:pBdr>
      <w:tabs>
        <w:tab w:val="right" w:pos="8728"/>
        <w:tab w:val="clear" w:pos="4153"/>
        <w:tab w:val="clear" w:pos="8306"/>
      </w:tabs>
      <w:ind w:left="0" w:right="343" w:firstLine="0"/>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BEB5E">
    <w:pPr>
      <w:pStyle w:val="21"/>
      <w:jc w:val="right"/>
      <w:rPr>
        <w:rFonts w:hint="default" w:eastAsia="宋体"/>
        <w:lang w:val="en-US" w:eastAsia="zh-CN"/>
      </w:rPr>
    </w:pPr>
  </w:p>
  <w:p w14:paraId="2624D535">
    <w:pPr>
      <w:pStyle w:val="2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62967D">
    <w:pPr>
      <w:pStyle w:val="21"/>
      <w:jc w:val="right"/>
      <w:rPr>
        <w:rFonts w:hint="default" w:eastAsia="宋体"/>
        <w:lang w:val="en-US" w:eastAsia="zh-CN"/>
      </w:rPr>
    </w:pPr>
    <w:r>
      <w:fldChar w:fldCharType="begin"/>
    </w:r>
    <w:r>
      <w:instrText xml:space="preserve"> PAGE  \* MERGEFORMAT </w:instrText>
    </w:r>
    <w:r>
      <w:fldChar w:fldCharType="separate"/>
    </w:r>
    <w:r>
      <w:t>136</w:t>
    </w:r>
    <w:r>
      <w:fldChar w:fldCharType="end"/>
    </w:r>
    <w:r>
      <w:t xml:space="preserve"> / </w:t>
    </w:r>
    <w:r>
      <w:rPr>
        <w:rFonts w:hint="eastAsia"/>
        <w:lang w:val="en-US" w:eastAsia="zh-CN"/>
      </w:rPr>
      <w:t>132</w:t>
    </w:r>
  </w:p>
  <w:p w14:paraId="3E3EF32B">
    <w:pPr>
      <w:pStyle w:val="21"/>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719C46">
    <w:pPr>
      <w:spacing w:line="220" w:lineRule="exact"/>
      <w:jc w:val="center"/>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22AE34">
                          <w:pPr>
                            <w:pStyle w:val="21"/>
                            <w:rPr>
                              <w:rFonts w:hint="default" w:eastAsia="宋体"/>
                              <w:lang w:val="en-US" w:eastAsia="zh-CN"/>
                            </w:rPr>
                          </w:pPr>
                          <w:r>
                            <w:fldChar w:fldCharType="begin"/>
                          </w:r>
                          <w:r>
                            <w:instrText xml:space="preserve"> PAGE  \* MERGEFORMAT </w:instrText>
                          </w:r>
                          <w:r>
                            <w:fldChar w:fldCharType="separate"/>
                          </w:r>
                          <w:r>
                            <w:t>136</w:t>
                          </w:r>
                          <w:r>
                            <w:fldChar w:fldCharType="end"/>
                          </w:r>
                          <w:r>
                            <w:t xml:space="preserve"> / </w:t>
                          </w:r>
                          <w:r>
                            <w:rPr>
                              <w:rFonts w:hint="eastAsia"/>
                              <w:lang w:val="en-US" w:eastAsia="zh-CN"/>
                            </w:rPr>
                            <w:t>132</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0B22AE34">
                    <w:pPr>
                      <w:pStyle w:val="21"/>
                      <w:rPr>
                        <w:rFonts w:hint="default" w:eastAsia="宋体"/>
                        <w:lang w:val="en-US" w:eastAsia="zh-CN"/>
                      </w:rPr>
                    </w:pPr>
                    <w:r>
                      <w:fldChar w:fldCharType="begin"/>
                    </w:r>
                    <w:r>
                      <w:instrText xml:space="preserve"> PAGE  \* MERGEFORMAT </w:instrText>
                    </w:r>
                    <w:r>
                      <w:fldChar w:fldCharType="separate"/>
                    </w:r>
                    <w:r>
                      <w:t>136</w:t>
                    </w:r>
                    <w:r>
                      <w:fldChar w:fldCharType="end"/>
                    </w:r>
                    <w:r>
                      <w:t xml:space="preserve"> / </w:t>
                    </w:r>
                    <w:r>
                      <w:rPr>
                        <w:rFonts w:hint="eastAsia"/>
                        <w:lang w:val="en-US" w:eastAsia="zh-CN"/>
                      </w:rPr>
                      <w:t>132</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458471"/>
    </w:sdtPr>
    <w:sdtContent>
      <w:p w14:paraId="2A195C47">
        <w:pPr>
          <w:pStyle w:val="21"/>
          <w:jc w:val="center"/>
        </w:pPr>
        <w:r>
          <w:fldChar w:fldCharType="begin"/>
        </w:r>
        <w:r>
          <w:instrText xml:space="preserve">PAGE   \* MERGEFORMAT</w:instrText>
        </w:r>
        <w:r>
          <w:fldChar w:fldCharType="separate"/>
        </w:r>
        <w:r>
          <w:rPr>
            <w:lang w:val="zh-CN"/>
          </w:rPr>
          <w:t>101</w:t>
        </w:r>
        <w:r>
          <w:rPr>
            <w:lang w:val="zh-CN"/>
          </w:rPr>
          <w:fldChar w:fldCharType="end"/>
        </w:r>
      </w:p>
    </w:sdtContent>
  </w:sdt>
  <w:p w14:paraId="29F5C7C4">
    <w:pPr>
      <w:pStyle w:val="23"/>
      <w:pBdr>
        <w:bottom w:val="none" w:color="auto" w:sz="0" w:space="0"/>
      </w:pBdr>
      <w:tabs>
        <w:tab w:val="right" w:pos="8728"/>
        <w:tab w:val="clear" w:pos="4153"/>
        <w:tab w:val="clear" w:pos="8306"/>
      </w:tabs>
      <w:ind w:left="0" w:right="343" w:firstLine="0"/>
      <w:jc w:val="both"/>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13340">
    <w:pPr>
      <w:pStyle w:val="21"/>
      <w:spacing w:before="0"/>
      <w:ind w:right="-57" w:firstLine="0"/>
      <w:jc w:val="cente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2" name="文本框 6"/>
              <wp:cNvGraphicFramePr/>
              <a:graphic xmlns:a="http://schemas.openxmlformats.org/drawingml/2006/main">
                <a:graphicData uri="http://schemas.microsoft.com/office/word/2010/wordprocessingShape">
                  <wps:wsp>
                    <wps:cNvSpPr txBox="1"/>
                    <wps:spPr>
                      <a:xfrm>
                        <a:off x="0" y="0"/>
                        <a:ext cx="1829435" cy="387350"/>
                      </a:xfrm>
                      <a:prstGeom prst="rect">
                        <a:avLst/>
                      </a:prstGeom>
                      <a:noFill/>
                      <a:ln w="6350" cap="flat">
                        <a:noFill/>
                      </a:ln>
                      <a:effectLst/>
                    </wps:spPr>
                    <wps:txbx>
                      <w:txbxContent>
                        <w:p w14:paraId="7FFFCC0C">
                          <w:r>
                            <w:fldChar w:fldCharType="begin"/>
                          </w:r>
                          <w:r>
                            <w:instrText xml:space="preserve">PAGE  \* MERGEFORMAT</w:instrText>
                          </w:r>
                          <w:r>
                            <w:fldChar w:fldCharType="separate"/>
                          </w:r>
                          <w:r>
                            <w:t>109</w:t>
                          </w:r>
                          <w:r>
                            <w:fldChar w:fldCharType="end"/>
                          </w:r>
                        </w:p>
                      </w:txbxContent>
                    </wps:txbx>
                    <wps:bodyPr rot="0" spcFirstLastPara="0" vertOverflow="overflow" horzOverflow="overflow" vert="horz" wrap="none" lIns="0" tIns="0" rIns="0" bIns="0" numCol="1" spcCol="0" rtlCol="0" fromWordArt="0" anchor="t" anchorCtr="0" forceAA="0" compatLnSpc="0">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LNJWO7QAAAABQEAAA8AAAAAAAAAAQAgAAAAIgAAAGRycy9kb3ducmV2&#10;LnhtbFBLAQIUABQAAAAIAIdO4kA/vF3EPQIAAG8EAAAOAAAAAAAAAAEAIAAAAB8BAABkcnMvZTJv&#10;RG9jLnhtbFBLBQYAAAAABgAGAFkBAADOBQAAAAA=&#10;">
              <v:fill on="f" focussize="0,0"/>
              <v:stroke on="f" weight="0.5pt"/>
              <v:imagedata o:title=""/>
              <o:lock v:ext="edit" aspectratio="f"/>
              <v:textbox inset="0mm,0mm,0mm,0mm" style="mso-fit-shape-to-text:t;">
                <w:txbxContent>
                  <w:p w14:paraId="7FFFCC0C">
                    <w:r>
                      <w:fldChar w:fldCharType="begin"/>
                    </w:r>
                    <w:r>
                      <w:instrText xml:space="preserve">PAGE  \* MERGEFORMAT</w:instrText>
                    </w:r>
                    <w:r>
                      <w:fldChar w:fldCharType="separate"/>
                    </w:r>
                    <w:r>
                      <w:t>109</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253CD4">
    <w:pPr>
      <w:pStyle w:val="23"/>
      <w:pBdr>
        <w:bottom w:val="none" w:color="auto" w:sz="0" w:space="0"/>
      </w:pBdr>
      <w:tabs>
        <w:tab w:val="left" w:pos="2847"/>
        <w:tab w:val="left" w:pos="3510"/>
        <w:tab w:val="left" w:pos="4002"/>
        <w:tab w:val="clear" w:pos="4153"/>
        <w:tab w:val="clear" w:pos="8306"/>
      </w:tabs>
      <w:jc w:val="both"/>
    </w:pP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F0A07E">
    <w:pPr>
      <w:pStyle w:val="23"/>
      <w:pBdr>
        <w:bottom w:val="none" w:color="auto" w:sz="0" w:space="0"/>
      </w:pBdr>
      <w:spacing w:before="0"/>
      <w:ind w:right="-57" w:firstLine="0"/>
      <w:jc w:val="both"/>
      <w:rPr>
        <w:rFonts w:hint="eastAsia" w:ascii="宋体" w:hAnsi="宋体"/>
        <w:color w:val="000000"/>
        <w:sz w:val="15"/>
        <w:szCs w:val="15"/>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5BF72B">
    <w:pPr>
      <w:pStyle w:val="23"/>
      <w:spacing w:before="0"/>
      <w:ind w:right="-57" w:firstLine="0"/>
      <w:jc w:val="both"/>
      <w:rPr>
        <w:rFonts w:hint="eastAsia" w:ascii="宋体" w:hAnsi="宋体"/>
        <w:color w:val="000000"/>
        <w:sz w:val="15"/>
        <w:szCs w:val="15"/>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1FA6B1">
    <w:pPr>
      <w:pStyle w:val="23"/>
      <w:pBdr>
        <w:bottom w:val="none" w:color="auto" w:sz="0" w:space="0"/>
      </w:pBdr>
      <w:ind w:right="-57"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D10203"/>
    <w:multiLevelType w:val="singleLevel"/>
    <w:tmpl w:val="FDD10203"/>
    <w:lvl w:ilvl="0" w:tentative="0">
      <w:start w:val="1"/>
      <w:numFmt w:val="chineseCounting"/>
      <w:suff w:val="nothing"/>
      <w:lvlText w:val="%1、"/>
      <w:lvlJc w:val="left"/>
      <w:rPr>
        <w:rFonts w:hint="eastAsia"/>
      </w:rPr>
    </w:lvl>
  </w:abstractNum>
  <w:abstractNum w:abstractNumId="1">
    <w:nsid w:val="15C07F22"/>
    <w:multiLevelType w:val="singleLevel"/>
    <w:tmpl w:val="15C07F22"/>
    <w:lvl w:ilvl="0" w:tentative="0">
      <w:start w:val="1"/>
      <w:numFmt w:val="decimal"/>
      <w:suff w:val="nothing"/>
      <w:lvlText w:val="（%1）"/>
      <w:lvlJc w:val="left"/>
    </w:lvl>
  </w:abstractNum>
  <w:abstractNum w:abstractNumId="2">
    <w:nsid w:val="2F000001"/>
    <w:multiLevelType w:val="multilevel"/>
    <w:tmpl w:val="2F000001"/>
    <w:lvl w:ilvl="0" w:tentative="0">
      <w:start w:val="18"/>
      <w:numFmt w:val="decimal"/>
      <w:suff w:val="space"/>
      <w:lvlText w:val="%1."/>
      <w:lvlJc w:val="left"/>
    </w:lvl>
    <w:lvl w:ilvl="1" w:tentative="0">
      <w:start w:val="18"/>
      <w:numFmt w:val="decimal"/>
      <w:suff w:val="space"/>
      <w:lvlText w:val="%1."/>
      <w:lvlJc w:val="left"/>
    </w:lvl>
    <w:lvl w:ilvl="2" w:tentative="0">
      <w:start w:val="18"/>
      <w:numFmt w:val="decimal"/>
      <w:suff w:val="space"/>
      <w:lvlText w:val="%1."/>
      <w:lvlJc w:val="left"/>
    </w:lvl>
    <w:lvl w:ilvl="3" w:tentative="0">
      <w:start w:val="18"/>
      <w:numFmt w:val="decimal"/>
      <w:suff w:val="space"/>
      <w:lvlText w:val="%1."/>
      <w:lvlJc w:val="left"/>
    </w:lvl>
    <w:lvl w:ilvl="4" w:tentative="0">
      <w:start w:val="18"/>
      <w:numFmt w:val="decimal"/>
      <w:suff w:val="space"/>
      <w:lvlText w:val="%1."/>
      <w:lvlJc w:val="left"/>
    </w:lvl>
    <w:lvl w:ilvl="5" w:tentative="0">
      <w:start w:val="18"/>
      <w:numFmt w:val="decimal"/>
      <w:suff w:val="space"/>
      <w:lvlText w:val="%1."/>
      <w:lvlJc w:val="left"/>
    </w:lvl>
    <w:lvl w:ilvl="6" w:tentative="0">
      <w:start w:val="18"/>
      <w:numFmt w:val="decimal"/>
      <w:suff w:val="space"/>
      <w:lvlText w:val="%1."/>
      <w:lvlJc w:val="left"/>
    </w:lvl>
    <w:lvl w:ilvl="7" w:tentative="0">
      <w:start w:val="18"/>
      <w:numFmt w:val="decimal"/>
      <w:suff w:val="space"/>
      <w:lvlText w:val="%1."/>
      <w:lvlJc w:val="left"/>
    </w:lvl>
    <w:lvl w:ilvl="8" w:tentative="0">
      <w:start w:val="18"/>
      <w:numFmt w:val="decimal"/>
      <w:suff w:val="space"/>
      <w:lvlText w:val="%1."/>
      <w:lvlJc w:val="left"/>
    </w:lvl>
  </w:abstractNum>
  <w:abstractNum w:abstractNumId="3">
    <w:nsid w:val="2F000002"/>
    <w:multiLevelType w:val="multilevel"/>
    <w:tmpl w:val="2F000002"/>
    <w:lvl w:ilvl="0" w:tentative="0">
      <w:start w:val="13"/>
      <w:numFmt w:val="decimal"/>
      <w:suff w:val="space"/>
      <w:lvlText w:val="%1."/>
      <w:lvlJc w:val="left"/>
    </w:lvl>
    <w:lvl w:ilvl="1" w:tentative="0">
      <w:start w:val="13"/>
      <w:numFmt w:val="decimal"/>
      <w:suff w:val="space"/>
      <w:lvlText w:val="%1."/>
      <w:lvlJc w:val="left"/>
    </w:lvl>
    <w:lvl w:ilvl="2" w:tentative="0">
      <w:start w:val="13"/>
      <w:numFmt w:val="decimal"/>
      <w:suff w:val="space"/>
      <w:lvlText w:val="%1."/>
      <w:lvlJc w:val="left"/>
    </w:lvl>
    <w:lvl w:ilvl="3" w:tentative="0">
      <w:start w:val="13"/>
      <w:numFmt w:val="decimal"/>
      <w:suff w:val="space"/>
      <w:lvlText w:val="%1."/>
      <w:lvlJc w:val="left"/>
    </w:lvl>
    <w:lvl w:ilvl="4" w:tentative="0">
      <w:start w:val="13"/>
      <w:numFmt w:val="decimal"/>
      <w:suff w:val="space"/>
      <w:lvlText w:val="%1."/>
      <w:lvlJc w:val="left"/>
    </w:lvl>
    <w:lvl w:ilvl="5" w:tentative="0">
      <w:start w:val="13"/>
      <w:numFmt w:val="decimal"/>
      <w:suff w:val="space"/>
      <w:lvlText w:val="%1."/>
      <w:lvlJc w:val="left"/>
    </w:lvl>
    <w:lvl w:ilvl="6" w:tentative="0">
      <w:start w:val="13"/>
      <w:numFmt w:val="decimal"/>
      <w:suff w:val="space"/>
      <w:lvlText w:val="%1."/>
      <w:lvlJc w:val="left"/>
    </w:lvl>
    <w:lvl w:ilvl="7" w:tentative="0">
      <w:start w:val="13"/>
      <w:numFmt w:val="decimal"/>
      <w:suff w:val="space"/>
      <w:lvlText w:val="%1."/>
      <w:lvlJc w:val="left"/>
    </w:lvl>
    <w:lvl w:ilvl="8" w:tentative="0">
      <w:start w:val="13"/>
      <w:numFmt w:val="decimal"/>
      <w:suff w:val="space"/>
      <w:lvlText w:val="%1."/>
      <w:lvlJc w:val="left"/>
    </w:lvl>
  </w:abstractNum>
  <w:abstractNum w:abstractNumId="4">
    <w:nsid w:val="2F000011"/>
    <w:multiLevelType w:val="multilevel"/>
    <w:tmpl w:val="2F000011"/>
    <w:lvl w:ilvl="0" w:tentative="0">
      <w:start w:val="1"/>
      <w:numFmt w:val="chineseCountingThousand"/>
      <w:lvlText w:val="第%1章"/>
      <w:lvlJc w:val="left"/>
      <w:pPr>
        <w:tabs>
          <w:tab w:val="left" w:pos="1134"/>
        </w:tabs>
        <w:ind w:left="1134" w:hanging="1134"/>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5">
    <w:nsid w:val="2F000029"/>
    <w:multiLevelType w:val="multilevel"/>
    <w:tmpl w:val="2F000029"/>
    <w:lvl w:ilvl="0" w:tentative="0">
      <w:start w:val="34"/>
      <w:numFmt w:val="decimal"/>
      <w:suff w:val="space"/>
      <w:lvlText w:val="%1."/>
      <w:lvlJc w:val="left"/>
    </w:lvl>
    <w:lvl w:ilvl="1" w:tentative="0">
      <w:start w:val="34"/>
      <w:numFmt w:val="decimal"/>
      <w:suff w:val="space"/>
      <w:lvlText w:val="%1."/>
      <w:lvlJc w:val="left"/>
    </w:lvl>
    <w:lvl w:ilvl="2" w:tentative="0">
      <w:start w:val="34"/>
      <w:numFmt w:val="decimal"/>
      <w:suff w:val="space"/>
      <w:lvlText w:val="%1."/>
      <w:lvlJc w:val="left"/>
    </w:lvl>
    <w:lvl w:ilvl="3" w:tentative="0">
      <w:start w:val="34"/>
      <w:numFmt w:val="decimal"/>
      <w:suff w:val="space"/>
      <w:lvlText w:val="%1."/>
      <w:lvlJc w:val="left"/>
    </w:lvl>
    <w:lvl w:ilvl="4" w:tentative="0">
      <w:start w:val="34"/>
      <w:numFmt w:val="decimal"/>
      <w:suff w:val="space"/>
      <w:lvlText w:val="%1."/>
      <w:lvlJc w:val="left"/>
    </w:lvl>
    <w:lvl w:ilvl="5" w:tentative="0">
      <w:start w:val="34"/>
      <w:numFmt w:val="decimal"/>
      <w:suff w:val="space"/>
      <w:lvlText w:val="%1."/>
      <w:lvlJc w:val="left"/>
    </w:lvl>
    <w:lvl w:ilvl="6" w:tentative="0">
      <w:start w:val="34"/>
      <w:numFmt w:val="decimal"/>
      <w:suff w:val="space"/>
      <w:lvlText w:val="%1."/>
      <w:lvlJc w:val="left"/>
    </w:lvl>
    <w:lvl w:ilvl="7" w:tentative="0">
      <w:start w:val="34"/>
      <w:numFmt w:val="decimal"/>
      <w:suff w:val="space"/>
      <w:lvlText w:val="%1."/>
      <w:lvlJc w:val="left"/>
    </w:lvl>
    <w:lvl w:ilvl="8" w:tentative="0">
      <w:start w:val="34"/>
      <w:numFmt w:val="decimal"/>
      <w:suff w:val="space"/>
      <w:lvlText w:val="%1."/>
      <w:lvlJc w:val="left"/>
    </w:lvl>
  </w:abstractNum>
  <w:abstractNum w:abstractNumId="6">
    <w:nsid w:val="2F00003B"/>
    <w:multiLevelType w:val="multilevel"/>
    <w:tmpl w:val="2F00003B"/>
    <w:lvl w:ilvl="0" w:tentative="0">
      <w:start w:val="23"/>
      <w:numFmt w:val="decimal"/>
      <w:suff w:val="space"/>
      <w:lvlText w:val="%1."/>
      <w:lvlJc w:val="left"/>
    </w:lvl>
    <w:lvl w:ilvl="1" w:tentative="0">
      <w:start w:val="23"/>
      <w:numFmt w:val="decimal"/>
      <w:suff w:val="space"/>
      <w:lvlText w:val="%1."/>
      <w:lvlJc w:val="left"/>
    </w:lvl>
    <w:lvl w:ilvl="2" w:tentative="0">
      <w:start w:val="23"/>
      <w:numFmt w:val="decimal"/>
      <w:suff w:val="space"/>
      <w:lvlText w:val="%1."/>
      <w:lvlJc w:val="left"/>
    </w:lvl>
    <w:lvl w:ilvl="3" w:tentative="0">
      <w:start w:val="23"/>
      <w:numFmt w:val="decimal"/>
      <w:suff w:val="space"/>
      <w:lvlText w:val="%1."/>
      <w:lvlJc w:val="left"/>
    </w:lvl>
    <w:lvl w:ilvl="4" w:tentative="0">
      <w:start w:val="23"/>
      <w:numFmt w:val="decimal"/>
      <w:suff w:val="space"/>
      <w:lvlText w:val="%1."/>
      <w:lvlJc w:val="left"/>
    </w:lvl>
    <w:lvl w:ilvl="5" w:tentative="0">
      <w:start w:val="23"/>
      <w:numFmt w:val="decimal"/>
      <w:suff w:val="space"/>
      <w:lvlText w:val="%1."/>
      <w:lvlJc w:val="left"/>
    </w:lvl>
    <w:lvl w:ilvl="6" w:tentative="0">
      <w:start w:val="23"/>
      <w:numFmt w:val="decimal"/>
      <w:suff w:val="space"/>
      <w:lvlText w:val="%1."/>
      <w:lvlJc w:val="left"/>
    </w:lvl>
    <w:lvl w:ilvl="7" w:tentative="0">
      <w:start w:val="23"/>
      <w:numFmt w:val="decimal"/>
      <w:suff w:val="space"/>
      <w:lvlText w:val="%1."/>
      <w:lvlJc w:val="left"/>
    </w:lvl>
    <w:lvl w:ilvl="8" w:tentative="0">
      <w:start w:val="23"/>
      <w:numFmt w:val="decimal"/>
      <w:suff w:val="space"/>
      <w:lvlText w:val="%1."/>
      <w:lvlJc w:val="left"/>
    </w:lvl>
  </w:abstractNum>
  <w:abstractNum w:abstractNumId="7">
    <w:nsid w:val="2F000045"/>
    <w:multiLevelType w:val="multilevel"/>
    <w:tmpl w:val="2F000045"/>
    <w:lvl w:ilvl="0" w:tentative="0">
      <w:start w:val="9"/>
      <w:numFmt w:val="decimal"/>
      <w:suff w:val="space"/>
      <w:lvlText w:val="%1."/>
      <w:lvlJc w:val="left"/>
    </w:lvl>
    <w:lvl w:ilvl="1" w:tentative="0">
      <w:start w:val="9"/>
      <w:numFmt w:val="decimal"/>
      <w:suff w:val="space"/>
      <w:lvlText w:val="%1."/>
      <w:lvlJc w:val="left"/>
    </w:lvl>
    <w:lvl w:ilvl="2" w:tentative="0">
      <w:start w:val="9"/>
      <w:numFmt w:val="decimal"/>
      <w:suff w:val="space"/>
      <w:lvlText w:val="%1."/>
      <w:lvlJc w:val="left"/>
    </w:lvl>
    <w:lvl w:ilvl="3" w:tentative="0">
      <w:start w:val="9"/>
      <w:numFmt w:val="decimal"/>
      <w:suff w:val="space"/>
      <w:lvlText w:val="%1."/>
      <w:lvlJc w:val="left"/>
    </w:lvl>
    <w:lvl w:ilvl="4" w:tentative="0">
      <w:start w:val="9"/>
      <w:numFmt w:val="decimal"/>
      <w:suff w:val="space"/>
      <w:lvlText w:val="%1."/>
      <w:lvlJc w:val="left"/>
    </w:lvl>
    <w:lvl w:ilvl="5" w:tentative="0">
      <w:start w:val="9"/>
      <w:numFmt w:val="decimal"/>
      <w:suff w:val="space"/>
      <w:lvlText w:val="%1."/>
      <w:lvlJc w:val="left"/>
    </w:lvl>
    <w:lvl w:ilvl="6" w:tentative="0">
      <w:start w:val="9"/>
      <w:numFmt w:val="decimal"/>
      <w:suff w:val="space"/>
      <w:lvlText w:val="%1."/>
      <w:lvlJc w:val="left"/>
    </w:lvl>
    <w:lvl w:ilvl="7" w:tentative="0">
      <w:start w:val="9"/>
      <w:numFmt w:val="decimal"/>
      <w:suff w:val="space"/>
      <w:lvlText w:val="%1."/>
      <w:lvlJc w:val="left"/>
    </w:lvl>
    <w:lvl w:ilvl="8" w:tentative="0">
      <w:start w:val="9"/>
      <w:numFmt w:val="decimal"/>
      <w:suff w:val="space"/>
      <w:lvlText w:val="%1."/>
      <w:lvlJc w:val="left"/>
    </w:lvl>
  </w:abstractNum>
  <w:abstractNum w:abstractNumId="8">
    <w:nsid w:val="628F477D"/>
    <w:multiLevelType w:val="multilevel"/>
    <w:tmpl w:val="628F477D"/>
    <w:lvl w:ilvl="0" w:tentative="0">
      <w:start w:val="1"/>
      <w:numFmt w:val="decimal"/>
      <w:lvlText w:val="%1、"/>
      <w:lvlJc w:val="left"/>
      <w:pPr>
        <w:ind w:left="1129" w:hanging="705"/>
      </w:pPr>
      <w:rPr>
        <w:rFonts w:hint="default"/>
        <w:color w:val="auto"/>
      </w:rPr>
    </w:lvl>
    <w:lvl w:ilvl="1" w:tentative="0">
      <w:start w:val="1"/>
      <w:numFmt w:val="lowerLetter"/>
      <w:lvlText w:val="%2)"/>
      <w:lvlJc w:val="left"/>
      <w:pPr>
        <w:ind w:left="1264" w:hanging="420"/>
      </w:pPr>
    </w:lvl>
    <w:lvl w:ilvl="2" w:tentative="0">
      <w:start w:val="1"/>
      <w:numFmt w:val="lowerRoman"/>
      <w:lvlText w:val="%3."/>
      <w:lvlJc w:val="right"/>
      <w:pPr>
        <w:ind w:left="1684" w:hanging="420"/>
      </w:pPr>
    </w:lvl>
    <w:lvl w:ilvl="3" w:tentative="0">
      <w:start w:val="1"/>
      <w:numFmt w:val="decimal"/>
      <w:lvlText w:val="%4."/>
      <w:lvlJc w:val="left"/>
      <w:pPr>
        <w:ind w:left="2104" w:hanging="420"/>
      </w:pPr>
    </w:lvl>
    <w:lvl w:ilvl="4" w:tentative="0">
      <w:start w:val="1"/>
      <w:numFmt w:val="lowerLetter"/>
      <w:lvlText w:val="%5)"/>
      <w:lvlJc w:val="left"/>
      <w:pPr>
        <w:ind w:left="2524" w:hanging="420"/>
      </w:pPr>
    </w:lvl>
    <w:lvl w:ilvl="5" w:tentative="0">
      <w:start w:val="1"/>
      <w:numFmt w:val="lowerRoman"/>
      <w:lvlText w:val="%6."/>
      <w:lvlJc w:val="right"/>
      <w:pPr>
        <w:ind w:left="2944" w:hanging="420"/>
      </w:pPr>
    </w:lvl>
    <w:lvl w:ilvl="6" w:tentative="0">
      <w:start w:val="1"/>
      <w:numFmt w:val="decimal"/>
      <w:lvlText w:val="%7."/>
      <w:lvlJc w:val="left"/>
      <w:pPr>
        <w:ind w:left="3364" w:hanging="420"/>
      </w:pPr>
    </w:lvl>
    <w:lvl w:ilvl="7" w:tentative="0">
      <w:start w:val="1"/>
      <w:numFmt w:val="lowerLetter"/>
      <w:lvlText w:val="%8)"/>
      <w:lvlJc w:val="left"/>
      <w:pPr>
        <w:ind w:left="3784" w:hanging="420"/>
      </w:pPr>
    </w:lvl>
    <w:lvl w:ilvl="8" w:tentative="0">
      <w:start w:val="1"/>
      <w:numFmt w:val="lowerRoman"/>
      <w:lvlText w:val="%9."/>
      <w:lvlJc w:val="right"/>
      <w:pPr>
        <w:ind w:left="4204" w:hanging="420"/>
      </w:pPr>
    </w:lvl>
  </w:abstractNum>
  <w:abstractNum w:abstractNumId="9">
    <w:nsid w:val="75AA8A88"/>
    <w:multiLevelType w:val="singleLevel"/>
    <w:tmpl w:val="75AA8A88"/>
    <w:lvl w:ilvl="0" w:tentative="0">
      <w:start w:val="1"/>
      <w:numFmt w:val="decimal"/>
      <w:suff w:val="nothing"/>
      <w:lvlText w:val="（%1）"/>
      <w:lvlJc w:val="left"/>
    </w:lvl>
  </w:abstractNum>
  <w:abstractNum w:abstractNumId="10">
    <w:nsid w:val="7BCF8904"/>
    <w:multiLevelType w:val="multilevel"/>
    <w:tmpl w:val="7BCF8904"/>
    <w:lvl w:ilvl="0" w:tentative="0">
      <w:start w:val="2"/>
      <w:numFmt w:val="japaneseCounting"/>
      <w:lvlText w:val="第%1条"/>
      <w:lvlJc w:val="left"/>
      <w:pPr>
        <w:tabs>
          <w:tab w:val="left" w:pos="1935"/>
        </w:tabs>
        <w:ind w:left="1935" w:hanging="1290"/>
      </w:pPr>
      <w:rPr>
        <w:rFonts w:hint="eastAsia"/>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num w:numId="1">
    <w:abstractNumId w:val="9"/>
  </w:num>
  <w:num w:numId="2">
    <w:abstractNumId w:val="1"/>
  </w:num>
  <w:num w:numId="3">
    <w:abstractNumId w:val="4"/>
  </w:num>
  <w:num w:numId="4">
    <w:abstractNumId w:val="7"/>
  </w:num>
  <w:num w:numId="5">
    <w:abstractNumId w:val="3"/>
  </w:num>
  <w:num w:numId="6">
    <w:abstractNumId w:val="2"/>
  </w:num>
  <w:num w:numId="7">
    <w:abstractNumId w:val="6"/>
  </w:num>
  <w:num w:numId="8">
    <w:abstractNumId w:val="5"/>
  </w:num>
  <w:num w:numId="9">
    <w:abstractNumId w:val="0"/>
  </w:num>
  <w:num w:numId="10">
    <w:abstractNumId w:val="1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documentProtection w:edit="trackedChanges" w:enforcement="0"/>
  <w:defaultTabStop w:val="420"/>
  <w:displayHorizontalDrawingGridEvery w:val="1"/>
  <w:displayVerticalDrawingGridEvery w:val="1"/>
  <w:noPunctuationKerning w:val="1"/>
  <w:characterSpacingControl w:val="compressPunctuation"/>
  <w:footnotePr>
    <w:footnote w:id="0"/>
    <w:footnote w:id="1"/>
  </w:footnotePr>
  <w:endnotePr>
    <w:endnote w:id="0"/>
    <w:endnote w:id="1"/>
  </w:endnotePr>
  <w:compat>
    <w:balanceSingleByteDoubleByteWidth/>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FmZWIzNDg2MmIzZjExOTIzMmViNTBmYTMwYTk0ZWYifQ=="/>
  </w:docVars>
  <w:rsids>
    <w:rsidRoot w:val="00BA3124"/>
    <w:rsid w:val="000000F2"/>
    <w:rsid w:val="00000139"/>
    <w:rsid w:val="000045EA"/>
    <w:rsid w:val="00007C3F"/>
    <w:rsid w:val="000117FC"/>
    <w:rsid w:val="00012496"/>
    <w:rsid w:val="000143B4"/>
    <w:rsid w:val="00015B06"/>
    <w:rsid w:val="00020684"/>
    <w:rsid w:val="00022F88"/>
    <w:rsid w:val="000257D8"/>
    <w:rsid w:val="00030F30"/>
    <w:rsid w:val="000437E6"/>
    <w:rsid w:val="00043E88"/>
    <w:rsid w:val="0004419E"/>
    <w:rsid w:val="0005200D"/>
    <w:rsid w:val="00063EDC"/>
    <w:rsid w:val="00070470"/>
    <w:rsid w:val="00074337"/>
    <w:rsid w:val="0008222E"/>
    <w:rsid w:val="00083574"/>
    <w:rsid w:val="00090575"/>
    <w:rsid w:val="00092270"/>
    <w:rsid w:val="0009493E"/>
    <w:rsid w:val="00095B78"/>
    <w:rsid w:val="000A1767"/>
    <w:rsid w:val="000A49C9"/>
    <w:rsid w:val="000B34C7"/>
    <w:rsid w:val="000B467E"/>
    <w:rsid w:val="000B55C2"/>
    <w:rsid w:val="000B5BA2"/>
    <w:rsid w:val="000C1668"/>
    <w:rsid w:val="000C1D2F"/>
    <w:rsid w:val="000C20C1"/>
    <w:rsid w:val="000C32A2"/>
    <w:rsid w:val="000C401F"/>
    <w:rsid w:val="000C48AC"/>
    <w:rsid w:val="000C53FF"/>
    <w:rsid w:val="000C56A1"/>
    <w:rsid w:val="000C68D6"/>
    <w:rsid w:val="000D2B9F"/>
    <w:rsid w:val="000D3045"/>
    <w:rsid w:val="000D3933"/>
    <w:rsid w:val="000E072A"/>
    <w:rsid w:val="000E7218"/>
    <w:rsid w:val="000E7DA5"/>
    <w:rsid w:val="000F56F5"/>
    <w:rsid w:val="000F5E28"/>
    <w:rsid w:val="000F6EB3"/>
    <w:rsid w:val="00100517"/>
    <w:rsid w:val="0010099F"/>
    <w:rsid w:val="00106C71"/>
    <w:rsid w:val="0011106B"/>
    <w:rsid w:val="0011296C"/>
    <w:rsid w:val="00113BFF"/>
    <w:rsid w:val="001169E8"/>
    <w:rsid w:val="001207B4"/>
    <w:rsid w:val="0012615D"/>
    <w:rsid w:val="00126FBA"/>
    <w:rsid w:val="001315CE"/>
    <w:rsid w:val="00133A8C"/>
    <w:rsid w:val="00134F25"/>
    <w:rsid w:val="00135B62"/>
    <w:rsid w:val="00136DC4"/>
    <w:rsid w:val="00136FF6"/>
    <w:rsid w:val="00141670"/>
    <w:rsid w:val="001445DC"/>
    <w:rsid w:val="001520D4"/>
    <w:rsid w:val="0015296D"/>
    <w:rsid w:val="00155FD4"/>
    <w:rsid w:val="00157D88"/>
    <w:rsid w:val="00164343"/>
    <w:rsid w:val="00164B38"/>
    <w:rsid w:val="00164C7C"/>
    <w:rsid w:val="0017175E"/>
    <w:rsid w:val="00171822"/>
    <w:rsid w:val="00173A08"/>
    <w:rsid w:val="00180594"/>
    <w:rsid w:val="001866EC"/>
    <w:rsid w:val="00186A28"/>
    <w:rsid w:val="00190D52"/>
    <w:rsid w:val="001A37D3"/>
    <w:rsid w:val="001A3FCA"/>
    <w:rsid w:val="001B0893"/>
    <w:rsid w:val="001B1944"/>
    <w:rsid w:val="001B7C5A"/>
    <w:rsid w:val="001C0C50"/>
    <w:rsid w:val="001C638D"/>
    <w:rsid w:val="001D0502"/>
    <w:rsid w:val="001D225F"/>
    <w:rsid w:val="001D5AE2"/>
    <w:rsid w:val="001E0D82"/>
    <w:rsid w:val="001E0D93"/>
    <w:rsid w:val="001E5985"/>
    <w:rsid w:val="001E5F4A"/>
    <w:rsid w:val="001F02C6"/>
    <w:rsid w:val="001F1EC3"/>
    <w:rsid w:val="001F4F93"/>
    <w:rsid w:val="001F780D"/>
    <w:rsid w:val="002041A6"/>
    <w:rsid w:val="002060E8"/>
    <w:rsid w:val="00206D2E"/>
    <w:rsid w:val="00210D44"/>
    <w:rsid w:val="00212AF9"/>
    <w:rsid w:val="0021370B"/>
    <w:rsid w:val="002140EE"/>
    <w:rsid w:val="00214894"/>
    <w:rsid w:val="00226768"/>
    <w:rsid w:val="00226771"/>
    <w:rsid w:val="00226B2E"/>
    <w:rsid w:val="00226D0E"/>
    <w:rsid w:val="0023676E"/>
    <w:rsid w:val="00236C72"/>
    <w:rsid w:val="00237A98"/>
    <w:rsid w:val="0024287B"/>
    <w:rsid w:val="0024305E"/>
    <w:rsid w:val="002441F7"/>
    <w:rsid w:val="0024741B"/>
    <w:rsid w:val="00261C93"/>
    <w:rsid w:val="00262D37"/>
    <w:rsid w:val="00265564"/>
    <w:rsid w:val="00272F80"/>
    <w:rsid w:val="00273D37"/>
    <w:rsid w:val="0027764C"/>
    <w:rsid w:val="0028366D"/>
    <w:rsid w:val="002A20A0"/>
    <w:rsid w:val="002A455F"/>
    <w:rsid w:val="002A5261"/>
    <w:rsid w:val="002B1199"/>
    <w:rsid w:val="002B1394"/>
    <w:rsid w:val="002B33D2"/>
    <w:rsid w:val="002C4CDE"/>
    <w:rsid w:val="002C556E"/>
    <w:rsid w:val="002C5B0F"/>
    <w:rsid w:val="002D23D9"/>
    <w:rsid w:val="002D2931"/>
    <w:rsid w:val="002D4681"/>
    <w:rsid w:val="002D6D0E"/>
    <w:rsid w:val="002E190D"/>
    <w:rsid w:val="002E6BE3"/>
    <w:rsid w:val="002F6933"/>
    <w:rsid w:val="00301F81"/>
    <w:rsid w:val="003021FF"/>
    <w:rsid w:val="00302C2E"/>
    <w:rsid w:val="0030463E"/>
    <w:rsid w:val="00307ACC"/>
    <w:rsid w:val="003151F7"/>
    <w:rsid w:val="00315C23"/>
    <w:rsid w:val="003166B6"/>
    <w:rsid w:val="00316E03"/>
    <w:rsid w:val="003207F4"/>
    <w:rsid w:val="00320BB7"/>
    <w:rsid w:val="00322E79"/>
    <w:rsid w:val="00326B1C"/>
    <w:rsid w:val="00330D78"/>
    <w:rsid w:val="00331CB9"/>
    <w:rsid w:val="003354EE"/>
    <w:rsid w:val="0033783D"/>
    <w:rsid w:val="00337C6A"/>
    <w:rsid w:val="003464E7"/>
    <w:rsid w:val="003500BC"/>
    <w:rsid w:val="00353318"/>
    <w:rsid w:val="00354E36"/>
    <w:rsid w:val="00355D2E"/>
    <w:rsid w:val="003568E4"/>
    <w:rsid w:val="00357135"/>
    <w:rsid w:val="00361313"/>
    <w:rsid w:val="0036732D"/>
    <w:rsid w:val="003706A5"/>
    <w:rsid w:val="003712A4"/>
    <w:rsid w:val="00383435"/>
    <w:rsid w:val="00383573"/>
    <w:rsid w:val="00385422"/>
    <w:rsid w:val="00391673"/>
    <w:rsid w:val="00393EBC"/>
    <w:rsid w:val="00395A23"/>
    <w:rsid w:val="003976F0"/>
    <w:rsid w:val="003A0C71"/>
    <w:rsid w:val="003A170B"/>
    <w:rsid w:val="003A1E4C"/>
    <w:rsid w:val="003A1E63"/>
    <w:rsid w:val="003A286A"/>
    <w:rsid w:val="003A4618"/>
    <w:rsid w:val="003A5048"/>
    <w:rsid w:val="003A7A05"/>
    <w:rsid w:val="003A7F1A"/>
    <w:rsid w:val="003B097F"/>
    <w:rsid w:val="003B2656"/>
    <w:rsid w:val="003B3099"/>
    <w:rsid w:val="003B43D3"/>
    <w:rsid w:val="003B6129"/>
    <w:rsid w:val="003B6BE9"/>
    <w:rsid w:val="003C312A"/>
    <w:rsid w:val="003C4653"/>
    <w:rsid w:val="003D0506"/>
    <w:rsid w:val="003D3A75"/>
    <w:rsid w:val="003D6118"/>
    <w:rsid w:val="003D67AC"/>
    <w:rsid w:val="003E148A"/>
    <w:rsid w:val="003E454F"/>
    <w:rsid w:val="003E6DFB"/>
    <w:rsid w:val="003F2270"/>
    <w:rsid w:val="003F746F"/>
    <w:rsid w:val="00403D28"/>
    <w:rsid w:val="004043A2"/>
    <w:rsid w:val="00410FCA"/>
    <w:rsid w:val="004117BD"/>
    <w:rsid w:val="00412A48"/>
    <w:rsid w:val="00414B71"/>
    <w:rsid w:val="004151CE"/>
    <w:rsid w:val="00417574"/>
    <w:rsid w:val="004215F1"/>
    <w:rsid w:val="0042215D"/>
    <w:rsid w:val="00424C46"/>
    <w:rsid w:val="0043285C"/>
    <w:rsid w:val="00433287"/>
    <w:rsid w:val="00436E82"/>
    <w:rsid w:val="00440F9A"/>
    <w:rsid w:val="00442209"/>
    <w:rsid w:val="00443ADE"/>
    <w:rsid w:val="0044418D"/>
    <w:rsid w:val="004518D2"/>
    <w:rsid w:val="0045479E"/>
    <w:rsid w:val="0045655F"/>
    <w:rsid w:val="004619A4"/>
    <w:rsid w:val="004632AA"/>
    <w:rsid w:val="00474EDC"/>
    <w:rsid w:val="00474FAA"/>
    <w:rsid w:val="00476FBE"/>
    <w:rsid w:val="004810F7"/>
    <w:rsid w:val="00483264"/>
    <w:rsid w:val="004A0C16"/>
    <w:rsid w:val="004A0D30"/>
    <w:rsid w:val="004A15D9"/>
    <w:rsid w:val="004A5884"/>
    <w:rsid w:val="004B1E96"/>
    <w:rsid w:val="004B337A"/>
    <w:rsid w:val="004B508D"/>
    <w:rsid w:val="004B62C0"/>
    <w:rsid w:val="004B6350"/>
    <w:rsid w:val="004B6AEB"/>
    <w:rsid w:val="004B7F5D"/>
    <w:rsid w:val="004C0462"/>
    <w:rsid w:val="004C09AF"/>
    <w:rsid w:val="004C7017"/>
    <w:rsid w:val="004C7456"/>
    <w:rsid w:val="004D03B0"/>
    <w:rsid w:val="004D1018"/>
    <w:rsid w:val="004D1DC8"/>
    <w:rsid w:val="004D1DC9"/>
    <w:rsid w:val="004D2987"/>
    <w:rsid w:val="004D449E"/>
    <w:rsid w:val="004D5FD7"/>
    <w:rsid w:val="004E12DE"/>
    <w:rsid w:val="004E33AC"/>
    <w:rsid w:val="004E6FB9"/>
    <w:rsid w:val="004E71AB"/>
    <w:rsid w:val="004F1783"/>
    <w:rsid w:val="004F6E95"/>
    <w:rsid w:val="00500C4A"/>
    <w:rsid w:val="00505261"/>
    <w:rsid w:val="00510E4D"/>
    <w:rsid w:val="00512A45"/>
    <w:rsid w:val="00524A56"/>
    <w:rsid w:val="0052634A"/>
    <w:rsid w:val="005266E9"/>
    <w:rsid w:val="00532363"/>
    <w:rsid w:val="005336C8"/>
    <w:rsid w:val="00540EA2"/>
    <w:rsid w:val="00541401"/>
    <w:rsid w:val="005418DB"/>
    <w:rsid w:val="0054269C"/>
    <w:rsid w:val="005448AD"/>
    <w:rsid w:val="00545594"/>
    <w:rsid w:val="00545844"/>
    <w:rsid w:val="005465FF"/>
    <w:rsid w:val="00550F16"/>
    <w:rsid w:val="00564C20"/>
    <w:rsid w:val="00565889"/>
    <w:rsid w:val="00571D43"/>
    <w:rsid w:val="00572291"/>
    <w:rsid w:val="005740F5"/>
    <w:rsid w:val="00574C3B"/>
    <w:rsid w:val="0057519E"/>
    <w:rsid w:val="00575AB8"/>
    <w:rsid w:val="0057690D"/>
    <w:rsid w:val="005801B6"/>
    <w:rsid w:val="0058368C"/>
    <w:rsid w:val="005839EE"/>
    <w:rsid w:val="00584B5D"/>
    <w:rsid w:val="00587B70"/>
    <w:rsid w:val="00587D80"/>
    <w:rsid w:val="005A1A6A"/>
    <w:rsid w:val="005A2E67"/>
    <w:rsid w:val="005A5B47"/>
    <w:rsid w:val="005A62DF"/>
    <w:rsid w:val="005B01E0"/>
    <w:rsid w:val="005B0BAE"/>
    <w:rsid w:val="005B2E43"/>
    <w:rsid w:val="005B439E"/>
    <w:rsid w:val="005B54A3"/>
    <w:rsid w:val="005C3208"/>
    <w:rsid w:val="005C5B0E"/>
    <w:rsid w:val="005C6087"/>
    <w:rsid w:val="005D0BB2"/>
    <w:rsid w:val="005D10F7"/>
    <w:rsid w:val="005D30DE"/>
    <w:rsid w:val="005D5725"/>
    <w:rsid w:val="005D7FBA"/>
    <w:rsid w:val="005E5912"/>
    <w:rsid w:val="005F2A05"/>
    <w:rsid w:val="005F2C46"/>
    <w:rsid w:val="005F5B89"/>
    <w:rsid w:val="00602F5C"/>
    <w:rsid w:val="00606397"/>
    <w:rsid w:val="006141A3"/>
    <w:rsid w:val="00615A0F"/>
    <w:rsid w:val="006173A4"/>
    <w:rsid w:val="00620F1A"/>
    <w:rsid w:val="00622520"/>
    <w:rsid w:val="006279E7"/>
    <w:rsid w:val="00634596"/>
    <w:rsid w:val="0063629A"/>
    <w:rsid w:val="006425FA"/>
    <w:rsid w:val="00642B95"/>
    <w:rsid w:val="00647559"/>
    <w:rsid w:val="006523EB"/>
    <w:rsid w:val="0065265C"/>
    <w:rsid w:val="00653C14"/>
    <w:rsid w:val="0065460D"/>
    <w:rsid w:val="00657D99"/>
    <w:rsid w:val="0066001D"/>
    <w:rsid w:val="006679DC"/>
    <w:rsid w:val="00670400"/>
    <w:rsid w:val="006724B7"/>
    <w:rsid w:val="00677925"/>
    <w:rsid w:val="00677A8A"/>
    <w:rsid w:val="00680AD6"/>
    <w:rsid w:val="00681B00"/>
    <w:rsid w:val="006869D8"/>
    <w:rsid w:val="006870F1"/>
    <w:rsid w:val="0069033E"/>
    <w:rsid w:val="006918F7"/>
    <w:rsid w:val="006922EC"/>
    <w:rsid w:val="006945A4"/>
    <w:rsid w:val="00695EDE"/>
    <w:rsid w:val="006A239D"/>
    <w:rsid w:val="006A23E9"/>
    <w:rsid w:val="006A2F07"/>
    <w:rsid w:val="006A341C"/>
    <w:rsid w:val="006A4D72"/>
    <w:rsid w:val="006A543A"/>
    <w:rsid w:val="006B1CA7"/>
    <w:rsid w:val="006B6F3C"/>
    <w:rsid w:val="006B7B55"/>
    <w:rsid w:val="006C27BF"/>
    <w:rsid w:val="006C2D0C"/>
    <w:rsid w:val="006C4DC3"/>
    <w:rsid w:val="006C77CD"/>
    <w:rsid w:val="006D0072"/>
    <w:rsid w:val="006D2C2B"/>
    <w:rsid w:val="006D3513"/>
    <w:rsid w:val="006D5D9F"/>
    <w:rsid w:val="006D7949"/>
    <w:rsid w:val="006E1C8A"/>
    <w:rsid w:val="006E32D8"/>
    <w:rsid w:val="006E37AD"/>
    <w:rsid w:val="006E6222"/>
    <w:rsid w:val="006F0669"/>
    <w:rsid w:val="006F48AD"/>
    <w:rsid w:val="006F56A7"/>
    <w:rsid w:val="006F601F"/>
    <w:rsid w:val="006F629E"/>
    <w:rsid w:val="00702CEF"/>
    <w:rsid w:val="007032FC"/>
    <w:rsid w:val="00703D29"/>
    <w:rsid w:val="00703F0B"/>
    <w:rsid w:val="007076B1"/>
    <w:rsid w:val="0071236E"/>
    <w:rsid w:val="0071264D"/>
    <w:rsid w:val="0071330B"/>
    <w:rsid w:val="00717623"/>
    <w:rsid w:val="00722F66"/>
    <w:rsid w:val="00722FCE"/>
    <w:rsid w:val="00723EEC"/>
    <w:rsid w:val="007258A2"/>
    <w:rsid w:val="00733600"/>
    <w:rsid w:val="007339A9"/>
    <w:rsid w:val="007345D7"/>
    <w:rsid w:val="00735BD4"/>
    <w:rsid w:val="00737A61"/>
    <w:rsid w:val="00741B8D"/>
    <w:rsid w:val="00742E26"/>
    <w:rsid w:val="00746901"/>
    <w:rsid w:val="007469E7"/>
    <w:rsid w:val="00746D36"/>
    <w:rsid w:val="00750C92"/>
    <w:rsid w:val="00751CDD"/>
    <w:rsid w:val="00753178"/>
    <w:rsid w:val="007534CB"/>
    <w:rsid w:val="00754FB0"/>
    <w:rsid w:val="00756CAA"/>
    <w:rsid w:val="00762CB8"/>
    <w:rsid w:val="0076576D"/>
    <w:rsid w:val="0077088A"/>
    <w:rsid w:val="00774525"/>
    <w:rsid w:val="00785F88"/>
    <w:rsid w:val="00786B37"/>
    <w:rsid w:val="007877D5"/>
    <w:rsid w:val="00792362"/>
    <w:rsid w:val="0079519C"/>
    <w:rsid w:val="007A04DC"/>
    <w:rsid w:val="007A287A"/>
    <w:rsid w:val="007A2EB0"/>
    <w:rsid w:val="007A3CC2"/>
    <w:rsid w:val="007B04FF"/>
    <w:rsid w:val="007B6DA0"/>
    <w:rsid w:val="007C15ED"/>
    <w:rsid w:val="007C19AE"/>
    <w:rsid w:val="007C2CCC"/>
    <w:rsid w:val="007C337F"/>
    <w:rsid w:val="007C7542"/>
    <w:rsid w:val="007D04F4"/>
    <w:rsid w:val="007D0888"/>
    <w:rsid w:val="007D2179"/>
    <w:rsid w:val="007D2FAE"/>
    <w:rsid w:val="007D399D"/>
    <w:rsid w:val="007D59AF"/>
    <w:rsid w:val="007D7DEB"/>
    <w:rsid w:val="007E1DE6"/>
    <w:rsid w:val="007E201C"/>
    <w:rsid w:val="007F0619"/>
    <w:rsid w:val="007F28DB"/>
    <w:rsid w:val="007F4345"/>
    <w:rsid w:val="007F7B34"/>
    <w:rsid w:val="0080399C"/>
    <w:rsid w:val="00803C1E"/>
    <w:rsid w:val="00804954"/>
    <w:rsid w:val="008108E9"/>
    <w:rsid w:val="00810B98"/>
    <w:rsid w:val="0081164E"/>
    <w:rsid w:val="00811C0C"/>
    <w:rsid w:val="00816129"/>
    <w:rsid w:val="008176A7"/>
    <w:rsid w:val="008177BD"/>
    <w:rsid w:val="00824189"/>
    <w:rsid w:val="008252F0"/>
    <w:rsid w:val="00826EBD"/>
    <w:rsid w:val="0083668C"/>
    <w:rsid w:val="00837C00"/>
    <w:rsid w:val="00840E0D"/>
    <w:rsid w:val="008461E9"/>
    <w:rsid w:val="008475AA"/>
    <w:rsid w:val="00855A4E"/>
    <w:rsid w:val="00856676"/>
    <w:rsid w:val="00856873"/>
    <w:rsid w:val="00860F02"/>
    <w:rsid w:val="00861912"/>
    <w:rsid w:val="00862E7D"/>
    <w:rsid w:val="0086365B"/>
    <w:rsid w:val="008657A4"/>
    <w:rsid w:val="0086730C"/>
    <w:rsid w:val="0088026D"/>
    <w:rsid w:val="00881EB7"/>
    <w:rsid w:val="00884884"/>
    <w:rsid w:val="00885261"/>
    <w:rsid w:val="0088570D"/>
    <w:rsid w:val="00887902"/>
    <w:rsid w:val="00891420"/>
    <w:rsid w:val="00892334"/>
    <w:rsid w:val="00895FBB"/>
    <w:rsid w:val="008A0C18"/>
    <w:rsid w:val="008A1E1B"/>
    <w:rsid w:val="008A5FBB"/>
    <w:rsid w:val="008B0302"/>
    <w:rsid w:val="008B09E8"/>
    <w:rsid w:val="008B224C"/>
    <w:rsid w:val="008C05CF"/>
    <w:rsid w:val="008C1461"/>
    <w:rsid w:val="008C2226"/>
    <w:rsid w:val="008C4276"/>
    <w:rsid w:val="008C4887"/>
    <w:rsid w:val="008C77F8"/>
    <w:rsid w:val="008D2976"/>
    <w:rsid w:val="008D55B2"/>
    <w:rsid w:val="008D6D95"/>
    <w:rsid w:val="008E500C"/>
    <w:rsid w:val="008F2A48"/>
    <w:rsid w:val="008F6C65"/>
    <w:rsid w:val="008F720F"/>
    <w:rsid w:val="009021F6"/>
    <w:rsid w:val="00902910"/>
    <w:rsid w:val="00904592"/>
    <w:rsid w:val="009060CB"/>
    <w:rsid w:val="00906D34"/>
    <w:rsid w:val="0091169E"/>
    <w:rsid w:val="009120C7"/>
    <w:rsid w:val="009123C5"/>
    <w:rsid w:val="00916179"/>
    <w:rsid w:val="00917615"/>
    <w:rsid w:val="00921A28"/>
    <w:rsid w:val="0092520D"/>
    <w:rsid w:val="00925337"/>
    <w:rsid w:val="00931174"/>
    <w:rsid w:val="00936D28"/>
    <w:rsid w:val="00937B1F"/>
    <w:rsid w:val="0094110B"/>
    <w:rsid w:val="00944B82"/>
    <w:rsid w:val="00945006"/>
    <w:rsid w:val="00945609"/>
    <w:rsid w:val="00956B31"/>
    <w:rsid w:val="00956FA8"/>
    <w:rsid w:val="00957AA0"/>
    <w:rsid w:val="009604CB"/>
    <w:rsid w:val="00965538"/>
    <w:rsid w:val="00971F0D"/>
    <w:rsid w:val="0097464F"/>
    <w:rsid w:val="00980E99"/>
    <w:rsid w:val="00984BFB"/>
    <w:rsid w:val="00991B49"/>
    <w:rsid w:val="00995A55"/>
    <w:rsid w:val="009964B6"/>
    <w:rsid w:val="009A0542"/>
    <w:rsid w:val="009A1C5B"/>
    <w:rsid w:val="009A5D9E"/>
    <w:rsid w:val="009A7B76"/>
    <w:rsid w:val="009B0988"/>
    <w:rsid w:val="009B2373"/>
    <w:rsid w:val="009B2B4B"/>
    <w:rsid w:val="009C5DF4"/>
    <w:rsid w:val="009C6C4E"/>
    <w:rsid w:val="009D003A"/>
    <w:rsid w:val="009D3453"/>
    <w:rsid w:val="009D431A"/>
    <w:rsid w:val="009E1329"/>
    <w:rsid w:val="009E28E5"/>
    <w:rsid w:val="009E4340"/>
    <w:rsid w:val="009E4CE3"/>
    <w:rsid w:val="009F214A"/>
    <w:rsid w:val="009F2F79"/>
    <w:rsid w:val="009F374F"/>
    <w:rsid w:val="009F3BC8"/>
    <w:rsid w:val="009F588C"/>
    <w:rsid w:val="00A02C14"/>
    <w:rsid w:val="00A03373"/>
    <w:rsid w:val="00A05ECF"/>
    <w:rsid w:val="00A100F7"/>
    <w:rsid w:val="00A11C51"/>
    <w:rsid w:val="00A126E5"/>
    <w:rsid w:val="00A12C63"/>
    <w:rsid w:val="00A1337E"/>
    <w:rsid w:val="00A24133"/>
    <w:rsid w:val="00A249A4"/>
    <w:rsid w:val="00A2528E"/>
    <w:rsid w:val="00A33F45"/>
    <w:rsid w:val="00A34C49"/>
    <w:rsid w:val="00A3642F"/>
    <w:rsid w:val="00A421CE"/>
    <w:rsid w:val="00A54F86"/>
    <w:rsid w:val="00A63392"/>
    <w:rsid w:val="00A722C5"/>
    <w:rsid w:val="00A80044"/>
    <w:rsid w:val="00A859DC"/>
    <w:rsid w:val="00A85D7D"/>
    <w:rsid w:val="00A85EAD"/>
    <w:rsid w:val="00A86417"/>
    <w:rsid w:val="00A872DA"/>
    <w:rsid w:val="00A9122E"/>
    <w:rsid w:val="00A91F36"/>
    <w:rsid w:val="00A93A7F"/>
    <w:rsid w:val="00A97B0B"/>
    <w:rsid w:val="00AA46FA"/>
    <w:rsid w:val="00AA4795"/>
    <w:rsid w:val="00AA63BA"/>
    <w:rsid w:val="00AB19DA"/>
    <w:rsid w:val="00AB6B27"/>
    <w:rsid w:val="00AD629B"/>
    <w:rsid w:val="00AD6B25"/>
    <w:rsid w:val="00AD6ED0"/>
    <w:rsid w:val="00AD74EF"/>
    <w:rsid w:val="00AE1284"/>
    <w:rsid w:val="00AE2C17"/>
    <w:rsid w:val="00AE5333"/>
    <w:rsid w:val="00AE61ED"/>
    <w:rsid w:val="00AE6866"/>
    <w:rsid w:val="00AE6F3C"/>
    <w:rsid w:val="00AF196A"/>
    <w:rsid w:val="00AF54E1"/>
    <w:rsid w:val="00B0080D"/>
    <w:rsid w:val="00B01CD3"/>
    <w:rsid w:val="00B02E88"/>
    <w:rsid w:val="00B04E81"/>
    <w:rsid w:val="00B054A7"/>
    <w:rsid w:val="00B0579A"/>
    <w:rsid w:val="00B05F20"/>
    <w:rsid w:val="00B14E6B"/>
    <w:rsid w:val="00B16089"/>
    <w:rsid w:val="00B24811"/>
    <w:rsid w:val="00B25923"/>
    <w:rsid w:val="00B26432"/>
    <w:rsid w:val="00B266B6"/>
    <w:rsid w:val="00B3570D"/>
    <w:rsid w:val="00B369E1"/>
    <w:rsid w:val="00B36CB6"/>
    <w:rsid w:val="00B457D5"/>
    <w:rsid w:val="00B47764"/>
    <w:rsid w:val="00B4784E"/>
    <w:rsid w:val="00B52D63"/>
    <w:rsid w:val="00B565D4"/>
    <w:rsid w:val="00B62476"/>
    <w:rsid w:val="00B626BB"/>
    <w:rsid w:val="00B724FE"/>
    <w:rsid w:val="00B73951"/>
    <w:rsid w:val="00B73E18"/>
    <w:rsid w:val="00B7420E"/>
    <w:rsid w:val="00B80A01"/>
    <w:rsid w:val="00B80D2F"/>
    <w:rsid w:val="00B82E58"/>
    <w:rsid w:val="00B863CD"/>
    <w:rsid w:val="00B90B22"/>
    <w:rsid w:val="00B90EB4"/>
    <w:rsid w:val="00B97802"/>
    <w:rsid w:val="00BA0E5D"/>
    <w:rsid w:val="00BA2846"/>
    <w:rsid w:val="00BA3124"/>
    <w:rsid w:val="00BA37AA"/>
    <w:rsid w:val="00BA55B3"/>
    <w:rsid w:val="00BB13C2"/>
    <w:rsid w:val="00BB2465"/>
    <w:rsid w:val="00BB2B84"/>
    <w:rsid w:val="00BC4999"/>
    <w:rsid w:val="00BD389A"/>
    <w:rsid w:val="00BE1F58"/>
    <w:rsid w:val="00BE2F9C"/>
    <w:rsid w:val="00BE3C13"/>
    <w:rsid w:val="00BF1BC9"/>
    <w:rsid w:val="00BF3812"/>
    <w:rsid w:val="00BF4099"/>
    <w:rsid w:val="00C03FB6"/>
    <w:rsid w:val="00C06587"/>
    <w:rsid w:val="00C07A4F"/>
    <w:rsid w:val="00C13489"/>
    <w:rsid w:val="00C13FAF"/>
    <w:rsid w:val="00C244BA"/>
    <w:rsid w:val="00C2519C"/>
    <w:rsid w:val="00C25425"/>
    <w:rsid w:val="00C254EC"/>
    <w:rsid w:val="00C25AD7"/>
    <w:rsid w:val="00C31620"/>
    <w:rsid w:val="00C3532B"/>
    <w:rsid w:val="00C35FFB"/>
    <w:rsid w:val="00C3605A"/>
    <w:rsid w:val="00C4070E"/>
    <w:rsid w:val="00C46538"/>
    <w:rsid w:val="00C46568"/>
    <w:rsid w:val="00C475B3"/>
    <w:rsid w:val="00C519A3"/>
    <w:rsid w:val="00C51A84"/>
    <w:rsid w:val="00C524FA"/>
    <w:rsid w:val="00C54866"/>
    <w:rsid w:val="00C54E7F"/>
    <w:rsid w:val="00C557E5"/>
    <w:rsid w:val="00C56715"/>
    <w:rsid w:val="00C61DF1"/>
    <w:rsid w:val="00C636A8"/>
    <w:rsid w:val="00C649A3"/>
    <w:rsid w:val="00C64C38"/>
    <w:rsid w:val="00C716E6"/>
    <w:rsid w:val="00C7432E"/>
    <w:rsid w:val="00C76FE6"/>
    <w:rsid w:val="00C8124B"/>
    <w:rsid w:val="00C834F6"/>
    <w:rsid w:val="00C84A36"/>
    <w:rsid w:val="00C85D99"/>
    <w:rsid w:val="00C91707"/>
    <w:rsid w:val="00C91765"/>
    <w:rsid w:val="00CA115B"/>
    <w:rsid w:val="00CA167E"/>
    <w:rsid w:val="00CA3F44"/>
    <w:rsid w:val="00CA4DB7"/>
    <w:rsid w:val="00CA4EDA"/>
    <w:rsid w:val="00CA6CAC"/>
    <w:rsid w:val="00CB3033"/>
    <w:rsid w:val="00CB3C9F"/>
    <w:rsid w:val="00CB5F47"/>
    <w:rsid w:val="00CC0FA9"/>
    <w:rsid w:val="00CC18DB"/>
    <w:rsid w:val="00CC1C15"/>
    <w:rsid w:val="00CC375D"/>
    <w:rsid w:val="00CC46A2"/>
    <w:rsid w:val="00CC5B47"/>
    <w:rsid w:val="00CC6D92"/>
    <w:rsid w:val="00CD04A5"/>
    <w:rsid w:val="00CD7D67"/>
    <w:rsid w:val="00CE01EF"/>
    <w:rsid w:val="00CF001A"/>
    <w:rsid w:val="00CF0250"/>
    <w:rsid w:val="00CF0567"/>
    <w:rsid w:val="00CF355D"/>
    <w:rsid w:val="00CF62AC"/>
    <w:rsid w:val="00D0134F"/>
    <w:rsid w:val="00D0202D"/>
    <w:rsid w:val="00D06C66"/>
    <w:rsid w:val="00D1119F"/>
    <w:rsid w:val="00D14E99"/>
    <w:rsid w:val="00D1571D"/>
    <w:rsid w:val="00D21E36"/>
    <w:rsid w:val="00D22BAB"/>
    <w:rsid w:val="00D22CA2"/>
    <w:rsid w:val="00D2321E"/>
    <w:rsid w:val="00D23492"/>
    <w:rsid w:val="00D26520"/>
    <w:rsid w:val="00D277F8"/>
    <w:rsid w:val="00D300DD"/>
    <w:rsid w:val="00D44F13"/>
    <w:rsid w:val="00D479CD"/>
    <w:rsid w:val="00D55A38"/>
    <w:rsid w:val="00D6016D"/>
    <w:rsid w:val="00D62A4A"/>
    <w:rsid w:val="00D66AB0"/>
    <w:rsid w:val="00D812C8"/>
    <w:rsid w:val="00D829D0"/>
    <w:rsid w:val="00D839C0"/>
    <w:rsid w:val="00D841A1"/>
    <w:rsid w:val="00D84F11"/>
    <w:rsid w:val="00D91940"/>
    <w:rsid w:val="00D92C17"/>
    <w:rsid w:val="00D930BB"/>
    <w:rsid w:val="00D932AD"/>
    <w:rsid w:val="00D93779"/>
    <w:rsid w:val="00D95A48"/>
    <w:rsid w:val="00D95A4C"/>
    <w:rsid w:val="00D97F97"/>
    <w:rsid w:val="00DA12F0"/>
    <w:rsid w:val="00DB181C"/>
    <w:rsid w:val="00DC3AB0"/>
    <w:rsid w:val="00DC3C79"/>
    <w:rsid w:val="00DC5EB5"/>
    <w:rsid w:val="00DC5F38"/>
    <w:rsid w:val="00DC6ED1"/>
    <w:rsid w:val="00DE249D"/>
    <w:rsid w:val="00DE3D17"/>
    <w:rsid w:val="00DE7E18"/>
    <w:rsid w:val="00DF0071"/>
    <w:rsid w:val="00DF439B"/>
    <w:rsid w:val="00DF477D"/>
    <w:rsid w:val="00DF5814"/>
    <w:rsid w:val="00DF7BB9"/>
    <w:rsid w:val="00E02431"/>
    <w:rsid w:val="00E03C51"/>
    <w:rsid w:val="00E11081"/>
    <w:rsid w:val="00E14AB1"/>
    <w:rsid w:val="00E16247"/>
    <w:rsid w:val="00E2004A"/>
    <w:rsid w:val="00E22781"/>
    <w:rsid w:val="00E255AC"/>
    <w:rsid w:val="00E26053"/>
    <w:rsid w:val="00E30B10"/>
    <w:rsid w:val="00E312D2"/>
    <w:rsid w:val="00E33009"/>
    <w:rsid w:val="00E3415B"/>
    <w:rsid w:val="00E41050"/>
    <w:rsid w:val="00E42EAA"/>
    <w:rsid w:val="00E43660"/>
    <w:rsid w:val="00E449D8"/>
    <w:rsid w:val="00E45D74"/>
    <w:rsid w:val="00E51F99"/>
    <w:rsid w:val="00E52414"/>
    <w:rsid w:val="00E55177"/>
    <w:rsid w:val="00E57591"/>
    <w:rsid w:val="00E60C9D"/>
    <w:rsid w:val="00E653F5"/>
    <w:rsid w:val="00E667FC"/>
    <w:rsid w:val="00E7155C"/>
    <w:rsid w:val="00E72F1F"/>
    <w:rsid w:val="00E763ED"/>
    <w:rsid w:val="00E80883"/>
    <w:rsid w:val="00E86025"/>
    <w:rsid w:val="00E864B4"/>
    <w:rsid w:val="00E8709E"/>
    <w:rsid w:val="00E93BCC"/>
    <w:rsid w:val="00E9439E"/>
    <w:rsid w:val="00E96E54"/>
    <w:rsid w:val="00EA1145"/>
    <w:rsid w:val="00EA11E5"/>
    <w:rsid w:val="00EA1ED7"/>
    <w:rsid w:val="00EA5C66"/>
    <w:rsid w:val="00EB09CB"/>
    <w:rsid w:val="00EB0C24"/>
    <w:rsid w:val="00EB13EB"/>
    <w:rsid w:val="00EB6ED0"/>
    <w:rsid w:val="00EC2752"/>
    <w:rsid w:val="00EC2D7B"/>
    <w:rsid w:val="00EC7653"/>
    <w:rsid w:val="00ED3A02"/>
    <w:rsid w:val="00ED4554"/>
    <w:rsid w:val="00ED49CE"/>
    <w:rsid w:val="00ED5241"/>
    <w:rsid w:val="00ED6221"/>
    <w:rsid w:val="00ED64CD"/>
    <w:rsid w:val="00ED7DBB"/>
    <w:rsid w:val="00EE5896"/>
    <w:rsid w:val="00EE6E83"/>
    <w:rsid w:val="00EF20F4"/>
    <w:rsid w:val="00EF2D43"/>
    <w:rsid w:val="00EF2D68"/>
    <w:rsid w:val="00EF5BD9"/>
    <w:rsid w:val="00EF6456"/>
    <w:rsid w:val="00F00891"/>
    <w:rsid w:val="00F06631"/>
    <w:rsid w:val="00F076F4"/>
    <w:rsid w:val="00F115E5"/>
    <w:rsid w:val="00F121C0"/>
    <w:rsid w:val="00F129A8"/>
    <w:rsid w:val="00F1492D"/>
    <w:rsid w:val="00F15A32"/>
    <w:rsid w:val="00F2140E"/>
    <w:rsid w:val="00F275D0"/>
    <w:rsid w:val="00F331FE"/>
    <w:rsid w:val="00F33C35"/>
    <w:rsid w:val="00F344D6"/>
    <w:rsid w:val="00F35244"/>
    <w:rsid w:val="00F37250"/>
    <w:rsid w:val="00F3752A"/>
    <w:rsid w:val="00F40FBF"/>
    <w:rsid w:val="00F41038"/>
    <w:rsid w:val="00F4149C"/>
    <w:rsid w:val="00F41ABA"/>
    <w:rsid w:val="00F43D41"/>
    <w:rsid w:val="00F502E0"/>
    <w:rsid w:val="00F52C3C"/>
    <w:rsid w:val="00F52F5A"/>
    <w:rsid w:val="00F53420"/>
    <w:rsid w:val="00F56501"/>
    <w:rsid w:val="00F57034"/>
    <w:rsid w:val="00F5705E"/>
    <w:rsid w:val="00F603CC"/>
    <w:rsid w:val="00F62729"/>
    <w:rsid w:val="00F627C1"/>
    <w:rsid w:val="00F62842"/>
    <w:rsid w:val="00F64A9E"/>
    <w:rsid w:val="00F72CA1"/>
    <w:rsid w:val="00F74EBD"/>
    <w:rsid w:val="00F82ADB"/>
    <w:rsid w:val="00F831B3"/>
    <w:rsid w:val="00F86B8B"/>
    <w:rsid w:val="00F8733F"/>
    <w:rsid w:val="00F910EF"/>
    <w:rsid w:val="00F91562"/>
    <w:rsid w:val="00F921B4"/>
    <w:rsid w:val="00F94057"/>
    <w:rsid w:val="00F96524"/>
    <w:rsid w:val="00FA25D3"/>
    <w:rsid w:val="00FB3AAB"/>
    <w:rsid w:val="00FB3BE8"/>
    <w:rsid w:val="00FB7E37"/>
    <w:rsid w:val="00FC02B4"/>
    <w:rsid w:val="00FD1370"/>
    <w:rsid w:val="00FD5F55"/>
    <w:rsid w:val="00FD6415"/>
    <w:rsid w:val="00FE0D6B"/>
    <w:rsid w:val="00FE2042"/>
    <w:rsid w:val="00FE3364"/>
    <w:rsid w:val="00FE6711"/>
    <w:rsid w:val="00FF2B8E"/>
    <w:rsid w:val="00FF2D5E"/>
    <w:rsid w:val="00FF3FB5"/>
    <w:rsid w:val="00FF5A2F"/>
    <w:rsid w:val="018A2DD6"/>
    <w:rsid w:val="01F560E5"/>
    <w:rsid w:val="021B48C8"/>
    <w:rsid w:val="022F6BC7"/>
    <w:rsid w:val="02765062"/>
    <w:rsid w:val="02AB5D74"/>
    <w:rsid w:val="037E7B55"/>
    <w:rsid w:val="03C310A5"/>
    <w:rsid w:val="04480FA2"/>
    <w:rsid w:val="045B5E73"/>
    <w:rsid w:val="04A65CC3"/>
    <w:rsid w:val="051127D8"/>
    <w:rsid w:val="058A5177"/>
    <w:rsid w:val="060958D0"/>
    <w:rsid w:val="06B46DF4"/>
    <w:rsid w:val="06C80109"/>
    <w:rsid w:val="06EE1FCE"/>
    <w:rsid w:val="06FC5696"/>
    <w:rsid w:val="07166D85"/>
    <w:rsid w:val="07211C30"/>
    <w:rsid w:val="07C30DC0"/>
    <w:rsid w:val="08051A37"/>
    <w:rsid w:val="08E92ED7"/>
    <w:rsid w:val="0A7A508D"/>
    <w:rsid w:val="0AB623B0"/>
    <w:rsid w:val="0ABC2E87"/>
    <w:rsid w:val="0B6357F2"/>
    <w:rsid w:val="0C3279E8"/>
    <w:rsid w:val="0C4E6A0A"/>
    <w:rsid w:val="0C6D2071"/>
    <w:rsid w:val="0C7656E5"/>
    <w:rsid w:val="0D460BF6"/>
    <w:rsid w:val="0DF742E8"/>
    <w:rsid w:val="0E0A55DA"/>
    <w:rsid w:val="0E9A16A0"/>
    <w:rsid w:val="0EA83860"/>
    <w:rsid w:val="0F334EAC"/>
    <w:rsid w:val="0F482EAC"/>
    <w:rsid w:val="0FA75E50"/>
    <w:rsid w:val="0FAE47D0"/>
    <w:rsid w:val="0FD77389"/>
    <w:rsid w:val="10394744"/>
    <w:rsid w:val="10FB2274"/>
    <w:rsid w:val="110A57D8"/>
    <w:rsid w:val="11440C02"/>
    <w:rsid w:val="11790C53"/>
    <w:rsid w:val="118814D2"/>
    <w:rsid w:val="11D87F8D"/>
    <w:rsid w:val="12560390"/>
    <w:rsid w:val="12E33EC6"/>
    <w:rsid w:val="133176F4"/>
    <w:rsid w:val="13BB5F0A"/>
    <w:rsid w:val="142F2909"/>
    <w:rsid w:val="142F43C4"/>
    <w:rsid w:val="147C3DF2"/>
    <w:rsid w:val="14A47EEC"/>
    <w:rsid w:val="14B26E95"/>
    <w:rsid w:val="16244BA5"/>
    <w:rsid w:val="16D35ADF"/>
    <w:rsid w:val="17451FF2"/>
    <w:rsid w:val="17713AAE"/>
    <w:rsid w:val="180F4F9D"/>
    <w:rsid w:val="190A4A49"/>
    <w:rsid w:val="1A4A65D3"/>
    <w:rsid w:val="1A82366D"/>
    <w:rsid w:val="1A9A3C5A"/>
    <w:rsid w:val="1AE82C29"/>
    <w:rsid w:val="1AE84762"/>
    <w:rsid w:val="1AFF3A5E"/>
    <w:rsid w:val="1B657BB6"/>
    <w:rsid w:val="1B8207EA"/>
    <w:rsid w:val="1BB07FEB"/>
    <w:rsid w:val="1D463C3C"/>
    <w:rsid w:val="1E5A0411"/>
    <w:rsid w:val="1E817732"/>
    <w:rsid w:val="1EB22950"/>
    <w:rsid w:val="1FA731C8"/>
    <w:rsid w:val="1FF05C03"/>
    <w:rsid w:val="1FF753DA"/>
    <w:rsid w:val="20B377D9"/>
    <w:rsid w:val="20C70A2A"/>
    <w:rsid w:val="21113181"/>
    <w:rsid w:val="21496007"/>
    <w:rsid w:val="219F60C0"/>
    <w:rsid w:val="22D217CD"/>
    <w:rsid w:val="22EE6ECD"/>
    <w:rsid w:val="23865A00"/>
    <w:rsid w:val="243D59F8"/>
    <w:rsid w:val="243E1570"/>
    <w:rsid w:val="245E5EF5"/>
    <w:rsid w:val="24A4004D"/>
    <w:rsid w:val="24DD2636"/>
    <w:rsid w:val="24ED56A6"/>
    <w:rsid w:val="25397845"/>
    <w:rsid w:val="256839C6"/>
    <w:rsid w:val="25C744D7"/>
    <w:rsid w:val="26522EA8"/>
    <w:rsid w:val="268233AE"/>
    <w:rsid w:val="26CC0950"/>
    <w:rsid w:val="27AF06F3"/>
    <w:rsid w:val="27D8263D"/>
    <w:rsid w:val="27D85BC0"/>
    <w:rsid w:val="27E05ED7"/>
    <w:rsid w:val="28590432"/>
    <w:rsid w:val="29235B3A"/>
    <w:rsid w:val="29DA2F38"/>
    <w:rsid w:val="2A16531B"/>
    <w:rsid w:val="2AE364C8"/>
    <w:rsid w:val="2C831246"/>
    <w:rsid w:val="2D511C5B"/>
    <w:rsid w:val="2D8630BF"/>
    <w:rsid w:val="2DA72A14"/>
    <w:rsid w:val="2DDF2633"/>
    <w:rsid w:val="2E11065B"/>
    <w:rsid w:val="2E361093"/>
    <w:rsid w:val="2E9A1435"/>
    <w:rsid w:val="2F6011C4"/>
    <w:rsid w:val="2FB05DB2"/>
    <w:rsid w:val="2FBE480E"/>
    <w:rsid w:val="30486A45"/>
    <w:rsid w:val="308B5182"/>
    <w:rsid w:val="310314D0"/>
    <w:rsid w:val="31253DE5"/>
    <w:rsid w:val="313E7737"/>
    <w:rsid w:val="323D23EA"/>
    <w:rsid w:val="32D55BA8"/>
    <w:rsid w:val="333D592E"/>
    <w:rsid w:val="3363332D"/>
    <w:rsid w:val="338A111E"/>
    <w:rsid w:val="33B24780"/>
    <w:rsid w:val="34A22009"/>
    <w:rsid w:val="351A46E3"/>
    <w:rsid w:val="35BF02F0"/>
    <w:rsid w:val="35D44AB1"/>
    <w:rsid w:val="369860BB"/>
    <w:rsid w:val="37803D4D"/>
    <w:rsid w:val="38095EDD"/>
    <w:rsid w:val="38946BC7"/>
    <w:rsid w:val="39376BFA"/>
    <w:rsid w:val="398F5E73"/>
    <w:rsid w:val="39A66FFB"/>
    <w:rsid w:val="39B90520"/>
    <w:rsid w:val="39C51C11"/>
    <w:rsid w:val="3A46626E"/>
    <w:rsid w:val="3A6C4287"/>
    <w:rsid w:val="3A6F280E"/>
    <w:rsid w:val="3AA7642C"/>
    <w:rsid w:val="3AEC50AC"/>
    <w:rsid w:val="3B963CA8"/>
    <w:rsid w:val="3BA67324"/>
    <w:rsid w:val="3C14299D"/>
    <w:rsid w:val="3CCB5D28"/>
    <w:rsid w:val="3CF50587"/>
    <w:rsid w:val="3D121CF5"/>
    <w:rsid w:val="3D546BAD"/>
    <w:rsid w:val="3D7610D8"/>
    <w:rsid w:val="3D833811"/>
    <w:rsid w:val="3E2F3C47"/>
    <w:rsid w:val="3E4E45BF"/>
    <w:rsid w:val="3E781559"/>
    <w:rsid w:val="3FA25898"/>
    <w:rsid w:val="400D5119"/>
    <w:rsid w:val="409753E2"/>
    <w:rsid w:val="40D57DED"/>
    <w:rsid w:val="41642F23"/>
    <w:rsid w:val="41810E86"/>
    <w:rsid w:val="419B4CF5"/>
    <w:rsid w:val="422A4D4B"/>
    <w:rsid w:val="42B23987"/>
    <w:rsid w:val="43621CD6"/>
    <w:rsid w:val="44A93E77"/>
    <w:rsid w:val="46762F99"/>
    <w:rsid w:val="46EE3B55"/>
    <w:rsid w:val="47107740"/>
    <w:rsid w:val="479C1380"/>
    <w:rsid w:val="480F3C80"/>
    <w:rsid w:val="486149D1"/>
    <w:rsid w:val="487E214D"/>
    <w:rsid w:val="4989523E"/>
    <w:rsid w:val="49CD639A"/>
    <w:rsid w:val="4B211E31"/>
    <w:rsid w:val="4B4834B2"/>
    <w:rsid w:val="4B6D1740"/>
    <w:rsid w:val="4B900063"/>
    <w:rsid w:val="4BDE48C7"/>
    <w:rsid w:val="4C2C7A01"/>
    <w:rsid w:val="4CEC10F7"/>
    <w:rsid w:val="4DCA28A4"/>
    <w:rsid w:val="4E6F63A8"/>
    <w:rsid w:val="4F0D59E1"/>
    <w:rsid w:val="4F3C509E"/>
    <w:rsid w:val="4F810626"/>
    <w:rsid w:val="51212A72"/>
    <w:rsid w:val="51230178"/>
    <w:rsid w:val="513C1084"/>
    <w:rsid w:val="51C54122"/>
    <w:rsid w:val="51D72610"/>
    <w:rsid w:val="524404D2"/>
    <w:rsid w:val="52A3338D"/>
    <w:rsid w:val="53256473"/>
    <w:rsid w:val="5392322A"/>
    <w:rsid w:val="54595F7A"/>
    <w:rsid w:val="54AF11DD"/>
    <w:rsid w:val="550A5C7C"/>
    <w:rsid w:val="551F0CDB"/>
    <w:rsid w:val="555078FE"/>
    <w:rsid w:val="5553766F"/>
    <w:rsid w:val="56B011F9"/>
    <w:rsid w:val="573619C6"/>
    <w:rsid w:val="593928F1"/>
    <w:rsid w:val="59A345C6"/>
    <w:rsid w:val="59AA39E7"/>
    <w:rsid w:val="59B12835"/>
    <w:rsid w:val="59B9352D"/>
    <w:rsid w:val="59D95E9C"/>
    <w:rsid w:val="5A893988"/>
    <w:rsid w:val="5B096777"/>
    <w:rsid w:val="5C675762"/>
    <w:rsid w:val="5D120A4A"/>
    <w:rsid w:val="5D2502E7"/>
    <w:rsid w:val="5DBC03E8"/>
    <w:rsid w:val="5DBE44A2"/>
    <w:rsid w:val="5E004D5C"/>
    <w:rsid w:val="5F306EE0"/>
    <w:rsid w:val="5FE054D2"/>
    <w:rsid w:val="604D26C1"/>
    <w:rsid w:val="606C66E6"/>
    <w:rsid w:val="60965D54"/>
    <w:rsid w:val="6161547F"/>
    <w:rsid w:val="61640AD8"/>
    <w:rsid w:val="61B31E2C"/>
    <w:rsid w:val="62200077"/>
    <w:rsid w:val="63053144"/>
    <w:rsid w:val="6306100F"/>
    <w:rsid w:val="635A680F"/>
    <w:rsid w:val="635E32A1"/>
    <w:rsid w:val="63E036EB"/>
    <w:rsid w:val="64180699"/>
    <w:rsid w:val="64827BC4"/>
    <w:rsid w:val="64DA3F5C"/>
    <w:rsid w:val="6587291F"/>
    <w:rsid w:val="65AD731C"/>
    <w:rsid w:val="65E511F4"/>
    <w:rsid w:val="65E83187"/>
    <w:rsid w:val="662C2DFD"/>
    <w:rsid w:val="66A94529"/>
    <w:rsid w:val="66F940CB"/>
    <w:rsid w:val="670A1B7E"/>
    <w:rsid w:val="67DF4C81"/>
    <w:rsid w:val="68222BB4"/>
    <w:rsid w:val="686B200F"/>
    <w:rsid w:val="68D9030E"/>
    <w:rsid w:val="68F70777"/>
    <w:rsid w:val="697002F0"/>
    <w:rsid w:val="6A063964"/>
    <w:rsid w:val="6AB50D72"/>
    <w:rsid w:val="6C2E1DA3"/>
    <w:rsid w:val="6CF21078"/>
    <w:rsid w:val="6D6B2492"/>
    <w:rsid w:val="6D806011"/>
    <w:rsid w:val="6F163561"/>
    <w:rsid w:val="6FD96572"/>
    <w:rsid w:val="70642C7D"/>
    <w:rsid w:val="707E74D3"/>
    <w:rsid w:val="713559ED"/>
    <w:rsid w:val="717A29A8"/>
    <w:rsid w:val="72237CF2"/>
    <w:rsid w:val="72941D3D"/>
    <w:rsid w:val="72A8177B"/>
    <w:rsid w:val="73B8683E"/>
    <w:rsid w:val="74366907"/>
    <w:rsid w:val="74D77E17"/>
    <w:rsid w:val="74FE4C1D"/>
    <w:rsid w:val="7504306F"/>
    <w:rsid w:val="75120E16"/>
    <w:rsid w:val="756F34FD"/>
    <w:rsid w:val="75B9739F"/>
    <w:rsid w:val="77275DC2"/>
    <w:rsid w:val="77513D79"/>
    <w:rsid w:val="77C432CB"/>
    <w:rsid w:val="77D45F4A"/>
    <w:rsid w:val="7829241F"/>
    <w:rsid w:val="785C257D"/>
    <w:rsid w:val="79BC6718"/>
    <w:rsid w:val="79E7321D"/>
    <w:rsid w:val="7A6F61AA"/>
    <w:rsid w:val="7AEF6BF7"/>
    <w:rsid w:val="7B00726C"/>
    <w:rsid w:val="7C341A17"/>
    <w:rsid w:val="7C3D2715"/>
    <w:rsid w:val="7D861BE3"/>
    <w:rsid w:val="7DBA0889"/>
    <w:rsid w:val="7DD52CF4"/>
    <w:rsid w:val="7EE37EAA"/>
    <w:rsid w:val="7F2F3AFE"/>
    <w:rsid w:val="7FC5392C"/>
    <w:rsid w:val="7FD268C8"/>
  </w:rsids>
  <m:mathPr>
    <m:mathFont m:val="Cambria Math"/>
    <m:brkBin m:val="before"/>
    <m:brkBinSub m:val="--"/>
    <m:smallFrac m:val="1"/>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0" w:name="footnote text"/>
    <w:lsdException w:qFormat="1" w:uiPriority="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qFormat="1" w:uiPriority="0" w:semiHidden="0" w:name="envelope return"/>
    <w:lsdException w:qFormat="1" w:uiPriority="0" w:name="footnote reference"/>
    <w:lsdException w:qFormat="1"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nhideWhenUsed="0" w:uiPriority="0" w:semiHidden="0" w:name="Body Text First Indent"/>
    <w:lsdException w:qFormat="1" w:uiPriority="0" w:semiHidden="0" w:name="Body Text First Indent 2"/>
    <w:lsdException w:uiPriority="99" w:name="Note Heading"/>
    <w:lsdException w:qFormat="1" w:uiPriority="0" w:semiHidden="0"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semiHidden="0" w:name="Hyperlink"/>
    <w:lsdException w:qFormat="1" w:uiPriority="99" w:name="FollowedHyperlink"/>
    <w:lsdException w:qFormat="1" w:unhideWhenUsed="0" w:uiPriority="20" w:semiHidden="0" w:name="Strong"/>
    <w:lsdException w:qFormat="1" w:unhideWhenUsed="0" w:uiPriority="20" w:semiHidden="0" w:name="Emphasis"/>
    <w:lsdException w:qFormat="1" w:uiPriority="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qFormat="1" w:uiPriority="99" w:name="HTML Preformatted"/>
    <w:lsdException w:qFormat="1"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spacing w:before="120" w:after="100" w:afterAutospacing="1" w:line="360" w:lineRule="auto"/>
      <w:ind w:left="709" w:right="-27" w:hanging="709"/>
      <w:jc w:val="both"/>
    </w:pPr>
    <w:rPr>
      <w:rFonts w:ascii="Times New Roman" w:hAnsi="Times New Roman" w:eastAsia="宋体" w:cs="Times New Roman"/>
      <w:sz w:val="21"/>
      <w:szCs w:val="21"/>
      <w:lang w:val="en-US" w:eastAsia="zh-CN" w:bidi="ar-SA"/>
    </w:rPr>
  </w:style>
  <w:style w:type="paragraph" w:styleId="6">
    <w:name w:val="heading 1"/>
    <w:basedOn w:val="1"/>
    <w:next w:val="1"/>
    <w:qFormat/>
    <w:uiPriority w:val="7"/>
    <w:pPr>
      <w:spacing w:before="0" w:after="330" w:line="576" w:lineRule="auto"/>
      <w:outlineLvl w:val="0"/>
    </w:pPr>
    <w:rPr>
      <w:b/>
      <w:sz w:val="44"/>
      <w:szCs w:val="44"/>
    </w:rPr>
  </w:style>
  <w:style w:type="paragraph" w:styleId="7">
    <w:name w:val="heading 2"/>
    <w:basedOn w:val="1"/>
    <w:next w:val="1"/>
    <w:qFormat/>
    <w:uiPriority w:val="8"/>
    <w:pPr>
      <w:spacing w:before="0" w:after="260" w:line="415" w:lineRule="auto"/>
      <w:outlineLvl w:val="1"/>
    </w:pPr>
    <w:rPr>
      <w:rFonts w:ascii="Arial" w:hAnsi="Arial" w:eastAsia="黑体"/>
      <w:b/>
      <w:sz w:val="32"/>
      <w:szCs w:val="32"/>
    </w:rPr>
  </w:style>
  <w:style w:type="paragraph" w:styleId="8">
    <w:name w:val="heading 3"/>
    <w:basedOn w:val="1"/>
    <w:next w:val="1"/>
    <w:qFormat/>
    <w:uiPriority w:val="9"/>
    <w:pPr>
      <w:outlineLvl w:val="2"/>
    </w:pPr>
    <w:rPr>
      <w:b/>
      <w:sz w:val="24"/>
      <w:szCs w:val="24"/>
    </w:rPr>
  </w:style>
  <w:style w:type="paragraph" w:styleId="9">
    <w:name w:val="heading 4"/>
    <w:basedOn w:val="1"/>
    <w:next w:val="1"/>
    <w:qFormat/>
    <w:uiPriority w:val="0"/>
    <w:pPr>
      <w:keepNext/>
      <w:keepLines/>
      <w:spacing w:line="374" w:lineRule="auto"/>
      <w:outlineLvl w:val="3"/>
    </w:pPr>
    <w:rPr>
      <w:rFonts w:ascii="Cambria" w:hAnsi="Cambria"/>
      <w:b/>
      <w:bCs/>
      <w:sz w:val="28"/>
      <w:szCs w:val="28"/>
    </w:rPr>
  </w:style>
  <w:style w:type="character" w:default="1" w:styleId="38">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4"/>
    <w:link w:val="72"/>
    <w:unhideWhenUsed/>
    <w:qFormat/>
    <w:uiPriority w:val="0"/>
    <w:pPr>
      <w:spacing w:after="120" w:line="240" w:lineRule="auto"/>
      <w:ind w:left="420" w:leftChars="200" w:firstLine="420"/>
    </w:pPr>
    <w:rPr>
      <w:rFonts w:ascii="Calibri" w:hAnsi="Calibri" w:eastAsia="Times New Roman"/>
    </w:rPr>
  </w:style>
  <w:style w:type="paragraph" w:styleId="3">
    <w:name w:val="Body Text Indent"/>
    <w:basedOn w:val="1"/>
    <w:next w:val="1"/>
    <w:link w:val="71"/>
    <w:qFormat/>
    <w:uiPriority w:val="99"/>
    <w:pPr>
      <w:spacing w:line="480" w:lineRule="exact"/>
      <w:ind w:firstLine="560" w:firstLineChars="200"/>
    </w:pPr>
    <w:rPr>
      <w:sz w:val="24"/>
    </w:rPr>
  </w:style>
  <w:style w:type="paragraph" w:customStyle="1" w:styleId="4">
    <w:name w:val="明显引用1"/>
    <w:basedOn w:val="5"/>
    <w:next w:val="5"/>
    <w:qFormat/>
    <w:uiPriority w:val="0"/>
    <w:pPr>
      <w:pBdr>
        <w:bottom w:val="single" w:color="4F81BD" w:sz="4" w:space="4"/>
      </w:pBdr>
      <w:spacing w:before="200" w:after="280"/>
      <w:ind w:left="936" w:right="936"/>
    </w:pPr>
    <w:rPr>
      <w:b/>
      <w:bCs/>
      <w:i/>
      <w:iCs/>
      <w:color w:val="4F81BD"/>
    </w:rPr>
  </w:style>
  <w:style w:type="paragraph" w:customStyle="1" w:styleId="5">
    <w:name w:val="Normal_1"/>
    <w:next w:val="2"/>
    <w:qFormat/>
    <w:uiPriority w:val="0"/>
    <w:pPr>
      <w:widowControl w:val="0"/>
      <w:jc w:val="both"/>
    </w:pPr>
    <w:rPr>
      <w:rFonts w:ascii="Calibri" w:hAnsi="Calibri" w:eastAsia="宋体" w:cs="Times New Roman"/>
      <w:lang w:val="en-US" w:eastAsia="zh-CN" w:bidi="ar-SA"/>
    </w:rPr>
  </w:style>
  <w:style w:type="paragraph" w:styleId="10">
    <w:name w:val="toc 7"/>
    <w:basedOn w:val="1"/>
    <w:next w:val="1"/>
    <w:unhideWhenUsed/>
    <w:qFormat/>
    <w:uiPriority w:val="39"/>
    <w:pPr>
      <w:widowControl w:val="0"/>
      <w:spacing w:before="0" w:after="0" w:afterAutospacing="0" w:line="240" w:lineRule="auto"/>
      <w:ind w:left="2520" w:leftChars="1200" w:right="0" w:firstLine="0"/>
    </w:pPr>
    <w:rPr>
      <w:rFonts w:asciiTheme="minorHAnsi" w:hAnsiTheme="minorHAnsi" w:eastAsiaTheme="minorEastAsia" w:cstheme="minorBidi"/>
      <w:kern w:val="2"/>
      <w:szCs w:val="22"/>
    </w:rPr>
  </w:style>
  <w:style w:type="paragraph" w:styleId="11">
    <w:name w:val="caption"/>
    <w:basedOn w:val="1"/>
    <w:next w:val="1"/>
    <w:qFormat/>
    <w:uiPriority w:val="99"/>
    <w:pPr>
      <w:widowControl w:val="0"/>
      <w:spacing w:before="152" w:after="160" w:afterAutospacing="0" w:line="240" w:lineRule="auto"/>
      <w:ind w:left="0" w:right="0" w:firstLine="0"/>
    </w:pPr>
    <w:rPr>
      <w:rFonts w:ascii="Arial" w:hAnsi="Arial" w:eastAsia="黑体" w:cs="Arial"/>
      <w:kern w:val="2"/>
      <w:sz w:val="20"/>
      <w:szCs w:val="20"/>
    </w:rPr>
  </w:style>
  <w:style w:type="paragraph" w:styleId="12">
    <w:name w:val="Document Map"/>
    <w:basedOn w:val="1"/>
    <w:semiHidden/>
    <w:unhideWhenUsed/>
    <w:qFormat/>
    <w:uiPriority w:val="0"/>
    <w:rPr>
      <w:rFonts w:ascii="宋体"/>
      <w:sz w:val="18"/>
      <w:szCs w:val="18"/>
    </w:rPr>
  </w:style>
  <w:style w:type="paragraph" w:styleId="13">
    <w:name w:val="annotation text"/>
    <w:basedOn w:val="1"/>
    <w:semiHidden/>
    <w:unhideWhenUsed/>
    <w:qFormat/>
    <w:uiPriority w:val="0"/>
    <w:pPr>
      <w:jc w:val="left"/>
    </w:pPr>
  </w:style>
  <w:style w:type="paragraph" w:styleId="14">
    <w:name w:val="Body Text"/>
    <w:basedOn w:val="1"/>
    <w:next w:val="2"/>
    <w:link w:val="64"/>
    <w:unhideWhenUsed/>
    <w:qFormat/>
    <w:uiPriority w:val="99"/>
    <w:pPr>
      <w:spacing w:after="120"/>
    </w:pPr>
  </w:style>
  <w:style w:type="paragraph" w:styleId="15">
    <w:name w:val="toc 5"/>
    <w:basedOn w:val="1"/>
    <w:next w:val="1"/>
    <w:unhideWhenUsed/>
    <w:qFormat/>
    <w:uiPriority w:val="39"/>
    <w:pPr>
      <w:widowControl w:val="0"/>
      <w:spacing w:before="0" w:after="0" w:afterAutospacing="0" w:line="240" w:lineRule="auto"/>
      <w:ind w:left="1680" w:leftChars="800" w:right="0" w:firstLine="0"/>
    </w:pPr>
    <w:rPr>
      <w:rFonts w:asciiTheme="minorHAnsi" w:hAnsiTheme="minorHAnsi" w:eastAsiaTheme="minorEastAsia" w:cstheme="minorBidi"/>
      <w:kern w:val="2"/>
      <w:szCs w:val="22"/>
    </w:rPr>
  </w:style>
  <w:style w:type="paragraph" w:styleId="16">
    <w:name w:val="toc 3"/>
    <w:basedOn w:val="1"/>
    <w:next w:val="1"/>
    <w:unhideWhenUsed/>
    <w:qFormat/>
    <w:uiPriority w:val="39"/>
    <w:pPr>
      <w:ind w:left="840" w:firstLine="0"/>
    </w:pPr>
  </w:style>
  <w:style w:type="paragraph" w:styleId="17">
    <w:name w:val="Plain Text"/>
    <w:basedOn w:val="1"/>
    <w:link w:val="62"/>
    <w:unhideWhenUsed/>
    <w:qFormat/>
    <w:uiPriority w:val="99"/>
    <w:rPr>
      <w:rFonts w:ascii="宋体" w:hAnsi="Courier New" w:cs="宋体"/>
      <w:sz w:val="20"/>
      <w:szCs w:val="20"/>
    </w:rPr>
  </w:style>
  <w:style w:type="paragraph" w:styleId="18">
    <w:name w:val="toc 8"/>
    <w:basedOn w:val="1"/>
    <w:next w:val="1"/>
    <w:unhideWhenUsed/>
    <w:qFormat/>
    <w:uiPriority w:val="39"/>
    <w:pPr>
      <w:widowControl w:val="0"/>
      <w:spacing w:before="0" w:after="0" w:afterAutospacing="0" w:line="240" w:lineRule="auto"/>
      <w:ind w:left="2940" w:leftChars="1400" w:right="0" w:firstLine="0"/>
    </w:pPr>
    <w:rPr>
      <w:rFonts w:asciiTheme="minorHAnsi" w:hAnsiTheme="minorHAnsi" w:eastAsiaTheme="minorEastAsia" w:cstheme="minorBidi"/>
      <w:kern w:val="2"/>
      <w:szCs w:val="22"/>
    </w:rPr>
  </w:style>
  <w:style w:type="paragraph" w:styleId="19">
    <w:name w:val="Date"/>
    <w:basedOn w:val="1"/>
    <w:next w:val="1"/>
    <w:link w:val="66"/>
    <w:semiHidden/>
    <w:unhideWhenUsed/>
    <w:qFormat/>
    <w:uiPriority w:val="99"/>
    <w:pPr>
      <w:ind w:left="100" w:leftChars="2500"/>
    </w:pPr>
  </w:style>
  <w:style w:type="paragraph" w:styleId="20">
    <w:name w:val="Balloon Text"/>
    <w:basedOn w:val="1"/>
    <w:semiHidden/>
    <w:unhideWhenUsed/>
    <w:qFormat/>
    <w:uiPriority w:val="0"/>
    <w:pPr>
      <w:spacing w:after="0" w:line="240" w:lineRule="auto"/>
    </w:pPr>
    <w:rPr>
      <w:sz w:val="18"/>
      <w:szCs w:val="18"/>
    </w:rPr>
  </w:style>
  <w:style w:type="paragraph" w:styleId="21">
    <w:name w:val="footer"/>
    <w:basedOn w:val="1"/>
    <w:qFormat/>
    <w:uiPriority w:val="99"/>
    <w:pPr>
      <w:tabs>
        <w:tab w:val="center" w:pos="4153"/>
        <w:tab w:val="right" w:pos="8306"/>
      </w:tabs>
      <w:snapToGrid w:val="0"/>
      <w:jc w:val="left"/>
    </w:pPr>
    <w:rPr>
      <w:sz w:val="18"/>
      <w:szCs w:val="18"/>
    </w:rPr>
  </w:style>
  <w:style w:type="paragraph" w:styleId="22">
    <w:name w:val="envelope return"/>
    <w:basedOn w:val="1"/>
    <w:unhideWhenUsed/>
    <w:qFormat/>
    <w:uiPriority w:val="0"/>
    <w:pPr>
      <w:adjustRightInd w:val="0"/>
      <w:snapToGrid w:val="0"/>
      <w:spacing w:line="360" w:lineRule="auto"/>
      <w:ind w:right="240" w:firstLine="480" w:firstLineChars="200"/>
      <w:jc w:val="left"/>
    </w:pPr>
    <w:rPr>
      <w:rFonts w:ascii="Cambria" w:hAnsi="Cambria"/>
      <w:sz w:val="24"/>
    </w:rPr>
  </w:style>
  <w:style w:type="paragraph" w:styleId="23">
    <w:name w:val="header"/>
    <w:basedOn w:val="1"/>
    <w:link w:val="73"/>
    <w:qFormat/>
    <w:uiPriority w:val="99"/>
    <w:pPr>
      <w:pBdr>
        <w:bottom w:val="single" w:color="000000" w:sz="6" w:space="1"/>
      </w:pBdr>
      <w:tabs>
        <w:tab w:val="center" w:pos="4153"/>
        <w:tab w:val="right" w:pos="8306"/>
      </w:tabs>
      <w:snapToGrid w:val="0"/>
      <w:jc w:val="center"/>
    </w:pPr>
    <w:rPr>
      <w:sz w:val="18"/>
      <w:szCs w:val="18"/>
    </w:rPr>
  </w:style>
  <w:style w:type="paragraph" w:styleId="24">
    <w:name w:val="toc 1"/>
    <w:basedOn w:val="1"/>
    <w:next w:val="1"/>
    <w:unhideWhenUsed/>
    <w:qFormat/>
    <w:uiPriority w:val="39"/>
  </w:style>
  <w:style w:type="paragraph" w:styleId="25">
    <w:name w:val="toc 4"/>
    <w:basedOn w:val="1"/>
    <w:next w:val="1"/>
    <w:unhideWhenUsed/>
    <w:qFormat/>
    <w:uiPriority w:val="39"/>
    <w:pPr>
      <w:widowControl w:val="0"/>
      <w:spacing w:before="0" w:after="0" w:afterAutospacing="0" w:line="240" w:lineRule="auto"/>
      <w:ind w:left="1260" w:leftChars="600" w:right="0" w:firstLine="0"/>
    </w:pPr>
    <w:rPr>
      <w:rFonts w:asciiTheme="minorHAnsi" w:hAnsiTheme="minorHAnsi" w:eastAsiaTheme="minorEastAsia" w:cstheme="minorBidi"/>
      <w:kern w:val="2"/>
      <w:szCs w:val="22"/>
    </w:rPr>
  </w:style>
  <w:style w:type="paragraph" w:styleId="26">
    <w:name w:val="footnote text"/>
    <w:basedOn w:val="1"/>
    <w:semiHidden/>
    <w:unhideWhenUsed/>
    <w:qFormat/>
    <w:uiPriority w:val="0"/>
    <w:pPr>
      <w:snapToGrid w:val="0"/>
      <w:jc w:val="left"/>
    </w:pPr>
    <w:rPr>
      <w:sz w:val="18"/>
      <w:szCs w:val="18"/>
    </w:rPr>
  </w:style>
  <w:style w:type="paragraph" w:styleId="27">
    <w:name w:val="toc 6"/>
    <w:basedOn w:val="1"/>
    <w:next w:val="1"/>
    <w:unhideWhenUsed/>
    <w:qFormat/>
    <w:uiPriority w:val="39"/>
    <w:pPr>
      <w:widowControl w:val="0"/>
      <w:spacing w:before="0" w:after="0" w:afterAutospacing="0" w:line="240" w:lineRule="auto"/>
      <w:ind w:left="2100" w:leftChars="1000" w:right="0" w:firstLine="0"/>
    </w:pPr>
    <w:rPr>
      <w:rFonts w:asciiTheme="minorHAnsi" w:hAnsiTheme="minorHAnsi" w:eastAsiaTheme="minorEastAsia" w:cstheme="minorBidi"/>
      <w:kern w:val="2"/>
      <w:szCs w:val="22"/>
    </w:rPr>
  </w:style>
  <w:style w:type="paragraph" w:styleId="28">
    <w:name w:val="Body Text Indent 3"/>
    <w:basedOn w:val="1"/>
    <w:qFormat/>
    <w:uiPriority w:val="0"/>
    <w:pPr>
      <w:spacing w:after="120"/>
      <w:ind w:left="420" w:firstLine="0"/>
    </w:pPr>
    <w:rPr>
      <w:sz w:val="16"/>
      <w:szCs w:val="16"/>
    </w:rPr>
  </w:style>
  <w:style w:type="paragraph" w:styleId="29">
    <w:name w:val="toc 2"/>
    <w:basedOn w:val="1"/>
    <w:next w:val="1"/>
    <w:unhideWhenUsed/>
    <w:qFormat/>
    <w:uiPriority w:val="39"/>
    <w:pPr>
      <w:ind w:left="420" w:firstLine="0"/>
    </w:pPr>
  </w:style>
  <w:style w:type="paragraph" w:styleId="30">
    <w:name w:val="toc 9"/>
    <w:basedOn w:val="1"/>
    <w:next w:val="1"/>
    <w:unhideWhenUsed/>
    <w:qFormat/>
    <w:uiPriority w:val="39"/>
    <w:pPr>
      <w:widowControl w:val="0"/>
      <w:spacing w:before="0" w:after="0" w:afterAutospacing="0" w:line="240" w:lineRule="auto"/>
      <w:ind w:left="3360" w:leftChars="1600" w:right="0" w:firstLine="0"/>
    </w:pPr>
    <w:rPr>
      <w:rFonts w:asciiTheme="minorHAnsi" w:hAnsiTheme="minorHAnsi" w:eastAsiaTheme="minorEastAsia" w:cstheme="minorBidi"/>
      <w:kern w:val="2"/>
      <w:szCs w:val="22"/>
    </w:rPr>
  </w:style>
  <w:style w:type="paragraph" w:styleId="31">
    <w:name w:val="Body Text 2"/>
    <w:basedOn w:val="1"/>
    <w:unhideWhenUsed/>
    <w:qFormat/>
    <w:uiPriority w:val="0"/>
    <w:pPr>
      <w:spacing w:after="120" w:line="480" w:lineRule="auto"/>
    </w:pPr>
  </w:style>
  <w:style w:type="paragraph" w:styleId="3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sz w:val="24"/>
      <w:szCs w:val="24"/>
    </w:rPr>
  </w:style>
  <w:style w:type="paragraph" w:styleId="33">
    <w:name w:val="Normal (Web)"/>
    <w:basedOn w:val="1"/>
    <w:unhideWhenUsed/>
    <w:qFormat/>
    <w:uiPriority w:val="99"/>
    <w:pPr>
      <w:spacing w:before="100" w:beforeAutospacing="1" w:line="240" w:lineRule="auto"/>
      <w:ind w:left="0" w:right="0" w:firstLine="0"/>
      <w:jc w:val="left"/>
    </w:pPr>
    <w:rPr>
      <w:rFonts w:ascii="Arial Unicode MS" w:hAnsi="Arial Unicode MS" w:eastAsia="Arial Unicode MS" w:cs="Arial Unicode MS"/>
      <w:sz w:val="24"/>
      <w:szCs w:val="24"/>
    </w:rPr>
  </w:style>
  <w:style w:type="paragraph" w:styleId="34">
    <w:name w:val="annotation subject"/>
    <w:basedOn w:val="13"/>
    <w:next w:val="13"/>
    <w:semiHidden/>
    <w:unhideWhenUsed/>
    <w:qFormat/>
    <w:uiPriority w:val="0"/>
    <w:rPr>
      <w:b/>
    </w:rPr>
  </w:style>
  <w:style w:type="paragraph" w:styleId="35">
    <w:name w:val="Body Text First Indent"/>
    <w:basedOn w:val="14"/>
    <w:qFormat/>
    <w:uiPriority w:val="0"/>
    <w:pPr>
      <w:snapToGrid w:val="0"/>
      <w:spacing w:after="120" w:line="360" w:lineRule="auto"/>
      <w:ind w:right="240" w:firstLine="420" w:firstLineChars="100"/>
      <w:jc w:val="left"/>
    </w:pPr>
    <w:rPr>
      <w:rFonts w:ascii="宋体" w:hAnsi="宋体" w:eastAsia="方正仿宋_GBK"/>
      <w:szCs w:val="28"/>
    </w:rPr>
  </w:style>
  <w:style w:type="table" w:styleId="37">
    <w:name w:val="Table Grid"/>
    <w:basedOn w:val="3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qFormat/>
    <w:uiPriority w:val="20"/>
    <w:rPr>
      <w:rFonts w:cs="Times New Roman"/>
      <w:b/>
    </w:rPr>
  </w:style>
  <w:style w:type="character" w:styleId="40">
    <w:name w:val="page number"/>
    <w:basedOn w:val="38"/>
    <w:qFormat/>
    <w:uiPriority w:val="0"/>
  </w:style>
  <w:style w:type="character" w:styleId="41">
    <w:name w:val="FollowedHyperlink"/>
    <w:basedOn w:val="38"/>
    <w:semiHidden/>
    <w:unhideWhenUsed/>
    <w:qFormat/>
    <w:uiPriority w:val="99"/>
    <w:rPr>
      <w:color w:val="666666"/>
      <w:u w:val="none"/>
    </w:rPr>
  </w:style>
  <w:style w:type="character" w:styleId="42">
    <w:name w:val="HTML Definition"/>
    <w:basedOn w:val="38"/>
    <w:semiHidden/>
    <w:unhideWhenUsed/>
    <w:qFormat/>
    <w:uiPriority w:val="99"/>
    <w:rPr>
      <w:i/>
      <w:iCs/>
    </w:rPr>
  </w:style>
  <w:style w:type="character" w:styleId="43">
    <w:name w:val="Hyperlink"/>
    <w:basedOn w:val="38"/>
    <w:unhideWhenUsed/>
    <w:qFormat/>
    <w:uiPriority w:val="99"/>
    <w:rPr>
      <w:color w:val="0000FF"/>
      <w:u w:val="single"/>
    </w:rPr>
  </w:style>
  <w:style w:type="character" w:styleId="44">
    <w:name w:val="HTML Code"/>
    <w:basedOn w:val="38"/>
    <w:semiHidden/>
    <w:unhideWhenUsed/>
    <w:qFormat/>
    <w:uiPriority w:val="99"/>
    <w:rPr>
      <w:rFonts w:ascii="Consolas" w:hAnsi="Consolas" w:eastAsia="Consolas" w:cs="Consolas"/>
      <w:color w:val="C7254E"/>
      <w:sz w:val="21"/>
      <w:szCs w:val="21"/>
      <w:shd w:val="clear" w:color="auto" w:fill="F9F2F4"/>
    </w:rPr>
  </w:style>
  <w:style w:type="character" w:styleId="45">
    <w:name w:val="annotation reference"/>
    <w:basedOn w:val="38"/>
    <w:semiHidden/>
    <w:unhideWhenUsed/>
    <w:qFormat/>
    <w:uiPriority w:val="0"/>
    <w:rPr>
      <w:sz w:val="21"/>
      <w:szCs w:val="21"/>
    </w:rPr>
  </w:style>
  <w:style w:type="character" w:styleId="46">
    <w:name w:val="footnote reference"/>
    <w:basedOn w:val="38"/>
    <w:semiHidden/>
    <w:unhideWhenUsed/>
    <w:qFormat/>
    <w:uiPriority w:val="0"/>
    <w:rPr>
      <w:vertAlign w:val="superscript"/>
    </w:rPr>
  </w:style>
  <w:style w:type="character" w:styleId="47">
    <w:name w:val="HTML Keyboard"/>
    <w:basedOn w:val="38"/>
    <w:semiHidden/>
    <w:unhideWhenUsed/>
    <w:qFormat/>
    <w:uiPriority w:val="99"/>
    <w:rPr>
      <w:rFonts w:hint="default" w:ascii="Consolas" w:hAnsi="Consolas" w:eastAsia="Consolas" w:cs="Consolas"/>
      <w:color w:val="FFFFFF"/>
      <w:sz w:val="21"/>
      <w:szCs w:val="21"/>
      <w:shd w:val="clear" w:color="auto" w:fill="333333"/>
    </w:rPr>
  </w:style>
  <w:style w:type="character" w:styleId="48">
    <w:name w:val="HTML Sample"/>
    <w:basedOn w:val="38"/>
    <w:semiHidden/>
    <w:unhideWhenUsed/>
    <w:qFormat/>
    <w:uiPriority w:val="99"/>
    <w:rPr>
      <w:rFonts w:hint="default" w:ascii="Consolas" w:hAnsi="Consolas" w:eastAsia="Consolas" w:cs="Consolas"/>
      <w:sz w:val="21"/>
      <w:szCs w:val="21"/>
    </w:rPr>
  </w:style>
  <w:style w:type="paragraph" w:styleId="49">
    <w:name w:val="List Paragraph"/>
    <w:basedOn w:val="1"/>
    <w:qFormat/>
    <w:uiPriority w:val="34"/>
    <w:pPr>
      <w:ind w:firstLine="200"/>
    </w:pPr>
    <w:rPr>
      <w:rFonts w:ascii="Calibri" w:hAnsi="Calibri"/>
    </w:rPr>
  </w:style>
  <w:style w:type="character" w:customStyle="1" w:styleId="50">
    <w:name w:val="正文文本 2 Char"/>
    <w:basedOn w:val="38"/>
    <w:qFormat/>
    <w:uiPriority w:val="0"/>
    <w:rPr>
      <w:rFonts w:ascii="Times New Roman" w:hAnsi="Times New Roman" w:eastAsia="宋体" w:cs="Times New Roman"/>
    </w:rPr>
  </w:style>
  <w:style w:type="character" w:customStyle="1" w:styleId="51">
    <w:name w:val="16"/>
    <w:basedOn w:val="38"/>
    <w:qFormat/>
    <w:uiPriority w:val="0"/>
    <w:rPr>
      <w:rFonts w:hint="default" w:ascii="Times New Roman" w:hAnsi="Times New Roman" w:cs="Times New Roman"/>
      <w:color w:val="0000FF"/>
      <w:u w:val="single"/>
    </w:rPr>
  </w:style>
  <w:style w:type="character" w:customStyle="1" w:styleId="52">
    <w:name w:val="15"/>
    <w:basedOn w:val="38"/>
    <w:qFormat/>
    <w:uiPriority w:val="0"/>
    <w:rPr>
      <w:rFonts w:hint="default" w:ascii="Times New Roman" w:hAnsi="Times New Roman" w:cs="Times New Roman"/>
      <w:color w:val="0000FF"/>
      <w:u w:val="single"/>
    </w:rPr>
  </w:style>
  <w:style w:type="character" w:customStyle="1" w:styleId="53">
    <w:name w:val="标题 3 Char"/>
    <w:qFormat/>
    <w:uiPriority w:val="0"/>
    <w:rPr>
      <w:b/>
      <w:sz w:val="24"/>
      <w:szCs w:val="24"/>
    </w:rPr>
  </w:style>
  <w:style w:type="character" w:customStyle="1" w:styleId="54">
    <w:name w:val="标题 2 Char"/>
    <w:qFormat/>
    <w:uiPriority w:val="0"/>
    <w:rPr>
      <w:rFonts w:ascii="Arial" w:hAnsi="Arial" w:eastAsia="黑体"/>
      <w:b/>
      <w:sz w:val="32"/>
      <w:szCs w:val="32"/>
    </w:rPr>
  </w:style>
  <w:style w:type="character" w:customStyle="1" w:styleId="55">
    <w:name w:val="批注框文本 Char"/>
    <w:basedOn w:val="38"/>
    <w:semiHidden/>
    <w:qFormat/>
    <w:uiPriority w:val="0"/>
    <w:rPr>
      <w:sz w:val="18"/>
      <w:szCs w:val="18"/>
    </w:rPr>
  </w:style>
  <w:style w:type="character" w:customStyle="1" w:styleId="56">
    <w:name w:val="批注文字 Char"/>
    <w:basedOn w:val="38"/>
    <w:semiHidden/>
    <w:qFormat/>
    <w:uiPriority w:val="0"/>
    <w:rPr>
      <w:sz w:val="21"/>
      <w:szCs w:val="21"/>
    </w:rPr>
  </w:style>
  <w:style w:type="character" w:customStyle="1" w:styleId="57">
    <w:name w:val="批注主题 Char"/>
    <w:basedOn w:val="56"/>
    <w:semiHidden/>
    <w:qFormat/>
    <w:uiPriority w:val="0"/>
    <w:rPr>
      <w:b/>
      <w:sz w:val="21"/>
      <w:szCs w:val="21"/>
    </w:rPr>
  </w:style>
  <w:style w:type="character" w:customStyle="1" w:styleId="58">
    <w:name w:val="文档结构图 Char"/>
    <w:basedOn w:val="38"/>
    <w:semiHidden/>
    <w:qFormat/>
    <w:uiPriority w:val="0"/>
    <w:rPr>
      <w:rFonts w:ascii="宋体"/>
      <w:sz w:val="18"/>
      <w:szCs w:val="18"/>
    </w:rPr>
  </w:style>
  <w:style w:type="character" w:customStyle="1" w:styleId="59">
    <w:name w:val="页脚 Char"/>
    <w:qFormat/>
    <w:uiPriority w:val="99"/>
    <w:rPr>
      <w:sz w:val="18"/>
      <w:szCs w:val="18"/>
    </w:rPr>
  </w:style>
  <w:style w:type="character" w:customStyle="1" w:styleId="60">
    <w:name w:val="脚注文本 Char"/>
    <w:basedOn w:val="38"/>
    <w:semiHidden/>
    <w:qFormat/>
    <w:uiPriority w:val="0"/>
    <w:rPr>
      <w:sz w:val="18"/>
      <w:szCs w:val="18"/>
    </w:rPr>
  </w:style>
  <w:style w:type="paragraph" w:customStyle="1" w:styleId="61">
    <w:name w:val="TOC 标题1"/>
    <w:basedOn w:val="6"/>
    <w:next w:val="1"/>
    <w:unhideWhenUsed/>
    <w:qFormat/>
    <w:uiPriority w:val="39"/>
    <w:pPr>
      <w:keepNext/>
      <w:keepLines/>
      <w:spacing w:before="480" w:after="0" w:afterAutospacing="0" w:line="276" w:lineRule="auto"/>
      <w:ind w:left="0" w:right="0" w:firstLine="0"/>
      <w:jc w:val="left"/>
      <w:outlineLvl w:val="9"/>
    </w:pPr>
    <w:rPr>
      <w:rFonts w:asciiTheme="majorHAnsi" w:hAnsiTheme="majorHAnsi" w:eastAsiaTheme="majorEastAsia" w:cstheme="majorBidi"/>
      <w:bCs/>
      <w:color w:val="376092" w:themeColor="accent1" w:themeShade="BF"/>
      <w:sz w:val="28"/>
      <w:szCs w:val="28"/>
    </w:rPr>
  </w:style>
  <w:style w:type="character" w:customStyle="1" w:styleId="62">
    <w:name w:val="纯文本 字符"/>
    <w:link w:val="17"/>
    <w:qFormat/>
    <w:locked/>
    <w:uiPriority w:val="99"/>
    <w:rPr>
      <w:rFonts w:ascii="宋体" w:hAnsi="Courier New" w:cs="宋体"/>
    </w:rPr>
  </w:style>
  <w:style w:type="paragraph" w:customStyle="1" w:styleId="63">
    <w:name w:val="修订1"/>
    <w:hidden/>
    <w:semiHidden/>
    <w:qFormat/>
    <w:uiPriority w:val="99"/>
    <w:rPr>
      <w:rFonts w:ascii="Times New Roman" w:hAnsi="Times New Roman" w:eastAsia="宋体" w:cs="Times New Roman"/>
      <w:sz w:val="21"/>
      <w:szCs w:val="21"/>
      <w:lang w:val="en-US" w:eastAsia="zh-CN" w:bidi="ar-SA"/>
    </w:rPr>
  </w:style>
  <w:style w:type="character" w:customStyle="1" w:styleId="64">
    <w:name w:val="正文文本 字符"/>
    <w:basedOn w:val="38"/>
    <w:link w:val="14"/>
    <w:qFormat/>
    <w:uiPriority w:val="99"/>
    <w:rPr>
      <w:sz w:val="21"/>
      <w:szCs w:val="21"/>
    </w:rPr>
  </w:style>
  <w:style w:type="paragraph" w:customStyle="1" w:styleId="65">
    <w:name w:val="修订2"/>
    <w:hidden/>
    <w:unhideWhenUsed/>
    <w:qFormat/>
    <w:uiPriority w:val="99"/>
    <w:rPr>
      <w:rFonts w:ascii="Times New Roman" w:hAnsi="Times New Roman" w:eastAsia="宋体" w:cs="Times New Roman"/>
      <w:sz w:val="21"/>
      <w:szCs w:val="21"/>
      <w:lang w:val="en-US" w:eastAsia="zh-CN" w:bidi="ar-SA"/>
    </w:rPr>
  </w:style>
  <w:style w:type="character" w:customStyle="1" w:styleId="66">
    <w:name w:val="日期 字符"/>
    <w:basedOn w:val="38"/>
    <w:link w:val="19"/>
    <w:semiHidden/>
    <w:qFormat/>
    <w:uiPriority w:val="99"/>
    <w:rPr>
      <w:sz w:val="21"/>
      <w:szCs w:val="21"/>
    </w:rPr>
  </w:style>
  <w:style w:type="paragraph" w:customStyle="1" w:styleId="67">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68">
    <w:name w:val="disabled1"/>
    <w:basedOn w:val="38"/>
    <w:qFormat/>
    <w:uiPriority w:val="0"/>
  </w:style>
  <w:style w:type="character" w:customStyle="1" w:styleId="69">
    <w:name w:val="layui-layer-tabnow"/>
    <w:basedOn w:val="38"/>
    <w:qFormat/>
    <w:uiPriority w:val="0"/>
    <w:rPr>
      <w:bdr w:val="single" w:color="CCCCCC" w:sz="4" w:space="0"/>
      <w:shd w:val="clear" w:color="auto" w:fill="FFFFFF"/>
    </w:rPr>
  </w:style>
  <w:style w:type="character" w:customStyle="1" w:styleId="70">
    <w:name w:val="first-child"/>
    <w:basedOn w:val="38"/>
    <w:qFormat/>
    <w:uiPriority w:val="0"/>
  </w:style>
  <w:style w:type="character" w:customStyle="1" w:styleId="71">
    <w:name w:val="正文文本缩进 字符"/>
    <w:basedOn w:val="38"/>
    <w:link w:val="3"/>
    <w:qFormat/>
    <w:uiPriority w:val="99"/>
    <w:rPr>
      <w:sz w:val="24"/>
      <w:szCs w:val="21"/>
    </w:rPr>
  </w:style>
  <w:style w:type="character" w:customStyle="1" w:styleId="72">
    <w:name w:val="正文文本首行缩进 2 字符"/>
    <w:basedOn w:val="71"/>
    <w:link w:val="2"/>
    <w:qFormat/>
    <w:uiPriority w:val="0"/>
    <w:rPr>
      <w:rFonts w:ascii="Calibri" w:hAnsi="Calibri" w:eastAsia="Times New Roman"/>
      <w:sz w:val="24"/>
      <w:szCs w:val="21"/>
    </w:rPr>
  </w:style>
  <w:style w:type="character" w:customStyle="1" w:styleId="73">
    <w:name w:val="页眉 字符"/>
    <w:basedOn w:val="38"/>
    <w:link w:val="23"/>
    <w:qFormat/>
    <w:uiPriority w:val="99"/>
    <w:rPr>
      <w:sz w:val="18"/>
      <w:szCs w:val="18"/>
    </w:rPr>
  </w:style>
  <w:style w:type="paragraph" w:customStyle="1" w:styleId="74">
    <w:name w:val="小标"/>
    <w:basedOn w:val="1"/>
    <w:qFormat/>
    <w:uiPriority w:val="0"/>
    <w:pPr>
      <w:autoSpaceDE w:val="0"/>
      <w:autoSpaceDN w:val="0"/>
      <w:adjustRightInd w:val="0"/>
      <w:spacing w:line="288" w:lineRule="auto"/>
      <w:ind w:firstLine="480"/>
      <w:jc w:val="left"/>
      <w:textAlignment w:val="baseline"/>
    </w:pPr>
    <w:rPr>
      <w:rFonts w:ascii="黑体" w:eastAsia="黑体"/>
      <w:sz w:val="28"/>
      <w:szCs w:val="20"/>
    </w:rPr>
  </w:style>
  <w:style w:type="paragraph" w:customStyle="1" w:styleId="75">
    <w:name w:val="大分"/>
    <w:basedOn w:val="1"/>
    <w:qFormat/>
    <w:uiPriority w:val="0"/>
    <w:pPr>
      <w:autoSpaceDE w:val="0"/>
      <w:autoSpaceDN w:val="0"/>
      <w:adjustRightInd w:val="0"/>
      <w:spacing w:line="288" w:lineRule="auto"/>
      <w:ind w:firstLine="480"/>
      <w:jc w:val="left"/>
      <w:textAlignment w:val="baseline"/>
    </w:pPr>
    <w:rPr>
      <w:rFonts w:ascii="宋体"/>
      <w:sz w:val="24"/>
      <w:szCs w:val="20"/>
    </w:rPr>
  </w:style>
  <w:style w:type="paragraph" w:customStyle="1" w:styleId="76">
    <w:name w:val="小分点"/>
    <w:basedOn w:val="67"/>
    <w:qFormat/>
    <w:uiPriority w:val="0"/>
    <w:pPr>
      <w:ind w:left="1680" w:hanging="603"/>
    </w:pPr>
  </w:style>
  <w:style w:type="paragraph" w:customStyle="1" w:styleId="77">
    <w:name w:val="正文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8">
    <w:name w:val="正文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79">
    <w:name w:val="正文文本_0"/>
    <w:basedOn w:val="78"/>
    <w:qFormat/>
    <w:uiPriority w:val="0"/>
    <w:pPr>
      <w:spacing w:after="120"/>
    </w:pPr>
    <w:rPr>
      <w:rFonts w:ascii="Times New Roman" w:hAnsi="Times New Roman"/>
      <w:szCs w:val="24"/>
    </w:rPr>
  </w:style>
  <w:style w:type="paragraph" w:customStyle="1" w:styleId="80">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81">
    <w:name w:val="正文_3"/>
    <w:qFormat/>
    <w:uiPriority w:val="0"/>
    <w:pPr>
      <w:widowControl w:val="0"/>
      <w:jc w:val="both"/>
    </w:pPr>
    <w:rPr>
      <w:rFonts w:ascii="Calibri" w:hAnsi="Calibri" w:eastAsia="宋体" w:cs="Times New Roman"/>
      <w:kern w:val="2"/>
      <w:sz w:val="21"/>
      <w:szCs w:val="22"/>
      <w:lang w:val="en-US" w:eastAsia="zh-CN" w:bidi="ar-SA"/>
    </w:rPr>
  </w:style>
  <w:style w:type="paragraph" w:customStyle="1" w:styleId="82">
    <w:name w:val="Normal_0_0"/>
    <w:qFormat/>
    <w:uiPriority w:val="0"/>
    <w:pPr>
      <w:widowControl w:val="0"/>
      <w:jc w:val="both"/>
    </w:pPr>
    <w:rPr>
      <w:rFonts w:ascii="Calibri" w:hAnsi="Calibri" w:eastAsia="宋体" w:cs="Times New Roman"/>
      <w:lang w:val="en-US" w:eastAsia="zh-CN" w:bidi="ar-SA"/>
    </w:rPr>
  </w:style>
  <w:style w:type="paragraph" w:customStyle="1" w:styleId="83">
    <w:name w:val="正文_5_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4">
    <w:name w:val="正文_5_0_1"/>
    <w:next w:val="8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5">
    <w:name w:val="正文首行缩进 2_1_0"/>
    <w:basedOn w:val="84"/>
    <w:next w:val="86"/>
    <w:unhideWhenUsed/>
    <w:qFormat/>
    <w:uiPriority w:val="0"/>
    <w:pPr>
      <w:spacing w:after="120"/>
      <w:ind w:left="420" w:leftChars="200" w:firstLine="420"/>
    </w:pPr>
    <w:rPr>
      <w:rFonts w:ascii="Calibri" w:hAnsi="Calibri" w:eastAsia="Times New Roman"/>
      <w:kern w:val="0"/>
    </w:rPr>
  </w:style>
  <w:style w:type="paragraph" w:customStyle="1" w:styleId="86">
    <w:name w:val="明显引用1_1_0"/>
    <w:basedOn w:val="87"/>
    <w:next w:val="87"/>
    <w:qFormat/>
    <w:uiPriority w:val="0"/>
    <w:pPr>
      <w:pBdr>
        <w:bottom w:val="single" w:color="4F81BD" w:sz="4" w:space="4"/>
      </w:pBdr>
      <w:spacing w:before="200" w:after="280"/>
      <w:ind w:left="936" w:right="936"/>
    </w:pPr>
    <w:rPr>
      <w:b/>
      <w:bCs/>
      <w:i/>
      <w:iCs/>
      <w:color w:val="4F81BD"/>
      <w:sz w:val="20"/>
      <w:szCs w:val="20"/>
    </w:rPr>
  </w:style>
  <w:style w:type="paragraph" w:customStyle="1" w:styleId="87">
    <w:name w:val="Normal_1_0_0_0"/>
    <w:next w:val="85"/>
    <w:qFormat/>
    <w:uiPriority w:val="0"/>
    <w:rPr>
      <w:rFonts w:ascii="Times New Roman" w:hAnsi="Times New Roman" w:eastAsia="Times New Roman" w:cs="Times New Roman"/>
      <w:sz w:val="24"/>
      <w:szCs w:val="24"/>
      <w:lang w:val="en-US" w:eastAsia="zh-CN" w:bidi="ar-SA"/>
    </w:rPr>
  </w:style>
  <w:style w:type="paragraph" w:customStyle="1" w:styleId="88">
    <w:name w:val="正文_5_0_2"/>
    <w:next w:val="8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9">
    <w:name w:val="纯文本_2_0"/>
    <w:basedOn w:val="88"/>
    <w:qFormat/>
    <w:uiPriority w:val="0"/>
    <w:rPr>
      <w:rFonts w:ascii="宋体" w:hAnsi="Courier New" w:eastAsia="宋体" w:cs="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header" Target="header4.xml"/><Relationship Id="rId14" Type="http://schemas.openxmlformats.org/officeDocument/2006/relationships/footer" Target="footer7.xml"/><Relationship Id="rId13" Type="http://schemas.openxmlformats.org/officeDocument/2006/relationships/header" Target="header3.xml"/><Relationship Id="rId12" Type="http://schemas.openxmlformats.org/officeDocument/2006/relationships/header" Target="header2.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322a1c6-90ac-45f1-a232-f9c999521b0a}"/>
        <w:style w:val=""/>
        <w:category>
          <w:name w:val="常规"/>
          <w:gallery w:val="placeholder"/>
        </w:category>
        <w:types>
          <w:type w:val="bbPlcHdr"/>
        </w:types>
        <w:behaviors>
          <w:behavior w:val="content"/>
        </w:behaviors>
        <w:description w:val=""/>
        <w:guid w:val="{a322a1c6-90ac-45f1-a232-f9c999521b0a}"/>
      </w:docPartPr>
      <w:docPartBody>
        <w:p w14:paraId="33CC46DC">
          <w:r>
            <w:rPr>
              <w:color w:val="808080"/>
            </w:rPr>
            <w:t>单击此处输入文字。</w:t>
          </w:r>
        </w:p>
      </w:docPartBody>
    </w:docPart>
    <w:docPart>
      <w:docPartPr>
        <w:name w:val="{b849f7be-2f11-4dc7-827f-613b06421f73}"/>
        <w:style w:val=""/>
        <w:category>
          <w:name w:val="常规"/>
          <w:gallery w:val="placeholder"/>
        </w:category>
        <w:types>
          <w:type w:val="bbPlcHdr"/>
        </w:types>
        <w:behaviors>
          <w:behavior w:val="content"/>
        </w:behaviors>
        <w:description w:val=""/>
        <w:guid w:val="{b849f7be-2f11-4dc7-827f-613b06421f73}"/>
      </w:docPartPr>
      <w:docPartBody>
        <w:p w14:paraId="018197CE">
          <w:r>
            <w:rPr>
              <w:color w:val="808080"/>
            </w:rPr>
            <w:t>单击此处输入文字。</w:t>
          </w:r>
        </w:p>
      </w:docPartBody>
    </w:docPart>
    <w:docPart>
      <w:docPartPr>
        <w:name w:val="{ba86e39d-8fd0-4b85-bd49-8db818db39b0}"/>
        <w:style w:val=""/>
        <w:category>
          <w:name w:val="常规"/>
          <w:gallery w:val="placeholder"/>
        </w:category>
        <w:types>
          <w:type w:val="bbPlcHdr"/>
        </w:types>
        <w:behaviors>
          <w:behavior w:val="content"/>
        </w:behaviors>
        <w:description w:val=""/>
        <w:guid w:val="{ba86e39d-8fd0-4b85-bd49-8db818db39b0}"/>
      </w:docPartPr>
      <w:docPartBody>
        <w:p w14:paraId="3A4D72A6">
          <w:r>
            <w:rPr>
              <w:color w:val="808080"/>
            </w:rPr>
            <w:t>单击此处输入文字。</w:t>
          </w:r>
        </w:p>
      </w:docPartBody>
    </w:docPart>
    <w:docPart>
      <w:docPartPr>
        <w:name w:val="{ce9dea7c-af24-4a55-befd-e61a62035811}"/>
        <w:style w:val=""/>
        <w:category>
          <w:name w:val="常规"/>
          <w:gallery w:val="placeholder"/>
        </w:category>
        <w:types>
          <w:type w:val="bbPlcHdr"/>
        </w:types>
        <w:behaviors>
          <w:behavior w:val="content"/>
        </w:behaviors>
        <w:description w:val=""/>
        <w:guid w:val="{ce9dea7c-af24-4a55-befd-e61a62035811}"/>
      </w:docPartPr>
      <w:docPartBody>
        <w:p w14:paraId="3F9D7C66">
          <w:r>
            <w:rPr>
              <w:color w:val="808080"/>
            </w:rPr>
            <w:t>单击此处输入文字。</w:t>
          </w:r>
        </w:p>
      </w:docPartBody>
    </w:docPart>
    <w:docPart>
      <w:docPartPr>
        <w:name w:val="{f9998697-c505-4e15-9e18-4d2b8b9621cb}"/>
        <w:style w:val=""/>
        <w:category>
          <w:name w:val="常规"/>
          <w:gallery w:val="placeholder"/>
        </w:category>
        <w:types>
          <w:type w:val="bbPlcHdr"/>
        </w:types>
        <w:behaviors>
          <w:behavior w:val="content"/>
        </w:behaviors>
        <w:description w:val=""/>
        <w:guid w:val="{f9998697-c505-4e15-9e18-4d2b8b9621cb}"/>
      </w:docPartPr>
      <w:docPartBody>
        <w:p w14:paraId="474A5FA1">
          <w:r>
            <w:rPr>
              <w:color w:val="808080"/>
            </w:rPr>
            <w:t>单击此处输入文字。</w:t>
          </w:r>
        </w:p>
      </w:docPartBody>
    </w:docPart>
    <w:docPart>
      <w:docPartPr>
        <w:name w:val="{8cbe76b5-e259-4d30-828b-6c12f8d7fd11}"/>
        <w:style w:val=""/>
        <w:category>
          <w:name w:val="常规"/>
          <w:gallery w:val="placeholder"/>
        </w:category>
        <w:types>
          <w:type w:val="bbPlcHdr"/>
        </w:types>
        <w:behaviors>
          <w:behavior w:val="content"/>
        </w:behaviors>
        <w:description w:val=""/>
        <w:guid w:val="{8cbe76b5-e259-4d30-828b-6c12f8d7fd11}"/>
      </w:docPartPr>
      <w:docPartBody>
        <w:p w14:paraId="7DFA040D">
          <w:r>
            <w:rPr>
              <w:color w:val="808080"/>
            </w:rPr>
            <w:t>单击此处输入文字。</w:t>
          </w:r>
        </w:p>
      </w:docPartBody>
    </w:docPart>
    <w:docPart>
      <w:docPartPr>
        <w:name w:val="{28942cd8-fe1d-4c45-a32c-2c16946602fe}"/>
        <w:style w:val=""/>
        <w:category>
          <w:name w:val="常规"/>
          <w:gallery w:val="placeholder"/>
        </w:category>
        <w:types>
          <w:type w:val="bbPlcHdr"/>
        </w:types>
        <w:behaviors>
          <w:behavior w:val="content"/>
        </w:behaviors>
        <w:description w:val=""/>
        <w:guid w:val="{28942cd8-fe1d-4c45-a32c-2c16946602fe}"/>
      </w:docPartPr>
      <w:docPartBody>
        <w:p w14:paraId="61EE9D21">
          <w:r>
            <w:rPr>
              <w:color w:val="808080"/>
            </w:rPr>
            <w:t>单击此处输入文字。</w:t>
          </w:r>
        </w:p>
      </w:docPartBody>
    </w:docPart>
    <w:docPart>
      <w:docPartPr>
        <w:name w:val="{4949d0f0-8428-4514-8667-a5089f021c46}"/>
        <w:style w:val=""/>
        <w:category>
          <w:name w:val="常规"/>
          <w:gallery w:val="placeholder"/>
        </w:category>
        <w:types>
          <w:type w:val="bbPlcHdr"/>
        </w:types>
        <w:behaviors>
          <w:behavior w:val="content"/>
        </w:behaviors>
        <w:description w:val=""/>
        <w:guid w:val="{4949d0f0-8428-4514-8667-a5089f021c46}"/>
      </w:docPartPr>
      <w:docPartBody>
        <w:p w14:paraId="137AEDD3">
          <w:r>
            <w:rPr>
              <w:color w:val="808080"/>
            </w:rPr>
            <w:t>单击此处输入文字。</w:t>
          </w:r>
        </w:p>
      </w:docPartBody>
    </w:docPart>
    <w:docPart>
      <w:docPartPr>
        <w:name w:val="{59c10b36-02b4-477b-a848-928da3317036}"/>
        <w:style w:val=""/>
        <w:category>
          <w:name w:val="常规"/>
          <w:gallery w:val="placeholder"/>
        </w:category>
        <w:types>
          <w:type w:val="bbPlcHdr"/>
        </w:types>
        <w:behaviors>
          <w:behavior w:val="content"/>
        </w:behaviors>
        <w:description w:val=""/>
        <w:guid w:val="{59c10b36-02b4-477b-a848-928da3317036}"/>
      </w:docPartPr>
      <w:docPartBody>
        <w:p w14:paraId="22D2730B">
          <w:r>
            <w:rPr>
              <w:color w:val="808080"/>
            </w:rPr>
            <w:t>单击此处输入文字。</w:t>
          </w:r>
        </w:p>
      </w:docPartBody>
    </w:docPart>
    <w:docPart>
      <w:docPartPr>
        <w:name w:val="{94a0b201-c6e3-44da-a3c8-ec5b4607249d}"/>
        <w:style w:val=""/>
        <w:category>
          <w:name w:val="常规"/>
          <w:gallery w:val="placeholder"/>
        </w:category>
        <w:types>
          <w:type w:val="bbPlcHdr"/>
        </w:types>
        <w:behaviors>
          <w:behavior w:val="content"/>
        </w:behaviors>
        <w:description w:val=""/>
        <w:guid w:val="{94a0b201-c6e3-44da-a3c8-ec5b4607249d}"/>
      </w:docPartPr>
      <w:docPartBody>
        <w:p w14:paraId="2F3E6400">
          <w:r>
            <w:rPr>
              <w:color w:val="808080"/>
            </w:rPr>
            <w:t>单击此处输入文字。</w:t>
          </w:r>
        </w:p>
      </w:docPartBody>
    </w:docPart>
    <w:docPart>
      <w:docPartPr>
        <w:name w:val="{e8b671ff-6cfc-47d9-aba8-22b23b99f8ed}"/>
        <w:style w:val=""/>
        <w:category>
          <w:name w:val="常规"/>
          <w:gallery w:val="placeholder"/>
        </w:category>
        <w:types>
          <w:type w:val="bbPlcHdr"/>
        </w:types>
        <w:behaviors>
          <w:behavior w:val="content"/>
        </w:behaviors>
        <w:description w:val=""/>
        <w:guid w:val="{e8b671ff-6cfc-47d9-aba8-22b23b99f8ed}"/>
      </w:docPartPr>
      <w:docPartBody>
        <w:p w14:paraId="071A0140">
          <w:r>
            <w:rPr>
              <w:color w:val="808080"/>
            </w:rPr>
            <w:t>单击此处输入文字。</w:t>
          </w:r>
        </w:p>
      </w:docPartBody>
    </w:docPart>
    <w:docPart>
      <w:docPartPr>
        <w:name w:val="{1f279055-4a89-4296-8ca9-55900f7be066}"/>
        <w:style w:val=""/>
        <w:category>
          <w:name w:val="常规"/>
          <w:gallery w:val="placeholder"/>
        </w:category>
        <w:types>
          <w:type w:val="bbPlcHdr"/>
        </w:types>
        <w:behaviors>
          <w:behavior w:val="content"/>
        </w:behaviors>
        <w:description w:val=""/>
        <w:guid w:val="{1f279055-4a89-4296-8ca9-55900f7be066}"/>
      </w:docPartPr>
      <w:docPartBody>
        <w:p w14:paraId="539AEAF9">
          <w:r>
            <w:rPr>
              <w:color w:val="808080"/>
            </w:rPr>
            <w:t>单击此处输入文字。</w:t>
          </w:r>
        </w:p>
      </w:docPartBody>
    </w:docPart>
    <w:docPart>
      <w:docPartPr>
        <w:name w:val="{77e0c4b0-b703-47d3-9892-cf0087ccf5e8}"/>
        <w:style w:val=""/>
        <w:category>
          <w:name w:val="常规"/>
          <w:gallery w:val="placeholder"/>
        </w:category>
        <w:types>
          <w:type w:val="bbPlcHdr"/>
        </w:types>
        <w:behaviors>
          <w:behavior w:val="content"/>
        </w:behaviors>
        <w:description w:val=""/>
        <w:guid w:val="{77e0c4b0-b703-47d3-9892-cf0087ccf5e8}"/>
      </w:docPartPr>
      <w:docPartBody>
        <w:p w14:paraId="001AE29D">
          <w:r>
            <w:rPr>
              <w:color w:val="808080"/>
            </w:rPr>
            <w:t>单击此处输入文字。</w:t>
          </w:r>
        </w:p>
      </w:docPartBody>
    </w:docPart>
    <w:docPart>
      <w:docPartPr>
        <w:name w:val="{f676e692-f796-4a8e-b7d0-c12a56202204}"/>
        <w:style w:val=""/>
        <w:category>
          <w:name w:val="常规"/>
          <w:gallery w:val="placeholder"/>
        </w:category>
        <w:types>
          <w:type w:val="bbPlcHdr"/>
        </w:types>
        <w:behaviors>
          <w:behavior w:val="content"/>
        </w:behaviors>
        <w:description w:val=""/>
        <w:guid w:val="{f676e692-f796-4a8e-b7d0-c12a56202204}"/>
      </w:docPartPr>
      <w:docPartBody>
        <w:p w14:paraId="112EBAAC">
          <w:r>
            <w:rPr>
              <w:color w:val="808080"/>
            </w:rPr>
            <w:t>单击此处输入文字。</w:t>
          </w:r>
        </w:p>
      </w:docPartBody>
    </w:docPart>
    <w:docPart>
      <w:docPartPr>
        <w:name w:val="{f32d5091-9754-437b-9ca9-324b4ed76b42}"/>
        <w:style w:val=""/>
        <w:category>
          <w:name w:val="常规"/>
          <w:gallery w:val="placeholder"/>
        </w:category>
        <w:types>
          <w:type w:val="bbPlcHdr"/>
        </w:types>
        <w:behaviors>
          <w:behavior w:val="content"/>
        </w:behaviors>
        <w:description w:val=""/>
        <w:guid w:val="{f32d5091-9754-437b-9ca9-324b4ed76b42}"/>
      </w:docPartPr>
      <w:docPartBody>
        <w:p w14:paraId="42AB9F71">
          <w:r>
            <w:rPr>
              <w:color w:val="808080"/>
            </w:rPr>
            <w:t>单击此处输入文字。</w:t>
          </w:r>
        </w:p>
      </w:docPartBody>
    </w:docPart>
    <w:docPart>
      <w:docPartPr>
        <w:name w:val="{c199aeb2-68c5-4b0a-9adc-ece344f6c93c}"/>
        <w:style w:val=""/>
        <w:category>
          <w:name w:val="常规"/>
          <w:gallery w:val="placeholder"/>
        </w:category>
        <w:types>
          <w:type w:val="bbPlcHdr"/>
        </w:types>
        <w:behaviors>
          <w:behavior w:val="content"/>
        </w:behaviors>
        <w:description w:val=""/>
        <w:guid w:val="{c199aeb2-68c5-4b0a-9adc-ece344f6c93c}"/>
      </w:docPartPr>
      <w:docPartBody>
        <w:p w14:paraId="3CF4C0C5">
          <w:r>
            <w:rPr>
              <w:color w:val="808080"/>
            </w:rPr>
            <w:t>单击此处输入文字。</w:t>
          </w:r>
        </w:p>
      </w:docPartBody>
    </w:docPart>
    <w:docPart>
      <w:docPartPr>
        <w:name w:val="{a526151e-b316-4a67-bba8-95fe152349be}"/>
        <w:style w:val=""/>
        <w:category>
          <w:name w:val="常规"/>
          <w:gallery w:val="placeholder"/>
        </w:category>
        <w:types>
          <w:type w:val="bbPlcHdr"/>
        </w:types>
        <w:behaviors>
          <w:behavior w:val="content"/>
        </w:behaviors>
        <w:description w:val=""/>
        <w:guid w:val="{a526151e-b316-4a67-bba8-95fe152349be}"/>
      </w:docPartPr>
      <w:docPartBody>
        <w:p w14:paraId="7EA687BE">
          <w:r>
            <w:rPr>
              <w:color w:val="808080"/>
            </w:rPr>
            <w:t>单击此处输入文字。</w:t>
          </w:r>
        </w:p>
      </w:docPartBody>
    </w:docPart>
    <w:docPart>
      <w:docPartPr>
        <w:name w:val="{4dd71aa2-64f0-4d40-94d6-553614effde7}"/>
        <w:style w:val=""/>
        <w:category>
          <w:name w:val="常规"/>
          <w:gallery w:val="placeholder"/>
        </w:category>
        <w:types>
          <w:type w:val="bbPlcHdr"/>
        </w:types>
        <w:behaviors>
          <w:behavior w:val="content"/>
        </w:behaviors>
        <w:description w:val=""/>
        <w:guid w:val="{4dd71aa2-64f0-4d40-94d6-553614effde7}"/>
      </w:docPartPr>
      <w:docPartBody>
        <w:p w14:paraId="46676432">
          <w:r>
            <w:rPr>
              <w:color w:val="808080"/>
            </w:rPr>
            <w:t>单击此处输入文字。</w:t>
          </w:r>
        </w:p>
      </w:docPartBody>
    </w:docPart>
    <w:docPart>
      <w:docPartPr>
        <w:name w:val="{ae165b7b-14f2-4918-a39e-41a1650c3385}"/>
        <w:style w:val=""/>
        <w:category>
          <w:name w:val="常规"/>
          <w:gallery w:val="placeholder"/>
        </w:category>
        <w:types>
          <w:type w:val="bbPlcHdr"/>
        </w:types>
        <w:behaviors>
          <w:behavior w:val="content"/>
        </w:behaviors>
        <w:description w:val=""/>
        <w:guid w:val="{ae165b7b-14f2-4918-a39e-41a1650c3385}"/>
      </w:docPartPr>
      <w:docPartBody>
        <w:p w14:paraId="27257194">
          <w:r>
            <w:rPr>
              <w:color w:val="808080"/>
            </w:rPr>
            <w:t>单击此处输入文字。</w:t>
          </w:r>
        </w:p>
      </w:docPartBody>
    </w:docPart>
    <w:docPart>
      <w:docPartPr>
        <w:name w:val="{ebfc19a4-467c-4099-a9e4-42907c9569f3}"/>
        <w:style w:val=""/>
        <w:category>
          <w:name w:val="常规"/>
          <w:gallery w:val="placeholder"/>
        </w:category>
        <w:types>
          <w:type w:val="bbPlcHdr"/>
        </w:types>
        <w:behaviors>
          <w:behavior w:val="content"/>
        </w:behaviors>
        <w:description w:val=""/>
        <w:guid w:val="{ebfc19a4-467c-4099-a9e4-42907c9569f3}"/>
      </w:docPartPr>
      <w:docPartBody>
        <w:p w14:paraId="3CD507BE">
          <w:r>
            <w:rPr>
              <w:color w:val="808080"/>
            </w:rPr>
            <w:t>单击此处输入文字。</w:t>
          </w:r>
        </w:p>
      </w:docPartBody>
    </w:docPart>
    <w:docPart>
      <w:docPartPr>
        <w:name w:val="{38c9ab00-7e8f-4d64-82b5-105c7ec04961}"/>
        <w:style w:val=""/>
        <w:category>
          <w:name w:val="常规"/>
          <w:gallery w:val="placeholder"/>
        </w:category>
        <w:types>
          <w:type w:val="bbPlcHdr"/>
        </w:types>
        <w:behaviors>
          <w:behavior w:val="content"/>
        </w:behaviors>
        <w:description w:val=""/>
        <w:guid w:val="{38c9ab00-7e8f-4d64-82b5-105c7ec04961}"/>
      </w:docPartPr>
      <w:docPartBody>
        <w:p w14:paraId="5220DD87">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5"/>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atentStyles>
  <w:style w:type="paragraph" w:default="1" w:styleId="1">
    <w:name w:val="Normal"/>
    <w:qFormat/>
    <w:uiPriority w:val="0"/>
    <w:pPr>
      <w:widowControl w:val="0"/>
    </w:pPr>
    <w:rPr>
      <w:rFonts w:asciiTheme="minorHAnsi" w:hAnsiTheme="minorHAnsi" w:eastAsiaTheme="minorEastAsia" w:cstheme="minorBidi"/>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597FC0-CBF2-4294-8332-34214648AF03}">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163</Pages>
  <Words>28965</Words>
  <Characters>30546</Characters>
  <Lines>292</Lines>
  <Paragraphs>82</Paragraphs>
  <TotalTime>121</TotalTime>
  <ScaleCrop>false</ScaleCrop>
  <LinksUpToDate>false</LinksUpToDate>
  <CharactersWithSpaces>31269</CharactersWithSpaces>
  <Application>WPS Office_12.1.0.26899_F1E327BC-269C-435d-A152-05C5408002CA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2026-06-30T14:01:00Z</dcterms:created>
  <dc:creator>NTKO</dc:creator>
  <cp:lastModifiedBy>李政淇</cp:lastModifiedBy>
  <cp:lastPrinted>2022-10-21T03:00:00Z</cp:lastPrinted>
  <dcterms:modified xsi:type="dcterms:W3CDTF">2026-07-31T08:41:57Z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2052-12.1.0.26899</vt:lpwstr>
  </property>
  <property fmtid="{D5CDD505-2E9C-101B-9397-08002B2CF9AE}" pid="3" name="ICV">
    <vt:lpwstr>37C73FB676C048878138BC3680437AB3_13</vt:lpwstr>
  </property>
  <property fmtid="{D5CDD505-2E9C-101B-9397-08002B2CF9AE}" pid="4" name="KSOTemplateDocerSaveRecord">
    <vt:lpwstr>eyJoZGlkIjoiNDFjODlmNDA2ZmE1YmJjNzg4YTRkY2E2Mjk1ZDRiM2MiLCJ1c2VySWQiOiIxNzU2ODQzNjkzIn0=</vt:lpwstr>
  </property>
</Properties>
</file>