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3E555">
      <w:pPr>
        <w:keepNext w:val="0"/>
        <w:keepLines w:val="0"/>
        <w:pageBreakBefore w:val="0"/>
        <w:kinsoku/>
        <w:wordWrap w:val="0"/>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lang w:val="en-US"/>
        </w:rPr>
      </w:pPr>
      <w:bookmarkStart w:id="1" w:name="_GoBack"/>
      <w:r>
        <w:rPr>
          <w:rFonts w:hint="eastAsia" w:ascii="仿宋_GB2312" w:hAnsi="仿宋_GB2312" w:eastAsia="仿宋_GB2312" w:cs="仿宋_GB2312"/>
          <w:color w:val="auto"/>
          <w:sz w:val="28"/>
          <w:szCs w:val="28"/>
          <w:highlight w:val="none"/>
        </w:rPr>
        <w:t>合同编号：</w:t>
      </w:r>
      <w:r>
        <w:rPr>
          <w:rFonts w:hint="eastAsia" w:ascii="仿宋_GB2312" w:hAnsi="仿宋_GB2312" w:eastAsia="仿宋_GB2312" w:cs="仿宋_GB2312"/>
          <w:color w:val="auto"/>
          <w:sz w:val="28"/>
          <w:szCs w:val="28"/>
          <w:highlight w:val="none"/>
          <w:lang w:val="en-US" w:eastAsia="zh-CN"/>
        </w:rPr>
        <w:t xml:space="preserve">   </w:t>
      </w:r>
    </w:p>
    <w:p w14:paraId="68F91CF9">
      <w:pPr>
        <w:keepNext w:val="0"/>
        <w:keepLines w:val="0"/>
        <w:pageBreakBefore w:val="0"/>
        <w:kinsoku/>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w:t>
      </w:r>
    </w:p>
    <w:p w14:paraId="79739B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u w:val="single"/>
        </w:rPr>
        <w:t xml:space="preserve"> 2026年-2027年南宁轨道地产建筑工程有限责任公司成品砂浆集中采购项目（1年）购销合同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b/>
          <w:color w:val="auto"/>
          <w:sz w:val="28"/>
          <w:szCs w:val="28"/>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甲方（购方）：</w:t>
      </w:r>
      <w:r>
        <w:rPr>
          <w:rFonts w:hint="eastAsia" w:ascii="仿宋_GB2312" w:hAnsi="仿宋_GB2312" w:eastAsia="仿宋_GB2312" w:cs="仿宋_GB2312"/>
          <w:b/>
          <w:color w:val="auto"/>
          <w:sz w:val="28"/>
          <w:szCs w:val="28"/>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乙方（供方）：</w:t>
      </w: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 xml:space="preserve">             </w:t>
      </w:r>
      <w:r>
        <w:rPr>
          <w:rFonts w:hint="eastAsia" w:ascii="仿宋_GB2312" w:hAnsi="仿宋_GB2312" w:eastAsia="仿宋_GB2312" w:cs="仿宋_GB2312"/>
          <w:b/>
          <w:color w:val="auto"/>
          <w:sz w:val="28"/>
          <w:szCs w:val="28"/>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一、供应项目、生产厂、规格品种、等级、包装、价格</w:t>
      </w:r>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1、供应项目</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2、项目地址：</w:t>
      </w:r>
      <w:r>
        <w:rPr>
          <w:rFonts w:hint="eastAsia" w:ascii="仿宋_GB2312" w:hAnsi="仿宋_GB2312" w:eastAsia="仿宋_GB2312" w:cs="仿宋_GB2312"/>
          <w:color w:val="auto"/>
          <w:sz w:val="28"/>
          <w:szCs w:val="28"/>
          <w:highlight w:val="none"/>
          <w:u w:val="single"/>
        </w:rPr>
        <w:t xml:space="preserve">  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3、规格品种、等级、包装、采购单价、暂定采购量等：详见合同附件一 ，采购单价包含：</w:t>
      </w:r>
      <w:r>
        <w:rPr>
          <w:rFonts w:hint="eastAsia" w:ascii="仿宋_GB2312" w:hAnsi="仿宋_GB2312" w:eastAsia="仿宋_GB2312" w:cs="仿宋_GB2312"/>
          <w:color w:val="auto"/>
          <w:sz w:val="28"/>
          <w:szCs w:val="28"/>
          <w:highlight w:val="none"/>
          <w:u w:val="single"/>
        </w:rPr>
        <w:t xml:space="preserve"> 材料费、运费、卸车费、税金等</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详见清单</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4、发票要求：由乙方提供发票，发票要求是增值税专用发票 。</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5、价格调整</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u w:val="single"/>
        </w:rPr>
        <w:t>最终实际结算单价</w:t>
      </w:r>
      <w:r>
        <w:rPr>
          <w:rFonts w:hint="eastAsia" w:ascii="仿宋_GB2312" w:hAnsi="仿宋_GB2312" w:eastAsia="仿宋_GB2312" w:cs="仿宋_GB2312"/>
          <w:color w:val="auto"/>
          <w:sz w:val="28"/>
          <w:szCs w:val="28"/>
          <w:highlight w:val="none"/>
          <w:u w:val="single"/>
          <w:lang w:val="en-US" w:eastAsia="zh-CN"/>
        </w:rPr>
        <w:t>按本合同“附件一合同清单”执行。</w:t>
      </w:r>
    </w:p>
    <w:p w14:paraId="3F35AB2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、合同暂定金额：（大写）人民币</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 xml:space="preserve">    元</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除税总价为：</w:t>
      </w:r>
      <w:r>
        <w:rPr>
          <w:rFonts w:hint="eastAsia" w:ascii="仿宋_GB2312" w:hAnsi="仿宋_GB2312" w:eastAsia="仿宋_GB2312" w:cs="仿宋_GB2312"/>
          <w:color w:val="auto"/>
          <w:kern w:val="0"/>
          <w:sz w:val="28"/>
          <w:szCs w:val="28"/>
          <w:highlight w:val="none"/>
          <w:u w:val="single"/>
        </w:rPr>
        <w:t>￥</w:t>
      </w:r>
      <w:r>
        <w:rPr>
          <w:rFonts w:hint="eastAsia" w:ascii="仿宋_GB2312" w:hAnsi="仿宋_GB2312" w:eastAsia="仿宋_GB2312" w:cs="仿宋_GB2312"/>
          <w:color w:val="auto"/>
          <w:kern w:val="0"/>
          <w:sz w:val="28"/>
          <w:szCs w:val="28"/>
          <w:highlight w:val="none"/>
          <w:u w:val="single"/>
          <w:lang w:val="en-US" w:eastAsia="zh-CN"/>
        </w:rPr>
        <w:t xml:space="preserve">   </w:t>
      </w:r>
      <w:r>
        <w:rPr>
          <w:rFonts w:hint="eastAsia" w:ascii="仿宋_GB2312" w:hAnsi="仿宋_GB2312" w:eastAsia="仿宋_GB2312" w:cs="仿宋_GB2312"/>
          <w:color w:val="auto"/>
          <w:kern w:val="0"/>
          <w:sz w:val="28"/>
          <w:szCs w:val="28"/>
          <w:highlight w:val="none"/>
          <w:u w:val="single"/>
        </w:rPr>
        <w:t>元</w:t>
      </w:r>
      <w:r>
        <w:rPr>
          <w:rFonts w:hint="eastAsia" w:ascii="仿宋_GB2312" w:hAnsi="仿宋_GB2312" w:eastAsia="仿宋_GB2312" w:cs="仿宋_GB2312"/>
          <w:bCs/>
          <w:color w:val="auto"/>
          <w:sz w:val="28"/>
          <w:szCs w:val="28"/>
          <w:highlight w:val="none"/>
        </w:rPr>
        <w:t>，增值税为：</w:t>
      </w:r>
      <w:r>
        <w:rPr>
          <w:rFonts w:hint="eastAsia" w:ascii="仿宋_GB2312" w:hAnsi="仿宋_GB2312" w:eastAsia="仿宋_GB2312" w:cs="仿宋_GB2312"/>
          <w:color w:val="auto"/>
          <w:kern w:val="0"/>
          <w:sz w:val="28"/>
          <w:szCs w:val="28"/>
          <w:highlight w:val="none"/>
          <w:u w:val="single"/>
        </w:rPr>
        <w:t>￥</w:t>
      </w:r>
      <w:r>
        <w:rPr>
          <w:rFonts w:hint="eastAsia" w:ascii="仿宋_GB2312" w:hAnsi="仿宋_GB2312" w:eastAsia="仿宋_GB2312" w:cs="仿宋_GB2312"/>
          <w:bCs/>
          <w:color w:val="auto"/>
          <w:kern w:val="0"/>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元）</w:t>
      </w:r>
      <w:r>
        <w:rPr>
          <w:rFonts w:hint="eastAsia" w:ascii="仿宋_GB2312" w:hAnsi="仿宋_GB2312" w:eastAsia="仿宋_GB2312" w:cs="仿宋_GB2312"/>
          <w:bCs/>
          <w:color w:val="auto"/>
          <w:sz w:val="28"/>
          <w:szCs w:val="28"/>
          <w:highlight w:val="none"/>
        </w:rPr>
        <w:t>。合同总价为含税价，税率为</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val="en-US" w:eastAsia="zh-CN"/>
        </w:rPr>
        <w:t xml:space="preserve">   </w:t>
      </w:r>
      <w:r>
        <w:rPr>
          <w:rFonts w:hint="eastAsia" w:ascii="仿宋_GB2312" w:hAnsi="仿宋_GB2312" w:eastAsia="仿宋_GB2312" w:cs="仿宋_GB2312"/>
          <w:bCs/>
          <w:color w:val="auto"/>
          <w:sz w:val="28"/>
          <w:szCs w:val="28"/>
          <w:highlight w:val="none"/>
          <w:u w:val="single"/>
        </w:rPr>
        <w:t>%</w:t>
      </w:r>
      <w:r>
        <w:rPr>
          <w:rFonts w:hint="eastAsia" w:ascii="仿宋_GB2312" w:hAnsi="仿宋_GB2312" w:eastAsia="仿宋_GB2312" w:cs="仿宋_GB2312"/>
          <w:bCs/>
          <w:color w:val="auto"/>
          <w:sz w:val="28"/>
          <w:szCs w:val="28"/>
          <w:highlight w:val="none"/>
        </w:rPr>
        <w:t>，增值税和税率随着国家或地区政策的调整而调整。</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8</w:t>
      </w:r>
      <w:r>
        <w:rPr>
          <w:rFonts w:hint="eastAsia" w:ascii="仿宋_GB2312" w:hAnsi="仿宋_GB2312" w:eastAsia="仿宋_GB2312" w:cs="仿宋_GB2312"/>
          <w:bCs/>
          <w:color w:val="auto"/>
          <w:sz w:val="28"/>
          <w:szCs w:val="28"/>
          <w:highlight w:val="none"/>
        </w:rPr>
        <w:t>.甲方向乙方提出增加</w:t>
      </w:r>
      <w:r>
        <w:rPr>
          <w:rFonts w:hint="eastAsia" w:ascii="仿宋_GB2312" w:hAnsi="仿宋_GB2312" w:eastAsia="仿宋_GB2312" w:cs="仿宋_GB2312"/>
          <w:bCs/>
          <w:color w:val="auto"/>
          <w:sz w:val="28"/>
          <w:szCs w:val="28"/>
          <w:highlight w:val="none"/>
          <w:lang w:eastAsia="zh-CN"/>
        </w:rPr>
        <w:t>供应物资</w:t>
      </w:r>
      <w:r>
        <w:rPr>
          <w:rFonts w:hint="eastAsia" w:ascii="仿宋_GB2312" w:hAnsi="仿宋_GB2312" w:eastAsia="仿宋_GB2312" w:cs="仿宋_GB2312"/>
          <w:bCs/>
          <w:color w:val="auto"/>
          <w:sz w:val="28"/>
          <w:szCs w:val="28"/>
          <w:highlight w:val="none"/>
        </w:rPr>
        <w:t>内容</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包括内容和数量</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，乙方应无条件服从并按甲方的要求配合完成</w:t>
      </w:r>
      <w:r>
        <w:rPr>
          <w:rFonts w:hint="eastAsia" w:ascii="仿宋_GB2312" w:hAnsi="仿宋_GB2312" w:eastAsia="仿宋_GB2312" w:cs="仿宋_GB2312"/>
          <w:bCs/>
          <w:color w:val="auto"/>
          <w:sz w:val="28"/>
          <w:szCs w:val="28"/>
          <w:highlight w:val="none"/>
          <w:lang w:eastAsia="zh-CN"/>
        </w:rPr>
        <w:t>供应</w:t>
      </w:r>
      <w:r>
        <w:rPr>
          <w:rFonts w:hint="eastAsia" w:ascii="仿宋_GB2312" w:hAnsi="仿宋_GB2312" w:eastAsia="仿宋_GB2312" w:cs="仿宋_GB2312"/>
          <w:bCs/>
          <w:color w:val="auto"/>
          <w:sz w:val="28"/>
          <w:szCs w:val="28"/>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9</w:t>
      </w:r>
      <w:r>
        <w:rPr>
          <w:rFonts w:hint="eastAsia" w:ascii="仿宋_GB2312" w:hAnsi="仿宋_GB2312" w:eastAsia="仿宋_GB2312" w:cs="仿宋_GB2312"/>
          <w:bCs/>
          <w:color w:val="auto"/>
          <w:sz w:val="28"/>
          <w:szCs w:val="28"/>
          <w:highlight w:val="none"/>
        </w:rPr>
        <w:t>.乙方应根据合同中已确定单价的内容提供确保质量要求的物资（包括材料或设备的内容和数量），如有新增内容，双方另行协商确定单价，并可根据实际发生的数量提出结算和支付申请。</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二、供货时间及数量</w:t>
      </w:r>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1、甲方指定供货通知人：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本合同甲方经办人：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计划供货时间：从</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日至</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日止，有效期</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个月</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在接到甲方供货通知后，48小时内乙方供货到甲方指定的现场。</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三、质量标准、进场验收、资质资料、合格证明</w:t>
      </w:r>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、乙方提供相关的厂家资质资料，以及产品合格证明：生产厂家营业执照（复印件）、生产厂家生产许可证（复印件）、</w:t>
      </w:r>
      <w:r>
        <w:rPr>
          <w:rFonts w:hint="eastAsia" w:ascii="仿宋_GB2312" w:hAnsi="仿宋_GB2312" w:eastAsia="仿宋_GB2312" w:cs="仿宋_GB2312"/>
          <w:color w:val="auto"/>
          <w:sz w:val="28"/>
          <w:szCs w:val="28"/>
          <w:highlight w:val="none"/>
          <w:lang w:eastAsia="zh-CN"/>
        </w:rPr>
        <w:t>提供</w:t>
      </w:r>
      <w:r>
        <w:rPr>
          <w:rFonts w:hint="eastAsia" w:ascii="仿宋_GB2312" w:hAnsi="仿宋_GB2312" w:eastAsia="仿宋_GB2312" w:cs="仿宋_GB2312"/>
          <w:color w:val="auto"/>
          <w:sz w:val="28"/>
          <w:szCs w:val="28"/>
          <w:highlight w:val="none"/>
        </w:rPr>
        <w:t>各类规格、标号的生产厂家出厂检测报告（原件，3天、28天）、产品合格证（原件，3天、28天）。一式四份分别提供，复印件要求每页加盖生产厂家或供货商公章或骑缝章。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562" w:leftChars="0" w:right="0" w:rightChars="0" w:hanging="562" w:hangingChars="20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四、交货地点、交货方式、收货签认、送货单要求：</w:t>
      </w:r>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1、甲方根据实际采购需求将采购的材料信息以“</w:t>
      </w:r>
      <w:r>
        <w:rPr>
          <w:rFonts w:hint="eastAsia" w:ascii="仿宋_GB2312" w:hAnsi="仿宋_GB2312" w:eastAsia="仿宋_GB2312" w:cs="仿宋_GB2312"/>
          <w:color w:val="auto"/>
          <w:sz w:val="28"/>
          <w:szCs w:val="28"/>
          <w:highlight w:val="none"/>
          <w:u w:val="single"/>
        </w:rPr>
        <w:t>供货通知”形式</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详见合同附件</w:t>
      </w:r>
      <w:r>
        <w:rPr>
          <w:rFonts w:hint="eastAsia" w:ascii="仿宋_GB2312" w:hAnsi="仿宋_GB2312" w:eastAsia="仿宋_GB2312" w:cs="仿宋_GB2312"/>
          <w:color w:val="auto"/>
          <w:sz w:val="28"/>
          <w:szCs w:val="28"/>
          <w:highlight w:val="none"/>
          <w:u w:val="single"/>
          <w:lang w:val="en-US" w:eastAsia="zh-CN"/>
        </w:rPr>
        <w:t>三</w:t>
      </w:r>
      <w:r>
        <w:rPr>
          <w:rFonts w:hint="eastAsia" w:ascii="仿宋_GB2312" w:hAnsi="仿宋_GB2312" w:eastAsia="仿宋_GB2312" w:cs="仿宋_GB2312"/>
          <w:color w:val="auto"/>
          <w:sz w:val="28"/>
          <w:szCs w:val="28"/>
          <w:highlight w:val="none"/>
          <w:u w:val="single"/>
        </w:rPr>
        <w:t>）提交乙方，甲方应在“供货通知”中明确材料的产品名称、规格型号、数量、到货日期、工程项目、送货地址、</w:t>
      </w:r>
      <w:r>
        <w:rPr>
          <w:rFonts w:hint="eastAsia" w:ascii="仿宋_GB2312" w:hAnsi="仿宋_GB2312" w:eastAsia="仿宋_GB2312" w:cs="仿宋_GB2312"/>
          <w:color w:val="auto"/>
          <w:sz w:val="28"/>
          <w:szCs w:val="28"/>
          <w:highlight w:val="none"/>
          <w:u w:val="single"/>
          <w:lang w:val="en-US" w:eastAsia="zh-CN"/>
        </w:rPr>
        <w:t>收货人</w:t>
      </w:r>
      <w:r>
        <w:rPr>
          <w:rFonts w:hint="eastAsia" w:ascii="仿宋_GB2312" w:hAnsi="仿宋_GB2312" w:eastAsia="仿宋_GB2312" w:cs="仿宋_GB2312"/>
          <w:color w:val="auto"/>
          <w:sz w:val="28"/>
          <w:szCs w:val="28"/>
          <w:highlight w:val="none"/>
          <w:u w:val="single"/>
        </w:rPr>
        <w:t>及联系方式等</w:t>
      </w:r>
      <w:r>
        <w:rPr>
          <w:rFonts w:hint="eastAsia" w:ascii="仿宋_GB2312" w:hAnsi="仿宋_GB2312" w:eastAsia="仿宋_GB2312" w:cs="仿宋_GB2312"/>
          <w:color w:val="auto"/>
          <w:sz w:val="28"/>
          <w:szCs w:val="28"/>
          <w:highlight w:val="none"/>
        </w:rPr>
        <w:t>。</w:t>
      </w:r>
    </w:p>
    <w:p w14:paraId="3788D45B">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u w:val="single"/>
        </w:rPr>
        <w:t>乙方负责根据甲方的“供货通知”将材料运至甲方指定地点并负责卸货</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卸货过程中的机具、人工、安全防护及相关费用由乙方承担，卸货期间发生的人身伤害及财产损失由乙方自行承担</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卸完清点前，货物的损毁、灭失风险由乙方承担，</w:t>
      </w:r>
      <w:r>
        <w:rPr>
          <w:rFonts w:hint="eastAsia" w:ascii="仿宋_GB2312" w:hAnsi="仿宋_GB2312" w:eastAsia="仿宋_GB2312" w:cs="仿宋_GB2312"/>
          <w:color w:val="auto"/>
          <w:sz w:val="28"/>
          <w:szCs w:val="28"/>
          <w:highlight w:val="none"/>
        </w:rPr>
        <w:t>卸完清点后，甲乙双方就每一次供货的材料数量进行签认，以双方签字并盖章确认的实际供货数量作为支付依据和结算依据。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）乙方业务负责人：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）乙方配送材料或设备到交货地点时，应随货配送</w:t>
      </w:r>
      <w:r>
        <w:rPr>
          <w:rFonts w:hint="eastAsia" w:ascii="仿宋_GB2312" w:hAnsi="仿宋_GB2312" w:eastAsia="仿宋_GB2312" w:cs="仿宋_GB2312"/>
          <w:b/>
          <w:color w:val="auto"/>
          <w:sz w:val="28"/>
          <w:szCs w:val="28"/>
          <w:highlight w:val="none"/>
        </w:rPr>
        <w:t>送货原始单据</w:t>
      </w:r>
      <w:r>
        <w:rPr>
          <w:rFonts w:hint="eastAsia" w:ascii="仿宋_GB2312" w:hAnsi="仿宋_GB2312" w:eastAsia="仿宋_GB2312" w:cs="仿宋_GB2312"/>
          <w:color w:val="auto"/>
          <w:sz w:val="28"/>
          <w:szCs w:val="28"/>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甲方只对合同约定的甲方指定收货人、甲方项目负责人在送</w:t>
      </w:r>
      <w:r>
        <w:rPr>
          <w:rFonts w:hint="eastAsia" w:ascii="仿宋_GB2312" w:hAnsi="仿宋_GB2312" w:eastAsia="仿宋_GB2312" w:cs="仿宋_GB2312"/>
          <w:b/>
          <w:color w:val="auto"/>
          <w:sz w:val="28"/>
          <w:szCs w:val="28"/>
          <w:highlight w:val="none"/>
        </w:rPr>
        <w:t>货原始单据</w:t>
      </w:r>
      <w:r>
        <w:rPr>
          <w:rFonts w:hint="eastAsia" w:ascii="仿宋_GB2312" w:hAnsi="仿宋_GB2312" w:eastAsia="仿宋_GB2312" w:cs="仿宋_GB2312"/>
          <w:color w:val="auto"/>
          <w:sz w:val="28"/>
          <w:szCs w:val="28"/>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除甲方指定收货人、甲方项目负责人之外的甲方任何个人在</w:t>
      </w:r>
      <w:r>
        <w:rPr>
          <w:rFonts w:hint="eastAsia" w:ascii="仿宋_GB2312" w:hAnsi="仿宋_GB2312" w:eastAsia="仿宋_GB2312" w:cs="仿宋_GB2312"/>
          <w:b/>
          <w:color w:val="auto"/>
          <w:sz w:val="28"/>
          <w:szCs w:val="28"/>
          <w:highlight w:val="none"/>
        </w:rPr>
        <w:t>送货原始单据</w:t>
      </w:r>
      <w:r>
        <w:rPr>
          <w:rFonts w:hint="eastAsia" w:ascii="仿宋_GB2312" w:hAnsi="仿宋_GB2312" w:eastAsia="仿宋_GB2312" w:cs="仿宋_GB2312"/>
          <w:color w:val="auto"/>
          <w:sz w:val="28"/>
          <w:szCs w:val="28"/>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4、送货原始单据</w:t>
      </w:r>
      <w:r>
        <w:rPr>
          <w:rFonts w:hint="eastAsia" w:ascii="仿宋_GB2312" w:hAnsi="仿宋_GB2312" w:eastAsia="仿宋_GB2312" w:cs="仿宋_GB2312"/>
          <w:color w:val="auto"/>
          <w:sz w:val="28"/>
          <w:szCs w:val="28"/>
          <w:highlight w:val="none"/>
          <w:lang w:val="en-US" w:eastAsia="zh-CN"/>
        </w:rPr>
        <w:t>一式三联</w:t>
      </w:r>
      <w:r>
        <w:rPr>
          <w:rFonts w:hint="eastAsia" w:ascii="仿宋_GB2312" w:hAnsi="仿宋_GB2312" w:eastAsia="仿宋_GB2312" w:cs="仿宋_GB2312"/>
          <w:color w:val="auto"/>
          <w:sz w:val="28"/>
          <w:szCs w:val="28"/>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五、支付条件、支付方式、结算方式、发票开具及收款方账户</w:t>
      </w:r>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1、支付条件： 本合同支付条件按照下列第</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（1）货到工地并经甲方相关部门验收通过后，第四个月支付第一个月供货金额的100%。</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（2）合同签订后3个工作日内支付合同暂定金额的</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（3）其他：</w:t>
      </w:r>
      <w:r>
        <w:rPr>
          <w:rFonts w:hint="eastAsia" w:ascii="仿宋_GB2312" w:hAnsi="仿宋_GB2312" w:eastAsia="仿宋_GB2312" w:cs="仿宋_GB2312"/>
          <w:color w:val="auto"/>
          <w:sz w:val="28"/>
          <w:szCs w:val="28"/>
          <w:highlight w:val="none"/>
          <w:u w:val="single"/>
        </w:rPr>
        <w:t xml:space="preserve">       /       。</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2、支付方式：公对公转账。</w:t>
      </w:r>
    </w:p>
    <w:p w14:paraId="3B14CE4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3、结算方式：第四个月对第一个月按照合同中约定的采购单价和甲乙双方签字确认的实际供货数量进行月度结算，以此类推，如有新增内容，双方另行协商确定单价。</w:t>
      </w:r>
    </w:p>
    <w:p w14:paraId="65B9FF3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地址：</w:t>
      </w:r>
      <w:r>
        <w:rPr>
          <w:rFonts w:hint="eastAsia" w:ascii="仿宋_GB2312" w:hAnsi="仿宋_GB2312" w:eastAsia="仿宋_GB2312" w:cs="仿宋_GB2312"/>
          <w:color w:val="auto"/>
          <w:sz w:val="28"/>
          <w:szCs w:val="28"/>
          <w:highlight w:val="none"/>
        </w:rPr>
        <w:t>南宁市青秀区凤岭北路111号南宁国际旅游中心3号楼38层</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开户行：中国建设银行股份有限公司南宁金湖北路支行</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账号：45001604264050702251</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税号：91450100198466905E</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六、质保金金额、质保期限、质保要求</w:t>
      </w:r>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1、本合同质保金按照下列第（</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（1）质保金金额</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；质保期限</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（2）预留结算金额的</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作为质保金；质保期限为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（1）质保期内，凡因产品造成的质量事故和质量缺陷、脱落</w:t>
      </w:r>
      <w:r>
        <w:rPr>
          <w:rFonts w:hint="eastAsia" w:ascii="仿宋_GB2312" w:hAnsi="仿宋_GB2312" w:eastAsia="仿宋_GB2312" w:cs="仿宋_GB2312"/>
          <w:color w:val="auto"/>
          <w:sz w:val="28"/>
          <w:szCs w:val="28"/>
          <w:highlight w:val="none"/>
          <w:lang w:eastAsia="zh-CN"/>
        </w:rPr>
        <w:t>等</w:t>
      </w:r>
      <w:r>
        <w:rPr>
          <w:rFonts w:hint="eastAsia" w:ascii="仿宋_GB2312" w:hAnsi="仿宋_GB2312" w:eastAsia="仿宋_GB2312" w:cs="仿宋_GB2312"/>
          <w:color w:val="auto"/>
          <w:sz w:val="28"/>
          <w:szCs w:val="28"/>
          <w:highlight w:val="none"/>
        </w:rPr>
        <w:t>由乙方负责无偿保修和承担甲方及客户的一切损失损害赔偿责任，</w:t>
      </w:r>
      <w:r>
        <w:rPr>
          <w:rFonts w:hint="eastAsia" w:ascii="仿宋_GB2312" w:hAnsi="仿宋_GB2312" w:eastAsia="仿宋_GB2312" w:cs="仿宋_GB2312"/>
          <w:color w:val="auto"/>
          <w:sz w:val="28"/>
          <w:szCs w:val="28"/>
          <w:highlight w:val="none"/>
          <w:lang w:val="en-US" w:eastAsia="zh-CN"/>
        </w:rPr>
        <w:t>货物或产品</w:t>
      </w:r>
      <w:r>
        <w:rPr>
          <w:rFonts w:hint="eastAsia" w:ascii="仿宋_GB2312" w:hAnsi="仿宋_GB2312" w:eastAsia="仿宋_GB2312" w:cs="仿宋_GB2312"/>
          <w:color w:val="auto"/>
          <w:sz w:val="28"/>
          <w:szCs w:val="28"/>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5" w:firstLineChars="176"/>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七、违约责任</w:t>
      </w:r>
    </w:p>
    <w:p w14:paraId="1FBF3359">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1、若乙方提供的样板未达到甲方要求，且送样三次均未达标，甲方有权解除合同。</w:t>
      </w:r>
      <w:r>
        <w:rPr>
          <w:rFonts w:hint="eastAsia" w:ascii="仿宋_GB2312" w:hAnsi="仿宋_GB2312" w:eastAsia="仿宋_GB2312" w:cs="仿宋_GB2312"/>
          <w:color w:val="auto"/>
          <w:sz w:val="28"/>
          <w:szCs w:val="28"/>
          <w:highlight w:val="none"/>
          <w:lang w:val="en-US" w:eastAsia="zh-CN"/>
        </w:rPr>
        <w:t xml:space="preserve">  </w:t>
      </w:r>
    </w:p>
    <w:p w14:paraId="4554EC1C">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kern w:val="2"/>
          <w:sz w:val="28"/>
          <w:szCs w:val="28"/>
          <w:highlight w:val="none"/>
        </w:rPr>
        <w:t>2.</w:t>
      </w:r>
      <w:r>
        <w:rPr>
          <w:rFonts w:hint="eastAsia" w:ascii="仿宋_GB2312" w:hAnsi="仿宋_GB2312" w:eastAsia="仿宋_GB2312" w:cs="仿宋_GB2312"/>
          <w:color w:val="auto"/>
          <w:sz w:val="28"/>
          <w:szCs w:val="28"/>
          <w:highlight w:val="none"/>
        </w:rPr>
        <w:t>如因乙方原因，未能按照甲方要求的时限</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，预计必将影响后续目标实现的，甲方有权采取立即组织委托第三方</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。乙方同意甲方在其当期</w:t>
      </w:r>
      <w:r>
        <w:rPr>
          <w:rFonts w:hint="eastAsia" w:ascii="仿宋_GB2312" w:hAnsi="仿宋_GB2312" w:eastAsia="仿宋_GB2312" w:cs="仿宋_GB2312"/>
          <w:color w:val="auto"/>
          <w:sz w:val="28"/>
          <w:szCs w:val="28"/>
          <w:highlight w:val="none"/>
          <w:lang w:val="en-US" w:eastAsia="zh-CN"/>
        </w:rPr>
        <w:t>货</w:t>
      </w:r>
      <w:r>
        <w:rPr>
          <w:rFonts w:hint="eastAsia" w:ascii="仿宋_GB2312" w:hAnsi="仿宋_GB2312" w:eastAsia="仿宋_GB2312" w:cs="仿宋_GB2312"/>
          <w:color w:val="auto"/>
          <w:sz w:val="28"/>
          <w:szCs w:val="28"/>
          <w:highlight w:val="none"/>
        </w:rPr>
        <w:t>款或结算款支付时按照甲方认定的第三方</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产生费用的1.5倍进行扣除</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并赔偿由此给甲方造成的损失（</w:t>
      </w:r>
      <w:r>
        <w:rPr>
          <w:rFonts w:hint="eastAsia" w:ascii="仿宋_GB2312" w:hAnsi="仿宋_GB2312" w:eastAsia="仿宋_GB2312" w:cs="仿宋_GB2312"/>
          <w:color w:val="auto"/>
          <w:sz w:val="28"/>
          <w:szCs w:val="28"/>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w:t>
      </w:r>
    </w:p>
    <w:p w14:paraId="7FCCE1CA">
      <w:pPr>
        <w:pStyle w:val="34"/>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2"/>
          <w:sz w:val="28"/>
          <w:szCs w:val="28"/>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、乙方超出合同约定的供货时间</w:t>
      </w:r>
      <w:r>
        <w:rPr>
          <w:rFonts w:hint="eastAsia" w:ascii="仿宋_GB2312" w:hAnsi="仿宋_GB2312" w:eastAsia="仿宋_GB2312" w:cs="仿宋_GB2312"/>
          <w:color w:val="auto"/>
          <w:sz w:val="28"/>
          <w:szCs w:val="28"/>
          <w:highlight w:val="none"/>
          <w:u w:val="single"/>
        </w:rPr>
        <w:t xml:space="preserve">  5  </w:t>
      </w:r>
      <w:r>
        <w:rPr>
          <w:rFonts w:hint="eastAsia" w:ascii="仿宋_GB2312" w:hAnsi="仿宋_GB2312" w:eastAsia="仿宋_GB2312" w:cs="仿宋_GB2312"/>
          <w:color w:val="auto"/>
          <w:sz w:val="28"/>
          <w:szCs w:val="28"/>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_GB2312" w:hAnsi="仿宋_GB2312" w:eastAsia="仿宋_GB2312" w:cs="仿宋_GB2312"/>
          <w:color w:val="auto"/>
          <w:kern w:val="2"/>
          <w:sz w:val="28"/>
          <w:szCs w:val="28"/>
          <w:highlight w:val="none"/>
          <w:lang w:val="en-US" w:eastAsia="zh-CN" w:bidi="ar-SA"/>
        </w:rPr>
        <w:t>按</w:t>
      </w:r>
      <w:r>
        <w:rPr>
          <w:rFonts w:hint="eastAsia" w:ascii="仿宋_GB2312" w:hAnsi="仿宋_GB2312" w:eastAsia="仿宋_GB2312" w:cs="仿宋_GB2312"/>
          <w:color w:val="auto"/>
          <w:sz w:val="28"/>
          <w:szCs w:val="28"/>
          <w:highlight w:val="none"/>
        </w:rPr>
        <w:t>以人民币1000-5000</w:t>
      </w:r>
      <w:r>
        <w:rPr>
          <w:rFonts w:hint="eastAsia" w:ascii="仿宋_GB2312" w:hAnsi="仿宋_GB2312" w:eastAsia="仿宋_GB2312" w:cs="仿宋_GB2312"/>
          <w:color w:val="auto"/>
          <w:sz w:val="28"/>
          <w:szCs w:val="28"/>
          <w:highlight w:val="none"/>
          <w:lang w:val="en-US" w:eastAsia="zh-CN"/>
        </w:rPr>
        <w:t>0</w:t>
      </w:r>
      <w:r>
        <w:rPr>
          <w:rFonts w:hint="eastAsia" w:ascii="仿宋_GB2312" w:hAnsi="仿宋_GB2312" w:eastAsia="仿宋_GB2312" w:cs="仿宋_GB2312"/>
          <w:color w:val="auto"/>
          <w:sz w:val="28"/>
          <w:szCs w:val="28"/>
          <w:highlight w:val="none"/>
        </w:rPr>
        <w:t>元/次</w:t>
      </w:r>
      <w:r>
        <w:rPr>
          <w:rFonts w:hint="eastAsia" w:ascii="仿宋_GB2312" w:hAnsi="仿宋_GB2312" w:eastAsia="仿宋_GB2312" w:cs="仿宋_GB2312"/>
          <w:color w:val="auto"/>
          <w:kern w:val="2"/>
          <w:sz w:val="28"/>
          <w:szCs w:val="28"/>
          <w:highlight w:val="none"/>
          <w:lang w:val="en-US" w:eastAsia="zh-CN" w:bidi="ar-SA"/>
        </w:rPr>
        <w:t>收违约金</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kern w:val="2"/>
          <w:sz w:val="28"/>
          <w:szCs w:val="28"/>
          <w:highlight w:val="none"/>
          <w:lang w:val="en-US" w:eastAsia="zh-CN" w:bidi="ar-SA"/>
        </w:rPr>
        <w:t>违约金</w:t>
      </w:r>
      <w:r>
        <w:rPr>
          <w:rFonts w:hint="eastAsia" w:ascii="仿宋_GB2312" w:hAnsi="仿宋_GB2312" w:eastAsia="仿宋_GB2312" w:cs="仿宋_GB2312"/>
          <w:color w:val="auto"/>
          <w:sz w:val="28"/>
          <w:szCs w:val="28"/>
          <w:highlight w:val="none"/>
        </w:rPr>
        <w:t>由乙方自接到甲方</w:t>
      </w:r>
      <w:r>
        <w:rPr>
          <w:rFonts w:hint="eastAsia" w:ascii="仿宋_GB2312" w:hAnsi="仿宋_GB2312" w:eastAsia="仿宋_GB2312" w:cs="仿宋_GB2312"/>
          <w:color w:val="auto"/>
          <w:kern w:val="2"/>
          <w:sz w:val="28"/>
          <w:szCs w:val="28"/>
          <w:highlight w:val="none"/>
          <w:lang w:val="en-US" w:eastAsia="zh-CN" w:bidi="ar-SA"/>
        </w:rPr>
        <w:t>书面通知</w:t>
      </w:r>
      <w:r>
        <w:rPr>
          <w:rFonts w:hint="eastAsia" w:ascii="仿宋_GB2312" w:hAnsi="仿宋_GB2312" w:eastAsia="仿宋_GB2312" w:cs="仿宋_GB2312"/>
          <w:color w:val="auto"/>
          <w:sz w:val="28"/>
          <w:szCs w:val="28"/>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8</w:t>
      </w:r>
      <w:r>
        <w:rPr>
          <w:rFonts w:hint="eastAsia" w:ascii="仿宋_GB2312" w:hAnsi="仿宋_GB2312" w:eastAsia="仿宋_GB2312" w:cs="仿宋_GB2312"/>
          <w:color w:val="auto"/>
          <w:sz w:val="28"/>
          <w:szCs w:val="28"/>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468FCD6">
      <w:pPr>
        <w:keepNext w:val="0"/>
        <w:keepLines w:val="0"/>
        <w:pageBreakBefore w:val="0"/>
        <w:kinsoku/>
        <w:overflowPunct/>
        <w:topLinePunct w:val="0"/>
        <w:autoSpaceDE/>
        <w:autoSpaceDN/>
        <w:bidi w:val="0"/>
        <w:adjustRightInd/>
        <w:spacing w:afterAutospacing="0" w:line="440" w:lineRule="exact"/>
        <w:ind w:left="0" w:leftChars="0" w:right="0" w:rightChars="0" w:firstLine="498"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八、</w:t>
      </w:r>
      <w:r>
        <w:rPr>
          <w:rFonts w:hint="eastAsia" w:ascii="仿宋_GB2312" w:hAnsi="仿宋_GB2312" w:eastAsia="仿宋_GB2312" w:cs="仿宋_GB2312"/>
          <w:color w:val="auto"/>
          <w:sz w:val="28"/>
          <w:szCs w:val="28"/>
          <w:highlight w:val="none"/>
          <w:lang w:val="en-US" w:eastAsia="zh-CN"/>
        </w:rPr>
        <w:t>通知与送达：</w:t>
      </w:r>
      <w:r>
        <w:rPr>
          <w:rFonts w:hint="eastAsia" w:ascii="仿宋_GB2312" w:hAnsi="仿宋_GB2312" w:eastAsia="仿宋_GB2312" w:cs="仿宋_GB2312"/>
          <w:color w:val="auto"/>
          <w:sz w:val="28"/>
          <w:szCs w:val="28"/>
          <w:highlight w:val="none"/>
        </w:rPr>
        <w:t xml:space="preserve"> </w:t>
      </w:r>
    </w:p>
    <w:p w14:paraId="03595F0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1.双方确认，本合同载明的各方地址为双方真实有效通讯地址。与签订及履行本合同有关的一切通知、函件或其他法律文件，甲乙双方均应按照上述指定联系人及地址送达。 </w:t>
      </w:r>
    </w:p>
    <w:p w14:paraId="4C4A0717">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2.以专人送达的，由指定联系人签字之日为送达日；以信件或快递方式送达的，以发</w:t>
      </w:r>
      <w:r>
        <w:rPr>
          <w:rFonts w:hint="eastAsia" w:ascii="仿宋_GB2312" w:hAnsi="仿宋_GB2312" w:eastAsia="仿宋_GB2312" w:cs="仿宋_GB2312"/>
          <w:color w:val="auto"/>
          <w:sz w:val="28"/>
          <w:szCs w:val="28"/>
          <w:highlight w:val="none"/>
        </w:rPr>
        <w:t xml:space="preserve">邮后第三日视为送达；以电子 邮件 方式送达的，以发送一方系统显示的发送成功之日为送达日；发出方同时采取上述方式送达的，以最先实现送达的方式确定送达日期。 </w:t>
      </w:r>
    </w:p>
    <w:p w14:paraId="5838C5E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5F55AB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 xml:space="preserve">合同送达条款为独立条款，不受合同整体或其他条款的效力的影响。 </w:t>
      </w:r>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b/>
          <w:color w:val="auto"/>
          <w:sz w:val="28"/>
          <w:szCs w:val="28"/>
          <w:highlight w:val="none"/>
          <w:lang w:val="en-US" w:eastAsia="zh-CN"/>
        </w:rPr>
        <w:t>九、</w:t>
      </w:r>
      <w:r>
        <w:rPr>
          <w:rFonts w:hint="eastAsia" w:ascii="仿宋_GB2312" w:hAnsi="仿宋_GB2312" w:eastAsia="仿宋_GB2312" w:cs="仿宋_GB2312"/>
          <w:b/>
          <w:color w:val="auto"/>
          <w:sz w:val="28"/>
          <w:szCs w:val="28"/>
          <w:highlight w:val="none"/>
        </w:rPr>
        <w:t>其他约定事项：</w:t>
      </w:r>
      <w:r>
        <w:rPr>
          <w:rFonts w:hint="eastAsia" w:ascii="仿宋_GB2312" w:hAnsi="仿宋_GB2312" w:eastAsia="仿宋_GB2312" w:cs="仿宋_GB2312"/>
          <w:color w:val="auto"/>
          <w:sz w:val="28"/>
          <w:szCs w:val="28"/>
          <w:highlight w:val="none"/>
          <w:u w:val="single"/>
        </w:rPr>
        <w:t xml:space="preserve"> 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十</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未尽事宜，双方协商解决；协调不成，依法向签约所在地人民法院起诉。</w:t>
      </w:r>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一</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本合同有效期自甲乙双方签字盖章日起生效，直至对供应项目供货完成且最终结算为止。</w:t>
      </w:r>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二</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本合同一式四份，甲方执三份，乙方执一份，双方签字盖章后生效。</w:t>
      </w:r>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footerReference r:id="rId3" w:type="default"/>
          <w:pgSz w:w="11906" w:h="16838"/>
          <w:pgMar w:top="1440" w:right="1474" w:bottom="1440" w:left="1474" w:header="851" w:footer="992" w:gutter="0"/>
          <w:cols w:space="720" w:num="1"/>
          <w:docGrid w:type="lines" w:linePitch="312" w:charSpace="0"/>
        </w:sectPr>
      </w:pPr>
    </w:p>
    <w:p w14:paraId="23841CC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p>
    <w:p w14:paraId="6BB88BE7">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_GB2312" w:hAnsi="仿宋_GB2312" w:eastAsia="仿宋_GB2312" w:cs="仿宋_GB2312"/>
          <w:b/>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305E2B4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合同附件：</w:t>
      </w:r>
    </w:p>
    <w:p w14:paraId="1AF73423">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color w:val="auto"/>
          <w:sz w:val="28"/>
          <w:szCs w:val="28"/>
          <w:highlight w:val="none"/>
        </w:rPr>
        <w:t>附件一：</w:t>
      </w:r>
      <w:r>
        <w:rPr>
          <w:rFonts w:hint="eastAsia" w:ascii="仿宋_GB2312" w:hAnsi="仿宋_GB2312" w:eastAsia="仿宋_GB2312" w:cs="仿宋_GB2312"/>
          <w:bCs/>
          <w:color w:val="auto"/>
          <w:sz w:val="28"/>
          <w:szCs w:val="28"/>
          <w:highlight w:val="none"/>
          <w:u w:val="single"/>
        </w:rPr>
        <w:t>合同清单</w:t>
      </w:r>
    </w:p>
    <w:p w14:paraId="627E300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附件二：工程建设项目廉政责任书</w:t>
      </w:r>
    </w:p>
    <w:p w14:paraId="5957C12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附件三：供货通知</w:t>
      </w:r>
    </w:p>
    <w:p w14:paraId="149E6F4F">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sectPr>
          <w:type w:val="continuous"/>
          <w:pgSz w:w="11906" w:h="16838"/>
          <w:pgMar w:top="1440" w:right="1474" w:bottom="1440" w:left="1474" w:header="851" w:footer="992" w:gutter="0"/>
          <w:cols w:space="425" w:num="1"/>
          <w:docGrid w:type="lines" w:linePitch="312" w:charSpace="0"/>
        </w:sectPr>
      </w:pPr>
    </w:p>
    <w:p w14:paraId="08992D1B">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bCs/>
          <w:color w:val="auto"/>
          <w:sz w:val="28"/>
          <w:szCs w:val="28"/>
          <w:highlight w:val="none"/>
          <w:u w:val="single"/>
        </w:rPr>
        <w:br w:type="page"/>
      </w:r>
    </w:p>
    <w:p w14:paraId="1A52877B">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（以下无正文）</w:t>
      </w:r>
    </w:p>
    <w:p w14:paraId="20F9678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1ECD2B89">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67CA39D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300477E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B89268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C0F7CC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6FC399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22FC482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甲方名称（公章）</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 xml:space="preserve"> 南宁轨道地产建筑工程有限责任公司</w:t>
      </w:r>
    </w:p>
    <w:p w14:paraId="2EBDE13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E9CB29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5DFC96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33E6E01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单位地址：南宁市青秀区凤岭北路111号南宁国际旅游中心3号楼3601-3603、3605-3607、3701-3703、3705-3713、3715-</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 xml:space="preserve">716、3801-3803、3805-3813、3815-3816  </w:t>
      </w:r>
    </w:p>
    <w:p w14:paraId="793F58F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r>
        <w:rPr>
          <w:rFonts w:hint="eastAsia" w:ascii="仿宋_GB2312" w:hAnsi="仿宋_GB2312" w:eastAsia="仿宋_GB2312" w:cs="仿宋_GB2312"/>
          <w:color w:val="auto"/>
          <w:kern w:val="0"/>
          <w:sz w:val="28"/>
          <w:szCs w:val="28"/>
          <w:highlight w:val="none"/>
        </w:rPr>
        <w:t xml:space="preserve"> </w:t>
      </w:r>
      <w:r>
        <w:rPr>
          <w:rFonts w:hint="eastAsia" w:ascii="仿宋_GB2312" w:hAnsi="仿宋_GB2312" w:eastAsia="仿宋_GB2312" w:cs="仿宋_GB2312"/>
          <w:color w:val="auto"/>
          <w:sz w:val="28"/>
          <w:szCs w:val="28"/>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南宁金湖北路支行</w:t>
      </w:r>
    </w:p>
    <w:p w14:paraId="172E8E3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 4500 1604 2640 5070 2251</w:t>
      </w:r>
    </w:p>
    <w:p w14:paraId="0EA0627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联系电话：0771-5863298</w:t>
      </w:r>
    </w:p>
    <w:p w14:paraId="0615188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签约地点：南宁市青秀区</w:t>
      </w:r>
    </w:p>
    <w:p w14:paraId="31B1CFB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签约时间：      年   月   日</w:t>
      </w:r>
    </w:p>
    <w:p w14:paraId="35954F0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246EFDC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6A9568D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466B64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13393F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0B8613B">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58304D">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A5B18A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0394787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44F3340">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536E7E0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乙方名称（公章）：</w:t>
      </w:r>
    </w:p>
    <w:p w14:paraId="3C48B64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2DA68F1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法人联系电话：</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附件一：合同清单（包括但不限于以下内容）</w:t>
      </w:r>
    </w:p>
    <w:tbl>
      <w:tblPr>
        <w:tblStyle w:val="17"/>
        <w:tblW w:w="4994" w:type="pct"/>
        <w:tblInd w:w="0" w:type="dxa"/>
        <w:tblLayout w:type="autofit"/>
        <w:tblCellMar>
          <w:top w:w="0" w:type="dxa"/>
          <w:left w:w="108" w:type="dxa"/>
          <w:bottom w:w="0" w:type="dxa"/>
          <w:right w:w="108" w:type="dxa"/>
        </w:tblCellMar>
      </w:tblPr>
      <w:tblGrid>
        <w:gridCol w:w="496"/>
        <w:gridCol w:w="1616"/>
        <w:gridCol w:w="1016"/>
        <w:gridCol w:w="821"/>
        <w:gridCol w:w="1039"/>
        <w:gridCol w:w="825"/>
        <w:gridCol w:w="1057"/>
        <w:gridCol w:w="1145"/>
        <w:gridCol w:w="497"/>
      </w:tblGrid>
      <w:tr w14:paraId="0872FF94">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序号</w:t>
            </w:r>
          </w:p>
        </w:tc>
        <w:tc>
          <w:tcPr>
            <w:tcW w:w="956"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材料或设备名称</w:t>
            </w:r>
          </w:p>
        </w:tc>
        <w:tc>
          <w:tcPr>
            <w:tcW w:w="603"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规格</w:t>
            </w:r>
          </w:p>
        </w:tc>
        <w:tc>
          <w:tcPr>
            <w:tcW w:w="489"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品牌</w:t>
            </w:r>
          </w:p>
        </w:tc>
        <w:tc>
          <w:tcPr>
            <w:tcW w:w="617"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数量</w:t>
            </w:r>
          </w:p>
        </w:tc>
        <w:tc>
          <w:tcPr>
            <w:tcW w:w="489"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单位</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综合单价（元）</w:t>
            </w:r>
          </w:p>
        </w:tc>
        <w:tc>
          <w:tcPr>
            <w:tcW w:w="682"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小计金额（元）</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备注</w:t>
            </w:r>
          </w:p>
        </w:tc>
      </w:tr>
      <w:tr w14:paraId="5A01FBA1">
        <w:tblPrEx>
          <w:tblCellMar>
            <w:top w:w="0" w:type="dxa"/>
            <w:left w:w="108" w:type="dxa"/>
            <w:bottom w:w="0" w:type="dxa"/>
            <w:right w:w="108" w:type="dxa"/>
          </w:tblCellMar>
        </w:tblPrEx>
        <w:trPr>
          <w:trHeight w:val="660" w:hRule="atLeast"/>
        </w:trPr>
        <w:tc>
          <w:tcPr>
            <w:tcW w:w="426" w:type="dxa"/>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40154103">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C3D1A90">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44A2EC3E">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5C5DED64">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46BE1FB">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009CAB81">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83CFC36">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390A78ED">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358F0982">
        <w:tblPrEx>
          <w:tblCellMar>
            <w:top w:w="0" w:type="dxa"/>
            <w:left w:w="108" w:type="dxa"/>
            <w:bottom w:w="0" w:type="dxa"/>
            <w:right w:w="108" w:type="dxa"/>
          </w:tblCellMar>
        </w:tblPrEx>
        <w:trPr>
          <w:trHeight w:val="402" w:hRule="atLeast"/>
        </w:trPr>
        <w:tc>
          <w:tcPr>
            <w:tcW w:w="5000" w:type="pct"/>
            <w:gridSpan w:val="9"/>
            <w:tcBorders>
              <w:top w:val="nil"/>
              <w:left w:val="single" w:color="auto" w:sz="4" w:space="0"/>
              <w:bottom w:val="single" w:color="auto" w:sz="4" w:space="0"/>
              <w:right w:val="single" w:color="auto" w:sz="4" w:space="0"/>
            </w:tcBorders>
            <w:noWrap w:val="0"/>
            <w:vAlign w:val="center"/>
          </w:tcPr>
          <w:p w14:paraId="6D935069">
            <w:pPr>
              <w:keepNext w:val="0"/>
              <w:keepLines w:val="0"/>
              <w:pageBreakBefore w:val="0"/>
              <w:widowControl/>
              <w:numPr>
                <w:ilvl w:val="0"/>
                <w:numId w:val="0"/>
              </w:numPr>
              <w:kinsoku/>
              <w:overflowPunct/>
              <w:topLinePunct w:val="0"/>
              <w:autoSpaceDE/>
              <w:autoSpaceDN/>
              <w:bidi w:val="0"/>
              <w:adjustRightInd/>
              <w:spacing w:afterAutospacing="0" w:line="440" w:lineRule="exact"/>
              <w:ind w:left="0" w:leftChars="0" w:right="0" w:rightChars="0" w:firstLine="840" w:firstLineChars="300"/>
              <w:jc w:val="left"/>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备注：</w:t>
            </w:r>
          </w:p>
        </w:tc>
      </w:tr>
      <w:tr w14:paraId="26F315B4">
        <w:tblPrEx>
          <w:tblCellMar>
            <w:top w:w="0" w:type="dxa"/>
            <w:left w:w="108" w:type="dxa"/>
            <w:bottom w:w="0" w:type="dxa"/>
            <w:right w:w="108" w:type="dxa"/>
          </w:tblCellMar>
        </w:tblPrEx>
        <w:trPr>
          <w:trHeight w:val="510" w:hRule="atLeast"/>
        </w:trPr>
        <w:tc>
          <w:tcPr>
            <w:tcW w:w="3406"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rPr>
              <w:t>合计总金额（大写）：</w:t>
            </w:r>
            <w:r>
              <w:rPr>
                <w:rFonts w:hint="eastAsia" w:ascii="仿宋_GB2312" w:hAnsi="仿宋_GB2312" w:eastAsia="仿宋_GB2312" w:cs="仿宋_GB2312"/>
                <w:color w:val="auto"/>
                <w:kern w:val="0"/>
                <w:sz w:val="28"/>
                <w:szCs w:val="28"/>
                <w:highlight w:val="none"/>
                <w:lang w:val="en-US" w:eastAsia="zh-CN"/>
              </w:rPr>
              <w:t xml:space="preserve">   </w:t>
            </w:r>
          </w:p>
        </w:tc>
        <w:tc>
          <w:tcPr>
            <w:tcW w:w="1593"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Cs/>
                <w:color w:val="auto"/>
                <w:kern w:val="0"/>
                <w:sz w:val="28"/>
                <w:szCs w:val="28"/>
                <w:highlight w:val="none"/>
              </w:rPr>
            </w:pPr>
            <w:r>
              <w:rPr>
                <w:rFonts w:hint="eastAsia" w:ascii="仿宋_GB2312" w:hAnsi="仿宋_GB2312" w:eastAsia="仿宋_GB2312" w:cs="仿宋_GB2312"/>
                <w:bCs/>
                <w:color w:val="auto"/>
                <w:kern w:val="0"/>
                <w:sz w:val="28"/>
                <w:szCs w:val="28"/>
                <w:highlight w:val="none"/>
              </w:rPr>
              <w:t xml:space="preserve">￥ </w:t>
            </w:r>
            <w:r>
              <w:rPr>
                <w:rFonts w:hint="eastAsia" w:ascii="仿宋_GB2312" w:hAnsi="仿宋_GB2312" w:eastAsia="仿宋_GB2312" w:cs="仿宋_GB2312"/>
                <w:bCs/>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u w:val="single"/>
                <w:lang w:val="en-US" w:eastAsia="zh-CN"/>
              </w:rPr>
              <w:t xml:space="preserve">     </w:t>
            </w:r>
            <w:r>
              <w:rPr>
                <w:rFonts w:hint="eastAsia" w:ascii="仿宋_GB2312" w:hAnsi="仿宋_GB2312" w:eastAsia="仿宋_GB2312" w:cs="仿宋_GB2312"/>
                <w:color w:val="auto"/>
                <w:kern w:val="0"/>
                <w:sz w:val="28"/>
                <w:szCs w:val="28"/>
                <w:highlight w:val="none"/>
                <w:u w:val="single"/>
              </w:rPr>
              <w:t xml:space="preserve"> </w:t>
            </w:r>
            <w:r>
              <w:rPr>
                <w:rFonts w:hint="eastAsia" w:ascii="仿宋_GB2312" w:hAnsi="仿宋_GB2312" w:eastAsia="仿宋_GB2312" w:cs="仿宋_GB2312"/>
                <w:bCs/>
                <w:color w:val="auto"/>
                <w:kern w:val="0"/>
                <w:sz w:val="28"/>
                <w:szCs w:val="28"/>
                <w:highlight w:val="none"/>
              </w:rPr>
              <w:t>元</w:t>
            </w:r>
          </w:p>
        </w:tc>
      </w:tr>
    </w:tbl>
    <w:p w14:paraId="1E1931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8BC5E8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br w:type="page"/>
      </w:r>
      <w:r>
        <w:rPr>
          <w:rFonts w:hint="eastAsia" w:ascii="仿宋_GB2312" w:hAnsi="仿宋_GB2312" w:eastAsia="仿宋_GB2312" w:cs="仿宋_GB2312"/>
          <w:color w:val="auto"/>
          <w:sz w:val="28"/>
          <w:szCs w:val="28"/>
          <w:highlight w:val="none"/>
          <w:lang w:val="en-US" w:eastAsia="zh-CN"/>
        </w:rPr>
        <w:t>附件二：工程建设项目廉政责任书</w:t>
      </w: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6129A1F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工程建设项目廉政责任书</w:t>
      </w:r>
    </w:p>
    <w:p w14:paraId="2702247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w:t>
      </w:r>
      <w:r>
        <w:rPr>
          <w:rFonts w:hint="eastAsia" w:ascii="仿宋_GB2312" w:hAnsi="仿宋_GB2312" w:eastAsia="仿宋_GB2312" w:cs="仿宋_GB2312"/>
          <w:color w:val="auto"/>
          <w:sz w:val="28"/>
          <w:szCs w:val="28"/>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乙方：</w:t>
      </w:r>
      <w:r>
        <w:rPr>
          <w:rFonts w:hint="eastAsia" w:ascii="仿宋_GB2312" w:hAnsi="仿宋_GB2312" w:eastAsia="仿宋_GB2312" w:cs="仿宋_GB2312"/>
          <w:color w:val="auto"/>
          <w:sz w:val="28"/>
          <w:szCs w:val="28"/>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（一）应严格遵守国家关于市场准入、项目招标投标、工程建设、施工安装和市场活动等有关</w:t>
      </w:r>
      <w:r>
        <w:rPr>
          <w:rFonts w:hint="eastAsia" w:ascii="仿宋_GB2312" w:hAnsi="仿宋_GB2312" w:eastAsia="仿宋_GB2312" w:cs="仿宋_GB2312"/>
          <w:color w:val="auto"/>
          <w:sz w:val="28"/>
          <w:szCs w:val="28"/>
          <w:highlight w:val="none"/>
          <w:lang w:eastAsia="zh-CN"/>
        </w:rPr>
        <w:t>法律法规</w:t>
      </w:r>
      <w:r>
        <w:rPr>
          <w:rFonts w:hint="eastAsia" w:ascii="仿宋_GB2312" w:hAnsi="仿宋_GB2312" w:eastAsia="仿宋_GB2312" w:cs="仿宋_GB2312"/>
          <w:color w:val="auto"/>
          <w:sz w:val="28"/>
          <w:szCs w:val="28"/>
          <w:highlight w:val="none"/>
        </w:rPr>
        <w:t>、相关政策</w:t>
      </w:r>
      <w:r>
        <w:rPr>
          <w:rFonts w:hint="eastAsia" w:ascii="仿宋_GB2312" w:hAnsi="仿宋_GB2312" w:eastAsia="仿宋_GB2312" w:cs="仿宋_GB2312"/>
          <w:color w:val="auto"/>
          <w:sz w:val="28"/>
          <w:szCs w:val="28"/>
          <w:highlight w:val="none"/>
          <w:lang w:eastAsia="zh-CN"/>
        </w:rPr>
        <w:t>以及</w:t>
      </w:r>
      <w:r>
        <w:rPr>
          <w:rFonts w:hint="eastAsia" w:ascii="仿宋_GB2312" w:hAnsi="仿宋_GB2312" w:eastAsia="仿宋_GB2312" w:cs="仿宋_GB2312"/>
          <w:color w:val="auto"/>
          <w:sz w:val="28"/>
          <w:szCs w:val="28"/>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737" w:leftChars="142" w:right="0" w:rightChars="0" w:hanging="1439" w:hangingChars="514"/>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第七条  本责任书一式四份，由甲乙双方各执一份，送交甲乙双方的监督单位各一份。</w:t>
      </w:r>
    </w:p>
    <w:p w14:paraId="7AE7EA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25A0997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甲方单位：（盖章）           乙方单位：（盖章）</w:t>
      </w:r>
    </w:p>
    <w:p w14:paraId="56ACE25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7980B33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                  法定代表人或</w:t>
      </w:r>
    </w:p>
    <w:p w14:paraId="38A6CDA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授权代表（签字）：             授权代表（签字）：</w:t>
      </w:r>
    </w:p>
    <w:p w14:paraId="35EC442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p>
    <w:p w14:paraId="23A745A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1120" w:firstLineChars="4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年   月   日                  年   月   日</w:t>
      </w:r>
    </w:p>
    <w:p w14:paraId="78EA27DB">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081E18B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623F822">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ECC808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1994CC0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902972D">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F11C15">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85E553B">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613991BA">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9796F5">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7E8EF749">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232F6CF">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rPr>
        <w:t>：供货通知（根据具体情况进行调整）</w:t>
      </w:r>
    </w:p>
    <w:p w14:paraId="6137B0F7">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供 货 通 知</w:t>
      </w:r>
    </w:p>
    <w:p w14:paraId="6603A03A">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7560" w:firstLineChars="27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致：</w:t>
      </w:r>
      <w:r>
        <w:rPr>
          <w:rFonts w:hint="eastAsia" w:ascii="仿宋_GB2312" w:hAnsi="仿宋_GB2312" w:eastAsia="仿宋_GB2312" w:cs="仿宋_GB2312"/>
          <w:color w:val="auto"/>
          <w:sz w:val="28"/>
          <w:szCs w:val="28"/>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合同编号：</w:t>
      </w:r>
      <w:r>
        <w:rPr>
          <w:rFonts w:hint="eastAsia" w:ascii="仿宋_GB2312" w:hAnsi="仿宋_GB2312" w:eastAsia="仿宋_GB2312" w:cs="仿宋_GB2312"/>
          <w:color w:val="auto"/>
          <w:sz w:val="28"/>
          <w:szCs w:val="28"/>
          <w:highlight w:val="none"/>
          <w:u w:val="single"/>
          <w:lang w:val="en-US" w:eastAsia="zh-CN"/>
        </w:rPr>
        <w:t>XXXXXX</w:t>
      </w:r>
    </w:p>
    <w:p w14:paraId="3EA9C2D6">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合同名称：2026年-2027年南宁轨道地产建筑工程有限责任公司成品砂浆集中采购项目（1年）</w:t>
      </w:r>
      <w:r>
        <w:rPr>
          <w:rFonts w:hint="eastAsia" w:ascii="仿宋_GB2312" w:hAnsi="仿宋_GB2312" w:eastAsia="仿宋_GB2312" w:cs="仿宋_GB2312"/>
          <w:color w:val="auto"/>
          <w:sz w:val="28"/>
          <w:szCs w:val="28"/>
          <w:highlight w:val="none"/>
          <w:lang w:val="en-US" w:eastAsia="zh-CN"/>
        </w:rPr>
        <w:t>购销</w:t>
      </w:r>
      <w:r>
        <w:rPr>
          <w:rFonts w:hint="eastAsia" w:ascii="仿宋_GB2312" w:hAnsi="仿宋_GB2312" w:eastAsia="仿宋_GB2312" w:cs="仿宋_GB2312"/>
          <w:color w:val="auto"/>
          <w:sz w:val="28"/>
          <w:szCs w:val="28"/>
          <w:highlight w:val="none"/>
        </w:rPr>
        <w:t>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收货人：                            联系电话：</w:t>
      </w:r>
    </w:p>
    <w:p w14:paraId="1C4CF56D">
      <w:pPr>
        <w:pStyle w:val="6"/>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兹通知我司需要以下物资，请于下列日期送货至本供货通知的工程项目工地。</w:t>
      </w:r>
    </w:p>
    <w:p w14:paraId="4776E5B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仿宋_GB2312" w:hAnsi="仿宋_GB2312" w:eastAsia="仿宋_GB2312" w:cs="仿宋_GB2312"/>
          <w:color w:val="auto"/>
          <w:sz w:val="28"/>
          <w:szCs w:val="28"/>
          <w:highlight w:val="none"/>
        </w:rPr>
      </w:pPr>
    </w:p>
    <w:tbl>
      <w:tblPr>
        <w:tblStyle w:val="17"/>
        <w:tblW w:w="4911"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br w:type="page"/>
            </w:r>
            <w:r>
              <w:rPr>
                <w:rFonts w:hint="eastAsia" w:ascii="仿宋_GB2312" w:hAnsi="仿宋_GB2312" w:eastAsia="仿宋_GB2312" w:cs="仿宋_GB2312"/>
                <w:color w:val="auto"/>
                <w:kern w:val="0"/>
                <w:sz w:val="28"/>
                <w:szCs w:val="28"/>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kern w:val="0"/>
                <w:sz w:val="28"/>
                <w:szCs w:val="28"/>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bl>
    <w:p w14:paraId="69D0D0E7">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副本抄送：工程项目收货人。</w:t>
      </w:r>
    </w:p>
    <w:p w14:paraId="6CC28D8A">
      <w:pPr>
        <w:keepNext w:val="0"/>
        <w:keepLines w:val="0"/>
        <w:pageBreakBefore w:val="0"/>
        <w:kinsoku/>
        <w:wordWrap/>
        <w:overflowPunct/>
        <w:topLinePunct w:val="0"/>
        <w:autoSpaceDE/>
        <w:autoSpaceDN/>
        <w:bidi w:val="0"/>
        <w:adjustRightInd/>
        <w:snapToGrid/>
        <w:spacing w:afterAutospacing="0" w:line="440" w:lineRule="exact"/>
        <w:ind w:right="0" w:righ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南宁轨道地产建筑公司有限责任公司</w:t>
      </w:r>
    </w:p>
    <w:p w14:paraId="0169849C">
      <w:pPr>
        <w:pStyle w:val="6"/>
        <w:keepNext w:val="0"/>
        <w:keepLines w:val="0"/>
        <w:pageBreakBefore w:val="0"/>
        <w:kinsoku/>
        <w:wordWrap/>
        <w:overflowPunct/>
        <w:topLinePunct w:val="0"/>
        <w:autoSpaceDE/>
        <w:autoSpaceDN/>
        <w:bidi w:val="0"/>
        <w:adjustRightInd/>
        <w:snapToGrid/>
        <w:spacing w:before="0" w:after="0" w:afterAutospacing="0" w:line="440" w:lineRule="exact"/>
        <w:ind w:right="0" w:righ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合约采购部（盖章）</w:t>
      </w:r>
    </w:p>
    <w:p w14:paraId="796D3D5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经办人：</w:t>
      </w:r>
    </w:p>
    <w:p w14:paraId="07B6FB58">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color w:val="auto"/>
          <w:sz w:val="28"/>
          <w:szCs w:val="28"/>
          <w:highlight w:val="none"/>
        </w:rPr>
        <w:t>日期：</w:t>
      </w:r>
      <w:bookmarkStart w:id="0" w:name="RANGE!A1:H21"/>
      <w:bookmarkEnd w:id="0"/>
    </w:p>
    <w:bookmarkEnd w:id="1"/>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4"/>
      <w:pBdr>
        <w:bottom w:val="none" w:color="auto" w:sz="0" w:space="0"/>
      </w:pBdr>
      <w:ind w:right="-57"/>
      <w:jc w:val="both"/>
      <w:rPr>
        <w:rFonts w:ascii="宋体" w:hAnsi="宋体"/>
        <w:color w:val="000000"/>
        <w:sz w:val="15"/>
        <w:szCs w:val="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kZDg1NGYzZjNhY2M0NGFhZjg5MTZkZWQ0M2Q2OD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0A77"/>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5C4F75"/>
    <w:rsid w:val="056C5190"/>
    <w:rsid w:val="05700168"/>
    <w:rsid w:val="05997E8B"/>
    <w:rsid w:val="059B1E55"/>
    <w:rsid w:val="05A827C4"/>
    <w:rsid w:val="05C173E2"/>
    <w:rsid w:val="061027E2"/>
    <w:rsid w:val="063C4113"/>
    <w:rsid w:val="06400C4E"/>
    <w:rsid w:val="06640499"/>
    <w:rsid w:val="06A25465"/>
    <w:rsid w:val="06A92350"/>
    <w:rsid w:val="06BD04FC"/>
    <w:rsid w:val="06D550B2"/>
    <w:rsid w:val="070677A2"/>
    <w:rsid w:val="073D0CEA"/>
    <w:rsid w:val="07996868"/>
    <w:rsid w:val="07AA1C9F"/>
    <w:rsid w:val="0802440D"/>
    <w:rsid w:val="08055CAB"/>
    <w:rsid w:val="081A4B31"/>
    <w:rsid w:val="081C058D"/>
    <w:rsid w:val="08274BDD"/>
    <w:rsid w:val="082D603F"/>
    <w:rsid w:val="086C395F"/>
    <w:rsid w:val="087370B9"/>
    <w:rsid w:val="087C020B"/>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024061"/>
    <w:rsid w:val="0B102DEA"/>
    <w:rsid w:val="0B114967"/>
    <w:rsid w:val="0B4C599F"/>
    <w:rsid w:val="0B510CC2"/>
    <w:rsid w:val="0B68030A"/>
    <w:rsid w:val="0B68493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D14B8B"/>
    <w:rsid w:val="13EB01C3"/>
    <w:rsid w:val="140D10BC"/>
    <w:rsid w:val="14250B1D"/>
    <w:rsid w:val="143E2110"/>
    <w:rsid w:val="146D732C"/>
    <w:rsid w:val="147A17CF"/>
    <w:rsid w:val="147E12BF"/>
    <w:rsid w:val="148D32B1"/>
    <w:rsid w:val="14922675"/>
    <w:rsid w:val="14D0319D"/>
    <w:rsid w:val="153B3244"/>
    <w:rsid w:val="15A22D8C"/>
    <w:rsid w:val="162A064B"/>
    <w:rsid w:val="165E4F6A"/>
    <w:rsid w:val="16697A60"/>
    <w:rsid w:val="16D2774D"/>
    <w:rsid w:val="16E9753A"/>
    <w:rsid w:val="16F25A0C"/>
    <w:rsid w:val="1700420E"/>
    <w:rsid w:val="17060160"/>
    <w:rsid w:val="172F4AF3"/>
    <w:rsid w:val="17742506"/>
    <w:rsid w:val="1778054F"/>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0545F8"/>
    <w:rsid w:val="1A8538FA"/>
    <w:rsid w:val="1AC75042"/>
    <w:rsid w:val="1AD13776"/>
    <w:rsid w:val="1AE31E7C"/>
    <w:rsid w:val="1AEA0E54"/>
    <w:rsid w:val="1B122762"/>
    <w:rsid w:val="1B3E1A6F"/>
    <w:rsid w:val="1B440441"/>
    <w:rsid w:val="1B516EFF"/>
    <w:rsid w:val="1B721452"/>
    <w:rsid w:val="1B7828A4"/>
    <w:rsid w:val="1B801CC8"/>
    <w:rsid w:val="1B88172B"/>
    <w:rsid w:val="1B97689A"/>
    <w:rsid w:val="1B9A62B3"/>
    <w:rsid w:val="1BAB226E"/>
    <w:rsid w:val="1C07158C"/>
    <w:rsid w:val="1C20736E"/>
    <w:rsid w:val="1C3D736A"/>
    <w:rsid w:val="1C3F5943"/>
    <w:rsid w:val="1C4C59FD"/>
    <w:rsid w:val="1C642CF5"/>
    <w:rsid w:val="1C8C0407"/>
    <w:rsid w:val="1C8D752E"/>
    <w:rsid w:val="1CC46C32"/>
    <w:rsid w:val="1CFB7ED3"/>
    <w:rsid w:val="1D0D1432"/>
    <w:rsid w:val="1D0E1A25"/>
    <w:rsid w:val="1D3C1D18"/>
    <w:rsid w:val="1D3D2FA4"/>
    <w:rsid w:val="1D6D7F6D"/>
    <w:rsid w:val="1D807E56"/>
    <w:rsid w:val="1D8E6A35"/>
    <w:rsid w:val="1DA37E94"/>
    <w:rsid w:val="1DB206FF"/>
    <w:rsid w:val="1DDA4574"/>
    <w:rsid w:val="1DE9461A"/>
    <w:rsid w:val="1DED4108"/>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1D46DF"/>
    <w:rsid w:val="244D0366"/>
    <w:rsid w:val="244F40DF"/>
    <w:rsid w:val="24925E82"/>
    <w:rsid w:val="24BA35E1"/>
    <w:rsid w:val="24D34D10"/>
    <w:rsid w:val="251834B6"/>
    <w:rsid w:val="25316E3B"/>
    <w:rsid w:val="25685C13"/>
    <w:rsid w:val="256B25A7"/>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13795C"/>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641088"/>
    <w:rsid w:val="2D854FBB"/>
    <w:rsid w:val="2DD375EA"/>
    <w:rsid w:val="2DEE2BBA"/>
    <w:rsid w:val="2DF31DEB"/>
    <w:rsid w:val="2E073308"/>
    <w:rsid w:val="2E110657"/>
    <w:rsid w:val="2E457608"/>
    <w:rsid w:val="2E532A1D"/>
    <w:rsid w:val="2E536EC1"/>
    <w:rsid w:val="2E861113"/>
    <w:rsid w:val="2E861C9F"/>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AE4883"/>
    <w:rsid w:val="30D20571"/>
    <w:rsid w:val="31295CB7"/>
    <w:rsid w:val="3204466B"/>
    <w:rsid w:val="323112C7"/>
    <w:rsid w:val="3244724D"/>
    <w:rsid w:val="32805DAB"/>
    <w:rsid w:val="328C7E14"/>
    <w:rsid w:val="32E4458C"/>
    <w:rsid w:val="32F3657D"/>
    <w:rsid w:val="33072928"/>
    <w:rsid w:val="332E1CAB"/>
    <w:rsid w:val="333C7FD9"/>
    <w:rsid w:val="33491B2B"/>
    <w:rsid w:val="334A26CA"/>
    <w:rsid w:val="336D45D4"/>
    <w:rsid w:val="33775400"/>
    <w:rsid w:val="3396714B"/>
    <w:rsid w:val="33BC72B7"/>
    <w:rsid w:val="33EC194A"/>
    <w:rsid w:val="33EE2CBB"/>
    <w:rsid w:val="33F97153"/>
    <w:rsid w:val="3418634F"/>
    <w:rsid w:val="3437693D"/>
    <w:rsid w:val="346D04EA"/>
    <w:rsid w:val="34AE06E2"/>
    <w:rsid w:val="34B01D27"/>
    <w:rsid w:val="34D01715"/>
    <w:rsid w:val="34D85FC1"/>
    <w:rsid w:val="34E07AAC"/>
    <w:rsid w:val="3500097B"/>
    <w:rsid w:val="35216B3A"/>
    <w:rsid w:val="354237EC"/>
    <w:rsid w:val="355D23D3"/>
    <w:rsid w:val="358D4A67"/>
    <w:rsid w:val="35B73253"/>
    <w:rsid w:val="35C75553"/>
    <w:rsid w:val="35EF127D"/>
    <w:rsid w:val="36080591"/>
    <w:rsid w:val="364770C9"/>
    <w:rsid w:val="3653078B"/>
    <w:rsid w:val="3667175C"/>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0F30C4"/>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313C67"/>
    <w:rsid w:val="3F41064F"/>
    <w:rsid w:val="3F4351A4"/>
    <w:rsid w:val="3F536D21"/>
    <w:rsid w:val="3F6B74EC"/>
    <w:rsid w:val="3F9D7D00"/>
    <w:rsid w:val="3FB157F6"/>
    <w:rsid w:val="3FBB2D45"/>
    <w:rsid w:val="40047AC2"/>
    <w:rsid w:val="404F5E77"/>
    <w:rsid w:val="40556AC9"/>
    <w:rsid w:val="405E6418"/>
    <w:rsid w:val="406B3358"/>
    <w:rsid w:val="406E4439"/>
    <w:rsid w:val="407851F3"/>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EA268E"/>
    <w:rsid w:val="4AF34927"/>
    <w:rsid w:val="4B0B6702"/>
    <w:rsid w:val="4B3519D1"/>
    <w:rsid w:val="4BB02E05"/>
    <w:rsid w:val="4BB17561"/>
    <w:rsid w:val="4BBB72B9"/>
    <w:rsid w:val="4BD20FCE"/>
    <w:rsid w:val="4C0C793F"/>
    <w:rsid w:val="4C0D46FC"/>
    <w:rsid w:val="4C2D08FA"/>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117E83"/>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B70EC"/>
    <w:rsid w:val="574D1E50"/>
    <w:rsid w:val="575647A8"/>
    <w:rsid w:val="575D4053"/>
    <w:rsid w:val="578D41FE"/>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6715F"/>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D4D66"/>
    <w:rsid w:val="62521D73"/>
    <w:rsid w:val="62547CD1"/>
    <w:rsid w:val="626E0589"/>
    <w:rsid w:val="627824AF"/>
    <w:rsid w:val="627C183B"/>
    <w:rsid w:val="6280757E"/>
    <w:rsid w:val="62966DA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ADA193F"/>
    <w:rsid w:val="6ADA35A3"/>
    <w:rsid w:val="6AEF2D91"/>
    <w:rsid w:val="6B420181"/>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140014"/>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C13552"/>
    <w:rsid w:val="73C96FD0"/>
    <w:rsid w:val="73D70FC8"/>
    <w:rsid w:val="741B2C62"/>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AA2BF8"/>
    <w:rsid w:val="75B64972"/>
    <w:rsid w:val="75BE0ADD"/>
    <w:rsid w:val="75C06DDC"/>
    <w:rsid w:val="75CD2F00"/>
    <w:rsid w:val="760761F4"/>
    <w:rsid w:val="762D1373"/>
    <w:rsid w:val="7647594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B47237"/>
    <w:rsid w:val="79DF0BD6"/>
    <w:rsid w:val="79F71A7C"/>
    <w:rsid w:val="7A456C8B"/>
    <w:rsid w:val="7A6147CA"/>
    <w:rsid w:val="7A7255A6"/>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5"/>
    <w:autoRedefine/>
    <w:semiHidden/>
    <w:unhideWhenUsed/>
    <w:qFormat/>
    <w:uiPriority w:val="99"/>
    <w:pPr>
      <w:jc w:val="left"/>
    </w:pPr>
    <w:rPr>
      <w:rFonts w:hint="eastAsia" w:ascii="等线" w:hAnsi="等线" w:eastAsia="等线" w:cs="Times New Roman"/>
    </w:rPr>
  </w:style>
  <w:style w:type="paragraph" w:styleId="6">
    <w:name w:val="Body Text"/>
    <w:basedOn w:val="1"/>
    <w:next w:val="7"/>
    <w:link w:val="31"/>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First Indent 2"/>
    <w:basedOn w:val="8"/>
    <w:next w:val="10"/>
    <w:autoRedefine/>
    <w:unhideWhenUsed/>
    <w:qFormat/>
    <w:uiPriority w:val="0"/>
    <w:pPr>
      <w:spacing w:after="120" w:line="240" w:lineRule="auto"/>
      <w:ind w:left="420" w:leftChars="200" w:firstLine="420"/>
    </w:pPr>
    <w:rPr>
      <w:rFonts w:ascii="Calibri" w:hAnsi="Calibri" w:eastAsia="Times New Roman"/>
    </w:rPr>
  </w:style>
  <w:style w:type="paragraph" w:styleId="8">
    <w:name w:val="Body Text Indent"/>
    <w:basedOn w:val="1"/>
    <w:next w:val="9"/>
    <w:autoRedefine/>
    <w:qFormat/>
    <w:uiPriority w:val="99"/>
    <w:pPr>
      <w:spacing w:line="480" w:lineRule="exact"/>
      <w:ind w:firstLine="560" w:firstLineChars="200"/>
    </w:pPr>
    <w:rPr>
      <w:sz w:val="24"/>
    </w:rPr>
  </w:style>
  <w:style w:type="paragraph" w:styleId="9">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0">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1">
    <w:name w:val="Plain Text"/>
    <w:basedOn w:val="1"/>
    <w:link w:val="29"/>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2">
    <w:name w:val="Balloon Text"/>
    <w:basedOn w:val="1"/>
    <w:link w:val="23"/>
    <w:autoRedefine/>
    <w:semiHidden/>
    <w:unhideWhenUsed/>
    <w:qFormat/>
    <w:uiPriority w:val="99"/>
    <w:rPr>
      <w:sz w:val="18"/>
      <w:szCs w:val="18"/>
    </w:rPr>
  </w:style>
  <w:style w:type="paragraph" w:styleId="13">
    <w:name w:val="footer"/>
    <w:basedOn w:val="1"/>
    <w:link w:val="22"/>
    <w:autoRedefine/>
    <w:unhideWhenUsed/>
    <w:qFormat/>
    <w:uiPriority w:val="99"/>
    <w:pPr>
      <w:tabs>
        <w:tab w:val="center" w:pos="4153"/>
        <w:tab w:val="right" w:pos="8306"/>
      </w:tabs>
      <w:snapToGrid w:val="0"/>
      <w:jc w:val="left"/>
    </w:pPr>
    <w:rPr>
      <w:sz w:val="18"/>
      <w:szCs w:val="18"/>
    </w:rPr>
  </w:style>
  <w:style w:type="paragraph" w:styleId="14">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annotation subject"/>
    <w:basedOn w:val="5"/>
    <w:next w:val="5"/>
    <w:link w:val="26"/>
    <w:autoRedefine/>
    <w:semiHidden/>
    <w:unhideWhenUsed/>
    <w:qFormat/>
    <w:uiPriority w:val="99"/>
    <w:rPr>
      <w:b/>
      <w:bC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autoRedefine/>
    <w:semiHidden/>
    <w:unhideWhenUsed/>
    <w:qFormat/>
    <w:uiPriority w:val="99"/>
    <w:rPr>
      <w:sz w:val="21"/>
      <w:szCs w:val="21"/>
    </w:rPr>
  </w:style>
  <w:style w:type="character" w:customStyle="1" w:styleId="21">
    <w:name w:val="页眉 字符"/>
    <w:basedOn w:val="19"/>
    <w:link w:val="14"/>
    <w:autoRedefine/>
    <w:qFormat/>
    <w:uiPriority w:val="99"/>
    <w:rPr>
      <w:sz w:val="18"/>
      <w:szCs w:val="18"/>
    </w:rPr>
  </w:style>
  <w:style w:type="character" w:customStyle="1" w:styleId="22">
    <w:name w:val="页脚 字符"/>
    <w:basedOn w:val="19"/>
    <w:link w:val="13"/>
    <w:autoRedefine/>
    <w:qFormat/>
    <w:uiPriority w:val="99"/>
    <w:rPr>
      <w:sz w:val="18"/>
      <w:szCs w:val="18"/>
    </w:rPr>
  </w:style>
  <w:style w:type="character" w:customStyle="1" w:styleId="23">
    <w:name w:val="批注框文本 字符"/>
    <w:basedOn w:val="19"/>
    <w:link w:val="12"/>
    <w:autoRedefine/>
    <w:semiHidden/>
    <w:qFormat/>
    <w:uiPriority w:val="99"/>
    <w:rPr>
      <w:sz w:val="18"/>
      <w:szCs w:val="18"/>
    </w:rPr>
  </w:style>
  <w:style w:type="paragraph" w:styleId="24">
    <w:name w:val="List Paragraph"/>
    <w:basedOn w:val="1"/>
    <w:autoRedefine/>
    <w:qFormat/>
    <w:uiPriority w:val="34"/>
    <w:pPr>
      <w:ind w:firstLine="420" w:firstLineChars="200"/>
    </w:pPr>
  </w:style>
  <w:style w:type="character" w:customStyle="1" w:styleId="25">
    <w:name w:val="批注文字 字符"/>
    <w:basedOn w:val="19"/>
    <w:link w:val="5"/>
    <w:autoRedefine/>
    <w:semiHidden/>
    <w:qFormat/>
    <w:uiPriority w:val="99"/>
  </w:style>
  <w:style w:type="character" w:customStyle="1" w:styleId="26">
    <w:name w:val="批注主题 字符"/>
    <w:basedOn w:val="25"/>
    <w:link w:val="16"/>
    <w:autoRedefine/>
    <w:semiHidden/>
    <w:qFormat/>
    <w:uiPriority w:val="99"/>
    <w:rPr>
      <w:b/>
      <w:bCs/>
    </w:rPr>
  </w:style>
  <w:style w:type="character" w:customStyle="1" w:styleId="27">
    <w:name w:val="标题 3 字符"/>
    <w:basedOn w:val="19"/>
    <w:link w:val="4"/>
    <w:autoRedefine/>
    <w:qFormat/>
    <w:uiPriority w:val="9"/>
    <w:rPr>
      <w:rFonts w:ascii="Times New Roman" w:hAnsi="Times New Roman" w:eastAsia="宋体" w:cs="Times New Roman"/>
      <w:b/>
      <w:kern w:val="0"/>
      <w:sz w:val="24"/>
      <w:szCs w:val="24"/>
    </w:rPr>
  </w:style>
  <w:style w:type="character" w:customStyle="1" w:styleId="28">
    <w:name w:val="标题 2 字符"/>
    <w:basedOn w:val="19"/>
    <w:link w:val="3"/>
    <w:autoRedefine/>
    <w:semiHidden/>
    <w:qFormat/>
    <w:uiPriority w:val="9"/>
    <w:rPr>
      <w:rFonts w:asciiTheme="majorHAnsi" w:hAnsiTheme="majorHAnsi" w:eastAsiaTheme="majorEastAsia" w:cstheme="majorBidi"/>
      <w:b/>
      <w:bCs/>
      <w:sz w:val="32"/>
      <w:szCs w:val="32"/>
    </w:rPr>
  </w:style>
  <w:style w:type="character" w:customStyle="1" w:styleId="29">
    <w:name w:val="纯文本 字符"/>
    <w:basedOn w:val="19"/>
    <w:link w:val="11"/>
    <w:autoRedefine/>
    <w:qFormat/>
    <w:uiPriority w:val="99"/>
    <w:rPr>
      <w:rFonts w:ascii="宋体" w:hAnsi="Courier New" w:eastAsia="宋体" w:cs="宋体"/>
      <w:kern w:val="0"/>
      <w:sz w:val="20"/>
      <w:szCs w:val="20"/>
    </w:rPr>
  </w:style>
  <w:style w:type="character" w:customStyle="1" w:styleId="30">
    <w:name w:val="标题 1 字符"/>
    <w:basedOn w:val="19"/>
    <w:link w:val="2"/>
    <w:autoRedefine/>
    <w:qFormat/>
    <w:uiPriority w:val="9"/>
    <w:rPr>
      <w:b/>
      <w:bCs/>
      <w:kern w:val="44"/>
      <w:sz w:val="44"/>
      <w:szCs w:val="44"/>
    </w:rPr>
  </w:style>
  <w:style w:type="character" w:customStyle="1" w:styleId="31">
    <w:name w:val="正文文本 字符"/>
    <w:basedOn w:val="19"/>
    <w:link w:val="6"/>
    <w:autoRedefine/>
    <w:qFormat/>
    <w:uiPriority w:val="99"/>
    <w:rPr>
      <w:rFonts w:ascii="Times New Roman" w:hAnsi="Times New Roman" w:eastAsia="宋体" w:cs="Times New Roman"/>
      <w:kern w:val="0"/>
      <w:szCs w:val="21"/>
    </w:rPr>
  </w:style>
  <w:style w:type="paragraph" w:customStyle="1" w:styleId="32">
    <w:name w:val="List Paragraph1"/>
    <w:basedOn w:val="1"/>
    <w:autoRedefine/>
    <w:qFormat/>
    <w:uiPriority w:val="0"/>
    <w:pPr>
      <w:ind w:firstLine="420" w:firstLineChars="200"/>
    </w:pPr>
    <w:rPr>
      <w:rFonts w:ascii="等线" w:hAnsi="等线" w:eastAsia="等线" w:cs="Times New Roman"/>
      <w:szCs w:val="21"/>
    </w:rPr>
  </w:style>
  <w:style w:type="paragraph" w:customStyle="1" w:styleId="33">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3355</Words>
  <Characters>3429</Characters>
  <Lines>90</Lines>
  <Paragraphs>25</Paragraphs>
  <TotalTime>0</TotalTime>
  <ScaleCrop>false</ScaleCrop>
  <LinksUpToDate>false</LinksUpToDate>
  <CharactersWithSpaces>3608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邓驰健</cp:lastModifiedBy>
  <cp:lastPrinted>2024-05-31T07:48:00Z</cp:lastPrinted>
  <dcterms:modified xsi:type="dcterms:W3CDTF">2026-06-23T11:27:52Z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CB01EFAE9E04442788E40A92E8E0C7D0_13</vt:lpwstr>
  </property>
  <property fmtid="{D5CDD505-2E9C-101B-9397-08002B2CF9AE}" pid="4" name="KSOTemplateDocerSaveRecord">
    <vt:lpwstr>eyJoZGlkIjoiZmQ3NmE5OWFhYzQxYTg1N2IyOTVjNGE3ZmM3ZWQ4MWUiLCJ1c2VySWQiOiI5NDU0NjI5MTAifQ==</vt:lpwstr>
  </property>
</Properties>
</file>