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E12A0">
      <w:pPr>
        <w:spacing w:line="390" w:lineRule="exact"/>
        <w:jc w:val="right"/>
        <w:rPr>
          <w:rFonts w:ascii="仿宋_GB2312" w:eastAsia="仿宋_GB2312"/>
          <w:b/>
          <w:sz w:val="32"/>
          <w:szCs w:val="32"/>
          <w:u w:val="single"/>
        </w:rPr>
      </w:pPr>
      <w:r>
        <w:rPr>
          <w:rFonts w:hint="eastAsia" w:ascii="仿宋_GB2312" w:eastAsia="仿宋_GB2312"/>
          <w:b/>
          <w:sz w:val="32"/>
          <w:szCs w:val="32"/>
          <w:lang w:val="en-US" w:eastAsia="zh-CN"/>
        </w:rPr>
        <w:t>合同</w:t>
      </w:r>
      <w:r>
        <w:rPr>
          <w:rFonts w:hint="eastAsia" w:ascii="仿宋_GB2312" w:eastAsia="仿宋_GB2312"/>
          <w:b/>
          <w:sz w:val="32"/>
          <w:szCs w:val="32"/>
        </w:rPr>
        <w:t>编号：</w:t>
      </w:r>
    </w:p>
    <w:p w14:paraId="252D9876">
      <w:pPr>
        <w:spacing w:line="390" w:lineRule="exact"/>
        <w:jc w:val="center"/>
        <w:rPr>
          <w:rFonts w:ascii="仿宋_GB2312" w:eastAsia="仿宋_GB2312"/>
          <w:bCs/>
          <w:sz w:val="28"/>
          <w:szCs w:val="28"/>
          <w:u w:val="single"/>
        </w:rPr>
      </w:pPr>
    </w:p>
    <w:p w14:paraId="41AFC326">
      <w:pPr>
        <w:spacing w:line="390" w:lineRule="exact"/>
        <w:jc w:val="center"/>
        <w:rPr>
          <w:rFonts w:ascii="仿宋_GB2312" w:eastAsia="仿宋_GB2312"/>
          <w:bCs/>
          <w:sz w:val="44"/>
          <w:szCs w:val="44"/>
          <w:u w:val="single"/>
        </w:rPr>
      </w:pPr>
    </w:p>
    <w:p w14:paraId="0215F993">
      <w:pPr>
        <w:spacing w:before="120" w:beforeLines="50" w:after="120" w:afterLines="50" w:line="390" w:lineRule="exact"/>
        <w:jc w:val="center"/>
        <w:rPr>
          <w:rFonts w:ascii="仿宋_GB2312" w:eastAsia="仿宋_GB2312"/>
          <w:b/>
          <w:sz w:val="36"/>
          <w:szCs w:val="36"/>
        </w:rPr>
      </w:pPr>
    </w:p>
    <w:p w14:paraId="14B9C175">
      <w:pPr>
        <w:spacing w:before="120" w:beforeLines="50" w:after="120" w:afterLines="50" w:line="390" w:lineRule="exact"/>
        <w:jc w:val="center"/>
        <w:rPr>
          <w:rFonts w:ascii="仿宋_GB2312" w:eastAsia="仿宋_GB2312"/>
          <w:bCs/>
          <w:sz w:val="32"/>
          <w:szCs w:val="32"/>
          <w:u w:val="single"/>
        </w:rPr>
      </w:pPr>
    </w:p>
    <w:p w14:paraId="2D214E97">
      <w:pPr>
        <w:spacing w:before="120" w:beforeLines="50" w:after="120" w:afterLines="50"/>
        <w:jc w:val="center"/>
        <w:rPr>
          <w:rFonts w:ascii="方正小标宋简体" w:eastAsia="方正小标宋简体"/>
          <w:b/>
          <w:sz w:val="44"/>
          <w:szCs w:val="44"/>
        </w:rPr>
      </w:pPr>
    </w:p>
    <w:p w14:paraId="798D51B6">
      <w:pPr>
        <w:spacing w:before="120" w:beforeLines="50" w:after="120" w:afterLines="50"/>
        <w:jc w:val="center"/>
        <w:rPr>
          <w:rFonts w:ascii="方正小标宋简体" w:eastAsia="方正小标宋简体"/>
          <w:b/>
          <w:sz w:val="44"/>
          <w:szCs w:val="44"/>
        </w:rPr>
      </w:pPr>
      <w:bookmarkStart w:id="0" w:name="OLE_LINK8"/>
      <w:r>
        <w:rPr>
          <w:rFonts w:hint="eastAsia" w:ascii="方正小标宋简体" w:eastAsia="方正小标宋简体"/>
          <w:b/>
          <w:sz w:val="44"/>
          <w:szCs w:val="44"/>
          <w:lang w:eastAsia="zh-CN"/>
        </w:rPr>
        <w:t>盘古路地块场地平整工程土方车队运输服务</w:t>
      </w:r>
      <w:r>
        <w:rPr>
          <w:rFonts w:hint="eastAsia" w:ascii="方正小标宋简体" w:eastAsia="方正小标宋简体"/>
          <w:b/>
          <w:sz w:val="44"/>
          <w:szCs w:val="44"/>
        </w:rPr>
        <w:t>合同</w:t>
      </w:r>
    </w:p>
    <w:bookmarkEnd w:id="0"/>
    <w:p w14:paraId="5D06C19B">
      <w:pPr>
        <w:spacing w:line="390" w:lineRule="exact"/>
        <w:ind w:firstLine="1915" w:firstLineChars="795"/>
        <w:rPr>
          <w:rFonts w:ascii="仿宋_GB2312" w:eastAsia="仿宋_GB2312"/>
          <w:b/>
          <w:sz w:val="24"/>
          <w:szCs w:val="24"/>
        </w:rPr>
      </w:pPr>
    </w:p>
    <w:p w14:paraId="63AA0F81">
      <w:pPr>
        <w:spacing w:line="390" w:lineRule="exact"/>
        <w:ind w:firstLine="1915" w:firstLineChars="795"/>
        <w:rPr>
          <w:rFonts w:ascii="仿宋_GB2312" w:eastAsia="仿宋_GB2312"/>
          <w:b/>
          <w:sz w:val="24"/>
          <w:szCs w:val="24"/>
        </w:rPr>
      </w:pPr>
    </w:p>
    <w:p w14:paraId="0C1C2558">
      <w:pPr>
        <w:spacing w:line="390" w:lineRule="exact"/>
        <w:ind w:firstLine="1915" w:firstLineChars="795"/>
        <w:rPr>
          <w:rFonts w:ascii="仿宋_GB2312" w:eastAsia="仿宋_GB2312"/>
          <w:b/>
          <w:sz w:val="24"/>
          <w:szCs w:val="24"/>
        </w:rPr>
      </w:pPr>
    </w:p>
    <w:p w14:paraId="2035F5E7">
      <w:pPr>
        <w:spacing w:line="390" w:lineRule="exact"/>
        <w:ind w:firstLine="1915" w:firstLineChars="795"/>
        <w:rPr>
          <w:rFonts w:ascii="仿宋_GB2312" w:eastAsia="仿宋_GB2312"/>
          <w:b/>
          <w:sz w:val="24"/>
          <w:szCs w:val="24"/>
        </w:rPr>
      </w:pPr>
    </w:p>
    <w:p w14:paraId="6CD4FFF3">
      <w:pPr>
        <w:spacing w:line="390" w:lineRule="exact"/>
        <w:ind w:firstLine="1915" w:firstLineChars="795"/>
        <w:rPr>
          <w:rFonts w:ascii="仿宋_GB2312" w:eastAsia="仿宋_GB2312"/>
          <w:b/>
          <w:sz w:val="24"/>
          <w:szCs w:val="24"/>
        </w:rPr>
      </w:pPr>
    </w:p>
    <w:p w14:paraId="2A9E133E">
      <w:pPr>
        <w:spacing w:line="390" w:lineRule="exact"/>
        <w:ind w:firstLine="1915" w:firstLineChars="795"/>
        <w:rPr>
          <w:rFonts w:ascii="仿宋_GB2312" w:eastAsia="仿宋_GB2312"/>
          <w:b/>
          <w:sz w:val="24"/>
          <w:szCs w:val="24"/>
        </w:rPr>
      </w:pPr>
    </w:p>
    <w:p w14:paraId="587A05DE">
      <w:pPr>
        <w:spacing w:line="390" w:lineRule="exact"/>
        <w:ind w:firstLine="1915" w:firstLineChars="795"/>
        <w:rPr>
          <w:rFonts w:ascii="仿宋_GB2312" w:eastAsia="仿宋_GB2312"/>
          <w:b/>
          <w:sz w:val="24"/>
          <w:szCs w:val="24"/>
        </w:rPr>
      </w:pPr>
    </w:p>
    <w:p w14:paraId="7C484859">
      <w:pPr>
        <w:spacing w:line="390" w:lineRule="exact"/>
        <w:ind w:firstLine="1915" w:firstLineChars="795"/>
        <w:rPr>
          <w:rFonts w:ascii="仿宋_GB2312" w:eastAsia="仿宋_GB2312"/>
          <w:b/>
          <w:sz w:val="24"/>
          <w:szCs w:val="24"/>
        </w:rPr>
      </w:pPr>
    </w:p>
    <w:p w14:paraId="6EEA1478">
      <w:pPr>
        <w:spacing w:line="390" w:lineRule="exact"/>
        <w:ind w:firstLine="1915" w:firstLineChars="795"/>
        <w:rPr>
          <w:rFonts w:ascii="仿宋_GB2312" w:eastAsia="仿宋_GB2312"/>
          <w:b/>
          <w:sz w:val="24"/>
          <w:szCs w:val="24"/>
        </w:rPr>
      </w:pPr>
    </w:p>
    <w:p w14:paraId="52F2BEAA">
      <w:pPr>
        <w:spacing w:line="390" w:lineRule="exact"/>
        <w:ind w:firstLine="1915" w:firstLineChars="795"/>
        <w:rPr>
          <w:rFonts w:ascii="仿宋_GB2312" w:eastAsia="仿宋_GB2312"/>
          <w:b/>
          <w:sz w:val="24"/>
          <w:szCs w:val="24"/>
        </w:rPr>
      </w:pPr>
    </w:p>
    <w:p w14:paraId="14039128">
      <w:pPr>
        <w:ind w:firstLine="1275" w:firstLineChars="529"/>
        <w:jc w:val="left"/>
        <w:rPr>
          <w:rFonts w:ascii="仿宋_GB2312" w:eastAsia="仿宋_GB2312"/>
          <w:b/>
          <w:sz w:val="24"/>
          <w:szCs w:val="24"/>
        </w:rPr>
      </w:pPr>
      <w:bookmarkStart w:id="1" w:name="_Hlk108522901"/>
    </w:p>
    <w:p w14:paraId="3D8D0D7D">
      <w:pPr>
        <w:keepNext w:val="0"/>
        <w:keepLines w:val="0"/>
        <w:pageBreakBefore w:val="0"/>
        <w:widowControl w:val="0"/>
        <w:kinsoku/>
        <w:wordWrap/>
        <w:overflowPunct/>
        <w:topLinePunct w:val="0"/>
        <w:autoSpaceDE/>
        <w:autoSpaceDN/>
        <w:bidi w:val="0"/>
        <w:adjustRightInd/>
        <w:snapToGrid/>
        <w:spacing w:line="360" w:lineRule="auto"/>
        <w:ind w:left="2878" w:leftChars="456" w:hanging="1920" w:hangingChars="600"/>
        <w:jc w:val="left"/>
        <w:textAlignment w:val="auto"/>
        <w:rPr>
          <w:rFonts w:ascii="仿宋_GB2312" w:eastAsia="仿宋_GB2312"/>
          <w:sz w:val="32"/>
          <w:szCs w:val="32"/>
        </w:rPr>
      </w:pPr>
      <w:r>
        <w:rPr>
          <w:rFonts w:hint="eastAsia" w:ascii="仿宋_GB2312" w:eastAsia="仿宋_GB2312"/>
          <w:sz w:val="32"/>
          <w:szCs w:val="32"/>
        </w:rPr>
        <w:t>工程承包人：南宁轨道地产建筑工程有限责任公司</w:t>
      </w:r>
    </w:p>
    <w:p w14:paraId="22E72E8D">
      <w:pPr>
        <w:keepNext w:val="0"/>
        <w:keepLines w:val="0"/>
        <w:pageBreakBefore w:val="0"/>
        <w:widowControl w:val="0"/>
        <w:kinsoku/>
        <w:wordWrap/>
        <w:overflowPunct/>
        <w:topLinePunct w:val="0"/>
        <w:autoSpaceDE/>
        <w:autoSpaceDN/>
        <w:bidi w:val="0"/>
        <w:adjustRightInd/>
        <w:snapToGrid/>
        <w:spacing w:line="360" w:lineRule="auto"/>
        <w:ind w:firstLine="960" w:firstLineChars="300"/>
        <w:jc w:val="left"/>
        <w:textAlignment w:val="auto"/>
        <w:rPr>
          <w:rFonts w:ascii="仿宋_GB2312" w:eastAsia="仿宋_GB2312"/>
          <w:sz w:val="32"/>
          <w:szCs w:val="32"/>
        </w:rPr>
      </w:pPr>
      <w:r>
        <w:rPr>
          <w:rFonts w:hint="eastAsia" w:ascii="仿宋_GB2312" w:eastAsia="仿宋_GB2312"/>
          <w:sz w:val="32"/>
          <w:szCs w:val="32"/>
        </w:rPr>
        <w:t xml:space="preserve">承 </w:t>
      </w:r>
      <w:r>
        <w:rPr>
          <w:rFonts w:ascii="仿宋_GB2312" w:eastAsia="仿宋_GB2312"/>
          <w:sz w:val="32"/>
          <w:szCs w:val="32"/>
        </w:rPr>
        <w:t xml:space="preserve"> </w:t>
      </w:r>
      <w:r>
        <w:rPr>
          <w:rFonts w:hint="eastAsia" w:ascii="仿宋_GB2312" w:eastAsia="仿宋_GB2312"/>
          <w:sz w:val="32"/>
          <w:szCs w:val="32"/>
        </w:rPr>
        <w:t xml:space="preserve">运 </w:t>
      </w:r>
      <w:r>
        <w:rPr>
          <w:rFonts w:ascii="仿宋_GB2312" w:eastAsia="仿宋_GB2312"/>
          <w:sz w:val="32"/>
          <w:szCs w:val="32"/>
        </w:rPr>
        <w:t xml:space="preserve"> </w:t>
      </w:r>
      <w:r>
        <w:rPr>
          <w:rFonts w:hint="eastAsia" w:ascii="仿宋_GB2312" w:eastAsia="仿宋_GB2312"/>
          <w:sz w:val="32"/>
          <w:szCs w:val="32"/>
        </w:rPr>
        <w:t>人：</w:t>
      </w:r>
      <w:r>
        <w:rPr>
          <w:rFonts w:ascii="仿宋_GB2312" w:eastAsia="仿宋_GB2312"/>
          <w:sz w:val="32"/>
          <w:szCs w:val="32"/>
        </w:rPr>
        <w:t xml:space="preserve"> </w:t>
      </w:r>
    </w:p>
    <w:p w14:paraId="6056224B">
      <w:pPr>
        <w:keepNext w:val="0"/>
        <w:keepLines w:val="0"/>
        <w:pageBreakBefore w:val="0"/>
        <w:widowControl w:val="0"/>
        <w:kinsoku/>
        <w:wordWrap/>
        <w:overflowPunct/>
        <w:topLinePunct w:val="0"/>
        <w:autoSpaceDE/>
        <w:autoSpaceDN/>
        <w:bidi w:val="0"/>
        <w:adjustRightInd/>
        <w:snapToGrid/>
        <w:spacing w:line="360" w:lineRule="auto"/>
        <w:ind w:left="2558" w:leftChars="456" w:hanging="1600" w:hangingChars="500"/>
        <w:jc w:val="left"/>
        <w:textAlignment w:val="auto"/>
        <w:rPr>
          <w:rFonts w:ascii="仿宋_GB2312" w:eastAsia="仿宋_GB2312"/>
          <w:sz w:val="32"/>
          <w:szCs w:val="32"/>
          <w:u w:val="single"/>
        </w:rPr>
      </w:pPr>
      <w:r>
        <w:rPr>
          <w:rFonts w:hint="eastAsia" w:ascii="仿宋_GB2312" w:eastAsia="仿宋_GB2312"/>
          <w:sz w:val="32"/>
          <w:szCs w:val="32"/>
        </w:rPr>
        <w:t>签订地点：</w:t>
      </w:r>
      <w:r>
        <w:rPr>
          <w:rFonts w:hint="eastAsia" w:ascii="仿宋_GB2312" w:eastAsia="仿宋_GB2312"/>
          <w:sz w:val="32"/>
          <w:szCs w:val="32"/>
          <w:u w:val="single"/>
        </w:rPr>
        <w:t>南宁市青秀区凤岭北路111号南宁国际旅游中心3号楼37层合约采购部</w:t>
      </w:r>
    </w:p>
    <w:p w14:paraId="41CEEF11">
      <w:pPr>
        <w:keepNext w:val="0"/>
        <w:keepLines w:val="0"/>
        <w:pageBreakBefore w:val="0"/>
        <w:widowControl w:val="0"/>
        <w:kinsoku/>
        <w:wordWrap/>
        <w:overflowPunct/>
        <w:topLinePunct w:val="0"/>
        <w:autoSpaceDE/>
        <w:autoSpaceDN/>
        <w:bidi w:val="0"/>
        <w:adjustRightInd/>
        <w:snapToGrid/>
        <w:spacing w:line="360" w:lineRule="auto"/>
        <w:ind w:firstLine="960" w:firstLineChars="300"/>
        <w:jc w:val="left"/>
        <w:textAlignment w:val="auto"/>
        <w:rPr>
          <w:rFonts w:ascii="仿宋_GB2312" w:eastAsia="仿宋_GB2312"/>
          <w:b/>
          <w:sz w:val="32"/>
          <w:szCs w:val="32"/>
        </w:rPr>
      </w:pPr>
      <w:r>
        <w:rPr>
          <w:rFonts w:hint="eastAsia" w:ascii="仿宋_GB2312" w:eastAsia="仿宋_GB2312"/>
          <w:sz w:val="32"/>
          <w:szCs w:val="32"/>
        </w:rPr>
        <w:t>签订日期：</w:t>
      </w:r>
      <w:r>
        <w:rPr>
          <w:rFonts w:ascii="仿宋_GB2312" w:eastAsia="仿宋_GB2312"/>
          <w:sz w:val="32"/>
          <w:szCs w:val="32"/>
          <w:u w:val="single"/>
        </w:rPr>
        <w:t xml:space="preserve">        </w:t>
      </w:r>
      <w:r>
        <w:rPr>
          <w:rFonts w:hint="eastAsia" w:ascii="仿宋_GB2312" w:eastAsia="仿宋_GB2312"/>
          <w:sz w:val="32"/>
          <w:szCs w:val="32"/>
        </w:rPr>
        <w:t>年</w:t>
      </w:r>
      <w:r>
        <w:rPr>
          <w:rFonts w:ascii="仿宋_GB2312" w:eastAsia="仿宋_GB2312"/>
          <w:sz w:val="32"/>
          <w:szCs w:val="32"/>
          <w:u w:val="single"/>
        </w:rPr>
        <w:t xml:space="preserve">      </w:t>
      </w:r>
      <w:r>
        <w:rPr>
          <w:rFonts w:hint="eastAsia" w:ascii="仿宋_GB2312" w:eastAsia="仿宋_GB2312"/>
          <w:sz w:val="32"/>
          <w:szCs w:val="32"/>
        </w:rPr>
        <w:t>月</w:t>
      </w:r>
      <w:r>
        <w:rPr>
          <w:rFonts w:ascii="仿宋_GB2312" w:eastAsia="仿宋_GB2312"/>
          <w:sz w:val="32"/>
          <w:szCs w:val="32"/>
          <w:u w:val="single"/>
        </w:rPr>
        <w:t xml:space="preserve">      </w:t>
      </w:r>
      <w:r>
        <w:rPr>
          <w:rFonts w:hint="eastAsia" w:ascii="仿宋_GB2312" w:eastAsia="仿宋_GB2312"/>
          <w:sz w:val="32"/>
          <w:szCs w:val="32"/>
        </w:rPr>
        <w:t>日</w:t>
      </w:r>
    </w:p>
    <w:bookmarkEnd w:id="1"/>
    <w:p w14:paraId="279550AA">
      <w:pPr>
        <w:widowControl/>
        <w:jc w:val="left"/>
        <w:rPr>
          <w:rFonts w:hint="eastAsia" w:ascii="仿宋_GB2312" w:hAnsi="宋体" w:eastAsia="仿宋_GB2312"/>
          <w:b/>
          <w:sz w:val="24"/>
          <w:szCs w:val="24"/>
        </w:rPr>
      </w:pPr>
      <w:r>
        <w:rPr>
          <w:rFonts w:ascii="仿宋_GB2312" w:hAnsi="宋体" w:eastAsia="仿宋_GB2312"/>
          <w:b/>
          <w:sz w:val="24"/>
          <w:szCs w:val="24"/>
        </w:rPr>
        <w:br w:type="page"/>
      </w:r>
    </w:p>
    <w:p w14:paraId="5A153A32">
      <w:pPr>
        <w:spacing w:before="120" w:beforeLines="50" w:after="120" w:afterLines="50"/>
        <w:jc w:val="center"/>
        <w:rPr>
          <w:rFonts w:ascii="方正小标宋简体" w:eastAsia="方正小标宋简体"/>
          <w:b/>
          <w:sz w:val="44"/>
          <w:szCs w:val="44"/>
        </w:rPr>
      </w:pPr>
      <w:r>
        <w:rPr>
          <w:rFonts w:hint="eastAsia" w:ascii="方正小标宋简体" w:eastAsia="方正小标宋简体"/>
          <w:b/>
          <w:sz w:val="44"/>
          <w:szCs w:val="44"/>
          <w:lang w:eastAsia="zh-CN"/>
        </w:rPr>
        <w:t>盘古路地块场地平整工程土方车队运输服务</w:t>
      </w:r>
      <w:r>
        <w:rPr>
          <w:rFonts w:hint="eastAsia" w:ascii="方正小标宋简体" w:eastAsia="方正小标宋简体"/>
          <w:b/>
          <w:sz w:val="44"/>
          <w:szCs w:val="44"/>
        </w:rPr>
        <w:t>合同</w:t>
      </w:r>
    </w:p>
    <w:p w14:paraId="3839FF3C">
      <w:pPr>
        <w:spacing w:line="520" w:lineRule="exact"/>
        <w:ind w:left="2100" w:leftChars="200" w:hanging="1680" w:hangingChars="600"/>
        <w:rPr>
          <w:rFonts w:hint="eastAsia" w:ascii="仿宋_GB2312" w:hAnsi="宋体" w:eastAsia="仿宋_GB2312"/>
          <w:sz w:val="28"/>
          <w:szCs w:val="28"/>
        </w:rPr>
      </w:pPr>
    </w:p>
    <w:p w14:paraId="5548BA29">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工程承包人：南宁轨道地产建筑工程有限责任公司（以下简称甲方）</w:t>
      </w:r>
    </w:p>
    <w:p w14:paraId="6CEEDB86">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 xml:space="preserve">承 </w:t>
      </w:r>
      <w:r>
        <w:rPr>
          <w:rFonts w:ascii="仿宋_GB2312" w:hAnsi="宋体" w:eastAsia="仿宋_GB2312"/>
          <w:sz w:val="28"/>
          <w:szCs w:val="28"/>
        </w:rPr>
        <w:t xml:space="preserve"> </w:t>
      </w:r>
      <w:r>
        <w:rPr>
          <w:rFonts w:hint="eastAsia" w:ascii="仿宋_GB2312" w:hAnsi="宋体" w:eastAsia="仿宋_GB2312"/>
          <w:sz w:val="28"/>
          <w:szCs w:val="28"/>
        </w:rPr>
        <w:t xml:space="preserve">运 </w:t>
      </w:r>
      <w:r>
        <w:rPr>
          <w:rFonts w:ascii="仿宋_GB2312" w:hAnsi="宋体" w:eastAsia="仿宋_GB2312"/>
          <w:sz w:val="28"/>
          <w:szCs w:val="28"/>
        </w:rPr>
        <w:t xml:space="preserve"> </w:t>
      </w:r>
      <w:r>
        <w:rPr>
          <w:rFonts w:hint="eastAsia" w:ascii="仿宋_GB2312" w:hAnsi="宋体" w:eastAsia="仿宋_GB2312"/>
          <w:sz w:val="28"/>
          <w:szCs w:val="28"/>
        </w:rPr>
        <w:t>人：（以下简称乙方）</w:t>
      </w:r>
    </w:p>
    <w:p w14:paraId="79EFEA61">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甲方因</w:t>
      </w:r>
      <w:r>
        <w:rPr>
          <w:rFonts w:hint="eastAsia" w:ascii="仿宋_GB2312" w:hAnsi="宋体" w:eastAsia="仿宋_GB2312"/>
          <w:sz w:val="28"/>
          <w:szCs w:val="28"/>
          <w:lang w:eastAsia="zh-CN"/>
        </w:rPr>
        <w:t>盘古路地块场地平整工程</w:t>
      </w:r>
      <w:r>
        <w:rPr>
          <w:rFonts w:hint="eastAsia" w:ascii="仿宋_GB2312" w:hAnsi="宋体" w:eastAsia="仿宋_GB2312"/>
          <w:sz w:val="28"/>
          <w:szCs w:val="28"/>
        </w:rPr>
        <w:t>项目而产生的建筑渣土需要外运，甲方将该项渣土外运承包给乙方。为了确保工程的顺利进行，明确双方职责，现经甲、乙双方协商一致，依照《中华人民共和国民法典》、《中华人民共和国建筑法》、《中华人民共和国道路运输条例》及有关法规、规章规定，遵循平等、自愿、公平和诚实信用的原则，订立如下条款，以共同信守执行：</w:t>
      </w:r>
    </w:p>
    <w:p w14:paraId="6954114B">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一</w:t>
      </w:r>
      <w:r>
        <w:rPr>
          <w:rFonts w:hint="eastAsia" w:ascii="仿宋_GB2312" w:hAnsi="宋体" w:eastAsia="仿宋_GB2312"/>
          <w:sz w:val="28"/>
          <w:szCs w:val="28"/>
        </w:rPr>
        <w:t>条 工程概况</w:t>
      </w:r>
    </w:p>
    <w:p w14:paraId="2C7E47B8">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.1工程名称：盘古路地块场地平整工程；</w:t>
      </w:r>
    </w:p>
    <w:p w14:paraId="2E1EEBF1">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.2工程地点：</w:t>
      </w:r>
      <w:r>
        <w:rPr>
          <w:rFonts w:hint="eastAsia" w:ascii="仿宋_GB2312" w:hAnsi="宋体" w:eastAsia="仿宋_GB2312"/>
          <w:sz w:val="28"/>
          <w:szCs w:val="28"/>
          <w:lang w:val="en-US" w:eastAsia="zh-CN"/>
        </w:rPr>
        <w:t>广西南宁市青秀区盘古路</w:t>
      </w:r>
      <w:r>
        <w:rPr>
          <w:rFonts w:hint="eastAsia" w:ascii="仿宋_GB2312" w:hAnsi="宋体" w:eastAsia="仿宋_GB2312"/>
          <w:sz w:val="28"/>
          <w:szCs w:val="28"/>
        </w:rPr>
        <w:t>；</w:t>
      </w:r>
    </w:p>
    <w:p w14:paraId="3B690787">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.3运输运距：</w:t>
      </w:r>
      <w:r>
        <w:rPr>
          <w:rFonts w:hint="eastAsia" w:ascii="仿宋_GB2312" w:hAnsi="宋体" w:eastAsia="仿宋_GB2312"/>
          <w:sz w:val="28"/>
          <w:szCs w:val="28"/>
          <w:lang w:val="en-US" w:eastAsia="zh-CN"/>
        </w:rPr>
        <w:t>自行考虑</w:t>
      </w:r>
      <w:r>
        <w:rPr>
          <w:rFonts w:hint="eastAsia" w:ascii="仿宋_GB2312" w:hAnsi="宋体" w:eastAsia="仿宋_GB2312"/>
          <w:sz w:val="28"/>
          <w:szCs w:val="28"/>
        </w:rPr>
        <w:t>；</w:t>
      </w:r>
    </w:p>
    <w:p w14:paraId="43898FD4">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.4运输方式：汽车运输；</w:t>
      </w:r>
    </w:p>
    <w:p w14:paraId="41A62C88">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5</w:t>
      </w:r>
      <w:r>
        <w:rPr>
          <w:rFonts w:hint="eastAsia" w:ascii="仿宋_GB2312" w:hAnsi="宋体" w:eastAsia="仿宋_GB2312"/>
          <w:sz w:val="28"/>
          <w:szCs w:val="28"/>
        </w:rPr>
        <w:t>工作内容：包含运料、卸料、空回</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洗车平台及洗车槽的过程维护及拆除、施工期间的安保</w:t>
      </w:r>
      <w:r>
        <w:rPr>
          <w:rFonts w:hint="eastAsia" w:ascii="仿宋_GB2312" w:hAnsi="宋体" w:eastAsia="仿宋_GB2312"/>
          <w:sz w:val="28"/>
          <w:szCs w:val="28"/>
        </w:rPr>
        <w:t>等；</w:t>
      </w:r>
    </w:p>
    <w:p w14:paraId="5B39C226">
      <w:pPr>
        <w:spacing w:line="520" w:lineRule="exact"/>
        <w:ind w:firstLine="560" w:firstLineChars="20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1.6施工工期：50日历天；</w:t>
      </w:r>
    </w:p>
    <w:p w14:paraId="1B52B39C">
      <w:pPr>
        <w:adjustRightInd w:val="0"/>
        <w:snapToGrid w:val="0"/>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乙方承诺：甲方有权根据施工需要，不限于书面方式，调整乙方承包范围内的施工项目和施工数量，乙方不得因此而提出索赔。</w:t>
      </w:r>
    </w:p>
    <w:p w14:paraId="4C1B1CB8">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二</w:t>
      </w:r>
      <w:r>
        <w:rPr>
          <w:rFonts w:hint="eastAsia" w:ascii="仿宋_GB2312" w:hAnsi="宋体" w:eastAsia="仿宋_GB2312"/>
          <w:sz w:val="28"/>
          <w:szCs w:val="28"/>
        </w:rPr>
        <w:t>条 签约合同价款</w:t>
      </w:r>
    </w:p>
    <w:p w14:paraId="03857DF9">
      <w:pPr>
        <w:adjustRightInd w:val="0"/>
        <w:snapToGrid w:val="0"/>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sz w:val="28"/>
          <w:szCs w:val="28"/>
          <w:lang w:val="en-US" w:eastAsia="zh-CN"/>
        </w:rPr>
        <w:t>2</w:t>
      </w:r>
      <w:r>
        <w:rPr>
          <w:rFonts w:hint="eastAsia" w:ascii="仿宋_GB2312" w:hAnsi="宋体" w:eastAsia="仿宋_GB2312"/>
          <w:sz w:val="28"/>
          <w:szCs w:val="28"/>
        </w:rPr>
        <w:t>.1</w:t>
      </w:r>
      <w:r>
        <w:rPr>
          <w:rFonts w:hint="eastAsia" w:ascii="仿宋_GB2312" w:hAnsi="宋体" w:eastAsia="仿宋_GB2312"/>
          <w:color w:val="000000"/>
          <w:sz w:val="28"/>
          <w:szCs w:val="28"/>
        </w:rPr>
        <w:t>不含增值税签约合同总价暂定为</w:t>
      </w:r>
      <w:r>
        <w:rPr>
          <w:rFonts w:hint="eastAsia" w:ascii="仿宋_GB2312" w:hAnsi="宋体" w:eastAsia="仿宋_GB2312"/>
          <w:color w:val="000000"/>
          <w:sz w:val="28"/>
          <w:szCs w:val="28"/>
          <w:u w:val="single"/>
          <w:lang w:val="en-US" w:eastAsia="zh-CN"/>
        </w:rPr>
        <w:t xml:space="preserve">      </w:t>
      </w:r>
      <w:r>
        <w:rPr>
          <w:rFonts w:hint="eastAsia" w:ascii="仿宋_GB2312" w:hAnsi="宋体" w:eastAsia="仿宋_GB2312"/>
          <w:color w:val="000000"/>
          <w:sz w:val="28"/>
          <w:szCs w:val="28"/>
        </w:rPr>
        <w:t>元（大写：</w:t>
      </w:r>
      <w:r>
        <w:rPr>
          <w:rFonts w:hint="eastAsia" w:ascii="仿宋_GB2312" w:hAnsi="宋体" w:eastAsia="仿宋_GB2312"/>
          <w:color w:val="000000"/>
          <w:sz w:val="28"/>
          <w:szCs w:val="28"/>
          <w:lang w:val="en-US" w:eastAsia="zh-CN"/>
        </w:rPr>
        <w:t xml:space="preserve">  </w:t>
      </w:r>
      <w:r>
        <w:rPr>
          <w:rFonts w:hint="eastAsia" w:ascii="仿宋_GB2312" w:hAnsi="宋体" w:eastAsia="仿宋_GB2312"/>
          <w:color w:val="000000"/>
          <w:sz w:val="28"/>
          <w:szCs w:val="28"/>
        </w:rPr>
        <w:t>），本合同约定的不含增值税价格不因国家增值税税率变化而变化。若因国家税务政策变化导致增值税率调整，不含增值税价不变，具体税金以变更后的税率计算。</w:t>
      </w:r>
    </w:p>
    <w:p w14:paraId="5A5208BB">
      <w:pPr>
        <w:adjustRightInd w:val="0"/>
        <w:snapToGrid w:val="0"/>
        <w:spacing w:line="520" w:lineRule="exact"/>
        <w:ind w:firstLine="560" w:firstLineChars="200"/>
        <w:rPr>
          <w:rFonts w:hint="eastAsia" w:ascii="仿宋_GB2312" w:hAnsi="宋体" w:eastAsia="仿宋_GB2312"/>
          <w:sz w:val="28"/>
          <w:szCs w:val="28"/>
        </w:rPr>
      </w:pPr>
      <w:r>
        <w:rPr>
          <w:rFonts w:hint="eastAsia" w:ascii="仿宋_GB2312" w:hAnsi="宋体" w:eastAsia="仿宋_GB2312"/>
          <w:color w:val="000000"/>
          <w:sz w:val="28"/>
          <w:szCs w:val="28"/>
        </w:rPr>
        <w:t>含增值税签约合同总价：</w:t>
      </w:r>
      <w:r>
        <w:rPr>
          <w:rFonts w:hint="eastAsia" w:ascii="仿宋_GB2312" w:hAnsi="宋体" w:eastAsia="仿宋_GB2312"/>
          <w:sz w:val="28"/>
          <w:szCs w:val="28"/>
        </w:rPr>
        <w:t>暂定为</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元（大写：</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）。增值税税率为9%，增值税：</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元（大写：人民币：</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w:t>
      </w:r>
    </w:p>
    <w:p w14:paraId="644733F4">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签约合同价款仅为双方签订合同时暂定价格，最终结算以《工程量清单》（附件一）所列细目的单价和施工图范围内实际完成的合格工程数量为准。</w:t>
      </w:r>
    </w:p>
    <w:p w14:paraId="356C73CD">
      <w:pPr>
        <w:spacing w:line="520" w:lineRule="exact"/>
        <w:ind w:firstLine="560" w:firstLineChars="200"/>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lang w:val="en-US" w:eastAsia="zh-CN"/>
        </w:rPr>
        <w:t>2</w:t>
      </w:r>
      <w:r>
        <w:rPr>
          <w:rFonts w:hint="eastAsia" w:ascii="仿宋_GB2312" w:hAnsi="宋体" w:eastAsia="仿宋_GB2312"/>
          <w:color w:val="000000"/>
          <w:sz w:val="28"/>
          <w:szCs w:val="28"/>
        </w:rPr>
        <w:t>.2本合同单价是完成本合同《工程量清单》所列项目所有工作内容的综合单价，除《工程量清单》中注明的以外各项目合同单价中已包含了乙方为完成各项目需要的劳务、机械设备、材料及配件、水电气、安装、利润、环保、文明施工费、调遣（进出场）、临时工程的建设与拆除、治安管理、安全运输费、弃方解小、弃渣二次转运费，动力费用（燃油、电力等）；</w:t>
      </w:r>
      <w:r>
        <w:rPr>
          <w:rFonts w:hint="eastAsia" w:ascii="仿宋_GB2312" w:hAnsi="宋体" w:eastAsia="仿宋_GB2312"/>
          <w:color w:val="000000"/>
          <w:sz w:val="28"/>
          <w:szCs w:val="28"/>
          <w:highlight w:val="cyan"/>
          <w:lang w:val="en-US" w:eastAsia="zh-CN"/>
        </w:rPr>
        <w:t>水电接驳及使用费；裸土覆盖费；车辆进出冲洗费；路政处罚费用；场内必要的临时设施费；场内临时道路修建费用；</w:t>
      </w:r>
      <w:r>
        <w:rPr>
          <w:rFonts w:hint="eastAsia" w:ascii="仿宋_GB2312" w:hAnsi="宋体" w:eastAsia="仿宋_GB2312"/>
          <w:color w:val="000000"/>
          <w:sz w:val="28"/>
          <w:szCs w:val="28"/>
        </w:rPr>
        <w:t>材料、设备二次倒运费用；天气原因、征地拆迁导致窝工费用与机械设备进出场费用；工料机涨价；</w:t>
      </w:r>
      <w:r>
        <w:rPr>
          <w:rFonts w:hint="eastAsia" w:ascii="仿宋_GB2312" w:hAnsi="宋体" w:eastAsia="仿宋_GB2312" w:cs="宋体"/>
          <w:color w:val="000000"/>
          <w:kern w:val="0"/>
          <w:sz w:val="28"/>
          <w:szCs w:val="28"/>
        </w:rPr>
        <w:t>发包方原因付款迟延或不足支付等</w:t>
      </w:r>
      <w:r>
        <w:rPr>
          <w:rFonts w:hint="eastAsia" w:ascii="仿宋_GB2312" w:hAnsi="宋体" w:eastAsia="仿宋_GB2312"/>
          <w:color w:val="000000"/>
          <w:sz w:val="28"/>
          <w:szCs w:val="28"/>
        </w:rPr>
        <w:t>引起的风险费用；逾期付款补偿；临时停工费用；发包人等检查引起的停工费用；各类社会保险及伤害险等保险费用；</w:t>
      </w:r>
      <w:r>
        <w:rPr>
          <w:rFonts w:hint="eastAsia" w:ascii="仿宋_GB2312" w:hAnsi="宋体" w:eastAsia="仿宋_GB2312"/>
          <w:color w:val="000000"/>
          <w:sz w:val="28"/>
          <w:szCs w:val="28"/>
          <w:highlight w:val="yellow"/>
        </w:rPr>
        <w:t>办理与渣土外运相关的手续及证件费用</w:t>
      </w:r>
      <w:r>
        <w:rPr>
          <w:rFonts w:hint="eastAsia" w:ascii="仿宋_GB2312" w:hAnsi="宋体" w:eastAsia="仿宋_GB2312"/>
          <w:color w:val="000000"/>
          <w:sz w:val="28"/>
          <w:szCs w:val="28"/>
        </w:rPr>
        <w:t>;第三方配合费或其他在施工中需要乙方配合的费用，以及合同明示或暗示的所有责任、义务和一般风险等。</w:t>
      </w:r>
    </w:p>
    <w:p w14:paraId="56E7F187">
      <w:pPr>
        <w:adjustRightInd w:val="0"/>
        <w:snapToGrid w:val="0"/>
        <w:spacing w:line="520" w:lineRule="exact"/>
        <w:ind w:firstLine="560" w:firstLineChars="200"/>
        <w:jc w:val="left"/>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2</w:t>
      </w:r>
      <w:r>
        <w:rPr>
          <w:rFonts w:hint="eastAsia" w:ascii="仿宋_GB2312" w:hAnsi="宋体" w:eastAsia="仿宋_GB2312"/>
          <w:color w:val="000000"/>
          <w:sz w:val="28"/>
          <w:szCs w:val="28"/>
        </w:rPr>
        <w:t>.3增值税单独计列。</w:t>
      </w:r>
    </w:p>
    <w:p w14:paraId="70466DFF">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2</w:t>
      </w:r>
      <w:r>
        <w:rPr>
          <w:rFonts w:hint="eastAsia" w:ascii="仿宋_GB2312" w:hAnsi="宋体" w:eastAsia="仿宋_GB2312"/>
          <w:color w:val="000000"/>
          <w:sz w:val="28"/>
          <w:szCs w:val="28"/>
        </w:rPr>
        <w:t>.4变更价款的确定：经发包人批准的工程数量变更增加或减少，按照乙方实际完成并经甲方审定的变更数量，按照合同附件《工程量清单》对应细目进行计价；无单价但有类似细目的，在合理范围内参照类似细目确定单价进行计价；既无单价也无类似细目的，按《工程量清单》组价原则由甲乙双方协商确定。</w:t>
      </w:r>
    </w:p>
    <w:p w14:paraId="256F8D66">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三</w:t>
      </w:r>
      <w:r>
        <w:rPr>
          <w:rFonts w:hint="eastAsia" w:ascii="仿宋_GB2312" w:hAnsi="宋体" w:eastAsia="仿宋_GB2312"/>
          <w:sz w:val="28"/>
          <w:szCs w:val="28"/>
        </w:rPr>
        <w:t>条 甲方权利义务</w:t>
      </w:r>
    </w:p>
    <w:p w14:paraId="2E6B02A0">
      <w:pPr>
        <w:spacing w:line="520" w:lineRule="exact"/>
        <w:rPr>
          <w:rFonts w:hint="eastAsia" w:ascii="仿宋_GB2312" w:hAnsi="宋体" w:eastAsia="仿宋_GB2312"/>
          <w:sz w:val="28"/>
          <w:szCs w:val="28"/>
          <w:highlight w:val="cyan"/>
          <w:lang w:eastAsia="zh-CN"/>
        </w:rPr>
      </w:pP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ascii="仿宋_GB2312" w:hAnsi="宋体" w:eastAsia="仿宋_GB2312"/>
          <w:sz w:val="28"/>
          <w:szCs w:val="28"/>
        </w:rPr>
        <w:t>1</w:t>
      </w:r>
      <w:r>
        <w:rPr>
          <w:rFonts w:hint="eastAsia" w:ascii="仿宋_GB2312" w:hAnsi="宋体" w:eastAsia="仿宋_GB2312"/>
          <w:sz w:val="28"/>
          <w:szCs w:val="28"/>
        </w:rPr>
        <w:t>乙方车辆进入甲方施工现场后，甲方负责施工现场乙方车辆调度，乙方车辆要听从甲方指挥。</w:t>
      </w:r>
    </w:p>
    <w:p w14:paraId="225394B9">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2</w:t>
      </w:r>
      <w:r>
        <w:rPr>
          <w:rFonts w:hint="eastAsia" w:ascii="仿宋_GB2312" w:hAnsi="宋体" w:eastAsia="仿宋_GB2312"/>
          <w:sz w:val="28"/>
          <w:szCs w:val="28"/>
        </w:rPr>
        <w:t>负责依据发包人及上级管理单位和部门的要求，结合本工程的实际情况，制定各项管理办法并送达乙方。</w:t>
      </w:r>
    </w:p>
    <w:p w14:paraId="5247DCD2">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3</w:t>
      </w:r>
      <w:r>
        <w:rPr>
          <w:rFonts w:hint="eastAsia" w:ascii="仿宋_GB2312" w:hAnsi="宋体" w:eastAsia="仿宋_GB2312"/>
          <w:sz w:val="28"/>
          <w:szCs w:val="28"/>
        </w:rPr>
        <w:t>负责施工检查，对甲方施工范围内的安全生产、文明施工、环境、进度等进行监督检查和验收。对不符合技术规范及相关要求的行为，有权要求乙方停工整顿或依据甲方的管理规定进行违约处理。</w:t>
      </w:r>
    </w:p>
    <w:p w14:paraId="66F944E6">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4</w:t>
      </w:r>
      <w:r>
        <w:rPr>
          <w:rFonts w:hint="eastAsia" w:ascii="仿宋_GB2312" w:hAnsi="宋体" w:eastAsia="仿宋_GB2312"/>
          <w:sz w:val="28"/>
          <w:szCs w:val="28"/>
        </w:rPr>
        <w:t>监督乙方的用工和工资支付情况。根据监管要求和合同约定可对乙方实行农民工实名制管理。如乙方未按时支付其员工（包括农民工）工资时，甲方有权采取相应的解决措施：包括但不限于直接从乙方应得价款中代为支付，甲方的代为支付视为对乙方本合同项下结算价款的支付。严格审查乙方提供的农民工工资清单，人数、工天与实名制管理考勤结果相匹配，工资标准与行业平均收入水平相近。甲方对农民工工资清单的审查，不免除或减轻乙方按照合同约定应当承担的责任。</w:t>
      </w:r>
    </w:p>
    <w:p w14:paraId="038294EE">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四</w:t>
      </w:r>
      <w:r>
        <w:rPr>
          <w:rFonts w:hint="eastAsia" w:ascii="仿宋_GB2312" w:hAnsi="宋体" w:eastAsia="仿宋_GB2312"/>
          <w:sz w:val="28"/>
          <w:szCs w:val="28"/>
        </w:rPr>
        <w:t>条 乙方权利义务</w:t>
      </w:r>
    </w:p>
    <w:p w14:paraId="10B9CFF1">
      <w:pPr>
        <w:spacing w:line="520" w:lineRule="exact"/>
        <w:ind w:firstLine="560" w:firstLineChars="200"/>
        <w:rPr>
          <w:rFonts w:hint="eastAsia" w:ascii="仿宋_GB2312" w:hAnsi="宋体" w:eastAsia="仿宋_GB2312"/>
          <w:sz w:val="28"/>
          <w:szCs w:val="28"/>
          <w:highlight w:val="cyan"/>
          <w:lang w:eastAsia="zh-CN"/>
        </w:rPr>
      </w:pPr>
      <w:r>
        <w:rPr>
          <w:rFonts w:hint="eastAsia" w:ascii="仿宋_GB2312" w:hAnsi="宋体" w:eastAsia="仿宋_GB2312"/>
          <w:sz w:val="28"/>
          <w:szCs w:val="28"/>
          <w:highlight w:val="cyan"/>
          <w:lang w:val="en-US" w:eastAsia="zh-CN"/>
        </w:rPr>
        <w:t>4</w:t>
      </w:r>
      <w:r>
        <w:rPr>
          <w:rFonts w:hint="eastAsia" w:ascii="仿宋_GB2312" w:hAnsi="宋体" w:eastAsia="仿宋_GB2312"/>
          <w:sz w:val="28"/>
          <w:szCs w:val="28"/>
          <w:highlight w:val="cyan"/>
        </w:rPr>
        <w:t>.</w:t>
      </w:r>
      <w:r>
        <w:rPr>
          <w:rFonts w:hint="eastAsia" w:ascii="仿宋_GB2312" w:hAnsi="宋体" w:eastAsia="仿宋_GB2312"/>
          <w:sz w:val="28"/>
          <w:szCs w:val="28"/>
          <w:highlight w:val="cyan"/>
          <w:lang w:val="en-US" w:eastAsia="zh-CN"/>
        </w:rPr>
        <w:t>1</w:t>
      </w:r>
      <w:r>
        <w:rPr>
          <w:rFonts w:hint="eastAsia" w:ascii="仿宋_GB2312" w:hAnsi="宋体" w:eastAsia="仿宋_GB2312"/>
          <w:sz w:val="28"/>
          <w:szCs w:val="28"/>
          <w:highlight w:val="cyan"/>
        </w:rPr>
        <w:t>负责办理乙方人员、车辆进场必备的手续及证件。</w:t>
      </w:r>
    </w:p>
    <w:p w14:paraId="4DCE0F49">
      <w:pPr>
        <w:spacing w:line="520" w:lineRule="exact"/>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highlight w:val="cyan"/>
          <w:lang w:val="en-US" w:eastAsia="zh-CN"/>
        </w:rPr>
        <w:t>4</w:t>
      </w:r>
      <w:r>
        <w:rPr>
          <w:rFonts w:hint="eastAsia" w:ascii="仿宋_GB2312" w:hAnsi="宋体" w:eastAsia="仿宋_GB2312"/>
          <w:sz w:val="28"/>
          <w:szCs w:val="28"/>
          <w:highlight w:val="cyan"/>
        </w:rPr>
        <w:t>.</w:t>
      </w:r>
      <w:r>
        <w:rPr>
          <w:rFonts w:hint="eastAsia" w:ascii="仿宋_GB2312" w:hAnsi="宋体" w:eastAsia="仿宋_GB2312"/>
          <w:sz w:val="28"/>
          <w:szCs w:val="28"/>
          <w:highlight w:val="cyan"/>
          <w:lang w:val="en-US" w:eastAsia="zh-CN"/>
        </w:rPr>
        <w:t>2</w:t>
      </w:r>
      <w:r>
        <w:rPr>
          <w:rFonts w:hint="eastAsia" w:ascii="仿宋_GB2312" w:hAnsi="宋体" w:eastAsia="仿宋_GB2312"/>
          <w:sz w:val="28"/>
          <w:szCs w:val="28"/>
          <w:highlight w:val="cyan"/>
        </w:rPr>
        <w:t>乙方</w:t>
      </w:r>
      <w:r>
        <w:rPr>
          <w:rFonts w:hint="eastAsia" w:ascii="仿宋_GB2312" w:hAnsi="宋体" w:eastAsia="仿宋_GB2312"/>
          <w:sz w:val="28"/>
          <w:szCs w:val="28"/>
          <w:highlight w:val="cyan"/>
          <w:lang w:eastAsia="zh-CN"/>
        </w:rPr>
        <w:t>在</w:t>
      </w:r>
      <w:r>
        <w:rPr>
          <w:rFonts w:hint="eastAsia" w:ascii="仿宋_GB2312" w:hAnsi="宋体" w:eastAsia="仿宋_GB2312"/>
          <w:sz w:val="28"/>
          <w:szCs w:val="28"/>
          <w:highlight w:val="cyan"/>
        </w:rPr>
        <w:t>车辆入场前，应当将施工现场整理完毕，保证道路行驶畅通。</w:t>
      </w:r>
    </w:p>
    <w:p w14:paraId="230876A7">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3</w:t>
      </w:r>
      <w:r>
        <w:rPr>
          <w:rFonts w:hint="eastAsia" w:ascii="仿宋_GB2312" w:hAnsi="宋体" w:eastAsia="仿宋_GB2312"/>
          <w:sz w:val="28"/>
          <w:szCs w:val="28"/>
        </w:rPr>
        <w:t>乙方确保按甲方要求将该工程所需车辆驶入甲方指定位置。</w:t>
      </w:r>
    </w:p>
    <w:p w14:paraId="30358E83">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4</w:t>
      </w:r>
      <w:r>
        <w:rPr>
          <w:rFonts w:hint="eastAsia" w:ascii="仿宋_GB2312" w:hAnsi="宋体" w:eastAsia="仿宋_GB2312"/>
          <w:sz w:val="28"/>
          <w:szCs w:val="28"/>
        </w:rPr>
        <w:t>乙方运输车辆必须服从甲方在该合同有效期内合理的管理、调度和指挥，严格遵守施工现场交通规则。</w:t>
      </w:r>
    </w:p>
    <w:p w14:paraId="17CA7639">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5</w:t>
      </w:r>
      <w:r>
        <w:rPr>
          <w:rFonts w:hint="eastAsia" w:ascii="仿宋_GB2312" w:hAnsi="宋体" w:eastAsia="仿宋_GB2312"/>
          <w:sz w:val="28"/>
          <w:szCs w:val="28"/>
        </w:rPr>
        <w:t>对本工程内容、合同条款、价格等信息负有保密义务。</w:t>
      </w:r>
    </w:p>
    <w:p w14:paraId="6292EDBA">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6</w:t>
      </w:r>
      <w:r>
        <w:rPr>
          <w:rFonts w:hint="eastAsia" w:ascii="仿宋_GB2312" w:hAnsi="宋体" w:eastAsia="仿宋_GB2312"/>
          <w:sz w:val="28"/>
          <w:szCs w:val="28"/>
        </w:rPr>
        <w:t>乙方在合同期内，在甲方无过错情况下，</w:t>
      </w:r>
      <w:r>
        <w:rPr>
          <w:rFonts w:hint="eastAsia" w:ascii="仿宋_GB2312" w:hAnsi="宋体" w:eastAsia="仿宋_GB2312"/>
          <w:sz w:val="28"/>
          <w:szCs w:val="28"/>
          <w:highlight w:val="cyan"/>
          <w:lang w:val="en-US" w:eastAsia="zh-CN"/>
        </w:rPr>
        <w:t>不得怠工、</w:t>
      </w:r>
      <w:r>
        <w:rPr>
          <w:rFonts w:hint="eastAsia" w:ascii="仿宋_GB2312" w:hAnsi="宋体" w:eastAsia="仿宋_GB2312"/>
          <w:sz w:val="28"/>
          <w:szCs w:val="28"/>
          <w:highlight w:val="cyan"/>
        </w:rPr>
        <w:t>不</w:t>
      </w:r>
      <w:r>
        <w:rPr>
          <w:rFonts w:hint="eastAsia" w:ascii="仿宋_GB2312" w:hAnsi="宋体" w:eastAsia="仿宋_GB2312"/>
          <w:sz w:val="28"/>
          <w:szCs w:val="28"/>
          <w:highlight w:val="cyan"/>
          <w:lang w:val="en-US" w:eastAsia="zh-CN"/>
        </w:rPr>
        <w:t>得</w:t>
      </w:r>
      <w:r>
        <w:rPr>
          <w:rFonts w:hint="eastAsia" w:ascii="仿宋_GB2312" w:hAnsi="宋体" w:eastAsia="仿宋_GB2312"/>
          <w:sz w:val="28"/>
          <w:szCs w:val="28"/>
          <w:highlight w:val="cyan"/>
        </w:rPr>
        <w:t>停工、不</w:t>
      </w:r>
      <w:r>
        <w:rPr>
          <w:rFonts w:hint="eastAsia" w:ascii="仿宋_GB2312" w:hAnsi="宋体" w:eastAsia="仿宋_GB2312"/>
          <w:sz w:val="28"/>
          <w:szCs w:val="28"/>
          <w:highlight w:val="cyan"/>
          <w:lang w:val="en-US" w:eastAsia="zh-CN"/>
        </w:rPr>
        <w:t>得</w:t>
      </w:r>
      <w:r>
        <w:rPr>
          <w:rFonts w:hint="eastAsia" w:ascii="仿宋_GB2312" w:hAnsi="宋体" w:eastAsia="仿宋_GB2312"/>
          <w:sz w:val="28"/>
          <w:szCs w:val="28"/>
          <w:highlight w:val="cyan"/>
        </w:rPr>
        <w:t>旷工、不</w:t>
      </w:r>
      <w:r>
        <w:rPr>
          <w:rFonts w:hint="eastAsia" w:ascii="仿宋_GB2312" w:hAnsi="宋体" w:eastAsia="仿宋_GB2312"/>
          <w:sz w:val="28"/>
          <w:szCs w:val="28"/>
          <w:highlight w:val="cyan"/>
          <w:lang w:val="en-US" w:eastAsia="zh-CN"/>
        </w:rPr>
        <w:t>得</w:t>
      </w:r>
      <w:r>
        <w:rPr>
          <w:rFonts w:hint="eastAsia" w:ascii="仿宋_GB2312" w:hAnsi="宋体" w:eastAsia="仿宋_GB2312"/>
          <w:sz w:val="28"/>
          <w:szCs w:val="28"/>
          <w:highlight w:val="cyan"/>
        </w:rPr>
        <w:t>无故刁难，</w:t>
      </w:r>
      <w:r>
        <w:rPr>
          <w:rFonts w:hint="eastAsia" w:ascii="仿宋_GB2312" w:hAnsi="宋体" w:eastAsia="仿宋_GB2312"/>
          <w:sz w:val="28"/>
          <w:szCs w:val="28"/>
        </w:rPr>
        <w:t>确保施工正常，确保工期顺利进行，如出现上述情况，乙方需向甲方支付违约金。因台风、暴雨等自然灾害等不可抗拒因素除外。</w:t>
      </w:r>
    </w:p>
    <w:p w14:paraId="49774AA6">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7</w:t>
      </w:r>
      <w:r>
        <w:rPr>
          <w:rFonts w:hint="eastAsia" w:ascii="仿宋_GB2312" w:hAnsi="宋体" w:eastAsia="仿宋_GB2312"/>
          <w:sz w:val="28"/>
          <w:szCs w:val="28"/>
        </w:rPr>
        <w:t>乙方不得私自转卖所运输的物品，如发现乙方私自转卖，需向甲方支付违约金，并赔偿给甲方造成的经济损失。</w:t>
      </w:r>
    </w:p>
    <w:p w14:paraId="11972A4A">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8</w:t>
      </w:r>
      <w:r>
        <w:rPr>
          <w:rFonts w:hint="eastAsia" w:ascii="仿宋_GB2312" w:hAnsi="宋体" w:eastAsia="仿宋_GB2312"/>
          <w:sz w:val="28"/>
          <w:szCs w:val="28"/>
        </w:rPr>
        <w:t>乙方加强驾驶人员及工作人员的管理，杜绝打架、斗殴、酗酒滋事、酒后驾驶、无证驾驶、疲劳驾驶等现象的发生，否则需向甲方支付违约金。所造成的后果及损失和责任，由乙方及当事人承担。</w:t>
      </w:r>
    </w:p>
    <w:p w14:paraId="5FDD5FE5">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9</w:t>
      </w:r>
      <w:r>
        <w:rPr>
          <w:rFonts w:hint="eastAsia" w:ascii="仿宋_GB2312" w:hAnsi="宋体" w:eastAsia="仿宋_GB2312"/>
          <w:sz w:val="28"/>
          <w:szCs w:val="28"/>
        </w:rPr>
        <w:t>在合同履行期间，如有事须与甲方现场工作人员联系，由甲方现场工作人员与发包人协商，如乙方违约给甲方造成的经济损失，由乙方全部赔偿。</w:t>
      </w:r>
    </w:p>
    <w:p w14:paraId="4787D8EB">
      <w:pPr>
        <w:spacing w:line="520" w:lineRule="exact"/>
        <w:ind w:firstLine="560" w:firstLineChars="200"/>
        <w:rPr>
          <w:rFonts w:hint="eastAsia" w:ascii="仿宋_GB2312" w:hAnsi="宋体" w:eastAsia="仿宋_GB2312"/>
          <w:color w:val="FF0000"/>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10</w:t>
      </w:r>
      <w:r>
        <w:rPr>
          <w:rFonts w:hint="eastAsia" w:ascii="仿宋_GB2312" w:hAnsi="宋体" w:eastAsia="仿宋_GB2312"/>
          <w:sz w:val="28"/>
          <w:szCs w:val="28"/>
        </w:rPr>
        <w:t>乙方必须按照甲方指定的工程进度、作业时间、作业面等完成各项装运任务。乙方在履行合同过程中，必须确保运输安全，如果发生各类人身、财产安全事故，均由乙方负责承担。</w:t>
      </w:r>
    </w:p>
    <w:p w14:paraId="17D10659">
      <w:pPr>
        <w:spacing w:line="520" w:lineRule="exact"/>
        <w:ind w:firstLine="560" w:firstLineChars="200"/>
        <w:rPr>
          <w:rFonts w:hint="eastAsia" w:ascii="仿宋_GB2312" w:hAnsi="宋体" w:eastAsia="仿宋_GB2312"/>
          <w:color w:val="0000FF"/>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11</w:t>
      </w:r>
      <w:r>
        <w:rPr>
          <w:rFonts w:hint="eastAsia" w:ascii="仿宋_GB2312" w:hAnsi="宋体" w:eastAsia="仿宋_GB2312"/>
          <w:sz w:val="28"/>
          <w:szCs w:val="28"/>
        </w:rPr>
        <w:t>乙方必须加强安全教育，认真执行安全技术规范，严格遵守安全制度，落实安全计划，确保施工安全；必须为从事危险作业的农民工办理意外伤害保险，并为施工场地内自有人员生命财产和施工机械设备办理保险，支付保险费用。保险事故发生时，有责任尽力采取必要的措施，防止或者减少损失。承担由于自身责任造成的返工、工期拖延、安全事故造成的损失及各种罚款。</w:t>
      </w:r>
    </w:p>
    <w:p w14:paraId="06FB36E6">
      <w:pPr>
        <w:adjustRightInd w:val="0"/>
        <w:snapToGrid w:val="0"/>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ascii="仿宋_GB2312" w:hAnsi="宋体" w:eastAsia="仿宋_GB2312"/>
          <w:sz w:val="28"/>
          <w:szCs w:val="28"/>
        </w:rPr>
        <w:t>1</w:t>
      </w:r>
      <w:r>
        <w:rPr>
          <w:rFonts w:hint="eastAsia" w:ascii="仿宋_GB2312" w:hAnsi="宋体" w:eastAsia="仿宋_GB2312"/>
          <w:sz w:val="28"/>
          <w:szCs w:val="28"/>
          <w:lang w:val="en-US" w:eastAsia="zh-CN"/>
        </w:rPr>
        <w:t>2</w:t>
      </w:r>
      <w:r>
        <w:rPr>
          <w:rFonts w:hint="eastAsia" w:ascii="仿宋_GB2312" w:hAnsi="宋体" w:eastAsia="仿宋_GB2312"/>
          <w:sz w:val="28"/>
          <w:szCs w:val="28"/>
        </w:rPr>
        <w:t>加强现场管理，严格执行建设主管部门及环保、消防、环卫等有关部门对施工现场的管理规定；按甲方标准化工地要求设置标牌，搞好生活区的管理，做好自身责任区的治安保卫工作，做到文明施工。</w:t>
      </w:r>
    </w:p>
    <w:p w14:paraId="23D8EB9F">
      <w:pPr>
        <w:adjustRightInd w:val="0"/>
        <w:snapToGrid w:val="0"/>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自觉接受甲方、发包人及有关部门的管理、监督和检查。施工过程中投入必要的安全生产费用，采取完备的安全防护措施，消除事故隐患。</w:t>
      </w:r>
    </w:p>
    <w:p w14:paraId="747FB9F6">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ascii="仿宋_GB2312" w:hAnsi="宋体" w:eastAsia="仿宋_GB2312"/>
          <w:sz w:val="28"/>
          <w:szCs w:val="28"/>
        </w:rPr>
        <w:t>1</w:t>
      </w:r>
      <w:r>
        <w:rPr>
          <w:rFonts w:hint="eastAsia" w:ascii="仿宋_GB2312" w:hAnsi="宋体" w:eastAsia="仿宋_GB2312"/>
          <w:sz w:val="28"/>
          <w:szCs w:val="28"/>
          <w:lang w:val="en-US" w:eastAsia="zh-CN"/>
        </w:rPr>
        <w:t>4</w:t>
      </w:r>
      <w:r>
        <w:rPr>
          <w:rFonts w:hint="eastAsia" w:ascii="仿宋_GB2312" w:hAnsi="宋体" w:eastAsia="仿宋_GB2312"/>
          <w:sz w:val="28"/>
          <w:szCs w:val="28"/>
        </w:rPr>
        <w:t>服从甲方转发</w:t>
      </w:r>
      <w:r>
        <w:rPr>
          <w:rFonts w:hint="eastAsia" w:ascii="仿宋_GB2312" w:hAnsi="宋体" w:eastAsia="仿宋_GB2312"/>
          <w:color w:val="000000"/>
          <w:sz w:val="28"/>
          <w:szCs w:val="28"/>
        </w:rPr>
        <w:t>的发包人</w:t>
      </w:r>
      <w:r>
        <w:rPr>
          <w:rFonts w:hint="eastAsia" w:ascii="仿宋_GB2312" w:hAnsi="宋体" w:eastAsia="仿宋_GB2312"/>
          <w:sz w:val="28"/>
          <w:szCs w:val="28"/>
        </w:rPr>
        <w:t>的指令，履行甲方与发包人签订的总包合同约定的与本合同工程有关的所有义务及工作程序。</w:t>
      </w:r>
      <w:r>
        <w:rPr>
          <w:rFonts w:hint="eastAsia" w:ascii="仿宋_GB2312" w:hAnsi="宋体" w:eastAsia="仿宋_GB2312"/>
          <w:color w:val="000000"/>
          <w:sz w:val="28"/>
          <w:szCs w:val="28"/>
        </w:rPr>
        <w:t>在本项工程中，发包人对甲方的要求以及甲方向发包人的承诺，对乙方具有同样的制约作用。</w:t>
      </w:r>
    </w:p>
    <w:p w14:paraId="13A3549B">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ascii="仿宋_GB2312" w:hAnsi="宋体" w:eastAsia="仿宋_GB2312"/>
          <w:sz w:val="28"/>
          <w:szCs w:val="28"/>
        </w:rPr>
        <w:t>1</w:t>
      </w:r>
      <w:r>
        <w:rPr>
          <w:rFonts w:hint="eastAsia" w:ascii="仿宋_GB2312" w:hAnsi="宋体" w:eastAsia="仿宋_GB2312"/>
          <w:sz w:val="28"/>
          <w:szCs w:val="28"/>
          <w:lang w:val="en-US" w:eastAsia="zh-CN"/>
        </w:rPr>
        <w:t>5</w:t>
      </w:r>
      <w:r>
        <w:rPr>
          <w:rFonts w:hint="eastAsia" w:ascii="仿宋_GB2312" w:hAnsi="宋体" w:eastAsia="仿宋_GB2312"/>
          <w:sz w:val="28"/>
          <w:szCs w:val="28"/>
        </w:rPr>
        <w:t>信守合同，维护甲方的信誉。自觉接受政府职能部门、发包人、甲方的技术指导、安全质量监督检查。</w:t>
      </w:r>
    </w:p>
    <w:p w14:paraId="33E3B4FB">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w:t>
      </w:r>
      <w:r>
        <w:rPr>
          <w:rFonts w:ascii="仿宋_GB2312" w:hAnsi="宋体" w:eastAsia="仿宋_GB2312"/>
          <w:color w:val="000000"/>
          <w:sz w:val="28"/>
          <w:szCs w:val="28"/>
        </w:rPr>
        <w:t>1</w:t>
      </w: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 xml:space="preserve">施工负责人、技术负责人、质量安全负责人、特殊工种等主要人员的资格证和上岗操作证须向甲方提供原件核对，并留存复印件备案；且一线生产人员应符合国家法定年龄；乙方雇员进出场必须在甲方登记；否则，甲方有权解除合同。 </w:t>
      </w:r>
    </w:p>
    <w:p w14:paraId="5FB16B21">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w:t>
      </w:r>
      <w:r>
        <w:rPr>
          <w:rFonts w:ascii="仿宋_GB2312" w:hAnsi="宋体" w:eastAsia="仿宋_GB2312"/>
          <w:color w:val="000000"/>
          <w:sz w:val="28"/>
          <w:szCs w:val="28"/>
        </w:rPr>
        <w:t>1</w:t>
      </w:r>
      <w:r>
        <w:rPr>
          <w:rFonts w:hint="eastAsia" w:ascii="仿宋_GB2312" w:hAnsi="宋体" w:eastAsia="仿宋_GB2312"/>
          <w:color w:val="000000"/>
          <w:sz w:val="28"/>
          <w:szCs w:val="28"/>
          <w:lang w:val="en-US" w:eastAsia="zh-CN"/>
        </w:rPr>
        <w:t>7</w:t>
      </w:r>
      <w:r>
        <w:rPr>
          <w:rFonts w:hint="eastAsia" w:ascii="仿宋_GB2312" w:hAnsi="宋体" w:eastAsia="仿宋_GB2312"/>
          <w:color w:val="000000"/>
          <w:sz w:val="28"/>
          <w:szCs w:val="28"/>
        </w:rPr>
        <w:t>乙方应当每月向甲方提供加盖乙方公章的工资发放单，按月足额发放工资，并接受甲方的监管。由甲方代发工资的还应每月向甲方提交代发工资委托书。严格履行个税扣缴义务，个税由乙方自行承担，向甲方提供的农民工工资清单均为税后金额，确保个税缴纳义务已完成。乙方必须及时、足额为履行本合同人员缴纳国家规定的社会保障费用。</w:t>
      </w:r>
    </w:p>
    <w:p w14:paraId="71CB63E1">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ascii="仿宋_GB2312" w:eastAsia="仿宋_GB2312"/>
          <w:color w:val="000000"/>
        </w:rPr>
        <w:t>1</w:t>
      </w:r>
      <w:r>
        <w:rPr>
          <w:rFonts w:hint="eastAsia" w:ascii="仿宋_GB2312" w:eastAsia="仿宋_GB2312"/>
          <w:color w:val="000000"/>
          <w:lang w:val="en-US" w:eastAsia="zh-CN"/>
        </w:rPr>
        <w:t>8</w:t>
      </w:r>
      <w:r>
        <w:rPr>
          <w:rFonts w:hint="eastAsia" w:ascii="仿宋_GB2312" w:eastAsia="仿宋_GB2312"/>
          <w:color w:val="000000"/>
        </w:rPr>
        <w:t>乙方运输时，必须按照甲方的安全管理制度进行运输，严格执行甲方的限速行驶要求。如发现乙方车辆倒车警报或警示灯或倒车影像已损坏还继续施工的，乙方车辆超速行驶的，甲方有权对乙方进行处罚，若因超速超载问题业主或总包对甲方进行罚款，甲方有权对乙方处于双倍罚款，由此产生的一切后果由乙方承担。乙方需按规定配备监护人，在卸渣过程中对其监护，同时每50人配备1名安全员，乙方配备的人员需满足业主及甲方的相关要求并由甲方统一管理。乙方负责派人指挥倒渣，若因地方政策或业主要求对车辆、装渣、外运、冲洗、密封等有新的要求或约定时，乙方按新文件或要求执行，合同单价不作调整。</w:t>
      </w:r>
    </w:p>
    <w:p w14:paraId="534F5BE1">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ascii="仿宋_GB2312" w:eastAsia="仿宋_GB2312"/>
          <w:color w:val="000000"/>
        </w:rPr>
        <w:t>1</w:t>
      </w:r>
      <w:r>
        <w:rPr>
          <w:rFonts w:hint="eastAsia" w:ascii="仿宋_GB2312" w:eastAsia="仿宋_GB2312"/>
          <w:color w:val="000000"/>
          <w:lang w:val="en-US" w:eastAsia="zh-CN"/>
        </w:rPr>
        <w:t>9</w:t>
      </w:r>
      <w:r>
        <w:rPr>
          <w:rFonts w:hint="eastAsia" w:ascii="仿宋_GB2312" w:eastAsia="仿宋_GB2312"/>
          <w:color w:val="000000"/>
        </w:rPr>
        <w:t>负责分包工程施工界内的用水、用电（水源、电源甲乙双方应根据具体情况约定）及独立使用的施工便道和临时设施的修建和维护；自行承担自有人员的吃、住、行及施工机械设备的搬迁费用。</w:t>
      </w:r>
    </w:p>
    <w:p w14:paraId="4D64C70B">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highlight w:val="cyan"/>
          <w:lang w:val="en-US" w:eastAsia="zh-CN"/>
        </w:rPr>
        <w:t>4</w:t>
      </w:r>
      <w:r>
        <w:rPr>
          <w:rFonts w:hint="eastAsia" w:ascii="仿宋_GB2312" w:eastAsia="仿宋_GB2312"/>
          <w:color w:val="000000"/>
          <w:highlight w:val="cyan"/>
        </w:rPr>
        <w:t>.</w:t>
      </w:r>
      <w:r>
        <w:rPr>
          <w:rFonts w:hint="eastAsia" w:ascii="仿宋_GB2312" w:eastAsia="仿宋_GB2312"/>
          <w:color w:val="000000"/>
          <w:highlight w:val="cyan"/>
          <w:lang w:val="en-US" w:eastAsia="zh-CN"/>
        </w:rPr>
        <w:t>20</w:t>
      </w:r>
      <w:r>
        <w:rPr>
          <w:rFonts w:hint="eastAsia" w:ascii="仿宋_GB2312" w:eastAsia="仿宋_GB2312"/>
          <w:color w:val="000000"/>
          <w:highlight w:val="cyan"/>
        </w:rPr>
        <w:t>乙方投入运输的车辆必须满足甲方运输要求，保证投入的车辆性能良好的自卸汽车</w:t>
      </w:r>
      <w:r>
        <w:rPr>
          <w:rFonts w:hint="eastAsia" w:ascii="仿宋_GB2312" w:eastAsia="仿宋_GB2312"/>
          <w:color w:val="000000"/>
          <w:highlight w:val="cyan"/>
          <w:lang w:val="en-US" w:eastAsia="zh-CN"/>
        </w:rPr>
        <w:t>80</w:t>
      </w:r>
      <w:r>
        <w:rPr>
          <w:rFonts w:hint="eastAsia" w:ascii="仿宋_GB2312" w:eastAsia="仿宋_GB2312"/>
          <w:color w:val="000000"/>
          <w:highlight w:val="cyan"/>
        </w:rPr>
        <w:t>辆以上，施工高峰期车辆总投入不少于</w:t>
      </w:r>
      <w:r>
        <w:rPr>
          <w:rFonts w:hint="eastAsia" w:ascii="仿宋_GB2312" w:eastAsia="仿宋_GB2312"/>
          <w:color w:val="000000"/>
          <w:highlight w:val="cyan"/>
          <w:lang w:val="en-US" w:eastAsia="zh-CN"/>
        </w:rPr>
        <w:t>90</w:t>
      </w:r>
      <w:r>
        <w:rPr>
          <w:rFonts w:hint="eastAsia" w:ascii="仿宋_GB2312" w:eastAsia="仿宋_GB2312"/>
          <w:color w:val="000000"/>
          <w:highlight w:val="cyan"/>
        </w:rPr>
        <w:t>辆</w:t>
      </w:r>
      <w:r>
        <w:rPr>
          <w:rFonts w:hint="eastAsia" w:ascii="仿宋_GB2312" w:eastAsia="仿宋_GB2312"/>
          <w:color w:val="000000"/>
        </w:rPr>
        <w:t>，且满足甲方出渣运输各阶段施工能连续不间断地作业，进场后的人员和车辆未经甲方同意，乙方不得私自调离工地或中途退场。每台出渣车必须配置倒车声光报警系统、倒车雷达、倒车影像系统，现场所有车辆的驾驶室和料斗都不可升起检查或维修。每台大车按需配备满足现场施工要求的司机，严禁疲劳驾驶，由于管理不善疲劳驾驶，造成的损失乙方承担全部责任。进场后的人员和车辆未经甲方同意，乙方不得私自调离工地或中途退场，否则，由此造成的损失乙方承担全部责任。施工进场前乙方所有进场机械设备必须备案，进场车辆甲方要求必须挂牌，若因车辆手续不齐全造成车辆被扣或被处罚等一切经济损失均由乙方自行承担。</w:t>
      </w:r>
    </w:p>
    <w:p w14:paraId="193F0CF3">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hint="eastAsia" w:ascii="仿宋_GB2312" w:eastAsia="仿宋_GB2312"/>
          <w:color w:val="000000"/>
          <w:lang w:val="en-US" w:eastAsia="zh-CN"/>
        </w:rPr>
        <w:t>21</w:t>
      </w:r>
      <w:r>
        <w:rPr>
          <w:rFonts w:hint="eastAsia" w:ascii="仿宋_GB2312" w:eastAsia="仿宋_GB2312"/>
          <w:color w:val="000000"/>
        </w:rPr>
        <w:t>乙方出渣运输过程中做好防滑措施，由于措施不力造成的事故损失由乙方自行承担。</w:t>
      </w:r>
    </w:p>
    <w:p w14:paraId="208F3D29">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.2</w:t>
      </w:r>
      <w:r>
        <w:rPr>
          <w:rFonts w:hint="eastAsia" w:ascii="仿宋_GB2312" w:eastAsia="仿宋_GB2312"/>
          <w:color w:val="000000"/>
          <w:lang w:val="en-US" w:eastAsia="zh-CN"/>
        </w:rPr>
        <w:t>2</w:t>
      </w:r>
      <w:r>
        <w:rPr>
          <w:rFonts w:hint="eastAsia" w:ascii="仿宋_GB2312" w:eastAsia="仿宋_GB2312"/>
          <w:color w:val="000000"/>
        </w:rPr>
        <w:t>进入施工现场车辆，必须持有有效的车辆行驶证、驾驶证、保额至少为150万/辆保险单，并报乙方备案同意后方可进入施工现场。</w:t>
      </w:r>
    </w:p>
    <w:p w14:paraId="55FEE469">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.2</w:t>
      </w:r>
      <w:r>
        <w:rPr>
          <w:rFonts w:hint="eastAsia" w:ascii="仿宋_GB2312" w:eastAsia="仿宋_GB2312"/>
          <w:color w:val="000000"/>
          <w:lang w:val="en-US" w:eastAsia="zh-CN"/>
        </w:rPr>
        <w:t>3</w:t>
      </w:r>
      <w:r>
        <w:rPr>
          <w:rFonts w:ascii="仿宋_GB2312" w:eastAsia="仿宋_GB2312"/>
          <w:color w:val="000000"/>
        </w:rPr>
        <w:t>乙方应根据具体情况，配备满足本工程需要的机械设备和周转材料。甲方也可根据情况将自己所有的周转材料和机械租赁给乙方使用，双方另行签订租赁使用合同。</w:t>
      </w:r>
    </w:p>
    <w:p w14:paraId="593B8B23">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.2</w:t>
      </w:r>
      <w:r>
        <w:rPr>
          <w:rFonts w:hint="eastAsia" w:ascii="仿宋_GB2312" w:eastAsia="仿宋_GB2312"/>
          <w:color w:val="000000"/>
          <w:lang w:val="en-US" w:eastAsia="zh-CN"/>
        </w:rPr>
        <w:t>4</w:t>
      </w:r>
      <w:r>
        <w:rPr>
          <w:rFonts w:ascii="仿宋_GB2312" w:eastAsia="仿宋_GB2312"/>
          <w:color w:val="000000"/>
        </w:rPr>
        <w:t>乙方自备的机械设备需符合安全性能要求，满足施工需要。乙方机械设备进场后、使用前，由甲乙双方共同对安全性能符合要求的进场机械进行现值评估，评估结果由双方签认后作为本合同的组成部分。乙方进场的机械必须服从甲方的统一管理。</w:t>
      </w:r>
    </w:p>
    <w:p w14:paraId="1ACA44A0">
      <w:pPr>
        <w:pStyle w:val="4"/>
        <w:spacing w:line="520" w:lineRule="exact"/>
        <w:ind w:firstLine="560" w:firstLineChars="200"/>
        <w:rPr>
          <w:rFonts w:hint="eastAsia" w:ascii="仿宋_GB2312" w:eastAsia="仿宋_GB2312"/>
          <w:color w:val="000000"/>
          <w:highlight w:val="green"/>
        </w:rPr>
      </w:pPr>
      <w:r>
        <w:rPr>
          <w:rFonts w:hint="eastAsia" w:ascii="仿宋_GB2312" w:eastAsia="仿宋_GB2312"/>
          <w:color w:val="000000"/>
          <w:highlight w:val="green"/>
          <w:lang w:val="en-US" w:eastAsia="zh-CN"/>
        </w:rPr>
        <w:t>4</w:t>
      </w:r>
      <w:r>
        <w:rPr>
          <w:rFonts w:hint="eastAsia" w:ascii="仿宋_GB2312" w:eastAsia="仿宋_GB2312"/>
          <w:color w:val="000000"/>
          <w:highlight w:val="green"/>
        </w:rPr>
        <w:t>.2</w:t>
      </w:r>
      <w:r>
        <w:rPr>
          <w:rFonts w:hint="eastAsia" w:ascii="仿宋_GB2312" w:eastAsia="仿宋_GB2312"/>
          <w:color w:val="000000"/>
          <w:highlight w:val="green"/>
          <w:lang w:val="en-US" w:eastAsia="zh-CN"/>
        </w:rPr>
        <w:t>5</w:t>
      </w:r>
      <w:r>
        <w:rPr>
          <w:rFonts w:ascii="仿宋_GB2312" w:eastAsia="仿宋_GB2312"/>
          <w:color w:val="000000"/>
          <w:highlight w:val="green"/>
        </w:rPr>
        <w:t xml:space="preserve"> 乙方的运渣车</w:t>
      </w:r>
      <w:r>
        <w:rPr>
          <w:rFonts w:hint="eastAsia" w:ascii="仿宋_GB2312" w:eastAsia="仿宋_GB2312"/>
          <w:color w:val="000000"/>
          <w:highlight w:val="green"/>
          <w:lang w:val="en-US" w:eastAsia="zh-CN"/>
        </w:rPr>
        <w:t>必须在年检合格期内</w:t>
      </w:r>
      <w:r>
        <w:rPr>
          <w:rFonts w:hint="eastAsia" w:ascii="仿宋_GB2312" w:eastAsia="仿宋_GB2312"/>
          <w:color w:val="000000"/>
          <w:highlight w:val="green"/>
          <w:lang w:eastAsia="zh-CN"/>
        </w:rPr>
        <w:t>，</w:t>
      </w:r>
      <w:r>
        <w:rPr>
          <w:rFonts w:ascii="仿宋_GB2312" w:eastAsia="仿宋_GB2312"/>
          <w:color w:val="000000"/>
          <w:highlight w:val="green"/>
        </w:rPr>
        <w:t>进入施工</w:t>
      </w:r>
      <w:r>
        <w:rPr>
          <w:rFonts w:hint="eastAsia" w:ascii="仿宋_GB2312" w:eastAsia="仿宋_GB2312"/>
          <w:color w:val="000000"/>
          <w:highlight w:val="green"/>
          <w:lang w:val="en-US" w:eastAsia="zh-CN"/>
        </w:rPr>
        <w:t>场地</w:t>
      </w:r>
      <w:r>
        <w:rPr>
          <w:rFonts w:ascii="仿宋_GB2312" w:eastAsia="仿宋_GB2312"/>
          <w:color w:val="000000"/>
          <w:highlight w:val="green"/>
        </w:rPr>
        <w:t>内各类车辆的驾驶员</w:t>
      </w:r>
      <w:r>
        <w:rPr>
          <w:rFonts w:hint="eastAsia" w:ascii="仿宋_GB2312" w:eastAsia="仿宋_GB2312"/>
          <w:color w:val="000000"/>
          <w:highlight w:val="green"/>
          <w:lang w:val="en-US" w:eastAsia="zh-CN"/>
        </w:rPr>
        <w:t>必须</w:t>
      </w:r>
      <w:r>
        <w:rPr>
          <w:rFonts w:ascii="仿宋_GB2312" w:eastAsia="仿宋_GB2312"/>
          <w:color w:val="000000"/>
          <w:highlight w:val="green"/>
        </w:rPr>
        <w:t>取得相应资格驾驶证，且无发生严重交通事故记录。乙方应为进场的各类车辆购买保险金额不低于150万的第三者商业保险。</w:t>
      </w:r>
    </w:p>
    <w:p w14:paraId="405D0ADF">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.2</w:t>
      </w:r>
      <w:r>
        <w:rPr>
          <w:rFonts w:hint="eastAsia" w:ascii="仿宋_GB2312" w:eastAsia="仿宋_GB2312"/>
          <w:color w:val="000000"/>
          <w:lang w:val="en-US" w:eastAsia="zh-CN"/>
        </w:rPr>
        <w:t>6</w:t>
      </w:r>
      <w:r>
        <w:rPr>
          <w:rFonts w:ascii="仿宋_GB2312" w:eastAsia="仿宋_GB2312"/>
          <w:color w:val="000000"/>
        </w:rPr>
        <w:t>乙方所有车辆和移动设备应按业主要求配备1个行车记录仪，最低配置为带显示屏、内存32G，摄像头像素720p、录制时间不低于72小时，所有车辆、设备入场前必须通过</w:t>
      </w:r>
      <w:r>
        <w:rPr>
          <w:rFonts w:hint="eastAsia" w:ascii="仿宋_GB2312" w:eastAsia="仿宋_GB2312"/>
          <w:color w:val="000000"/>
          <w:lang w:val="en-US" w:eastAsia="zh-CN"/>
        </w:rPr>
        <w:t>甲方</w:t>
      </w:r>
      <w:r>
        <w:rPr>
          <w:rFonts w:ascii="仿宋_GB2312" w:eastAsia="仿宋_GB2312"/>
          <w:color w:val="000000"/>
        </w:rPr>
        <w:t>和发包人的检查，申办通行证。</w:t>
      </w:r>
    </w:p>
    <w:p w14:paraId="1709F9FC">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hint="eastAsia" w:ascii="仿宋_GB2312" w:eastAsia="仿宋_GB2312"/>
          <w:color w:val="000000"/>
          <w:lang w:val="en-US" w:eastAsia="zh-CN"/>
        </w:rPr>
        <w:t>27</w:t>
      </w:r>
      <w:r>
        <w:rPr>
          <w:rFonts w:ascii="仿宋_GB2312" w:eastAsia="仿宋_GB2312"/>
          <w:color w:val="000000"/>
        </w:rPr>
        <w:t>乙方自行采购的辅料，必须符合国家、行业有关法律、法规、标准、规范要求，有出厂合格证及检验报告单，并经甲方检验后方可使用，否则，视为乙方使用了不合格材料，乙方必须无偿返工并承担由此造成的一切损失和责任；甲方的检验不免除乙方对其所购材料质量应负的责任和义务，使用该材料对工程和他人人身、财产造成损害的，乙方应承担一切责任。</w:t>
      </w:r>
    </w:p>
    <w:p w14:paraId="41E22E5D">
      <w:pPr>
        <w:pStyle w:val="4"/>
        <w:spacing w:line="520" w:lineRule="exact"/>
        <w:ind w:firstLine="560" w:firstLineChars="200"/>
        <w:rPr>
          <w:rFonts w:hint="eastAsia"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hint="eastAsia" w:ascii="仿宋_GB2312" w:eastAsia="仿宋_GB2312"/>
          <w:color w:val="000000"/>
          <w:lang w:val="en-US" w:eastAsia="zh-CN"/>
        </w:rPr>
        <w:t>28</w:t>
      </w:r>
      <w:r>
        <w:rPr>
          <w:rFonts w:ascii="仿宋_GB2312" w:eastAsia="仿宋_GB2312"/>
          <w:color w:val="000000"/>
        </w:rPr>
        <w:t>乙方自带的用电、用水、生产、生活等材料、物资必须符合国家、行业有关法律、法规、标准、规范及甲方安全质量环保、文明施工、标准化管理等要求，否则，甲方有权要求替换符合要求的材料、物资，费用由乙方承担。</w:t>
      </w:r>
    </w:p>
    <w:p w14:paraId="2B4FD2E1">
      <w:pPr>
        <w:pStyle w:val="4"/>
        <w:spacing w:line="520" w:lineRule="exact"/>
        <w:ind w:firstLine="560" w:firstLineChars="200"/>
        <w:rPr>
          <w:rFonts w:ascii="仿宋_GB2312" w:eastAsia="仿宋_GB2312"/>
          <w:color w:val="000000"/>
        </w:rPr>
      </w:pPr>
      <w:r>
        <w:rPr>
          <w:rFonts w:hint="eastAsia" w:ascii="仿宋_GB2312" w:eastAsia="仿宋_GB2312"/>
          <w:color w:val="000000"/>
          <w:lang w:val="en-US" w:eastAsia="zh-CN"/>
        </w:rPr>
        <w:t>4</w:t>
      </w:r>
      <w:r>
        <w:rPr>
          <w:rFonts w:hint="eastAsia" w:ascii="仿宋_GB2312" w:eastAsia="仿宋_GB2312"/>
          <w:color w:val="000000"/>
        </w:rPr>
        <w:t>.</w:t>
      </w:r>
      <w:r>
        <w:rPr>
          <w:rFonts w:hint="eastAsia" w:ascii="仿宋_GB2312" w:eastAsia="仿宋_GB2312"/>
          <w:color w:val="000000"/>
          <w:lang w:val="en-US" w:eastAsia="zh-CN"/>
        </w:rPr>
        <w:t>29</w:t>
      </w:r>
      <w:r>
        <w:rPr>
          <w:rFonts w:ascii="仿宋_GB2312" w:eastAsia="仿宋_GB2312"/>
          <w:color w:val="000000"/>
        </w:rPr>
        <w:t>乙方负责提供的材料和设备，应向甲方提供材料和设备的合格证明及出厂证明，并对材料和设备的质量负责。如乙方采购的材料和设备不符合图纸或有关标准要求时，乙方应在甲方要求的合理期限内将不符合设计或有关标准要求的材料、工程设备运出施工场地，并重新采购符合要求的材料、工程设备，由此增加的费用和（或）延误的工期，由乙方承担。</w:t>
      </w:r>
    </w:p>
    <w:p w14:paraId="4F6A6429">
      <w:pPr>
        <w:pStyle w:val="4"/>
        <w:spacing w:line="520" w:lineRule="exact"/>
        <w:ind w:firstLine="560" w:firstLineChars="200"/>
        <w:rPr>
          <w:rFonts w:hint="default" w:ascii="仿宋_GB2312" w:eastAsia="仿宋_GB2312"/>
          <w:color w:val="000000"/>
          <w:highlight w:val="cyan"/>
          <w:lang w:val="en-US" w:eastAsia="zh-CN"/>
        </w:rPr>
      </w:pPr>
      <w:r>
        <w:rPr>
          <w:rFonts w:hint="eastAsia" w:ascii="仿宋_GB2312" w:eastAsia="仿宋_GB2312"/>
          <w:color w:val="000000"/>
          <w:highlight w:val="cyan"/>
          <w:lang w:val="en-US" w:eastAsia="zh-CN"/>
        </w:rPr>
        <w:t>4.30乙方负责协调处理土方开挖过程中红线内外区域涉及与第三方有关的争议问题。</w:t>
      </w:r>
    </w:p>
    <w:p w14:paraId="3683B4EE">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五</w:t>
      </w:r>
      <w:r>
        <w:rPr>
          <w:rFonts w:hint="eastAsia" w:ascii="仿宋_GB2312" w:hAnsi="宋体" w:eastAsia="仿宋_GB2312"/>
          <w:sz w:val="28"/>
          <w:szCs w:val="28"/>
        </w:rPr>
        <w:t>条 安全、文明、环保要求</w:t>
      </w:r>
    </w:p>
    <w:p w14:paraId="7603065C">
      <w:pPr>
        <w:spacing w:line="520" w:lineRule="exact"/>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1乙方应遵守国家、地方政府及发包人颁布的有关施工安全、劳动保护、文明施工、卫生管理、环境保护等法规制度和甲方制定的本工程的关于安全、环保、现场文明施工、标准化管理方面的有关要求，严格按照安全环保标准组织施工，做好本工程的安全管理工作。</w:t>
      </w:r>
    </w:p>
    <w:p w14:paraId="58194FB1">
      <w:pPr>
        <w:spacing w:line="520" w:lineRule="exact"/>
        <w:ind w:firstLine="560" w:firstLineChars="200"/>
        <w:jc w:val="left"/>
        <w:rPr>
          <w:rFonts w:hint="eastAsia" w:ascii="仿宋_GB2312" w:hAnsi="宋体" w:eastAsia="仿宋_GB2312"/>
          <w:color w:val="000000"/>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.2</w:t>
      </w:r>
      <w:r>
        <w:rPr>
          <w:rFonts w:hint="eastAsia" w:ascii="仿宋_GB2312" w:hAnsi="宋体" w:eastAsia="仿宋_GB2312"/>
          <w:color w:val="000000"/>
          <w:sz w:val="28"/>
          <w:szCs w:val="28"/>
        </w:rPr>
        <w:t>乙方进场后必须接受甲方的安全教育、管理；乙方要按照国家法律法规设置专职安全管理人员，保障施工现场的安全；特殊工种操作人员必须经过专业培训，取得证件，才能上岗。乙方应将人员培训的记录报甲方备案。</w:t>
      </w:r>
    </w:p>
    <w:p w14:paraId="64CA236B">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3乙方对本工程安全负责，应配备必要的安全防护设施，并按照国家有关安全生产法律、行政法规、操作规程执行，服从甲方安全监督和管理。乙方责任造成的人身伤亡、机械事故及其他财产损失均由乙方承担，同时一旦发生任何事故，乙方应立即采取一切合理必要的措施保护现场，防止损失的扩大，并立即向甲方报告事故详情。</w:t>
      </w:r>
    </w:p>
    <w:p w14:paraId="34085E02">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.4乙方按有关规定妥善处理因运输产生的废水、废气、噪声、淤泥、垃圾等各种影响环境污染的因素。由于乙方原因造成的环境污染事件，乙方应负全部责任并承担由此发生的所有费用。</w:t>
      </w:r>
    </w:p>
    <w:p w14:paraId="5100436D">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5乙方应确保投入现场的设备、运输车辆性能完好、牌照证件齐全且符合法律法规要求，如因设备、车辆发生故障造成甲方、第三方人员伤亡或财产损失，由乙方承担全部责任。乙方驾驶员和工作人员因自身原因造成的安全责任事故（经济和法律责任）或甲方、第三方人员伤亡或财产损失，由乙方自行负责，甲方不承担任何责任。由此造成甲方经济损失的，乙方还应负责赔偿甲方损失。</w:t>
      </w:r>
    </w:p>
    <w:p w14:paraId="3FBCED4E">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6乙方自行负责运输、卸料全过程的安全生产。因运输、卸料发生安全生产事故或造成人员伤亡、财产损失（含造成第三方人员伤亡、财产损失），由乙方承担全部责任。由此造成甲方经济损失的，乙方还应负责赔偿甲方损失。</w:t>
      </w:r>
    </w:p>
    <w:p w14:paraId="7A2DA5FE">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.7乙方负责运输过程中的安全。因遗落、抛洒装载物造成环境污染或交通事故，由乙方承担全部责任。由此造成甲方经济损失的，乙方还应负责赔偿甲方损失。</w:t>
      </w:r>
    </w:p>
    <w:p w14:paraId="2743357A">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5</w:t>
      </w:r>
      <w:r>
        <w:rPr>
          <w:rFonts w:hint="eastAsia" w:ascii="仿宋_GB2312" w:hAnsi="宋体" w:eastAsia="仿宋_GB2312"/>
          <w:sz w:val="28"/>
          <w:szCs w:val="28"/>
        </w:rPr>
        <w:t>.8乙方自行选择卸料地点，并负责卸料地点安全。如因卸料堆放发生安全生产事故或造成人员伤亡、财产损失（含造成第三方人员伤亡、财产损失），由乙方承担全部责任。由此造成甲方经济损失的，乙方还应负责赔偿甲方损失。</w:t>
      </w:r>
    </w:p>
    <w:p w14:paraId="17B570D8">
      <w:pPr>
        <w:spacing w:line="520" w:lineRule="exact"/>
        <w:ind w:firstLine="617" w:firstLineChars="213"/>
        <w:rPr>
          <w:rFonts w:hint="eastAsia" w:ascii="仿宋_GB2312" w:hAnsi="仿宋_GB2312" w:eastAsia="仿宋_GB2312" w:cs="仿宋_GB2312"/>
          <w:color w:val="auto"/>
          <w:spacing w:val="5"/>
          <w:sz w:val="28"/>
          <w:szCs w:val="28"/>
          <w:highlight w:val="none"/>
          <w:u w:val="single"/>
        </w:rPr>
      </w:pPr>
      <w:r>
        <w:rPr>
          <w:rFonts w:hint="eastAsia" w:ascii="仿宋_GB2312" w:hAnsi="仿宋_GB2312" w:eastAsia="仿宋_GB2312" w:cs="仿宋_GB2312"/>
          <w:color w:val="auto"/>
          <w:spacing w:val="5"/>
          <w:sz w:val="28"/>
          <w:szCs w:val="28"/>
          <w:highlight w:val="none"/>
          <w:u w:val="single"/>
          <w:lang w:val="en-US" w:eastAsia="zh-CN"/>
        </w:rPr>
        <w:t>5.9</w:t>
      </w:r>
      <w:r>
        <w:rPr>
          <w:rFonts w:hint="eastAsia" w:ascii="仿宋_GB2312" w:hAnsi="仿宋_GB2312" w:eastAsia="仿宋_GB2312" w:cs="仿宋_GB2312"/>
          <w:color w:val="auto"/>
          <w:spacing w:val="5"/>
          <w:sz w:val="28"/>
          <w:szCs w:val="28"/>
          <w:highlight w:val="none"/>
          <w:u w:val="single"/>
        </w:rPr>
        <w:t>乙方须于每月5日前向甲方提交上月《月度安全工作报告》，内容包括：国家、省（区）、市及行业主管部门等近期安全检查重点内容的落实情况；当月项目安全风险辨识、评估及管控措施（附隐患排查台账、整改记录）；安全培训、应急演练及事故处置情况（附影像及签到记录）；次月安全工作计划及重点管控方向。</w:t>
      </w:r>
    </w:p>
    <w:p w14:paraId="5C20878A">
      <w:pPr>
        <w:spacing w:line="520" w:lineRule="exact"/>
        <w:ind w:firstLine="617" w:firstLineChars="213"/>
        <w:rPr>
          <w:rFonts w:hint="eastAsia" w:ascii="仿宋_GB2312" w:hAnsi="仿宋_GB2312" w:eastAsia="仿宋_GB2312" w:cs="仿宋_GB2312"/>
          <w:color w:val="auto"/>
          <w:spacing w:val="5"/>
          <w:sz w:val="28"/>
          <w:szCs w:val="28"/>
          <w:highlight w:val="none"/>
          <w:u w:val="single"/>
        </w:rPr>
      </w:pPr>
      <w:r>
        <w:rPr>
          <w:rFonts w:hint="eastAsia" w:ascii="仿宋_GB2312" w:hAnsi="仿宋_GB2312" w:eastAsia="仿宋_GB2312" w:cs="仿宋_GB2312"/>
          <w:color w:val="auto"/>
          <w:spacing w:val="5"/>
          <w:sz w:val="28"/>
          <w:szCs w:val="28"/>
          <w:highlight w:val="none"/>
          <w:u w:val="single"/>
          <w:lang w:val="en-US" w:eastAsia="zh-CN"/>
        </w:rPr>
        <w:t>5.10</w:t>
      </w:r>
      <w:r>
        <w:rPr>
          <w:rFonts w:hint="eastAsia" w:ascii="仿宋_GB2312" w:hAnsi="仿宋_GB2312" w:eastAsia="仿宋_GB2312" w:cs="仿宋_GB2312"/>
          <w:color w:val="auto"/>
          <w:spacing w:val="5"/>
          <w:sz w:val="28"/>
          <w:szCs w:val="28"/>
          <w:highlight w:val="none"/>
          <w:u w:val="single"/>
        </w:rPr>
        <w:t>甲方有权就安全质量提出合理管控要求，乙方应按要求落实执行。</w:t>
      </w:r>
    </w:p>
    <w:p w14:paraId="180DF0EE">
      <w:pPr>
        <w:spacing w:line="520" w:lineRule="exact"/>
        <w:ind w:firstLine="617" w:firstLineChars="213"/>
        <w:rPr>
          <w:rFonts w:hint="eastAsia" w:ascii="仿宋_GB2312" w:hAnsi="宋体" w:eastAsia="仿宋_GB2312"/>
          <w:sz w:val="28"/>
          <w:szCs w:val="28"/>
          <w:u w:val="single"/>
        </w:rPr>
      </w:pPr>
      <w:r>
        <w:rPr>
          <w:rFonts w:hint="eastAsia" w:ascii="仿宋_GB2312" w:hAnsi="仿宋_GB2312" w:eastAsia="仿宋_GB2312" w:cs="仿宋_GB2312"/>
          <w:color w:val="auto"/>
          <w:spacing w:val="5"/>
          <w:sz w:val="28"/>
          <w:szCs w:val="28"/>
          <w:highlight w:val="none"/>
          <w:u w:val="single"/>
          <w:lang w:val="en-US" w:eastAsia="zh-CN"/>
        </w:rPr>
        <w:t>5.11</w:t>
      </w:r>
      <w:r>
        <w:rPr>
          <w:rFonts w:hint="eastAsia" w:ascii="仿宋_GB2312" w:hAnsi="仿宋_GB2312" w:eastAsia="仿宋_GB2312" w:cs="仿宋_GB2312"/>
          <w:color w:val="auto"/>
          <w:spacing w:val="5"/>
          <w:sz w:val="28"/>
          <w:szCs w:val="28"/>
          <w:highlight w:val="none"/>
          <w:u w:val="single"/>
        </w:rPr>
        <w:t>甲方有权采取多种方式进行检查，乙方须配合检查并提供安全生产相关材料。</w:t>
      </w:r>
    </w:p>
    <w:p w14:paraId="30DAB0C7">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六</w:t>
      </w:r>
      <w:r>
        <w:rPr>
          <w:rFonts w:hint="eastAsia" w:ascii="仿宋_GB2312" w:hAnsi="宋体" w:eastAsia="仿宋_GB2312"/>
          <w:sz w:val="28"/>
          <w:szCs w:val="28"/>
        </w:rPr>
        <w:t>条 双方驻工地代表</w:t>
      </w:r>
    </w:p>
    <w:p w14:paraId="5A042CDA">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.1 甲方委派的担任驻工地履行本合同的工地代表为：</w:t>
      </w:r>
      <w:r>
        <w:rPr>
          <w:rFonts w:hint="eastAsia" w:ascii="仿宋_GB2312" w:hAnsi="宋体" w:eastAsia="仿宋_GB2312"/>
          <w:color w:val="000000"/>
          <w:sz w:val="28"/>
          <w:szCs w:val="28"/>
          <w:lang w:val="en-US" w:eastAsia="zh-CN"/>
        </w:rPr>
        <w:t xml:space="preserve">   </w:t>
      </w:r>
      <w:r>
        <w:rPr>
          <w:rFonts w:hint="eastAsia" w:ascii="仿宋_GB2312" w:hAnsi="宋体" w:eastAsia="仿宋_GB2312"/>
          <w:color w:val="000000"/>
          <w:sz w:val="28"/>
          <w:szCs w:val="28"/>
        </w:rPr>
        <w:t>，职务：项目经理，负责本工程安全质量监察，进度及质量控制、检查及其它事项，负责审批收方结算资料等文件，签发或发布相关指令。</w:t>
      </w:r>
    </w:p>
    <w:p w14:paraId="018018A7">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.2乙方委派的担任驻工地履行本合同的工地代表为:</w:t>
      </w:r>
      <w:r>
        <w:rPr>
          <w:rFonts w:hint="eastAsia" w:ascii="仿宋_GB2312" w:hAnsi="宋体" w:eastAsia="仿宋_GB2312"/>
          <w:color w:val="000000"/>
          <w:sz w:val="28"/>
          <w:szCs w:val="28"/>
          <w:lang w:val="en-US" w:eastAsia="zh-CN"/>
        </w:rPr>
        <w:t xml:space="preserve">   </w:t>
      </w:r>
      <w:r>
        <w:rPr>
          <w:rFonts w:hint="eastAsia" w:ascii="仿宋_GB2312" w:hAnsi="宋体" w:eastAsia="仿宋_GB2312"/>
          <w:color w:val="000000"/>
          <w:sz w:val="28"/>
          <w:szCs w:val="28"/>
        </w:rPr>
        <w:t>，身份证号：</w:t>
      </w:r>
      <w:r>
        <w:rPr>
          <w:rFonts w:hint="eastAsia" w:ascii="仿宋_GB2312" w:hAnsi="宋体" w:eastAsia="仿宋_GB2312"/>
          <w:color w:val="000000"/>
          <w:sz w:val="28"/>
          <w:szCs w:val="28"/>
          <w:lang w:val="en-US" w:eastAsia="zh-CN"/>
        </w:rPr>
        <w:t xml:space="preserve">   </w:t>
      </w:r>
      <w:r>
        <w:rPr>
          <w:rFonts w:hint="eastAsia" w:ascii="仿宋_GB2312" w:hAnsi="宋体" w:eastAsia="仿宋_GB2312"/>
          <w:color w:val="000000"/>
          <w:sz w:val="28"/>
          <w:szCs w:val="28"/>
        </w:rPr>
        <w:t>，负责本合同工作内容组织实施，处理施工中的收方结算、材料领用、签订补充协议及其他书面往来文件、结算领取工程款等相关事宜。</w:t>
      </w:r>
    </w:p>
    <w:p w14:paraId="79F23566">
      <w:pPr>
        <w:pStyle w:val="5"/>
        <w:spacing w:line="520" w:lineRule="exact"/>
        <w:ind w:left="0" w:leftChars="0"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.3 甲乙双方若需更换驻工地代表，应及时通知另一方。甲方有权要求撤换不能胜任本职工作、行为不端或玩忽职守的乙方驻工地代表和其他人员，乙方应予以撤换。</w:t>
      </w:r>
    </w:p>
    <w:p w14:paraId="3A93B1CE">
      <w:pPr>
        <w:pStyle w:val="5"/>
        <w:spacing w:line="520" w:lineRule="exact"/>
        <w:ind w:left="0" w:leftChars="0"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4双方约定：甲方出具并经甲方审核程序及工地代表亲笔签字并加盖甲方项目部公章的结算单，作为施工期间和最终结算、付款的唯一依据，除此之外乙方持有的任何证明、收条、欠条、信函等文件资料，都不得作为结算、付款依据。甲方其他人员的任何签字、签认都不具有该事项最终确认的效力。</w:t>
      </w:r>
    </w:p>
    <w:p w14:paraId="4A485A26">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七</w:t>
      </w:r>
      <w:r>
        <w:rPr>
          <w:rFonts w:hint="eastAsia" w:ascii="仿宋_GB2312" w:hAnsi="宋体" w:eastAsia="仿宋_GB2312"/>
          <w:sz w:val="28"/>
          <w:szCs w:val="28"/>
        </w:rPr>
        <w:t>条 工程价款的结算与支付</w:t>
      </w:r>
    </w:p>
    <w:p w14:paraId="228100B8">
      <w:pPr>
        <w:spacing w:line="520" w:lineRule="exact"/>
        <w:ind w:firstLine="560" w:firstLineChars="200"/>
        <w:rPr>
          <w:rFonts w:hint="eastAsia" w:ascii="仿宋_GB2312" w:hAnsi="宋体" w:eastAsia="仿宋_GB2312"/>
          <w:sz w:val="28"/>
          <w:szCs w:val="28"/>
          <w:u w:val="single"/>
        </w:rPr>
      </w:pPr>
      <w:r>
        <w:rPr>
          <w:rFonts w:hint="eastAsia" w:ascii="仿宋_GB2312" w:hAnsi="宋体" w:eastAsia="仿宋_GB2312"/>
          <w:color w:val="000000"/>
          <w:sz w:val="28"/>
          <w:szCs w:val="28"/>
          <w:lang w:val="en-US" w:eastAsia="zh-CN"/>
        </w:rPr>
        <w:t>7</w:t>
      </w:r>
      <w:r>
        <w:rPr>
          <w:rFonts w:hint="eastAsia" w:ascii="仿宋_GB2312" w:hAnsi="宋体" w:eastAsia="仿宋_GB2312"/>
          <w:color w:val="000000"/>
          <w:sz w:val="28"/>
          <w:szCs w:val="28"/>
        </w:rPr>
        <w:t>.1</w:t>
      </w:r>
      <w:r>
        <w:rPr>
          <w:rFonts w:hint="eastAsia" w:ascii="仿宋_GB2312" w:hAnsi="宋体" w:eastAsia="仿宋_GB2312"/>
          <w:sz w:val="28"/>
          <w:szCs w:val="28"/>
        </w:rPr>
        <w:t>工程数量计算方式</w:t>
      </w:r>
    </w:p>
    <w:p w14:paraId="174BB2A5">
      <w:pPr>
        <w:adjustRightInd w:val="0"/>
        <w:snapToGrid w:val="0"/>
        <w:spacing w:line="520"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highlight w:val="green"/>
        </w:rPr>
        <w:t>附件一《工程量清单》中的数量仅为合同</w:t>
      </w:r>
      <w:r>
        <w:rPr>
          <w:rFonts w:hint="eastAsia" w:ascii="仿宋_GB2312" w:hAnsi="宋体" w:eastAsia="仿宋_GB2312"/>
          <w:sz w:val="28"/>
          <w:szCs w:val="28"/>
          <w:highlight w:val="green"/>
          <w:lang w:val="en-US" w:eastAsia="zh-CN"/>
        </w:rPr>
        <w:t>暂定</w:t>
      </w:r>
      <w:r>
        <w:rPr>
          <w:rFonts w:hint="eastAsia" w:ascii="仿宋_GB2312" w:hAnsi="宋体" w:eastAsia="仿宋_GB2312"/>
          <w:sz w:val="28"/>
          <w:szCs w:val="28"/>
          <w:highlight w:val="green"/>
        </w:rPr>
        <w:t>数量，实际结算数量以</w:t>
      </w:r>
      <w:r>
        <w:rPr>
          <w:rFonts w:hint="eastAsia" w:ascii="仿宋_GB2312" w:hAnsi="宋体" w:eastAsia="仿宋_GB2312"/>
          <w:sz w:val="28"/>
          <w:szCs w:val="28"/>
          <w:highlight w:val="green"/>
          <w:lang w:val="en-US" w:eastAsia="zh-CN"/>
        </w:rPr>
        <w:t>发包人、甲方、乙方共同确认的开挖前原始地貌标高数据</w:t>
      </w:r>
      <w:r>
        <w:rPr>
          <w:rFonts w:hint="eastAsia" w:ascii="仿宋_GB2312" w:hAnsi="宋体" w:eastAsia="仿宋_GB2312"/>
          <w:strike w:val="0"/>
          <w:dstrike w:val="0"/>
          <w:sz w:val="28"/>
          <w:szCs w:val="28"/>
          <w:highlight w:val="green"/>
        </w:rPr>
        <w:t>为基础</w:t>
      </w:r>
      <w:r>
        <w:rPr>
          <w:rFonts w:hint="eastAsia" w:ascii="仿宋_GB2312" w:hAnsi="宋体" w:eastAsia="仿宋_GB2312"/>
          <w:sz w:val="28"/>
          <w:szCs w:val="28"/>
          <w:highlight w:val="green"/>
        </w:rPr>
        <w:t>，并以乙方实际完成、依据《工程量清单》中的计量规则由</w:t>
      </w:r>
      <w:r>
        <w:rPr>
          <w:rFonts w:hint="eastAsia" w:ascii="仿宋_GB2312" w:hAnsi="宋体" w:eastAsia="仿宋_GB2312"/>
          <w:sz w:val="28"/>
          <w:szCs w:val="28"/>
          <w:highlight w:val="green"/>
          <w:lang w:val="en-US" w:eastAsia="zh-CN"/>
        </w:rPr>
        <w:t>发包人、甲方、乙方共同</w:t>
      </w:r>
      <w:r>
        <w:rPr>
          <w:rFonts w:hint="eastAsia" w:ascii="仿宋_GB2312" w:hAnsi="宋体" w:eastAsia="仿宋_GB2312"/>
          <w:sz w:val="28"/>
          <w:szCs w:val="28"/>
          <w:highlight w:val="green"/>
        </w:rPr>
        <w:t>认可的</w:t>
      </w:r>
      <w:r>
        <w:rPr>
          <w:rFonts w:hint="eastAsia" w:ascii="仿宋_GB2312" w:hAnsi="宋体" w:eastAsia="仿宋_GB2312"/>
          <w:sz w:val="28"/>
          <w:szCs w:val="28"/>
          <w:highlight w:val="green"/>
          <w:lang w:val="en-US" w:eastAsia="zh-CN"/>
        </w:rPr>
        <w:t>最终开挖完成标高数据</w:t>
      </w:r>
      <w:r>
        <w:rPr>
          <w:rFonts w:hint="eastAsia" w:ascii="仿宋_GB2312" w:hAnsi="宋体" w:eastAsia="仿宋_GB2312"/>
          <w:sz w:val="28"/>
          <w:szCs w:val="28"/>
          <w:highlight w:val="green"/>
        </w:rPr>
        <w:t>为准。工程量清单的任何错误和遗漏，不能免除乙方根据合同规定的义务和按图纸、规范履行合同的责任。</w:t>
      </w:r>
    </w:p>
    <w:p w14:paraId="195718D6">
      <w:pPr>
        <w:pageBreakBefore w:val="0"/>
        <w:numPr>
          <w:ilvl w:val="0"/>
          <w:numId w:val="0"/>
        </w:numPr>
        <w:kinsoku/>
        <w:overflowPunct/>
        <w:topLinePunct w:val="0"/>
        <w:autoSpaceDE/>
        <w:autoSpaceDN/>
        <w:bidi w:val="0"/>
        <w:adjustRightInd/>
        <w:snapToGrid/>
        <w:spacing w:line="360" w:lineRule="auto"/>
        <w:ind w:left="0" w:leftChars="0" w:firstLine="560" w:firstLineChars="200"/>
        <w:rPr>
          <w:rFonts w:hint="eastAsia" w:ascii="仿宋" w:hAnsi="仿宋" w:eastAsia="仿宋" w:cs="仿宋"/>
          <w:color w:val="auto"/>
          <w:sz w:val="28"/>
          <w:szCs w:val="28"/>
          <w:highlight w:val="none"/>
        </w:rPr>
      </w:pPr>
      <w:bookmarkStart w:id="2" w:name="_Toc12789"/>
      <w:bookmarkStart w:id="3" w:name="_Toc25601"/>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工程款支付</w:t>
      </w:r>
      <w:bookmarkEnd w:id="2"/>
      <w:bookmarkEnd w:id="3"/>
    </w:p>
    <w:p w14:paraId="6E1C2DAB">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7.2</w:t>
      </w:r>
      <w:r>
        <w:rPr>
          <w:rFonts w:hint="eastAsia" w:ascii="仿宋" w:hAnsi="仿宋" w:eastAsia="仿宋" w:cs="仿宋"/>
          <w:color w:val="auto"/>
          <w:sz w:val="28"/>
          <w:szCs w:val="28"/>
          <w:highlight w:val="none"/>
        </w:rPr>
        <w:t>.1 预付款：无预付款。</w:t>
      </w:r>
    </w:p>
    <w:p w14:paraId="1F6E9FF6">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.2 进度款：按工程形象进度支付进度款，</w:t>
      </w:r>
      <w:r>
        <w:rPr>
          <w:rFonts w:hint="eastAsia" w:ascii="仿宋_GB2312" w:hAnsi="宋体" w:eastAsia="仿宋_GB2312"/>
          <w:sz w:val="28"/>
          <w:szCs w:val="28"/>
          <w:highlight w:val="green"/>
          <w:lang w:val="en-US" w:eastAsia="zh-CN"/>
        </w:rPr>
        <w:t>发包人、甲方、乙方</w:t>
      </w:r>
      <w:r>
        <w:rPr>
          <w:rFonts w:hint="eastAsia" w:ascii="仿宋" w:hAnsi="仿宋" w:eastAsia="仿宋" w:cs="仿宋"/>
          <w:color w:val="auto"/>
          <w:sz w:val="28"/>
          <w:szCs w:val="28"/>
          <w:highlight w:val="none"/>
        </w:rPr>
        <w:t>按月确认工程量，并签认《工程量确认单》确认已完成的工程量及工程价款。乙方应当在甲方通知开票后提供足额的增值税专用发票及请款函等请款材料，</w:t>
      </w:r>
      <w:r>
        <w:rPr>
          <w:rFonts w:hint="eastAsia" w:ascii="仿宋" w:hAnsi="仿宋" w:eastAsia="仿宋" w:cs="仿宋"/>
          <w:strike w:val="0"/>
          <w:dstrike w:val="0"/>
          <w:color w:val="auto"/>
          <w:sz w:val="28"/>
          <w:szCs w:val="28"/>
          <w:highlight w:val="none"/>
        </w:rPr>
        <w:t>工程款支付对应工程进度及支付比例详见《工程款支付一览表》；</w:t>
      </w:r>
    </w:p>
    <w:tbl>
      <w:tblPr>
        <w:tblStyle w:val="9"/>
        <w:tblW w:w="5000" w:type="pct"/>
        <w:tblInd w:w="0" w:type="dxa"/>
        <w:tblLayout w:type="autofit"/>
        <w:tblCellMar>
          <w:top w:w="0" w:type="dxa"/>
          <w:left w:w="108" w:type="dxa"/>
          <w:bottom w:w="0" w:type="dxa"/>
          <w:right w:w="108" w:type="dxa"/>
        </w:tblCellMar>
      </w:tblPr>
      <w:tblGrid>
        <w:gridCol w:w="4946"/>
        <w:gridCol w:w="2629"/>
        <w:gridCol w:w="2154"/>
      </w:tblGrid>
      <w:tr w14:paraId="73109A6A">
        <w:tblPrEx>
          <w:tblCellMar>
            <w:top w:w="0" w:type="dxa"/>
            <w:left w:w="108" w:type="dxa"/>
            <w:bottom w:w="0" w:type="dxa"/>
            <w:right w:w="108" w:type="dxa"/>
          </w:tblCellMar>
        </w:tblPrEx>
        <w:trPr>
          <w:trHeight w:val="270" w:hRule="atLeast"/>
        </w:trPr>
        <w:tc>
          <w:tcPr>
            <w:tcW w:w="5000" w:type="pct"/>
            <w:gridSpan w:val="3"/>
            <w:tcBorders>
              <w:top w:val="single" w:color="000000" w:sz="4" w:space="0"/>
              <w:left w:val="single" w:color="000000" w:sz="4" w:space="0"/>
              <w:bottom w:val="single" w:color="000000" w:sz="4" w:space="0"/>
              <w:right w:val="single" w:color="000000" w:sz="4" w:space="0"/>
            </w:tcBorders>
            <w:noWrap/>
            <w:vAlign w:val="center"/>
          </w:tcPr>
          <w:p w14:paraId="08CB3BF5">
            <w:pPr>
              <w:pageBreakBefore w:val="0"/>
              <w:widowControl/>
              <w:kinsoku/>
              <w:overflowPunct/>
              <w:topLinePunct w:val="0"/>
              <w:autoSpaceDE/>
              <w:autoSpaceDN/>
              <w:bidi w:val="0"/>
              <w:adjustRightInd/>
              <w:snapToGrid/>
              <w:spacing w:line="360" w:lineRule="auto"/>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工程款支付一览表</w:t>
            </w:r>
          </w:p>
        </w:tc>
      </w:tr>
      <w:tr w14:paraId="72728223">
        <w:tblPrEx>
          <w:tblCellMar>
            <w:top w:w="0" w:type="dxa"/>
            <w:left w:w="108" w:type="dxa"/>
            <w:bottom w:w="0" w:type="dxa"/>
            <w:right w:w="108" w:type="dxa"/>
          </w:tblCellMar>
        </w:tblPrEx>
        <w:trPr>
          <w:trHeight w:val="270" w:hRule="atLeast"/>
        </w:trPr>
        <w:tc>
          <w:tcPr>
            <w:tcW w:w="2567" w:type="pct"/>
            <w:tcBorders>
              <w:top w:val="single" w:color="000000" w:sz="4" w:space="0"/>
              <w:left w:val="single" w:color="000000" w:sz="4" w:space="0"/>
              <w:bottom w:val="single" w:color="000000" w:sz="4" w:space="0"/>
              <w:right w:val="single" w:color="000000" w:sz="4" w:space="0"/>
            </w:tcBorders>
            <w:shd w:val="clear"/>
            <w:noWrap/>
            <w:vAlign w:val="center"/>
          </w:tcPr>
          <w:p w14:paraId="68B6248D">
            <w:pPr>
              <w:pageBreakBefore w:val="0"/>
              <w:widowControl/>
              <w:kinsoku/>
              <w:overflowPunct/>
              <w:topLinePunct w:val="0"/>
              <w:autoSpaceDE/>
              <w:autoSpaceDN/>
              <w:bidi w:val="0"/>
              <w:adjustRightInd/>
              <w:snapToGrid/>
              <w:spacing w:line="360" w:lineRule="auto"/>
              <w:ind w:firstLine="560" w:firstLineChars="200"/>
              <w:jc w:val="center"/>
              <w:textAlignment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bidi="ar"/>
              </w:rPr>
              <w:t>工程进度</w:t>
            </w:r>
          </w:p>
        </w:tc>
        <w:tc>
          <w:tcPr>
            <w:tcW w:w="1325" w:type="pct"/>
            <w:tcBorders>
              <w:top w:val="single" w:color="000000" w:sz="4" w:space="0"/>
              <w:left w:val="single" w:color="000000" w:sz="4" w:space="0"/>
              <w:bottom w:val="single" w:color="000000" w:sz="4" w:space="0"/>
              <w:right w:val="single" w:color="000000" w:sz="4" w:space="0"/>
            </w:tcBorders>
            <w:shd w:val="clear"/>
            <w:noWrap/>
            <w:vAlign w:val="center"/>
          </w:tcPr>
          <w:p w14:paraId="612867E2">
            <w:pPr>
              <w:pageBreakBefore w:val="0"/>
              <w:widowControl/>
              <w:kinsoku/>
              <w:overflowPunct/>
              <w:topLinePunct w:val="0"/>
              <w:autoSpaceDE/>
              <w:autoSpaceDN/>
              <w:bidi w:val="0"/>
              <w:adjustRightInd/>
              <w:snapToGrid/>
              <w:spacing w:line="360" w:lineRule="auto"/>
              <w:ind w:firstLine="560" w:firstLineChars="200"/>
              <w:jc w:val="left"/>
              <w:textAlignment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bidi="ar"/>
              </w:rPr>
              <w:t>支付比例</w:t>
            </w:r>
          </w:p>
        </w:tc>
        <w:tc>
          <w:tcPr>
            <w:tcW w:w="1106" w:type="pct"/>
            <w:tcBorders>
              <w:top w:val="single" w:color="000000" w:sz="4" w:space="0"/>
              <w:left w:val="single" w:color="000000" w:sz="4" w:space="0"/>
              <w:bottom w:val="single" w:color="000000" w:sz="4" w:space="0"/>
              <w:right w:val="single" w:color="000000" w:sz="4" w:space="0"/>
            </w:tcBorders>
            <w:shd w:val="clear"/>
            <w:noWrap/>
            <w:vAlign w:val="center"/>
          </w:tcPr>
          <w:p w14:paraId="026CF5DC">
            <w:pPr>
              <w:pageBreakBefore w:val="0"/>
              <w:widowControl/>
              <w:kinsoku/>
              <w:overflowPunct/>
              <w:topLinePunct w:val="0"/>
              <w:autoSpaceDE/>
              <w:autoSpaceDN/>
              <w:bidi w:val="0"/>
              <w:adjustRightInd/>
              <w:snapToGrid/>
              <w:spacing w:line="360" w:lineRule="auto"/>
              <w:jc w:val="center"/>
              <w:textAlignment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bidi="ar"/>
              </w:rPr>
              <w:t>备注</w:t>
            </w:r>
          </w:p>
        </w:tc>
      </w:tr>
      <w:tr w14:paraId="0D464459">
        <w:tblPrEx>
          <w:tblCellMar>
            <w:top w:w="0" w:type="dxa"/>
            <w:left w:w="108" w:type="dxa"/>
            <w:bottom w:w="0" w:type="dxa"/>
            <w:right w:w="108" w:type="dxa"/>
          </w:tblCellMar>
        </w:tblPrEx>
        <w:trPr>
          <w:trHeight w:val="525" w:hRule="atLeast"/>
        </w:trPr>
        <w:tc>
          <w:tcPr>
            <w:tcW w:w="3893" w:type="pct"/>
            <w:gridSpan w:val="2"/>
            <w:tcBorders>
              <w:top w:val="single" w:color="000000" w:sz="4" w:space="0"/>
              <w:left w:val="single" w:color="000000" w:sz="4" w:space="0"/>
              <w:bottom w:val="single" w:color="000000" w:sz="4" w:space="0"/>
              <w:right w:val="single" w:color="000000" w:sz="4" w:space="0"/>
            </w:tcBorders>
            <w:noWrap/>
            <w:vAlign w:val="center"/>
          </w:tcPr>
          <w:p w14:paraId="1FB73851">
            <w:pPr>
              <w:pageBreakBefore w:val="0"/>
              <w:widowControl/>
              <w:kinsoku/>
              <w:overflowPunct/>
              <w:topLinePunct w:val="0"/>
              <w:autoSpaceDE/>
              <w:autoSpaceDN/>
              <w:bidi w:val="0"/>
              <w:adjustRightInd/>
              <w:snapToGrid/>
              <w:spacing w:line="360" w:lineRule="auto"/>
              <w:ind w:firstLine="560" w:firstLineChars="200"/>
              <w:jc w:val="left"/>
              <w:textAlignment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第一笔：</w:t>
            </w:r>
            <w:r>
              <w:rPr>
                <w:rFonts w:hint="eastAsia" w:ascii="仿宋" w:hAnsi="仿宋" w:eastAsia="仿宋" w:cs="仿宋"/>
                <w:color w:val="auto"/>
                <w:sz w:val="28"/>
                <w:szCs w:val="28"/>
                <w:highlight w:val="none"/>
                <w:lang w:val="en-US" w:eastAsia="zh-CN"/>
              </w:rPr>
              <w:t>达到</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的20%并经甲方书面确认后，甲方在收到乙方全套完整无误的请款材料后20个工作日内，</w:t>
            </w:r>
            <w:r>
              <w:rPr>
                <w:rFonts w:hint="eastAsia" w:ascii="仿宋" w:hAnsi="仿宋" w:eastAsia="仿宋" w:cs="仿宋"/>
                <w:color w:val="auto"/>
                <w:sz w:val="28"/>
                <w:szCs w:val="28"/>
                <w:highlight w:val="none"/>
                <w:lang w:val="en-US" w:eastAsia="zh-CN"/>
              </w:rPr>
              <w:t>甲方按</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所对应工程款的70%并扣除乙方应扣款项后拨付乙方</w:t>
            </w:r>
            <w:r>
              <w:rPr>
                <w:rFonts w:hint="eastAsia" w:ascii="仿宋" w:hAnsi="仿宋" w:eastAsia="仿宋" w:cs="仿宋"/>
                <w:color w:val="auto"/>
                <w:sz w:val="28"/>
                <w:szCs w:val="28"/>
                <w:highlight w:val="none"/>
                <w:lang w:eastAsia="zh-CN"/>
              </w:rPr>
              <w:t>。</w:t>
            </w:r>
          </w:p>
        </w:tc>
        <w:tc>
          <w:tcPr>
            <w:tcW w:w="1106" w:type="pct"/>
            <w:vMerge w:val="restart"/>
            <w:tcBorders>
              <w:top w:val="single" w:color="000000" w:sz="4" w:space="0"/>
              <w:left w:val="single" w:color="000000" w:sz="4" w:space="0"/>
              <w:bottom w:val="single" w:color="000000" w:sz="4" w:space="0"/>
              <w:right w:val="single" w:color="000000" w:sz="4" w:space="0"/>
            </w:tcBorders>
            <w:noWrap/>
            <w:vAlign w:val="center"/>
          </w:tcPr>
          <w:p w14:paraId="6E5F08AE">
            <w:pPr>
              <w:pageBreakBefore w:val="0"/>
              <w:kinsoku/>
              <w:overflowPunct/>
              <w:topLinePunct w:val="0"/>
              <w:autoSpaceDE/>
              <w:autoSpaceDN/>
              <w:bidi w:val="0"/>
              <w:adjustRightInd/>
              <w:snapToGrid/>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本工程按照</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节点，共支付</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笔进度款。</w:t>
            </w:r>
          </w:p>
        </w:tc>
      </w:tr>
      <w:tr w14:paraId="6E3BA8A0">
        <w:tblPrEx>
          <w:tblCellMar>
            <w:top w:w="0" w:type="dxa"/>
            <w:left w:w="108" w:type="dxa"/>
            <w:bottom w:w="0" w:type="dxa"/>
            <w:right w:w="108" w:type="dxa"/>
          </w:tblCellMar>
        </w:tblPrEx>
        <w:trPr>
          <w:trHeight w:val="610" w:hRule="atLeast"/>
        </w:trPr>
        <w:tc>
          <w:tcPr>
            <w:tcW w:w="3893" w:type="pct"/>
            <w:gridSpan w:val="2"/>
            <w:tcBorders>
              <w:top w:val="single" w:color="000000" w:sz="4" w:space="0"/>
              <w:left w:val="single" w:color="000000" w:sz="4" w:space="0"/>
              <w:bottom w:val="single" w:color="000000" w:sz="4" w:space="0"/>
              <w:right w:val="single" w:color="000000" w:sz="4" w:space="0"/>
            </w:tcBorders>
            <w:noWrap/>
            <w:vAlign w:val="center"/>
          </w:tcPr>
          <w:p w14:paraId="59560EFD">
            <w:pPr>
              <w:pageBreakBefore w:val="0"/>
              <w:widowControl/>
              <w:kinsoku/>
              <w:overflowPunct/>
              <w:topLinePunct w:val="0"/>
              <w:autoSpaceDE/>
              <w:autoSpaceDN/>
              <w:bidi w:val="0"/>
              <w:adjustRightInd/>
              <w:snapToGrid/>
              <w:spacing w:line="360" w:lineRule="auto"/>
              <w:ind w:firstLine="560" w:firstLineChars="200"/>
              <w:jc w:val="left"/>
              <w:textAlignment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第二笔：</w:t>
            </w:r>
            <w:r>
              <w:rPr>
                <w:rFonts w:hint="eastAsia" w:ascii="仿宋" w:hAnsi="仿宋" w:eastAsia="仿宋" w:cs="仿宋"/>
                <w:color w:val="auto"/>
                <w:sz w:val="28"/>
                <w:szCs w:val="28"/>
                <w:highlight w:val="none"/>
                <w:lang w:val="en-US" w:eastAsia="zh-CN"/>
              </w:rPr>
              <w:t>达到</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的50%并经甲方书面确认后，甲方在收到乙方全套完整无误的请款材料后20个工作日内，</w:t>
            </w:r>
            <w:r>
              <w:rPr>
                <w:rFonts w:hint="eastAsia" w:ascii="仿宋" w:hAnsi="仿宋" w:eastAsia="仿宋" w:cs="仿宋"/>
                <w:color w:val="auto"/>
                <w:sz w:val="28"/>
                <w:szCs w:val="28"/>
                <w:highlight w:val="none"/>
                <w:lang w:val="en-US" w:eastAsia="zh-CN"/>
              </w:rPr>
              <w:t>甲方按5</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所对应工程款的70%并扣除乙方应扣款项后拨付乙方</w:t>
            </w:r>
            <w:r>
              <w:rPr>
                <w:rFonts w:hint="eastAsia" w:ascii="仿宋" w:hAnsi="仿宋" w:eastAsia="仿宋" w:cs="仿宋"/>
                <w:color w:val="auto"/>
                <w:sz w:val="28"/>
                <w:szCs w:val="28"/>
                <w:highlight w:val="none"/>
                <w:lang w:eastAsia="zh-CN"/>
              </w:rPr>
              <w:t>。</w:t>
            </w:r>
          </w:p>
        </w:tc>
        <w:tc>
          <w:tcPr>
            <w:tcW w:w="1106" w:type="pct"/>
            <w:vMerge w:val="continue"/>
            <w:tcBorders>
              <w:top w:val="single" w:color="000000" w:sz="4" w:space="0"/>
              <w:left w:val="single" w:color="000000" w:sz="4" w:space="0"/>
              <w:bottom w:val="single" w:color="000000" w:sz="4" w:space="0"/>
              <w:right w:val="single" w:color="000000" w:sz="4" w:space="0"/>
            </w:tcBorders>
            <w:noWrap/>
            <w:vAlign w:val="center"/>
          </w:tcPr>
          <w:p w14:paraId="3D0A205E">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p>
        </w:tc>
      </w:tr>
      <w:tr w14:paraId="6855D553">
        <w:tblPrEx>
          <w:tblCellMar>
            <w:top w:w="0" w:type="dxa"/>
            <w:left w:w="108" w:type="dxa"/>
            <w:bottom w:w="0" w:type="dxa"/>
            <w:right w:w="108" w:type="dxa"/>
          </w:tblCellMar>
        </w:tblPrEx>
        <w:trPr>
          <w:trHeight w:val="270" w:hRule="atLeast"/>
        </w:trPr>
        <w:tc>
          <w:tcPr>
            <w:tcW w:w="3893" w:type="pct"/>
            <w:gridSpan w:val="2"/>
            <w:tcBorders>
              <w:top w:val="single" w:color="000000" w:sz="4" w:space="0"/>
              <w:left w:val="single" w:color="000000" w:sz="4" w:space="0"/>
              <w:bottom w:val="single" w:color="000000" w:sz="4" w:space="0"/>
              <w:right w:val="single" w:color="000000" w:sz="4" w:space="0"/>
            </w:tcBorders>
            <w:noWrap/>
            <w:vAlign w:val="center"/>
          </w:tcPr>
          <w:p w14:paraId="596DC859">
            <w:pPr>
              <w:pageBreakBefore w:val="0"/>
              <w:widowControl/>
              <w:kinsoku/>
              <w:overflowPunct/>
              <w:topLinePunct w:val="0"/>
              <w:autoSpaceDE/>
              <w:autoSpaceDN/>
              <w:bidi w:val="0"/>
              <w:adjustRightInd/>
              <w:snapToGrid/>
              <w:spacing w:line="360" w:lineRule="auto"/>
              <w:ind w:firstLine="560" w:firstLineChars="200"/>
              <w:jc w:val="left"/>
              <w:textAlignment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第三笔：</w:t>
            </w:r>
            <w:r>
              <w:rPr>
                <w:rFonts w:hint="eastAsia" w:ascii="仿宋" w:hAnsi="仿宋" w:eastAsia="仿宋" w:cs="仿宋"/>
                <w:color w:val="auto"/>
                <w:sz w:val="28"/>
                <w:szCs w:val="28"/>
                <w:highlight w:val="none"/>
                <w:lang w:val="en-US" w:eastAsia="zh-CN"/>
              </w:rPr>
              <w:t>达到</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的80%并经甲方书面确认后，甲方在收到乙方全套完整无误的请款材料后20个工作日内，</w:t>
            </w:r>
            <w:r>
              <w:rPr>
                <w:rFonts w:hint="eastAsia" w:ascii="仿宋" w:hAnsi="仿宋" w:eastAsia="仿宋" w:cs="仿宋"/>
                <w:color w:val="auto"/>
                <w:sz w:val="28"/>
                <w:szCs w:val="28"/>
                <w:highlight w:val="none"/>
                <w:lang w:val="en-US" w:eastAsia="zh-CN"/>
              </w:rPr>
              <w:t>甲方按8</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green"/>
                <w:lang w:val="en-US" w:eastAsia="zh-CN"/>
              </w:rPr>
              <w:t>合同工程量比例</w:t>
            </w:r>
            <w:r>
              <w:rPr>
                <w:rFonts w:hint="eastAsia" w:ascii="仿宋" w:hAnsi="仿宋" w:eastAsia="仿宋" w:cs="仿宋"/>
                <w:color w:val="auto"/>
                <w:sz w:val="28"/>
                <w:szCs w:val="28"/>
                <w:highlight w:val="none"/>
              </w:rPr>
              <w:t>所对应工程款的70%并扣除乙方应扣款项后拨付乙方</w:t>
            </w:r>
            <w:r>
              <w:rPr>
                <w:rFonts w:hint="eastAsia" w:ascii="仿宋" w:hAnsi="仿宋" w:eastAsia="仿宋" w:cs="仿宋"/>
                <w:color w:val="auto"/>
                <w:sz w:val="28"/>
                <w:szCs w:val="28"/>
                <w:highlight w:val="none"/>
                <w:lang w:eastAsia="zh-CN"/>
              </w:rPr>
              <w:t>。</w:t>
            </w:r>
          </w:p>
        </w:tc>
        <w:tc>
          <w:tcPr>
            <w:tcW w:w="1106" w:type="pct"/>
            <w:vMerge w:val="continue"/>
            <w:tcBorders>
              <w:top w:val="single" w:color="000000" w:sz="4" w:space="0"/>
              <w:left w:val="single" w:color="000000" w:sz="4" w:space="0"/>
              <w:bottom w:val="single" w:color="000000" w:sz="4" w:space="0"/>
              <w:right w:val="single" w:color="000000" w:sz="4" w:space="0"/>
            </w:tcBorders>
            <w:noWrap/>
            <w:vAlign w:val="center"/>
          </w:tcPr>
          <w:p w14:paraId="23EED14C">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p>
        </w:tc>
      </w:tr>
    </w:tbl>
    <w:p w14:paraId="43DFA0E6">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.3完工款：本工程完工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甲方在收到乙方全套完整无误的请款材料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包括但不限于</w:t>
      </w:r>
      <w:r>
        <w:rPr>
          <w:rFonts w:hint="eastAsia" w:ascii="仿宋" w:hAnsi="仿宋" w:eastAsia="仿宋" w:cs="仿宋"/>
          <w:color w:val="auto"/>
          <w:sz w:val="28"/>
          <w:szCs w:val="28"/>
          <w:highlight w:val="none"/>
        </w:rPr>
        <w:t>请款</w:t>
      </w:r>
      <w:r>
        <w:rPr>
          <w:rFonts w:hint="eastAsia" w:ascii="仿宋" w:hAnsi="仿宋" w:eastAsia="仿宋" w:cs="仿宋"/>
          <w:color w:val="auto"/>
          <w:sz w:val="28"/>
          <w:szCs w:val="28"/>
          <w:highlight w:val="none"/>
          <w:lang w:val="en-US" w:eastAsia="zh-CN"/>
        </w:rPr>
        <w:t>函</w:t>
      </w:r>
      <w:r>
        <w:rPr>
          <w:rFonts w:hint="eastAsia" w:ascii="仿宋" w:hAnsi="仿宋" w:eastAsia="仿宋" w:cs="仿宋"/>
          <w:color w:val="auto"/>
          <w:sz w:val="28"/>
          <w:szCs w:val="28"/>
          <w:highlight w:val="none"/>
        </w:rPr>
        <w:t>、竣工验收报告、移交单等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后</w:t>
      </w:r>
      <w:bookmarkStart w:id="6" w:name="_GoBack"/>
      <w:bookmarkEnd w:id="6"/>
      <w:r>
        <w:rPr>
          <w:rFonts w:hint="eastAsia" w:ascii="仿宋" w:hAnsi="仿宋" w:eastAsia="仿宋" w:cs="仿宋"/>
          <w:color w:val="auto"/>
          <w:sz w:val="28"/>
          <w:szCs w:val="28"/>
          <w:highlight w:val="none"/>
        </w:rPr>
        <w:t>20个工作日内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甲方按已完成工程价款的 80 %并扣除乙方应扣款项后向乙方支付款项；</w:t>
      </w:r>
    </w:p>
    <w:p w14:paraId="5950B3BE">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.4结算款：</w:t>
      </w:r>
    </w:p>
    <w:p w14:paraId="5E900C66">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①工程竣工且经甲方验收，确认达到合同约定的质量标准后，双方办理合同价款的最终结算手续，结算完成（即结算审定表经双方法定代表人或授权代表签字并加盖双方单位公章）后，</w:t>
      </w:r>
      <w:r>
        <w:rPr>
          <w:rFonts w:hint="eastAsia" w:ascii="仿宋" w:hAnsi="仿宋" w:eastAsia="仿宋" w:cs="仿宋"/>
          <w:color w:val="auto"/>
          <w:sz w:val="28"/>
          <w:szCs w:val="28"/>
          <w:highlight w:val="none"/>
        </w:rPr>
        <w:t>甲方在收到乙方全套完整无误的请款材料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包括但不限于</w:t>
      </w:r>
      <w:r>
        <w:rPr>
          <w:rFonts w:hint="eastAsia" w:ascii="仿宋" w:hAnsi="仿宋" w:eastAsia="仿宋" w:cs="仿宋"/>
          <w:color w:val="auto"/>
          <w:sz w:val="28"/>
          <w:szCs w:val="28"/>
          <w:highlight w:val="none"/>
        </w:rPr>
        <w:t>请款</w:t>
      </w:r>
      <w:r>
        <w:rPr>
          <w:rFonts w:hint="eastAsia" w:ascii="仿宋" w:hAnsi="仿宋" w:eastAsia="仿宋" w:cs="仿宋"/>
          <w:color w:val="auto"/>
          <w:sz w:val="28"/>
          <w:szCs w:val="28"/>
          <w:highlight w:val="none"/>
          <w:lang w:val="en-US" w:eastAsia="zh-CN"/>
        </w:rPr>
        <w:t>函</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结算审定表、劳务人员工资发放表、劳务人员考勤表、工人工资支付证明）后20个工作日内，向乙方支付至结算额的90%；</w:t>
      </w:r>
    </w:p>
    <w:p w14:paraId="1F8F3A66">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②甲方收到乙方提供的劳务人员工资已付清凭据（即工人工资支付证明，支付证明的支付方式应以银行流水为主。如无银行流水的，甲乙双方应先进行商榷，但支付证明必须提供能体现付款方（真实姓名）、收款方（真实姓名）、金额、转账时间、收款时间、付款单号等信息））后进行核实，确认无误后向乙方支付至结算额的100%。</w:t>
      </w:r>
    </w:p>
    <w:p w14:paraId="2986D6E3">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 xml:space="preserve">.5质量保证金：结算金额的 </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 xml:space="preserve"> %作为工程质量保证金，期间不计利息。工程质量保修期届满后，甲、乙双方办理工程质量保证金结算手续后14个工作日内，甲方将剩余的工程质量保证金支付给乙方。</w:t>
      </w:r>
    </w:p>
    <w:p w14:paraId="2E77693F">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乙方应在甲方每次付款前开具足额增值税专用发票（9%税率，工程质量保证金金额与甲方向乙方支付的结算金额余款合计开具发票）给甲方，否则甲方有权拒绝付款且无须承担任何违约责任。</w:t>
      </w:r>
    </w:p>
    <w:p w14:paraId="4EFC2018">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乙方应当在本款项下明确收款账户，甲方向该账户的支付的款项均视为乙方已经收到。</w:t>
      </w:r>
    </w:p>
    <w:p w14:paraId="666AA9A5">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乙方申领的进度款资料存在高估冒算、弄虚作假的，甲方应当先行就无争议部分进行审核，并按照前述约定，完成支付。</w:t>
      </w:r>
    </w:p>
    <w:p w14:paraId="309C2C45">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双方明确，甲方对乙方提交的申请进度款的资料审核不构成进度结算、定期结算。本分包工程结算流程和结算定案按合同相关约定执行。</w:t>
      </w:r>
    </w:p>
    <w:p w14:paraId="41C8F47F">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甲方有权以商业承兑汇票、银行承兑汇票、保理、供应链等非现金方式向乙方支付工程款，如需贴现，费用由乙方承担。</w:t>
      </w:r>
    </w:p>
    <w:p w14:paraId="4558D78D">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乙方按约应承担的违约金以及按合同应交的其他款项，在乙方接到甲方通知之日起5个工作日内，由乙方转账至甲方银行账户，如超期未交纳的，甲方向乙方支付款项时有权扣除。</w:t>
      </w:r>
    </w:p>
    <w:p w14:paraId="5DA818B5">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7.2</w:t>
      </w:r>
      <w:r>
        <w:rPr>
          <w:rFonts w:hint="eastAsia" w:ascii="仿宋" w:hAnsi="仿宋" w:eastAsia="仿宋" w:cs="仿宋"/>
          <w:color w:val="auto"/>
          <w:sz w:val="28"/>
          <w:szCs w:val="28"/>
          <w:highlight w:val="none"/>
        </w:rPr>
        <w:t>.6 关于乙方指定收款账户：乙方指定下列账户为收款账户，甲方采用转账方式付款时，应支付至下列帐户。如乙方变更收款帐户，应提前十五天以上书面通知甲方，否则造成资金的损失由乙方自行承担，与甲方无关。乙方指定收款帐户为：</w:t>
      </w:r>
    </w:p>
    <w:p w14:paraId="5DDB1249">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账户名：【                                        】</w:t>
      </w:r>
    </w:p>
    <w:p w14:paraId="12A07EB8">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开户行：【                                        】</w:t>
      </w:r>
    </w:p>
    <w:p w14:paraId="733A74A0">
      <w:pPr>
        <w:pageBreakBefore w:val="0"/>
        <w:widowControl w:val="0"/>
        <w:numPr>
          <w:ilvl w:val="0"/>
          <w:numId w:val="0"/>
        </w:numPr>
        <w:kinsoku/>
        <w:overflowPunct/>
        <w:topLinePunct w:val="0"/>
        <w:autoSpaceDE/>
        <w:autoSpaceDN/>
        <w:bidi w:val="0"/>
        <w:adjustRightInd/>
        <w:snapToGrid/>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  号：【                                        】</w:t>
      </w:r>
    </w:p>
    <w:p w14:paraId="3FB900E8">
      <w:pPr>
        <w:pStyle w:val="3"/>
        <w:pageBreakBefore w:val="0"/>
        <w:kinsoku/>
        <w:overflowPunct/>
        <w:topLinePunct w:val="0"/>
        <w:autoSpaceDE/>
        <w:autoSpaceDN/>
        <w:bidi w:val="0"/>
        <w:adjustRightInd/>
        <w:snapToGrid/>
        <w:spacing w:line="360" w:lineRule="auto"/>
        <w:ind w:left="0" w:leftChars="0" w:firstLine="562" w:firstLineChars="200"/>
        <w:rPr>
          <w:rFonts w:hint="eastAsia" w:ascii="仿宋" w:hAnsi="仿宋" w:eastAsia="仿宋" w:cs="仿宋"/>
          <w:bCs w:val="0"/>
          <w:color w:val="auto"/>
          <w:sz w:val="28"/>
          <w:szCs w:val="28"/>
          <w:highlight w:val="none"/>
        </w:rPr>
      </w:pPr>
      <w:r>
        <w:rPr>
          <w:rFonts w:hint="eastAsia" w:ascii="仿宋" w:hAnsi="仿宋" w:eastAsia="仿宋" w:cs="仿宋"/>
          <w:bCs w:val="0"/>
          <w:color w:val="auto"/>
          <w:sz w:val="28"/>
          <w:szCs w:val="28"/>
          <w:highlight w:val="none"/>
          <w:lang w:val="en-US" w:eastAsia="zh-CN"/>
        </w:rPr>
        <w:t>7.3.</w:t>
      </w:r>
      <w:r>
        <w:rPr>
          <w:rFonts w:hint="eastAsia" w:ascii="仿宋" w:hAnsi="仿宋" w:eastAsia="仿宋" w:cs="仿宋"/>
          <w:bCs w:val="0"/>
          <w:color w:val="auto"/>
          <w:sz w:val="28"/>
          <w:szCs w:val="28"/>
          <w:highlight w:val="none"/>
        </w:rPr>
        <w:t>增值税条款</w:t>
      </w:r>
    </w:p>
    <w:p w14:paraId="3C6870A8">
      <w:pPr>
        <w:pageBreakBefore w:val="0"/>
        <w:numPr>
          <w:ilvl w:val="0"/>
          <w:numId w:val="0"/>
        </w:numPr>
        <w:kinsoku/>
        <w:overflowPunct/>
        <w:topLinePunct w:val="0"/>
        <w:autoSpaceDE/>
        <w:autoSpaceDN/>
        <w:bidi w:val="0"/>
        <w:adjustRightInd/>
        <w:snapToGrid/>
        <w:spacing w:before="120" w:after="120" w:line="360" w:lineRule="auto"/>
        <w:ind w:firstLine="562" w:firstLineChars="200"/>
        <w:rPr>
          <w:rFonts w:hint="eastAsia" w:ascii="仿宋" w:hAnsi="仿宋" w:eastAsia="仿宋" w:cs="仿宋"/>
          <w:b/>
          <w:bCs/>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 xml:space="preserve">1 </w:t>
      </w:r>
      <w:r>
        <w:rPr>
          <w:rFonts w:hint="eastAsia" w:ascii="仿宋" w:hAnsi="仿宋" w:eastAsia="仿宋" w:cs="仿宋"/>
          <w:b/>
          <w:bCs/>
          <w:color w:val="auto"/>
          <w:sz w:val="28"/>
          <w:szCs w:val="28"/>
          <w:highlight w:val="none"/>
        </w:rPr>
        <w:t>双方基本信息</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2255"/>
        <w:gridCol w:w="6885"/>
      </w:tblGrid>
      <w:tr w14:paraId="3C23C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restart"/>
            <w:tcBorders>
              <w:top w:val="single" w:color="auto" w:sz="12" w:space="0"/>
              <w:left w:val="single" w:color="auto" w:sz="12" w:space="0"/>
            </w:tcBorders>
            <w:vAlign w:val="center"/>
          </w:tcPr>
          <w:p w14:paraId="2797744D">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lang w:val="en-US" w:eastAsia="zh-CN"/>
              </w:rPr>
            </w:pPr>
            <w:r>
              <w:rPr>
                <w:rFonts w:hint="eastAsia" w:ascii="仿宋" w:hAnsi="仿宋" w:eastAsia="仿宋" w:cs="仿宋"/>
                <w:b/>
                <w:color w:val="auto"/>
                <w:kern w:val="2"/>
                <w:sz w:val="28"/>
                <w:szCs w:val="28"/>
                <w:highlight w:val="none"/>
                <w:u w:val="none"/>
                <w:lang w:val="en-US" w:eastAsia="zh-CN"/>
              </w:rPr>
              <w:t>甲方</w:t>
            </w:r>
          </w:p>
        </w:tc>
        <w:tc>
          <w:tcPr>
            <w:tcW w:w="1159" w:type="pct"/>
            <w:tcBorders>
              <w:top w:val="single" w:color="auto" w:sz="12" w:space="0"/>
            </w:tcBorders>
            <w:vAlign w:val="top"/>
          </w:tcPr>
          <w:p w14:paraId="2C72C036">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名称</w:t>
            </w:r>
          </w:p>
        </w:tc>
        <w:tc>
          <w:tcPr>
            <w:tcW w:w="3539" w:type="pct"/>
            <w:tcBorders>
              <w:top w:val="single" w:color="auto" w:sz="12" w:space="0"/>
              <w:right w:val="single" w:color="auto" w:sz="12" w:space="0"/>
            </w:tcBorders>
            <w:vAlign w:val="center"/>
          </w:tcPr>
          <w:p w14:paraId="6C4B1ADA">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lang w:eastAsia="zh-CN"/>
              </w:rPr>
              <w:t>南宁轨道地产建筑工程有限责任公司</w:t>
            </w:r>
          </w:p>
        </w:tc>
      </w:tr>
      <w:tr w14:paraId="26F5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center"/>
          </w:tcPr>
          <w:p w14:paraId="6117654F">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rPr>
            </w:pPr>
          </w:p>
        </w:tc>
        <w:tc>
          <w:tcPr>
            <w:tcW w:w="1159" w:type="pct"/>
            <w:vAlign w:val="top"/>
          </w:tcPr>
          <w:p w14:paraId="12BB563B">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纳税人身份</w:t>
            </w:r>
          </w:p>
        </w:tc>
        <w:tc>
          <w:tcPr>
            <w:tcW w:w="3539" w:type="pct"/>
            <w:tcBorders>
              <w:right w:val="single" w:color="auto" w:sz="12" w:space="0"/>
            </w:tcBorders>
            <w:vAlign w:val="center"/>
          </w:tcPr>
          <w:p w14:paraId="6FE8090D">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lang w:eastAsia="zh-CN"/>
              </w:rPr>
              <w:t>☑</w:t>
            </w:r>
            <w:r>
              <w:rPr>
                <w:rFonts w:hint="eastAsia" w:ascii="仿宋" w:hAnsi="仿宋" w:eastAsia="仿宋" w:cs="仿宋"/>
                <w:color w:val="auto"/>
                <w:kern w:val="2"/>
                <w:sz w:val="28"/>
                <w:szCs w:val="28"/>
                <w:highlight w:val="none"/>
                <w:u w:val="none"/>
              </w:rPr>
              <w:t xml:space="preserve">一般纳税人 </w:t>
            </w:r>
            <w:r>
              <w:rPr>
                <w:rFonts w:hint="eastAsia" w:ascii="仿宋" w:hAnsi="仿宋" w:eastAsia="仿宋" w:cs="仿宋"/>
                <w:color w:val="auto"/>
                <w:kern w:val="2"/>
                <w:sz w:val="28"/>
                <w:szCs w:val="28"/>
                <w:highlight w:val="none"/>
                <w:u w:val="none"/>
                <w:lang w:eastAsia="zh-CN"/>
              </w:rPr>
              <w:t>□</w:t>
            </w:r>
            <w:r>
              <w:rPr>
                <w:rFonts w:hint="eastAsia" w:ascii="仿宋" w:hAnsi="仿宋" w:eastAsia="仿宋" w:cs="仿宋"/>
                <w:color w:val="auto"/>
                <w:kern w:val="2"/>
                <w:sz w:val="28"/>
                <w:szCs w:val="28"/>
                <w:highlight w:val="none"/>
                <w:u w:val="none"/>
              </w:rPr>
              <w:t>小规模纳税人（请勾选）</w:t>
            </w:r>
          </w:p>
        </w:tc>
      </w:tr>
      <w:tr w14:paraId="75D3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center"/>
          </w:tcPr>
          <w:p w14:paraId="4B441032">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rPr>
            </w:pPr>
          </w:p>
        </w:tc>
        <w:tc>
          <w:tcPr>
            <w:tcW w:w="1159" w:type="pct"/>
            <w:vAlign w:val="top"/>
          </w:tcPr>
          <w:p w14:paraId="38E7E305">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纳税人识别号</w:t>
            </w:r>
          </w:p>
        </w:tc>
        <w:tc>
          <w:tcPr>
            <w:tcW w:w="3539" w:type="pct"/>
            <w:tcBorders>
              <w:right w:val="single" w:color="auto" w:sz="12" w:space="0"/>
            </w:tcBorders>
            <w:vAlign w:val="center"/>
          </w:tcPr>
          <w:p w14:paraId="1F45D84D">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lang w:eastAsia="zh-CN"/>
              </w:rPr>
              <w:t>91450100198466905E</w:t>
            </w:r>
          </w:p>
        </w:tc>
      </w:tr>
      <w:tr w14:paraId="33C3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center"/>
          </w:tcPr>
          <w:p w14:paraId="11CAB85E">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rPr>
            </w:pPr>
          </w:p>
        </w:tc>
        <w:tc>
          <w:tcPr>
            <w:tcW w:w="1159" w:type="pct"/>
            <w:vAlign w:val="top"/>
          </w:tcPr>
          <w:p w14:paraId="6FE509CA">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地 址、电 话</w:t>
            </w:r>
          </w:p>
        </w:tc>
        <w:tc>
          <w:tcPr>
            <w:tcW w:w="3539" w:type="pct"/>
            <w:tcBorders>
              <w:right w:val="single" w:color="auto" w:sz="12" w:space="0"/>
            </w:tcBorders>
            <w:vAlign w:val="center"/>
          </w:tcPr>
          <w:p w14:paraId="65A80B78">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仿宋" w:hAnsi="仿宋" w:eastAsia="仿宋" w:cs="仿宋"/>
                <w:color w:val="auto"/>
                <w:kern w:val="2"/>
                <w:sz w:val="28"/>
                <w:szCs w:val="28"/>
                <w:highlight w:val="none"/>
                <w:u w:val="none"/>
                <w:lang w:val="en-US" w:eastAsia="zh-CN"/>
              </w:rPr>
            </w:pPr>
            <w:r>
              <w:rPr>
                <w:rFonts w:hint="eastAsia" w:ascii="仿宋" w:hAnsi="仿宋" w:eastAsia="仿宋" w:cs="仿宋"/>
                <w:color w:val="auto"/>
                <w:kern w:val="2"/>
                <w:sz w:val="28"/>
                <w:szCs w:val="28"/>
                <w:highlight w:val="none"/>
                <w:u w:val="none"/>
                <w:lang w:eastAsia="zh-CN"/>
              </w:rPr>
              <w:t>南宁市青秀区凤岭北路111号南宁国际旅游中心3号楼38层</w:t>
            </w:r>
            <w:r>
              <w:rPr>
                <w:rFonts w:hint="eastAsia" w:ascii="仿宋" w:hAnsi="仿宋" w:eastAsia="仿宋" w:cs="仿宋"/>
                <w:color w:val="auto"/>
                <w:kern w:val="2"/>
                <w:sz w:val="28"/>
                <w:szCs w:val="28"/>
                <w:highlight w:val="none"/>
                <w:u w:val="none"/>
                <w:lang w:val="en-US" w:eastAsia="zh-CN"/>
              </w:rPr>
              <w:t>/0771-5857742</w:t>
            </w:r>
          </w:p>
        </w:tc>
      </w:tr>
      <w:tr w14:paraId="19113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bottom w:val="double" w:color="auto" w:sz="4" w:space="0"/>
            </w:tcBorders>
            <w:vAlign w:val="center"/>
          </w:tcPr>
          <w:p w14:paraId="6931E0E5">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rPr>
            </w:pPr>
          </w:p>
        </w:tc>
        <w:tc>
          <w:tcPr>
            <w:tcW w:w="1159" w:type="pct"/>
            <w:tcBorders>
              <w:bottom w:val="double" w:color="auto" w:sz="4" w:space="0"/>
            </w:tcBorders>
            <w:vAlign w:val="center"/>
          </w:tcPr>
          <w:p w14:paraId="57C9F70D">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leftChars="0" w:right="0" w:rightChars="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开户行及账号</w:t>
            </w:r>
          </w:p>
        </w:tc>
        <w:tc>
          <w:tcPr>
            <w:tcW w:w="3539" w:type="pct"/>
            <w:tcBorders>
              <w:bottom w:val="double" w:color="auto" w:sz="4" w:space="0"/>
              <w:right w:val="single" w:color="auto" w:sz="12" w:space="0"/>
            </w:tcBorders>
            <w:vAlign w:val="center"/>
          </w:tcPr>
          <w:p w14:paraId="3EB0FEF0">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rPr>
                <w:rFonts w:hint="eastAsia" w:ascii="仿宋" w:hAnsi="仿宋" w:eastAsia="仿宋" w:cs="仿宋"/>
                <w:color w:val="auto"/>
                <w:kern w:val="2"/>
                <w:sz w:val="28"/>
                <w:szCs w:val="28"/>
                <w:highlight w:val="none"/>
                <w:u w:val="none"/>
                <w:lang w:eastAsia="zh-CN"/>
              </w:rPr>
            </w:pPr>
            <w:r>
              <w:rPr>
                <w:rFonts w:hint="eastAsia" w:ascii="仿宋" w:hAnsi="仿宋" w:eastAsia="仿宋" w:cs="仿宋"/>
                <w:color w:val="auto"/>
                <w:kern w:val="2"/>
                <w:sz w:val="28"/>
                <w:szCs w:val="28"/>
                <w:highlight w:val="none"/>
                <w:u w:val="none"/>
                <w:lang w:eastAsia="zh-CN"/>
              </w:rPr>
              <w:t>中国建设银行股份有限公司南宁金湖北路支行/45001604264050702251</w:t>
            </w:r>
          </w:p>
        </w:tc>
      </w:tr>
      <w:tr w14:paraId="0D9C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bottom w:val="double" w:color="auto" w:sz="4" w:space="0"/>
            </w:tcBorders>
            <w:vAlign w:val="center"/>
          </w:tcPr>
          <w:p w14:paraId="1BA7E488">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rPr>
            </w:pPr>
          </w:p>
        </w:tc>
        <w:tc>
          <w:tcPr>
            <w:tcW w:w="1159" w:type="pct"/>
            <w:tcBorders>
              <w:bottom w:val="double" w:color="auto" w:sz="4" w:space="0"/>
            </w:tcBorders>
            <w:vAlign w:val="center"/>
          </w:tcPr>
          <w:p w14:paraId="0EDEE9CB">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联行号</w:t>
            </w:r>
          </w:p>
        </w:tc>
        <w:tc>
          <w:tcPr>
            <w:tcW w:w="3539" w:type="pct"/>
            <w:tcBorders>
              <w:bottom w:val="double" w:color="auto" w:sz="4" w:space="0"/>
              <w:right w:val="single" w:color="auto" w:sz="12" w:space="0"/>
            </w:tcBorders>
            <w:vAlign w:val="center"/>
          </w:tcPr>
          <w:p w14:paraId="6036EA09">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360" w:lineRule="auto"/>
              <w:ind w:left="0" w:right="0" w:firstLine="0" w:firstLineChars="0"/>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sz w:val="28"/>
                <w:szCs w:val="28"/>
                <w:highlight w:val="none"/>
                <w:lang w:val="en-US" w:eastAsia="zh-CN"/>
              </w:rPr>
              <w:t>105611047850</w:t>
            </w:r>
          </w:p>
        </w:tc>
      </w:tr>
      <w:tr w14:paraId="7E6A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restart"/>
            <w:tcBorders>
              <w:top w:val="double" w:color="auto" w:sz="4" w:space="0"/>
              <w:left w:val="single" w:color="auto" w:sz="12" w:space="0"/>
            </w:tcBorders>
            <w:vAlign w:val="center"/>
          </w:tcPr>
          <w:p w14:paraId="5716F6C8">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b/>
                <w:color w:val="auto"/>
                <w:kern w:val="2"/>
                <w:sz w:val="28"/>
                <w:szCs w:val="28"/>
                <w:highlight w:val="none"/>
                <w:u w:val="none"/>
                <w:lang w:eastAsia="zh-CN"/>
              </w:rPr>
            </w:pPr>
            <w:r>
              <w:rPr>
                <w:rFonts w:hint="eastAsia" w:ascii="仿宋" w:hAnsi="仿宋" w:eastAsia="仿宋" w:cs="仿宋"/>
                <w:b/>
                <w:color w:val="auto"/>
                <w:kern w:val="2"/>
                <w:sz w:val="28"/>
                <w:szCs w:val="28"/>
                <w:highlight w:val="none"/>
                <w:u w:val="none"/>
                <w:lang w:val="en-US" w:eastAsia="zh-CN"/>
              </w:rPr>
              <w:t>乙方</w:t>
            </w:r>
          </w:p>
        </w:tc>
        <w:tc>
          <w:tcPr>
            <w:tcW w:w="1159" w:type="pct"/>
            <w:tcBorders>
              <w:top w:val="double" w:color="auto" w:sz="4" w:space="0"/>
            </w:tcBorders>
            <w:vAlign w:val="top"/>
          </w:tcPr>
          <w:p w14:paraId="39E541BC">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名 称</w:t>
            </w:r>
          </w:p>
        </w:tc>
        <w:tc>
          <w:tcPr>
            <w:tcW w:w="3539" w:type="pct"/>
            <w:tcBorders>
              <w:top w:val="double" w:color="auto" w:sz="4" w:space="0"/>
              <w:right w:val="single" w:color="auto" w:sz="12" w:space="0"/>
            </w:tcBorders>
            <w:vAlign w:val="center"/>
          </w:tcPr>
          <w:p w14:paraId="1F933E3D">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p>
        </w:tc>
      </w:tr>
      <w:tr w14:paraId="16DE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top"/>
          </w:tcPr>
          <w:p w14:paraId="2AAEA674">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vAlign w:val="top"/>
          </w:tcPr>
          <w:p w14:paraId="7F9D4AC6">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纳税人身份</w:t>
            </w:r>
          </w:p>
        </w:tc>
        <w:tc>
          <w:tcPr>
            <w:tcW w:w="3539" w:type="pct"/>
            <w:tcBorders>
              <w:right w:val="single" w:color="auto" w:sz="12" w:space="0"/>
            </w:tcBorders>
            <w:vAlign w:val="center"/>
          </w:tcPr>
          <w:p w14:paraId="0893E531">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sz w:val="28"/>
                <w:szCs w:val="28"/>
                <w:highlight w:val="none"/>
              </w:rPr>
              <w:t>☑一般纳税人 □小规模纳税人（请勾选）</w:t>
            </w:r>
          </w:p>
        </w:tc>
      </w:tr>
      <w:tr w14:paraId="252A7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top"/>
          </w:tcPr>
          <w:p w14:paraId="2C1E7D58">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vAlign w:val="top"/>
          </w:tcPr>
          <w:p w14:paraId="1070EE04">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纳税人识别号</w:t>
            </w:r>
          </w:p>
        </w:tc>
        <w:tc>
          <w:tcPr>
            <w:tcW w:w="3539" w:type="pct"/>
            <w:tcBorders>
              <w:right w:val="single" w:color="auto" w:sz="12" w:space="0"/>
            </w:tcBorders>
            <w:vAlign w:val="top"/>
          </w:tcPr>
          <w:p w14:paraId="1A58A505">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p>
        </w:tc>
      </w:tr>
      <w:tr w14:paraId="1CC9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top"/>
          </w:tcPr>
          <w:p w14:paraId="0482637B">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vAlign w:val="top"/>
          </w:tcPr>
          <w:p w14:paraId="535E990D">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地 址、电 话</w:t>
            </w:r>
          </w:p>
        </w:tc>
        <w:tc>
          <w:tcPr>
            <w:tcW w:w="3539" w:type="pct"/>
            <w:tcBorders>
              <w:right w:val="single" w:color="auto" w:sz="12" w:space="0"/>
            </w:tcBorders>
            <w:vAlign w:val="top"/>
          </w:tcPr>
          <w:p w14:paraId="2B3B90AC">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p>
        </w:tc>
      </w:tr>
      <w:tr w14:paraId="291A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top"/>
          </w:tcPr>
          <w:p w14:paraId="1105A433">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vAlign w:val="top"/>
          </w:tcPr>
          <w:p w14:paraId="64A5F174">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开户行及账号</w:t>
            </w:r>
          </w:p>
        </w:tc>
        <w:tc>
          <w:tcPr>
            <w:tcW w:w="3539" w:type="pct"/>
            <w:tcBorders>
              <w:right w:val="single" w:color="auto" w:sz="12" w:space="0"/>
            </w:tcBorders>
            <w:vAlign w:val="top"/>
          </w:tcPr>
          <w:p w14:paraId="21E5D88D">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p>
        </w:tc>
      </w:tr>
      <w:tr w14:paraId="49589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tcBorders>
            <w:vAlign w:val="top"/>
          </w:tcPr>
          <w:p w14:paraId="7FAB30F5">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vAlign w:val="top"/>
          </w:tcPr>
          <w:p w14:paraId="1522CB85">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kern w:val="2"/>
                <w:sz w:val="28"/>
                <w:szCs w:val="28"/>
                <w:highlight w:val="none"/>
                <w:u w:val="none"/>
              </w:rPr>
              <w:t>联行号</w:t>
            </w:r>
          </w:p>
        </w:tc>
        <w:tc>
          <w:tcPr>
            <w:tcW w:w="3539" w:type="pct"/>
            <w:tcBorders>
              <w:right w:val="single" w:color="auto" w:sz="12" w:space="0"/>
            </w:tcBorders>
            <w:vAlign w:val="top"/>
          </w:tcPr>
          <w:p w14:paraId="1283FBF0">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p>
        </w:tc>
      </w:tr>
      <w:tr w14:paraId="2051E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 w:type="pct"/>
            <w:vMerge w:val="continue"/>
            <w:tcBorders>
              <w:left w:val="single" w:color="auto" w:sz="12" w:space="0"/>
              <w:bottom w:val="single" w:color="auto" w:sz="12" w:space="0"/>
            </w:tcBorders>
            <w:vAlign w:val="top"/>
          </w:tcPr>
          <w:p w14:paraId="2B2E0C76">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1159" w:type="pct"/>
            <w:tcBorders>
              <w:bottom w:val="single" w:color="auto" w:sz="12" w:space="0"/>
            </w:tcBorders>
            <w:vAlign w:val="top"/>
          </w:tcPr>
          <w:p w14:paraId="75D41194">
            <w:pPr>
              <w:keepNext w:val="0"/>
              <w:keepLines w:val="0"/>
              <w:pageBreakBefore w:val="0"/>
              <w:widowControl w:val="0"/>
              <w:suppressLineNumbers w:val="0"/>
              <w:kinsoku/>
              <w:overflowPunct/>
              <w:topLinePunct w:val="0"/>
              <w:autoSpaceDE/>
              <w:autoSpaceDN/>
              <w:bidi w:val="0"/>
              <w:adjustRightInd/>
              <w:snapToGrid/>
              <w:spacing w:before="0" w:beforeLines="0" w:beforeAutospacing="0" w:after="0" w:afterLines="0" w:afterAutospacing="0" w:line="360" w:lineRule="auto"/>
              <w:ind w:left="0" w:right="0" w:firstLine="0" w:firstLineChars="0"/>
              <w:contextualSpacing/>
              <w:jc w:val="both"/>
              <w:textAlignment w:val="auto"/>
              <w:rPr>
                <w:rFonts w:hint="eastAsia" w:ascii="仿宋" w:hAnsi="仿宋" w:eastAsia="仿宋" w:cs="仿宋"/>
                <w:color w:val="auto"/>
                <w:kern w:val="2"/>
                <w:sz w:val="28"/>
                <w:szCs w:val="28"/>
                <w:highlight w:val="none"/>
                <w:u w:val="none"/>
              </w:rPr>
            </w:pPr>
          </w:p>
        </w:tc>
        <w:tc>
          <w:tcPr>
            <w:tcW w:w="3539" w:type="pct"/>
            <w:tcBorders>
              <w:bottom w:val="single" w:color="auto" w:sz="12" w:space="0"/>
              <w:right w:val="single" w:color="auto" w:sz="12" w:space="0"/>
            </w:tcBorders>
            <w:vAlign w:val="top"/>
          </w:tcPr>
          <w:p w14:paraId="4780EB63">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360" w:lineRule="auto"/>
              <w:ind w:left="0" w:right="0" w:firstLine="0" w:firstLineChars="0"/>
              <w:contextualSpacing/>
              <w:textAlignment w:val="auto"/>
              <w:rPr>
                <w:rFonts w:hint="eastAsia" w:ascii="仿宋" w:hAnsi="仿宋" w:eastAsia="仿宋" w:cs="仿宋"/>
                <w:color w:val="auto"/>
                <w:kern w:val="2"/>
                <w:sz w:val="28"/>
                <w:szCs w:val="28"/>
                <w:highlight w:val="none"/>
                <w:u w:val="none"/>
              </w:rPr>
            </w:pPr>
            <w:r>
              <w:rPr>
                <w:rFonts w:hint="eastAsia" w:ascii="仿宋" w:hAnsi="仿宋" w:eastAsia="仿宋" w:cs="仿宋"/>
                <w:color w:val="auto"/>
                <w:sz w:val="28"/>
                <w:szCs w:val="28"/>
                <w:highlight w:val="none"/>
              </w:rPr>
              <w:t>该开户行为乙方在税务局已备案的乙方单位账户。</w:t>
            </w:r>
          </w:p>
        </w:tc>
      </w:tr>
    </w:tbl>
    <w:p w14:paraId="477593DE">
      <w:pPr>
        <w:pageBreakBefore w:val="0"/>
        <w:kinsoku/>
        <w:overflowPunct/>
        <w:topLinePunct w:val="0"/>
        <w:autoSpaceDE/>
        <w:autoSpaceDN/>
        <w:bidi w:val="0"/>
        <w:adjustRightInd/>
        <w:snapToGrid/>
        <w:spacing w:line="360" w:lineRule="auto"/>
        <w:ind w:firstLine="562" w:firstLineChars="20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2</w:t>
      </w:r>
      <w:r>
        <w:rPr>
          <w:rFonts w:hint="eastAsia" w:ascii="仿宋" w:hAnsi="仿宋" w:eastAsia="仿宋" w:cs="仿宋"/>
          <w:color w:val="auto"/>
          <w:sz w:val="28"/>
          <w:szCs w:val="28"/>
          <w:highlight w:val="none"/>
        </w:rPr>
        <w:t xml:space="preserve"> 任何一方如上述信息发生变更，应提前10日以书面方式通知另一方。如一方未按本合同规定通知而使另一方遭受损失的，应予以赔偿。乙方在开具发票前，需向甲方确认上述开票信息，否则，由于乙方未向甲方确认导致开票信息与实际不符，造成发票无法抵扣等问题，全部责任由乙方承担，并赔偿甲方相应损失。</w:t>
      </w:r>
    </w:p>
    <w:p w14:paraId="7E7ADC46">
      <w:pPr>
        <w:pageBreakBefore w:val="0"/>
        <w:kinsoku/>
        <w:overflowPunct/>
        <w:topLinePunct w:val="0"/>
        <w:autoSpaceDE/>
        <w:autoSpaceDN/>
        <w:bidi w:val="0"/>
        <w:adjustRightInd/>
        <w:snapToGrid/>
        <w:spacing w:line="360" w:lineRule="auto"/>
        <w:ind w:firstLine="562" w:firstLineChars="20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color w:val="auto"/>
          <w:sz w:val="28"/>
          <w:szCs w:val="28"/>
          <w:highlight w:val="none"/>
        </w:rPr>
        <w:t xml:space="preserve"> 乙方开具的增值税专用发票应保证信息完整、内容规范，备注栏按甲方给定信息备注清楚，否则退回重开；乙方开具增值税发票后，次月必须在税务网进行抄税，未经甲方事先书面同意，乙方不得擅自将已向甲方开具的增值税发票作废。若乙方擅自作废发票，需向甲方承担作废发票金额2%的违约金并承担因擅自作废给甲方造成的所有责任及损失。</w:t>
      </w:r>
    </w:p>
    <w:p w14:paraId="395F764C">
      <w:pPr>
        <w:pageBreakBefore w:val="0"/>
        <w:kinsoku/>
        <w:overflowPunct/>
        <w:topLinePunct w:val="0"/>
        <w:autoSpaceDE/>
        <w:autoSpaceDN/>
        <w:bidi w:val="0"/>
        <w:adjustRightInd/>
        <w:snapToGrid/>
        <w:spacing w:line="360" w:lineRule="auto"/>
        <w:ind w:firstLine="562" w:firstLineChars="20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4</w:t>
      </w:r>
      <w:r>
        <w:rPr>
          <w:rFonts w:hint="eastAsia" w:ascii="仿宋" w:hAnsi="仿宋" w:eastAsia="仿宋" w:cs="仿宋"/>
          <w:color w:val="auto"/>
          <w:sz w:val="28"/>
          <w:szCs w:val="28"/>
          <w:highlight w:val="none"/>
        </w:rPr>
        <w:t xml:space="preserve"> 增值税税率变化：合同执行过程中如果遇到国家税务政策调整，增值税税率发生变化的，按新的税率执行，不含税价不变，仅调整增值税税率的原则进行相应调整。</w:t>
      </w:r>
    </w:p>
    <w:p w14:paraId="4CB250DC">
      <w:pPr>
        <w:pageBreakBefore w:val="0"/>
        <w:kinsoku/>
        <w:overflowPunct/>
        <w:topLinePunct w:val="0"/>
        <w:autoSpaceDE/>
        <w:autoSpaceDN/>
        <w:bidi w:val="0"/>
        <w:adjustRightInd/>
        <w:snapToGrid/>
        <w:spacing w:before="120" w:after="120" w:line="360" w:lineRule="auto"/>
        <w:ind w:firstLine="562" w:firstLineChars="200"/>
        <w:rPr>
          <w:rFonts w:hint="eastAsia" w:ascii="仿宋" w:hAnsi="仿宋" w:eastAsia="仿宋" w:cs="仿宋"/>
          <w:b/>
          <w:bCs/>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5</w:t>
      </w:r>
      <w:r>
        <w:rPr>
          <w:rFonts w:hint="eastAsia" w:ascii="仿宋" w:hAnsi="仿宋" w:eastAsia="仿宋" w:cs="仿宋"/>
          <w:b/>
          <w:bCs/>
          <w:color w:val="auto"/>
          <w:sz w:val="28"/>
          <w:szCs w:val="28"/>
          <w:highlight w:val="none"/>
        </w:rPr>
        <w:t xml:space="preserve"> 本合同所涉应税行为计税方法（请勾选）</w:t>
      </w:r>
    </w:p>
    <w:p w14:paraId="3AC3774E">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一般计税方法   □简易计税方法</w:t>
      </w:r>
    </w:p>
    <w:p w14:paraId="56167124">
      <w:pPr>
        <w:pageBreakBefore w:val="0"/>
        <w:kinsoku/>
        <w:overflowPunct/>
        <w:topLinePunct w:val="0"/>
        <w:autoSpaceDE/>
        <w:autoSpaceDN/>
        <w:bidi w:val="0"/>
        <w:adjustRightInd/>
        <w:snapToGrid/>
        <w:spacing w:before="120" w:after="120" w:line="360" w:lineRule="auto"/>
        <w:ind w:firstLine="562" w:firstLineChars="200"/>
        <w:rPr>
          <w:rFonts w:hint="eastAsia" w:ascii="仿宋" w:hAnsi="仿宋" w:eastAsia="仿宋" w:cs="仿宋"/>
          <w:b/>
          <w:bCs/>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6</w:t>
      </w:r>
      <w:r>
        <w:rPr>
          <w:rFonts w:hint="eastAsia" w:ascii="仿宋" w:hAnsi="仿宋" w:eastAsia="仿宋" w:cs="仿宋"/>
          <w:b/>
          <w:bCs/>
          <w:color w:val="auto"/>
          <w:sz w:val="28"/>
          <w:szCs w:val="28"/>
          <w:highlight w:val="none"/>
        </w:rPr>
        <w:t>发票及其他相关信息</w:t>
      </w:r>
    </w:p>
    <w:p w14:paraId="5D4271C6">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7.3.6.1.</w:t>
      </w:r>
      <w:r>
        <w:rPr>
          <w:rFonts w:hint="eastAsia" w:ascii="仿宋" w:hAnsi="仿宋" w:eastAsia="仿宋" w:cs="仿宋"/>
          <w:color w:val="auto"/>
          <w:sz w:val="28"/>
          <w:szCs w:val="28"/>
          <w:highlight w:val="none"/>
        </w:rPr>
        <w:t>每次乙方在甲方付款前必须提供符合国家现行税法规定的合法有效等额增值税</w:t>
      </w:r>
      <w:r>
        <w:rPr>
          <w:rFonts w:hint="eastAsia" w:ascii="仿宋" w:hAnsi="仿宋" w:eastAsia="仿宋" w:cs="仿宋"/>
          <w:color w:val="auto"/>
          <w:sz w:val="28"/>
          <w:szCs w:val="28"/>
          <w:highlight w:val="none"/>
          <w:lang w:val="en-US" w:eastAsia="zh-CN"/>
        </w:rPr>
        <w:t>专用</w:t>
      </w:r>
      <w:r>
        <w:rPr>
          <w:rFonts w:hint="eastAsia" w:ascii="仿宋" w:hAnsi="仿宋" w:eastAsia="仿宋" w:cs="仿宋"/>
          <w:color w:val="auto"/>
          <w:sz w:val="28"/>
          <w:szCs w:val="28"/>
          <w:highlight w:val="none"/>
        </w:rPr>
        <w:t>发票，甲乙双方一致确认提供发票为主合同义务而非附随义务，若乙方未按要求提供发票，甲方有权暂停付款。</w:t>
      </w:r>
    </w:p>
    <w:p w14:paraId="3B52B068">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7.3.6.2.</w:t>
      </w:r>
      <w:r>
        <w:rPr>
          <w:rFonts w:hint="eastAsia" w:ascii="仿宋" w:hAnsi="仿宋" w:eastAsia="仿宋" w:cs="仿宋"/>
          <w:color w:val="auto"/>
          <w:sz w:val="28"/>
          <w:szCs w:val="28"/>
          <w:highlight w:val="none"/>
        </w:rPr>
        <w:t>若乙方为小规模纳税人，则乙方需提供由税务机关代开的增值税专用发票。</w:t>
      </w:r>
    </w:p>
    <w:p w14:paraId="1EA54225">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7.3.6.3.</w:t>
      </w:r>
      <w:r>
        <w:rPr>
          <w:rFonts w:hint="eastAsia" w:ascii="仿宋" w:hAnsi="仿宋" w:eastAsia="仿宋" w:cs="仿宋"/>
          <w:color w:val="auto"/>
          <w:sz w:val="28"/>
          <w:szCs w:val="28"/>
          <w:highlight w:val="none"/>
        </w:rPr>
        <w:t>乙方提供发票不符合法律法规规范性文件规定或不符合合同约定开具、送达、认证、抵扣增值税发票的情形：</w:t>
      </w:r>
    </w:p>
    <w:p w14:paraId="1D891A5F">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（1）开具虚假发票的（如：虚开增值税发票，开具伪造、变造的增值税发票）；</w:t>
      </w:r>
    </w:p>
    <w:p w14:paraId="4C4BBC69">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（2）开具发票种类错误的（如：增值税专用发票开成增值税普通发票）；</w:t>
      </w:r>
    </w:p>
    <w:p w14:paraId="5B5D5399">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（3）开具发票上记载的信息错误的（如：双方基本信息、发票号码、开票时间、金额、税率、税额等错误；字迹不清，压线、错格；项目不齐全；缺少发票专用章；备注栏遗漏填写等）；</w:t>
      </w:r>
    </w:p>
    <w:p w14:paraId="5131C38E">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（4）因迟延送达增值税专用发票导致甲方不能认证、抵扣的；</w:t>
      </w:r>
    </w:p>
    <w:p w14:paraId="3A4B939B">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（5）因开具虚假增值税专用发票导致甲方不能认证、抵扣的；</w:t>
      </w:r>
    </w:p>
    <w:p w14:paraId="3FDB9A05">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（6）因开具的增值税专用发票上记载的信息错误导致甲方不能认证、抵扣的；</w:t>
      </w:r>
    </w:p>
    <w:p w14:paraId="1B3BD3AD">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（7）汇总开具增值税专用发票时，未一并提供防伪税控系统开具的《销售货物或提供应税劳务清单》的；</w:t>
      </w:r>
    </w:p>
    <w:p w14:paraId="2DA1187C">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（8）其他违反法律法规规范性文件规定或合同约定开具的增值税发票的。</w:t>
      </w:r>
    </w:p>
    <w:p w14:paraId="2EAF9845">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7.3.6.4.</w:t>
      </w:r>
      <w:r>
        <w:rPr>
          <w:rFonts w:hint="eastAsia" w:ascii="仿宋" w:hAnsi="仿宋" w:eastAsia="仿宋" w:cs="仿宋"/>
          <w:color w:val="auto"/>
          <w:sz w:val="28"/>
          <w:szCs w:val="28"/>
          <w:highlight w:val="none"/>
        </w:rPr>
        <w:t>甲方若同时遗失增值税专用发票联和抵扣联，则乙方应为甲方提供加盖销售方发票专用章的相应发票记账联复印件作为增值税进项税的抵扣凭证或记账凭证。甲方若丢失抵扣联、发票联其中之一的，可用另外一联复印件，无需乙方提供记账联复印件。</w:t>
      </w:r>
    </w:p>
    <w:p w14:paraId="18BACE3A">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7.3.6.5.</w:t>
      </w:r>
      <w:r>
        <w:rPr>
          <w:rFonts w:hint="eastAsia" w:ascii="仿宋" w:hAnsi="仿宋" w:eastAsia="仿宋" w:cs="仿宋"/>
          <w:color w:val="auto"/>
          <w:sz w:val="28"/>
          <w:szCs w:val="28"/>
          <w:highlight w:val="none"/>
        </w:rPr>
        <w:t>甲方根据本合同约定从当期分包工程款中扣除了乙方的违约金、损失赔偿、代扣代缴费用等款项的，乙方仍应按扣除前的当期分包工程款金额开具增值税发票。</w:t>
      </w:r>
    </w:p>
    <w:p w14:paraId="3CB9C8E1">
      <w:pPr>
        <w:pageBreakBefore w:val="0"/>
        <w:kinsoku/>
        <w:overflowPunct/>
        <w:topLinePunct w:val="0"/>
        <w:autoSpaceDE/>
        <w:autoSpaceDN/>
        <w:bidi w:val="0"/>
        <w:adjustRightInd/>
        <w:snapToGrid/>
        <w:spacing w:line="360" w:lineRule="auto"/>
        <w:ind w:firstLine="562" w:firstLineChars="20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3.7</w:t>
      </w:r>
      <w:r>
        <w:rPr>
          <w:rFonts w:hint="eastAsia" w:ascii="仿宋" w:hAnsi="仿宋" w:eastAsia="仿宋" w:cs="仿宋"/>
          <w:color w:val="auto"/>
          <w:sz w:val="28"/>
          <w:szCs w:val="28"/>
          <w:highlight w:val="none"/>
        </w:rPr>
        <w:t>违约责任</w:t>
      </w:r>
    </w:p>
    <w:p w14:paraId="1F7C36F9">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（1）若乙方开具或提供的或税务机关代开的增值税发票存在第</w:t>
      </w:r>
      <w:r>
        <w:rPr>
          <w:rFonts w:hint="eastAsia" w:ascii="仿宋" w:hAnsi="仿宋" w:eastAsia="仿宋" w:cs="仿宋"/>
          <w:color w:val="auto"/>
          <w:sz w:val="28"/>
          <w:szCs w:val="28"/>
          <w:highlight w:val="none"/>
          <w:lang w:val="en-US" w:eastAsia="zh-CN"/>
        </w:rPr>
        <w:t>8.6.3 第3</w:t>
      </w:r>
      <w:r>
        <w:rPr>
          <w:rFonts w:hint="eastAsia" w:ascii="仿宋" w:hAnsi="仿宋" w:eastAsia="仿宋" w:cs="仿宋"/>
          <w:color w:val="auto"/>
          <w:sz w:val="28"/>
          <w:szCs w:val="28"/>
          <w:highlight w:val="none"/>
        </w:rPr>
        <w:t>款约定情形之一的，则甲方有权拒收增值税发票，并有权暂停支付相应款项直到甲方收到符合要求的增值税发票之日止。甲方拒收发票或暂停支付款项等行为，不视为违约，且乙方不得以此为由中止履行合同约定的义务。乙方在甲方拒收发票之日起7日内重新开具或提供符合要求的增值税发票并送达甲方。若因甲方原因提供错误开票信息的，甲方应在拒收的同时向乙方提供正确开票信息。</w:t>
      </w:r>
    </w:p>
    <w:p w14:paraId="3285B36D">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（2）若乙方开具或提供的增值税专用发票存在第</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.3款约定情形之一的，除适用第</w:t>
      </w:r>
      <w:r>
        <w:rPr>
          <w:rFonts w:hint="eastAsia" w:ascii="仿宋" w:hAnsi="仿宋" w:eastAsia="仿宋" w:cs="仿宋"/>
          <w:color w:val="auto"/>
          <w:sz w:val="28"/>
          <w:szCs w:val="28"/>
          <w:highlight w:val="none"/>
          <w:lang w:val="en-US" w:eastAsia="zh-CN"/>
        </w:rPr>
        <w:t>8.7</w:t>
      </w:r>
      <w:r>
        <w:rPr>
          <w:rFonts w:hint="eastAsia" w:ascii="仿宋" w:hAnsi="仿宋" w:eastAsia="仿宋" w:cs="仿宋"/>
          <w:color w:val="auto"/>
          <w:sz w:val="28"/>
          <w:szCs w:val="28"/>
          <w:highlight w:val="none"/>
        </w:rPr>
        <w:t>（1）款约定外，乙方还应按甲方要求采取其他补救措施，同时，甲方有权要求乙方支付签约合同价的【1】%的违约金或违约金【1】万元（以二者数额高者为准），并赔偿甲方损失，因甲方原因造成开票信息错误的除外。</w:t>
      </w:r>
    </w:p>
    <w:p w14:paraId="2A31C88C">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（3）若乙方开具或提供的增值税专用发票发生第</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.3款的情形超过3次的或给甲方造成重大损失的，则乙方除按第</w:t>
      </w:r>
      <w:r>
        <w:rPr>
          <w:rFonts w:hint="eastAsia" w:ascii="仿宋" w:hAnsi="仿宋" w:eastAsia="仿宋" w:cs="仿宋"/>
          <w:color w:val="auto"/>
          <w:sz w:val="28"/>
          <w:szCs w:val="28"/>
          <w:highlight w:val="none"/>
          <w:lang w:val="en-US" w:eastAsia="zh-CN"/>
        </w:rPr>
        <w:t>8.7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）款约定承担责任外，甲方有权单方解除本合同。</w:t>
      </w:r>
    </w:p>
    <w:p w14:paraId="2AF98090">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（4）由于乙方的不规范涉税行为导致甲方受到税务局协查并给甲方造成涉税风险和损失的，乙方应承担甲方全部损失，甲方有权单方解除本合同。</w:t>
      </w:r>
    </w:p>
    <w:p w14:paraId="11D841E5">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若乙方由一般纳税人身份变为小规模纳税人身份的，或者计税方法发生变化的，或者政策法规规范性文件发生变化的，并导致甲方可抵扣的进项税额减少或被税务机关要求补缴税款的，则减少的进项税额或补缴的税款应由乙方承担，甲方有权从将支付的任何一笔工程款中扣除。</w:t>
      </w:r>
    </w:p>
    <w:p w14:paraId="3BA4CD08">
      <w:pPr>
        <w:pageBreakBefore w:val="0"/>
        <w:kinsoku/>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（6）乙方向甲方提供其他增值税扣税凭证的，均适用于本合同中第六条有关增值税专用发票的约定。</w:t>
      </w:r>
    </w:p>
    <w:p w14:paraId="5EF5EF19">
      <w:pPr>
        <w:spacing w:line="520" w:lineRule="exact"/>
        <w:ind w:firstLine="560" w:firstLineChars="200"/>
        <w:rPr>
          <w:rFonts w:hint="eastAsia" w:ascii="仿宋_GB2312" w:hAnsi="宋体" w:eastAsia="仿宋_GB2312"/>
          <w:color w:val="000000"/>
          <w:sz w:val="28"/>
          <w:szCs w:val="28"/>
        </w:rPr>
      </w:pPr>
      <w:r>
        <w:rPr>
          <w:rFonts w:hint="eastAsia" w:ascii="仿宋" w:hAnsi="仿宋" w:eastAsia="仿宋" w:cs="仿宋"/>
          <w:color w:val="auto"/>
          <w:sz w:val="28"/>
          <w:szCs w:val="28"/>
          <w:highlight w:val="none"/>
        </w:rPr>
        <w:t>（7）乙方过程中开具发票的总金额不作为双方结算的金额，最终结算金额根据合同约定的时间和方式由双方确定。乙方开具的发票金额超过最终结算金额的，由双方后期对超开具部分的发票进行冲正处理。</w:t>
      </w:r>
    </w:p>
    <w:p w14:paraId="440DA9D2">
      <w:pPr>
        <w:pStyle w:val="2"/>
        <w:spacing w:before="0" w:after="0" w:line="520" w:lineRule="exact"/>
        <w:rPr>
          <w:rFonts w:hint="eastAsia" w:ascii="仿宋_GB2312" w:hAnsi="宋体" w:eastAsia="仿宋_GB2312"/>
          <w:kern w:val="2"/>
          <w:sz w:val="28"/>
          <w:szCs w:val="28"/>
        </w:rPr>
      </w:pPr>
      <w:r>
        <w:rPr>
          <w:rFonts w:hint="eastAsia" w:ascii="仿宋_GB2312" w:hAnsi="宋体" w:eastAsia="仿宋_GB2312"/>
          <w:kern w:val="2"/>
          <w:sz w:val="28"/>
          <w:szCs w:val="28"/>
        </w:rPr>
        <w:t>第</w:t>
      </w:r>
      <w:r>
        <w:rPr>
          <w:rFonts w:hint="eastAsia" w:ascii="仿宋_GB2312" w:hAnsi="宋体" w:eastAsia="仿宋_GB2312"/>
          <w:kern w:val="2"/>
          <w:sz w:val="28"/>
          <w:szCs w:val="28"/>
          <w:lang w:val="en-US" w:eastAsia="zh-CN"/>
        </w:rPr>
        <w:t>八</w:t>
      </w:r>
      <w:r>
        <w:rPr>
          <w:rFonts w:hint="eastAsia" w:ascii="仿宋_GB2312" w:hAnsi="宋体" w:eastAsia="仿宋_GB2312"/>
          <w:kern w:val="2"/>
          <w:sz w:val="28"/>
          <w:szCs w:val="28"/>
        </w:rPr>
        <w:t>条 竣工结算及移交</w:t>
      </w:r>
    </w:p>
    <w:p w14:paraId="47E49112">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8</w:t>
      </w:r>
      <w:r>
        <w:rPr>
          <w:rFonts w:hint="eastAsia" w:ascii="仿宋_GB2312" w:hAnsi="宋体" w:eastAsia="仿宋_GB2312"/>
          <w:sz w:val="28"/>
          <w:szCs w:val="28"/>
        </w:rPr>
        <w:t>.1分包工程完成经甲方认可后14天内，乙方向甲方递交分包工程竣工结算报告及完整的结算资料，双方按照本合同约定的合同价款及结算方式，进行工程竣工结算。</w:t>
      </w:r>
    </w:p>
    <w:p w14:paraId="363A561C">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8</w:t>
      </w:r>
      <w:r>
        <w:rPr>
          <w:rFonts w:hint="eastAsia" w:ascii="仿宋_GB2312" w:hAnsi="宋体" w:eastAsia="仿宋_GB2312"/>
          <w:sz w:val="28"/>
          <w:szCs w:val="28"/>
        </w:rPr>
        <w:t>.2甲方收到乙方递交的分包工程竣工结算报告及结算资料后应及时进行核实，给予确认或者提出明确的修改意见。甲方确认竣工结算报告后，双方办理竣工结算，签订封账协议，上述程序完毕后，甲方向乙方按照合同约定支付分包工程竣工结算价款。</w:t>
      </w:r>
    </w:p>
    <w:p w14:paraId="5D173810">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w:t>
      </w:r>
      <w:r>
        <w:rPr>
          <w:rFonts w:hint="eastAsia" w:ascii="仿宋_GB2312" w:hAnsi="宋体" w:eastAsia="仿宋_GB2312"/>
          <w:sz w:val="28"/>
          <w:szCs w:val="28"/>
          <w:lang w:val="en-US" w:eastAsia="zh-CN"/>
        </w:rPr>
        <w:t>九</w:t>
      </w:r>
      <w:r>
        <w:rPr>
          <w:rFonts w:hint="eastAsia" w:ascii="仿宋_GB2312" w:hAnsi="宋体" w:eastAsia="仿宋_GB2312"/>
          <w:sz w:val="28"/>
          <w:szCs w:val="28"/>
        </w:rPr>
        <w:t>条 违约责任</w:t>
      </w:r>
    </w:p>
    <w:p w14:paraId="25841FA7">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ascii="仿宋_GB2312" w:hAnsi="宋体" w:eastAsia="仿宋_GB2312"/>
          <w:sz w:val="28"/>
          <w:szCs w:val="28"/>
        </w:rPr>
        <w:t>1当发生下列情况之一时，</w:t>
      </w:r>
      <w:r>
        <w:rPr>
          <w:rFonts w:hint="eastAsia" w:ascii="仿宋_GB2312" w:hAnsi="宋体" w:eastAsia="仿宋_GB2312"/>
          <w:sz w:val="28"/>
          <w:szCs w:val="28"/>
        </w:rPr>
        <w:t>甲</w:t>
      </w:r>
      <w:r>
        <w:rPr>
          <w:rFonts w:ascii="仿宋_GB2312" w:hAnsi="宋体" w:eastAsia="仿宋_GB2312"/>
          <w:sz w:val="28"/>
          <w:szCs w:val="28"/>
        </w:rPr>
        <w:t>方应承担违约责任：</w:t>
      </w:r>
    </w:p>
    <w:p w14:paraId="41BEF1F9">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ascii="仿宋_GB2312" w:hAnsi="宋体" w:eastAsia="仿宋_GB2312"/>
          <w:sz w:val="28"/>
          <w:szCs w:val="28"/>
        </w:rPr>
        <w:t>1.1</w:t>
      </w:r>
      <w:r>
        <w:rPr>
          <w:rFonts w:hint="eastAsia" w:ascii="仿宋_GB2312" w:hAnsi="宋体" w:eastAsia="仿宋_GB2312"/>
          <w:sz w:val="28"/>
          <w:szCs w:val="28"/>
        </w:rPr>
        <w:t>甲方在付款宽限期后，仍逾期支付的（乙方未履行向甲方开具增值税发票等合同约定的义务除外），甲方对逾期付款部分从宽限期满的次日起向乙方支付违约金。</w:t>
      </w:r>
    </w:p>
    <w:p w14:paraId="70B9A446">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ascii="仿宋_GB2312" w:hAnsi="宋体" w:eastAsia="仿宋_GB2312"/>
          <w:sz w:val="28"/>
          <w:szCs w:val="28"/>
        </w:rPr>
        <w:t>1.2</w:t>
      </w:r>
      <w:r>
        <w:rPr>
          <w:rFonts w:hint="eastAsia" w:ascii="仿宋_GB2312" w:hAnsi="宋体" w:eastAsia="仿宋_GB2312"/>
          <w:sz w:val="28"/>
          <w:szCs w:val="28"/>
        </w:rPr>
        <w:t>违约金按中国人民银行同期活期存款利率计算，计算的基数以甲方最后一笔付款时剩余欠款金额为准，不包括前期逾期但现已支付部分的款项，计算时间从付款宽限期满的次日起。</w:t>
      </w:r>
    </w:p>
    <w:p w14:paraId="2A242D9C">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ascii="仿宋_GB2312" w:hAnsi="宋体" w:eastAsia="仿宋_GB2312"/>
          <w:sz w:val="28"/>
          <w:szCs w:val="28"/>
        </w:rPr>
        <w:t>1.3</w:t>
      </w:r>
      <w:r>
        <w:rPr>
          <w:rFonts w:hint="eastAsia" w:ascii="仿宋_GB2312" w:hAnsi="宋体" w:eastAsia="仿宋_GB2312"/>
          <w:sz w:val="28"/>
          <w:szCs w:val="28"/>
        </w:rPr>
        <w:t xml:space="preserve">违约金最高不得超过本合同项下双方结算价款（不含增值税）的 </w:t>
      </w:r>
      <w:r>
        <w:rPr>
          <w:rFonts w:ascii="仿宋_GB2312" w:hAnsi="宋体" w:eastAsia="仿宋_GB2312"/>
          <w:sz w:val="28"/>
          <w:szCs w:val="28"/>
        </w:rPr>
        <w:t>1</w:t>
      </w:r>
      <w:r>
        <w:rPr>
          <w:rFonts w:hint="eastAsia" w:ascii="仿宋_GB2312" w:hAnsi="宋体" w:eastAsia="仿宋_GB2312"/>
          <w:sz w:val="28"/>
          <w:szCs w:val="28"/>
        </w:rPr>
        <w:t xml:space="preserve"> %。除此之外，甲方不再承担其他任何违约责任及资金占用期间的利息等损失。</w:t>
      </w:r>
      <w:r>
        <w:rPr>
          <w:rFonts w:ascii="仿宋_GB2312" w:hAnsi="宋体" w:eastAsia="仿宋_GB2312"/>
          <w:sz w:val="28"/>
          <w:szCs w:val="28"/>
        </w:rPr>
        <w:t xml:space="preserve"> </w:t>
      </w:r>
    </w:p>
    <w:p w14:paraId="00E16D01">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.2乙方无故</w:t>
      </w:r>
      <w:r>
        <w:rPr>
          <w:rFonts w:hint="eastAsia" w:ascii="仿宋_GB2312" w:hAnsi="宋体" w:eastAsia="仿宋_GB2312"/>
          <w:sz w:val="28"/>
          <w:szCs w:val="28"/>
          <w:highlight w:val="cyan"/>
          <w:lang w:val="en-US" w:eastAsia="zh-CN"/>
        </w:rPr>
        <w:t>怠工</w:t>
      </w:r>
      <w:r>
        <w:rPr>
          <w:rFonts w:hint="eastAsia" w:ascii="仿宋_GB2312" w:hAnsi="宋体" w:eastAsia="仿宋_GB2312"/>
          <w:sz w:val="28"/>
          <w:szCs w:val="28"/>
          <w:lang w:val="en-US" w:eastAsia="zh-CN"/>
        </w:rPr>
        <w:t>、</w:t>
      </w:r>
      <w:r>
        <w:rPr>
          <w:rFonts w:hint="eastAsia" w:ascii="仿宋_GB2312" w:hAnsi="宋体" w:eastAsia="仿宋_GB2312"/>
          <w:sz w:val="28"/>
          <w:szCs w:val="28"/>
        </w:rPr>
        <w:t>停工、旷工、刁难，造成运输停滞，按每天每辆运输车10000元向甲方支付违约金。造成甲方停工的，甲方有权单方面解除合同，乙方必须无条件退场，赔偿因停工给甲方造成的一切损失。</w:t>
      </w:r>
    </w:p>
    <w:p w14:paraId="37A9D0C1">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.3乙方不得私自转卖所运输的物品，如发现乙方私自转卖，按每车10000元支付甲方违约金，并赔偿给甲方造成的经济损失。</w:t>
      </w:r>
    </w:p>
    <w:p w14:paraId="6AAF16B7">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.4.乙方加强驾驶人员及工作人员的管理，杜绝打架、斗殴、酗酒滋事，酒后驾驶，无证驾驶，疲劳驾驶等现象的发生，如发现一次支付甲方违约金10000元。所造成的后果及损失和责任，由乙方及当事人承担。</w:t>
      </w:r>
    </w:p>
    <w:p w14:paraId="1647D36B">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hint="eastAsia" w:ascii="仿宋_GB2312" w:hAnsi="宋体" w:eastAsia="仿宋_GB2312"/>
          <w:sz w:val="28"/>
          <w:szCs w:val="28"/>
          <w:lang w:val="en-US" w:eastAsia="zh-CN"/>
        </w:rPr>
        <w:t>5</w:t>
      </w:r>
      <w:r>
        <w:rPr>
          <w:rFonts w:hint="eastAsia" w:ascii="仿宋_GB2312" w:hAnsi="宋体" w:eastAsia="仿宋_GB2312"/>
          <w:sz w:val="28"/>
          <w:szCs w:val="28"/>
        </w:rPr>
        <w:t>本合同中所涉及的债权，乙方不得转让，也不得用于任何形式的担保。若乙方擅自将债权转让或用于担保的，乙方应按转让或担保债权金额的</w:t>
      </w:r>
      <w:r>
        <w:rPr>
          <w:rFonts w:ascii="仿宋_GB2312" w:hAnsi="宋体" w:eastAsia="仿宋_GB2312"/>
          <w:sz w:val="28"/>
          <w:szCs w:val="28"/>
        </w:rPr>
        <w:t>20%向甲方支付违约金。</w:t>
      </w:r>
    </w:p>
    <w:p w14:paraId="329CF7F4">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hint="eastAsia" w:ascii="仿宋_GB2312" w:hAnsi="宋体" w:eastAsia="仿宋_GB2312"/>
          <w:sz w:val="28"/>
          <w:szCs w:val="28"/>
          <w:lang w:val="en-US" w:eastAsia="zh-CN"/>
        </w:rPr>
        <w:t>6</w:t>
      </w:r>
      <w:r>
        <w:rPr>
          <w:rFonts w:hint="eastAsia" w:ascii="仿宋_GB2312" w:hAnsi="宋体" w:eastAsia="仿宋_GB2312"/>
          <w:sz w:val="28"/>
          <w:szCs w:val="28"/>
        </w:rPr>
        <w:t>乙方应提供真实、有效、合格的增值税专用发票，如乙方提供虚假或虚开的增值税专用发票，甲方有权拒收或退回，乙方应负责无偿更换，并自行承担相应法律责任。由此造成甲方无法及时认证、抵扣税款等情形的，乙方需向甲方承担赔偿责任包括但不限于税款、滞纳金、罚款及相关损失等。</w:t>
      </w:r>
    </w:p>
    <w:p w14:paraId="57CC7665">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hint="eastAsia" w:ascii="仿宋_GB2312" w:hAnsi="宋体" w:eastAsia="仿宋_GB2312"/>
          <w:sz w:val="28"/>
          <w:szCs w:val="28"/>
          <w:lang w:val="en-US" w:eastAsia="zh-CN"/>
        </w:rPr>
        <w:t>7</w:t>
      </w:r>
      <w:r>
        <w:rPr>
          <w:rFonts w:hint="eastAsia" w:ascii="仿宋_GB2312" w:hAnsi="宋体" w:eastAsia="仿宋_GB2312"/>
          <w:sz w:val="28"/>
          <w:szCs w:val="28"/>
        </w:rPr>
        <w:t>乙方应按合同约定及时向甲方提供增值税专用发票，逾期提供的，每逾期一天，乙方应向甲方支付违约金1000元。因乙方开具的增值税专用发票不及时，造成甲方无法及时认证、抵扣税款等情形的，乙方需向甲方承担赔偿责任包括但不限于税款、滞纳金、罚款及相关损失等。</w:t>
      </w:r>
    </w:p>
    <w:p w14:paraId="20754131">
      <w:pPr>
        <w:widowControl/>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lang w:val="en-US" w:eastAsia="zh-CN"/>
        </w:rPr>
        <w:t>9</w:t>
      </w:r>
      <w:r>
        <w:rPr>
          <w:rFonts w:hint="eastAsia" w:ascii="仿宋_GB2312" w:hAnsi="宋体" w:eastAsia="仿宋_GB2312"/>
          <w:sz w:val="28"/>
          <w:szCs w:val="28"/>
        </w:rPr>
        <w:t>.</w:t>
      </w:r>
      <w:r>
        <w:rPr>
          <w:rFonts w:hint="eastAsia" w:ascii="仿宋_GB2312" w:hAnsi="宋体" w:eastAsia="仿宋_GB2312"/>
          <w:sz w:val="28"/>
          <w:szCs w:val="28"/>
          <w:lang w:val="en-US" w:eastAsia="zh-CN"/>
        </w:rPr>
        <w:t>8</w:t>
      </w:r>
      <w:r>
        <w:rPr>
          <w:rFonts w:hint="eastAsia" w:ascii="仿宋_GB2312" w:hAnsi="宋体" w:eastAsia="仿宋_GB2312"/>
          <w:sz w:val="28"/>
          <w:szCs w:val="28"/>
        </w:rPr>
        <w:t>乙方在施工过程中不得侵犯任何第三方的知识产权，因侵犯他人的知识产权所引起的责任由乙方承担，并赔偿甲方因此受到的一切损失。</w:t>
      </w:r>
    </w:p>
    <w:p w14:paraId="172D306D">
      <w:pPr>
        <w:widowControl/>
        <w:spacing w:line="520" w:lineRule="exact"/>
        <w:ind w:firstLine="560" w:firstLineChars="200"/>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9.9</w:t>
      </w:r>
      <w:r>
        <w:rPr>
          <w:rFonts w:hint="eastAsia" w:ascii="仿宋_GB2312" w:hAnsi="宋体" w:eastAsia="仿宋_GB2312"/>
          <w:sz w:val="28"/>
          <w:szCs w:val="28"/>
        </w:rPr>
        <w:t>乙方违约的，应承担甲方因此遭受的一切损失(包括但不限于律师</w:t>
      </w:r>
      <w:r>
        <w:rPr>
          <w:rFonts w:hint="eastAsia" w:ascii="仿宋_GB2312" w:hAnsi="宋体" w:eastAsia="仿宋_GB2312"/>
          <w:sz w:val="28"/>
          <w:szCs w:val="28"/>
          <w:lang w:val="en-US" w:eastAsia="zh-CN"/>
        </w:rPr>
        <w:t>费、</w:t>
      </w:r>
      <w:r>
        <w:rPr>
          <w:rFonts w:hint="eastAsia" w:ascii="仿宋_GB2312" w:hAnsi="宋体" w:eastAsia="仿宋_GB2312"/>
          <w:sz w:val="28"/>
          <w:szCs w:val="28"/>
        </w:rPr>
        <w:t>诉讼费、仲裁费、保全费、保全保险费、公告费、差旅费、评估鉴定费等)。</w:t>
      </w:r>
    </w:p>
    <w:p w14:paraId="1BB39E39">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第十条 合同解除</w:t>
      </w:r>
    </w:p>
    <w:p w14:paraId="78CCB2C4">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.1当下列情形发生时，本合同可解除：</w:t>
      </w:r>
    </w:p>
    <w:p w14:paraId="564AF20A">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.1.1出现合同约定的合同解除情形；</w:t>
      </w:r>
    </w:p>
    <w:p w14:paraId="28C7D1C0">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.1.2甲乙双方协商一致。</w:t>
      </w:r>
    </w:p>
    <w:p w14:paraId="08170E7C">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.2当合同解除后，甲乙双方按如下约定进行合同解除后的计量、付款和结清：</w:t>
      </w:r>
    </w:p>
    <w:p w14:paraId="0AB79187">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.2.1合同解除后，甲方将按乙方完成的、甲乙方代表签认的、符合本项目验收标准的工程数量和《工程量清单》（附件1）单价进行计量。</w:t>
      </w:r>
    </w:p>
    <w:p w14:paraId="15BC00CD">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.2.2合同解除后，甲方将暂停对乙方的一切付款，在查清剩余应付款项并扣除有关款项（如违约金等）后再行支付。</w:t>
      </w:r>
    </w:p>
    <w:p w14:paraId="22BFFC5E">
      <w:pPr>
        <w:spacing w:line="520" w:lineRule="exact"/>
        <w:ind w:firstLine="560" w:firstLineChars="200"/>
        <w:rPr>
          <w:rFonts w:hint="eastAsia"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lang w:val="en-US" w:eastAsia="zh-CN"/>
        </w:rPr>
        <w:t>0</w:t>
      </w:r>
      <w:r>
        <w:rPr>
          <w:rFonts w:hint="eastAsia" w:ascii="仿宋_GB2312" w:hAnsi="宋体" w:eastAsia="仿宋_GB2312"/>
          <w:sz w:val="28"/>
          <w:szCs w:val="28"/>
        </w:rPr>
        <w:t>.2.3一方要求解除合同应以书面形式告知对方。合同解除后有过错的一方应当赔偿因合同解除给对方造成的损失。</w:t>
      </w:r>
    </w:p>
    <w:p w14:paraId="19EC5D75">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第十</w:t>
      </w:r>
      <w:r>
        <w:rPr>
          <w:rFonts w:hint="eastAsia" w:ascii="仿宋_GB2312" w:hAnsi="宋体" w:eastAsia="仿宋_GB2312"/>
          <w:sz w:val="28"/>
          <w:szCs w:val="28"/>
          <w:lang w:val="en-US" w:eastAsia="zh-CN"/>
        </w:rPr>
        <w:t>一</w:t>
      </w:r>
      <w:r>
        <w:rPr>
          <w:rFonts w:hint="eastAsia" w:ascii="仿宋_GB2312" w:hAnsi="宋体" w:eastAsia="仿宋_GB2312"/>
          <w:sz w:val="28"/>
          <w:szCs w:val="28"/>
        </w:rPr>
        <w:t>条 其它约定</w:t>
      </w:r>
    </w:p>
    <w:p w14:paraId="07C50D22">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.1乙方对甲方负责，严格按照发包人、甲方有关质量、安全、技术、环保、文明施工等标准执行，在甲方下达的施工进度计划（含节点计划）内完成施工。</w:t>
      </w:r>
    </w:p>
    <w:p w14:paraId="016C5005">
      <w:pPr>
        <w:spacing w:line="520" w:lineRule="exact"/>
        <w:ind w:firstLine="560" w:firstLineChars="200"/>
        <w:rPr>
          <w:rFonts w:hint="eastAsia" w:ascii="仿宋_GB2312" w:hAnsi="宋体" w:eastAsia="仿宋_GB2312"/>
          <w:color w:val="FF0000"/>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.2临时工程</w:t>
      </w:r>
    </w:p>
    <w:p w14:paraId="061E45F4">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.2.1施工便道由甲方统一规划、设计，由乙方修建至各工点。施工便道日常维护由乙方承担，费用已包含在综合单价中，甲方不再另行支付。</w:t>
      </w:r>
    </w:p>
    <w:p w14:paraId="54AB47A8">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.2.2 乙方应根据施工需要办理通过第三方道路的通行权，费用已包含在综合单价中。需要甲方协调时，甲方应积极协助。</w:t>
      </w:r>
    </w:p>
    <w:p w14:paraId="2E769DC0">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.2.3施工中涉及弃土、弃渣、水系、支挡、围挡等由甲方统一规划、设计，由乙方修建、维护并承担费用，其已包含在综合单价中，甲方不再另行支付。</w:t>
      </w:r>
    </w:p>
    <w:p w14:paraId="1942267C">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.2.4乙方生产生活所用工棚、场地等所有临时工程和设施由乙方修建，乙方自备设备由乙方安装、调试，上述费用均已包含在综合单价中，甲方不再另行支付。</w:t>
      </w:r>
    </w:p>
    <w:p w14:paraId="42537428">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.2.5</w:t>
      </w:r>
      <w:r>
        <w:rPr>
          <w:rFonts w:hint="eastAsia" w:ascii="仿宋_GB2312" w:hAnsi="宋体" w:eastAsia="仿宋_GB2312"/>
          <w:sz w:val="28"/>
          <w:szCs w:val="28"/>
          <w:highlight w:val="cyan"/>
        </w:rPr>
        <w:t>施工</w:t>
      </w:r>
      <w:r>
        <w:rPr>
          <w:rFonts w:hint="eastAsia" w:ascii="仿宋_GB2312" w:hAnsi="宋体" w:eastAsia="仿宋_GB2312"/>
          <w:sz w:val="28"/>
          <w:szCs w:val="28"/>
          <w:highlight w:val="cyan"/>
          <w:lang w:val="en-US" w:eastAsia="zh-CN"/>
        </w:rPr>
        <w:t>水、电接驳及使用</w:t>
      </w:r>
      <w:r>
        <w:rPr>
          <w:rFonts w:hint="eastAsia" w:ascii="仿宋_GB2312" w:hAnsi="宋体" w:eastAsia="仿宋_GB2312"/>
          <w:sz w:val="28"/>
          <w:szCs w:val="28"/>
        </w:rPr>
        <w:t>由乙方自行负责，电力、用水等设施（包含变压器、配电盘以上及以下）由乙方保管、维护，丢失、损坏的由乙方承担损失，费用已包含在综合单价中，甲方不再另行支付。</w:t>
      </w:r>
    </w:p>
    <w:p w14:paraId="2B1F791A">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w:t>
      </w:r>
      <w:r>
        <w:rPr>
          <w:rFonts w:ascii="仿宋_GB2312" w:hAnsi="宋体" w:eastAsia="仿宋_GB2312"/>
          <w:sz w:val="28"/>
          <w:szCs w:val="28"/>
        </w:rPr>
        <w:t>6</w:t>
      </w:r>
      <w:r>
        <w:rPr>
          <w:rFonts w:hint="eastAsia" w:ascii="仿宋_GB2312" w:hAnsi="宋体" w:eastAsia="仿宋_GB2312"/>
          <w:sz w:val="28"/>
          <w:szCs w:val="28"/>
        </w:rPr>
        <w:t>乙方设备、人员调遣及食宿由乙方负责，费用已包含在综合单价中，甲方不再另行支付。</w:t>
      </w:r>
    </w:p>
    <w:p w14:paraId="51F1EA06">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.2.</w:t>
      </w:r>
      <w:r>
        <w:rPr>
          <w:rFonts w:ascii="仿宋_GB2312" w:hAnsi="宋体" w:eastAsia="仿宋_GB2312"/>
          <w:sz w:val="28"/>
          <w:szCs w:val="28"/>
        </w:rPr>
        <w:t>7</w:t>
      </w:r>
      <w:r>
        <w:rPr>
          <w:rFonts w:hint="eastAsia" w:ascii="仿宋_GB2312" w:hAnsi="宋体" w:eastAsia="仿宋_GB2312"/>
          <w:sz w:val="28"/>
          <w:szCs w:val="28"/>
        </w:rPr>
        <w:t>所有临建设施按照发包人或甲方标准执行，费用已包含在综合单价中，甲方不再另行支付。</w:t>
      </w:r>
    </w:p>
    <w:p w14:paraId="0B4A66AE">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3</w:t>
      </w:r>
      <w:r>
        <w:rPr>
          <w:rFonts w:hint="eastAsia" w:ascii="仿宋_GB2312" w:hAnsi="宋体" w:eastAsia="仿宋_GB2312"/>
          <w:sz w:val="28"/>
          <w:szCs w:val="28"/>
        </w:rPr>
        <w:t>因征地、拆迁、地方干扰、工艺中断、图纸滞后、材料供应、不可抗力等引起的停窝工损失及风险由乙方承担，相关费用已包含在综合单价中，乙方不得以此为由向甲方另行索赔。</w:t>
      </w:r>
    </w:p>
    <w:p w14:paraId="2FCEE6DE">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4</w:t>
      </w:r>
      <w:r>
        <w:rPr>
          <w:rFonts w:hint="eastAsia" w:ascii="仿宋_GB2312" w:hAnsi="宋体" w:eastAsia="仿宋_GB2312"/>
          <w:sz w:val="28"/>
          <w:szCs w:val="28"/>
        </w:rPr>
        <w:t>乙方承诺在履行本合同过程中遵纪守法，保证甲方免于承担因乙方违反法律而引起的任何责任。</w:t>
      </w:r>
    </w:p>
    <w:p w14:paraId="3173502E">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5</w:t>
      </w:r>
      <w:r>
        <w:rPr>
          <w:rFonts w:hint="eastAsia" w:ascii="仿宋_GB2312" w:hAnsi="宋体" w:eastAsia="仿宋_GB2312"/>
          <w:sz w:val="28"/>
          <w:szCs w:val="28"/>
        </w:rPr>
        <w:t>未经甲方书面授权，乙方不得以甲方名义或类似甲方名义从事任何活动。否则，一切责任均由乙方承担。</w:t>
      </w:r>
    </w:p>
    <w:p w14:paraId="42AD106B">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6</w:t>
      </w:r>
      <w:r>
        <w:rPr>
          <w:rFonts w:hint="eastAsia" w:ascii="仿宋_GB2312" w:hAnsi="宋体" w:eastAsia="仿宋_GB2312"/>
          <w:sz w:val="28"/>
          <w:szCs w:val="28"/>
        </w:rPr>
        <w:t>乙方在施工场地发掘的所有文物、古迹以及具有地质研究或考古价值的其他遗迹、化石、钱币或物品属于国家所有。一旦发现上述文物，乙方应采取有效合理的保护措施，防止任何人员移动或损坏上述物品，并立即报告甲方，乙方应按文物行政部门要求采取妥善保护措施，由此导致费用增加和（或）工期延误按发包人批复（工期顺延、停工费用）给乙方补偿。</w:t>
      </w:r>
    </w:p>
    <w:p w14:paraId="6B1B9615">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乙方发现文物后不及时报告或隐瞒不报，致使文物丢失或损坏的，应赔偿损失，并承担相应的法律责任。</w:t>
      </w:r>
    </w:p>
    <w:p w14:paraId="325B96D3">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7</w:t>
      </w:r>
      <w:r>
        <w:rPr>
          <w:rFonts w:hint="eastAsia" w:ascii="仿宋_GB2312" w:hAnsi="宋体" w:eastAsia="仿宋_GB2312"/>
          <w:sz w:val="28"/>
          <w:szCs w:val="28"/>
        </w:rPr>
        <w:t>乙方在撤场前，由乙方在本工程所造成的外欠款应全部付清，并向甲方提供相应凭证。如未付清，在相关方找到甲方时，乙方应按甲方要求及时处理，否则甲方有权用乙方预留款代付。</w:t>
      </w:r>
    </w:p>
    <w:p w14:paraId="5E885C23">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乙方撤离现场时，应运出自带小型机具并清除剩余材料、垃圾和各种临时设施，做到现场和工程整洁，达到甲方认可的状态。若甲方清理，则因此而发生的费用由乙方承担，甲方将从应付乙方的款项中扣除。</w:t>
      </w:r>
    </w:p>
    <w:p w14:paraId="3D52E9A1">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r>
        <w:rPr>
          <w:rFonts w:ascii="仿宋_GB2312" w:hAnsi="宋体" w:eastAsia="仿宋_GB2312"/>
          <w:sz w:val="28"/>
          <w:szCs w:val="28"/>
        </w:rPr>
        <w:t>8</w:t>
      </w:r>
      <w:r>
        <w:rPr>
          <w:rFonts w:hint="eastAsia" w:ascii="仿宋_GB2312" w:hAnsi="宋体" w:eastAsia="仿宋_GB2312"/>
          <w:sz w:val="28"/>
          <w:szCs w:val="28"/>
        </w:rPr>
        <w:t>鉴定。甲乙双方对乙方完成工程量存在争议且无法协商一致时，双方同意将争议部分提交予以鉴定，甲乙双方以鉴定结果计算工程量并进行结算支付，鉴定费用由乙方承担。</w:t>
      </w:r>
    </w:p>
    <w:p w14:paraId="07D3757F">
      <w:pPr>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1</w:t>
      </w:r>
      <w:r>
        <w:rPr>
          <w:rFonts w:hint="eastAsia" w:ascii="仿宋_GB2312" w:hAnsi="宋体" w:eastAsia="仿宋_GB2312"/>
          <w:color w:val="000000"/>
          <w:sz w:val="28"/>
          <w:szCs w:val="28"/>
        </w:rPr>
        <w:t>.</w:t>
      </w:r>
      <w:r>
        <w:rPr>
          <w:rFonts w:ascii="仿宋_GB2312" w:hAnsi="宋体" w:eastAsia="仿宋_GB2312"/>
          <w:color w:val="000000"/>
          <w:sz w:val="28"/>
          <w:szCs w:val="28"/>
        </w:rPr>
        <w:t>9</w:t>
      </w:r>
      <w:r>
        <w:rPr>
          <w:rFonts w:hint="eastAsia" w:ascii="仿宋_GB2312" w:hAnsi="宋体" w:eastAsia="仿宋_GB2312"/>
          <w:color w:val="000000"/>
          <w:sz w:val="28"/>
          <w:szCs w:val="28"/>
        </w:rPr>
        <w:t>乙方下属农民工因工资问题发生上访或群体事件，乙方应在接到甲方通知后12小时内到甲方指定地点或者政府有关部门进行处理；逾期不处理的，乙方同意由甲方会同当地政府或者劳动行政管理部门，依据农民工提供的证据，确定乙方的欠薪金额并予以代付，乙方同意无条件接受该代付金额，并由甲方在应付乙方的工程价款或质保金中扣除，工程价款或质保金不足的，甲方可向乙方追偿；同时，乙方应按拖欠工资总额的30%向甲方承担违约责任。</w:t>
      </w:r>
    </w:p>
    <w:p w14:paraId="2232A9DA">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第十</w:t>
      </w:r>
      <w:r>
        <w:rPr>
          <w:rFonts w:hint="eastAsia" w:ascii="仿宋_GB2312" w:hAnsi="宋体" w:eastAsia="仿宋_GB2312"/>
          <w:sz w:val="28"/>
          <w:szCs w:val="28"/>
          <w:lang w:val="en-US" w:eastAsia="zh-CN"/>
        </w:rPr>
        <w:t>二</w:t>
      </w:r>
      <w:r>
        <w:rPr>
          <w:rFonts w:hint="eastAsia" w:ascii="仿宋_GB2312" w:hAnsi="宋体" w:eastAsia="仿宋_GB2312"/>
          <w:sz w:val="28"/>
          <w:szCs w:val="28"/>
        </w:rPr>
        <w:t>条 争议解决方式</w:t>
      </w:r>
    </w:p>
    <w:p w14:paraId="0A197395">
      <w:pPr>
        <w:spacing w:line="520" w:lineRule="exact"/>
        <w:ind w:firstLine="560" w:firstLineChars="200"/>
        <w:rPr>
          <w:rFonts w:hint="eastAsia" w:ascii="仿宋_GB2312" w:hAnsi="华文仿宋" w:eastAsia="仿宋_GB2312" w:cs="宋体"/>
          <w:sz w:val="28"/>
          <w:szCs w:val="28"/>
        </w:rPr>
      </w:pPr>
      <w:r>
        <w:rPr>
          <w:rFonts w:hint="eastAsia" w:ascii="仿宋_GB2312" w:hAnsi="华文仿宋" w:eastAsia="仿宋_GB2312" w:cs="宋体"/>
          <w:sz w:val="28"/>
          <w:szCs w:val="28"/>
        </w:rPr>
        <w:t>1</w:t>
      </w:r>
      <w:r>
        <w:rPr>
          <w:rFonts w:hint="eastAsia" w:ascii="仿宋_GB2312" w:hAnsi="华文仿宋" w:eastAsia="仿宋_GB2312" w:cs="宋体"/>
          <w:sz w:val="28"/>
          <w:szCs w:val="28"/>
          <w:lang w:val="en-US" w:eastAsia="zh-CN"/>
        </w:rPr>
        <w:t>2</w:t>
      </w:r>
      <w:r>
        <w:rPr>
          <w:rFonts w:ascii="仿宋_GB2312" w:hAnsi="华文仿宋" w:eastAsia="仿宋_GB2312" w:cs="宋体"/>
          <w:sz w:val="28"/>
          <w:szCs w:val="28"/>
        </w:rPr>
        <w:t>.1</w:t>
      </w:r>
      <w:r>
        <w:rPr>
          <w:rFonts w:hint="eastAsia" w:ascii="仿宋_GB2312" w:hAnsi="宋体" w:eastAsia="仿宋_GB2312"/>
          <w:sz w:val="28"/>
          <w:szCs w:val="28"/>
          <w:lang w:val="en-US" w:eastAsia="zh-CN"/>
        </w:rPr>
        <w:t>甲方和乙方在履行合同时发生争议，可以自行和解或要求有关主管部门调解，任何一方不愿和解、调解或和解、调解不成的，可向甲方所在地人民法院提起诉讼。</w:t>
      </w:r>
    </w:p>
    <w:p w14:paraId="198CF67D">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第十</w:t>
      </w:r>
      <w:r>
        <w:rPr>
          <w:rFonts w:hint="eastAsia" w:ascii="仿宋_GB2312" w:hAnsi="宋体" w:eastAsia="仿宋_GB2312"/>
          <w:sz w:val="28"/>
          <w:szCs w:val="28"/>
          <w:lang w:val="en-US" w:eastAsia="zh-CN"/>
        </w:rPr>
        <w:t>三</w:t>
      </w:r>
      <w:r>
        <w:rPr>
          <w:rFonts w:hint="eastAsia" w:ascii="仿宋_GB2312" w:hAnsi="宋体" w:eastAsia="仿宋_GB2312"/>
          <w:sz w:val="28"/>
          <w:szCs w:val="28"/>
        </w:rPr>
        <w:t>条 不可抗力</w:t>
      </w:r>
    </w:p>
    <w:p w14:paraId="48D0E911">
      <w:pPr>
        <w:pStyle w:val="5"/>
        <w:spacing w:line="520" w:lineRule="exact"/>
        <w:ind w:left="760" w:leftChars="181" w:hanging="380" w:hangingChars="136"/>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.1 不可抗力的确认</w:t>
      </w:r>
    </w:p>
    <w:p w14:paraId="744A1442">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不可抗力是指合同当事人在签订合同时不能预见，在合同履行过程中不能避免且不能克服的自然灾害和社会性突发事件，如台风、泥石流、洪水、山体滑坡、地震、海啸、流行疾病、骚乱、戒严、暴动、战争、政府行为等。</w:t>
      </w:r>
    </w:p>
    <w:p w14:paraId="7F57F9AC">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不可抗力发生后，甲乙双方应收集证明不可抗力发生及不可抗力造成损失的证据，并及时认真统计所造成的损失。双方对其损失的意见不一致的，按第14条〔争议的解决方式〕的约定处理。</w:t>
      </w:r>
    </w:p>
    <w:p w14:paraId="5C7655AB">
      <w:pPr>
        <w:pStyle w:val="5"/>
        <w:spacing w:line="520" w:lineRule="exact"/>
        <w:rPr>
          <w:rFonts w:hint="eastAsia" w:ascii="仿宋_GB2312" w:hAnsi="宋体" w:eastAsia="仿宋_GB2312"/>
          <w:sz w:val="28"/>
          <w:szCs w:val="28"/>
        </w:rPr>
      </w:pPr>
      <w:r>
        <w:rPr>
          <w:rFonts w:hint="eastAsia" w:ascii="仿宋_GB2312" w:hAnsi="宋体" w:eastAsia="仿宋_GB2312"/>
          <w:sz w:val="28"/>
          <w:szCs w:val="28"/>
        </w:rPr>
        <w:t xml:space="preserve">    1</w:t>
      </w:r>
      <w:r>
        <w:rPr>
          <w:rFonts w:hint="eastAsia" w:ascii="仿宋_GB2312" w:hAnsi="宋体" w:eastAsia="仿宋_GB2312"/>
          <w:sz w:val="28"/>
          <w:szCs w:val="28"/>
          <w:lang w:val="en-US" w:eastAsia="zh-CN"/>
        </w:rPr>
        <w:t>3</w:t>
      </w:r>
      <w:r>
        <w:rPr>
          <w:rFonts w:hint="eastAsia" w:ascii="仿宋_GB2312" w:hAnsi="宋体" w:eastAsia="仿宋_GB2312"/>
          <w:sz w:val="28"/>
          <w:szCs w:val="28"/>
        </w:rPr>
        <w:t>.2 不可抗力的通知</w:t>
      </w:r>
    </w:p>
    <w:p w14:paraId="2CE45E5A">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合同一方当事人遇到不可抗力事件，使其履行合同义务受到阻碍时，应立即通知合同另一方当事人，书面说明不可抗力和受阻碍的详细情况，并提供必要的证明。</w:t>
      </w:r>
    </w:p>
    <w:p w14:paraId="27A4C8DC">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不可抗力持续发生的，合同一方当事人应及时向合同另一方当事人提交中间报告，说明不可抗力和履行合同受阻的情况，并于不可抗力事件结束后</w:t>
      </w:r>
      <w:r>
        <w:rPr>
          <w:rFonts w:hint="eastAsia" w:ascii="仿宋_GB2312" w:hAnsi="宋体" w:eastAsia="仿宋_GB2312"/>
          <w:color w:val="000000"/>
          <w:sz w:val="28"/>
          <w:szCs w:val="28"/>
        </w:rPr>
        <w:t>30日</w:t>
      </w:r>
      <w:r>
        <w:rPr>
          <w:rFonts w:hint="eastAsia" w:ascii="仿宋_GB2312" w:hAnsi="宋体" w:eastAsia="仿宋_GB2312"/>
          <w:sz w:val="28"/>
          <w:szCs w:val="28"/>
        </w:rPr>
        <w:t>内提交最终报告及有关资料。</w:t>
      </w:r>
    </w:p>
    <w:p w14:paraId="0BF9A466">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.3 不可抗力后果的承担</w:t>
      </w:r>
    </w:p>
    <w:p w14:paraId="35C1FDD9">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.3.1 不可抗力引起的后果及造成的损失由合同当事人按照法律规定及合同约定各自承担。不可抗力发生前已完成的工程应当按照合同约定进行计量支付。</w:t>
      </w:r>
    </w:p>
    <w:p w14:paraId="7854ED84">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.3.2 不可抗力导致的人员伤亡、财产损失、费用增加和（或）工期延误等后果，由合同当事人按以下原则承担：</w:t>
      </w:r>
    </w:p>
    <w:p w14:paraId="19C16487">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（1）永久工程、已运至施工现场的甲方提供的材料和工程设备的损坏，由甲方承担；</w:t>
      </w:r>
    </w:p>
    <w:p w14:paraId="4E38AE11">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（2）乙方自备的机械、材料的损坏由乙方承担；</w:t>
      </w:r>
    </w:p>
    <w:p w14:paraId="179C88FB">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（3）甲方和乙方承担各自人员伤亡和财产的损失；</w:t>
      </w:r>
    </w:p>
    <w:p w14:paraId="1B8BFAF4">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（4）因不可抗力影响乙方履行合同约定的义务，已经引起或将引起工期延误的，应当顺延工期，由此导致乙方停工的费用损失由甲方和乙方合理分担。</w:t>
      </w:r>
    </w:p>
    <w:p w14:paraId="4EA7CDCA">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不可抗力发生后，乙方应采取措施尽量避免和减少损失的扩大，乙方没有采取有效措施导致损失扩大的，应对扩大的损失承担责任。因乙方迟延履行合同义务，在迟延履行期间遭遇不可抗力的，不免除其违约责任。</w:t>
      </w:r>
    </w:p>
    <w:p w14:paraId="1E432B13">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r>
        <w:rPr>
          <w:rFonts w:hint="eastAsia" w:ascii="仿宋_GB2312" w:hAnsi="宋体" w:eastAsia="仿宋_GB2312"/>
          <w:sz w:val="28"/>
          <w:szCs w:val="28"/>
        </w:rPr>
        <w:t>.4 因不可抗力解除合同</w:t>
      </w:r>
    </w:p>
    <w:p w14:paraId="628009BB">
      <w:pPr>
        <w:pStyle w:val="5"/>
        <w:spacing w:line="520" w:lineRule="exact"/>
        <w:ind w:left="0" w:leftChars="0" w:firstLine="560" w:firstLineChars="200"/>
        <w:rPr>
          <w:rFonts w:hint="eastAsia" w:ascii="仿宋_GB2312" w:hAnsi="宋体" w:eastAsia="仿宋_GB2312"/>
          <w:sz w:val="28"/>
          <w:szCs w:val="28"/>
        </w:rPr>
      </w:pPr>
      <w:r>
        <w:rPr>
          <w:rFonts w:hint="eastAsia" w:ascii="仿宋_GB2312" w:hAnsi="宋体" w:eastAsia="仿宋_GB2312"/>
          <w:sz w:val="28"/>
          <w:szCs w:val="28"/>
        </w:rPr>
        <w:t>因不可抗力导致合同无法履行连续超过30日或累计超过60日的，双方均有权解除合同。</w:t>
      </w:r>
    </w:p>
    <w:p w14:paraId="68B38283">
      <w:pPr>
        <w:pStyle w:val="2"/>
        <w:spacing w:before="0" w:after="0" w:line="520" w:lineRule="exact"/>
        <w:rPr>
          <w:rFonts w:hint="eastAsia" w:ascii="仿宋_GB2312" w:hAnsi="宋体" w:eastAsia="仿宋_GB2312"/>
          <w:sz w:val="28"/>
          <w:szCs w:val="28"/>
        </w:rPr>
      </w:pPr>
      <w:r>
        <w:rPr>
          <w:rFonts w:hint="eastAsia" w:ascii="仿宋_GB2312" w:hAnsi="宋体" w:eastAsia="仿宋_GB2312"/>
          <w:sz w:val="28"/>
          <w:szCs w:val="28"/>
        </w:rPr>
        <w:t>第十</w:t>
      </w:r>
      <w:r>
        <w:rPr>
          <w:rFonts w:hint="eastAsia" w:ascii="仿宋_GB2312" w:hAnsi="宋体" w:eastAsia="仿宋_GB2312"/>
          <w:sz w:val="28"/>
          <w:szCs w:val="28"/>
          <w:lang w:val="en-US" w:eastAsia="zh-CN"/>
        </w:rPr>
        <w:t>四</w:t>
      </w:r>
      <w:r>
        <w:rPr>
          <w:rFonts w:hint="eastAsia" w:ascii="仿宋_GB2312" w:hAnsi="宋体" w:eastAsia="仿宋_GB2312"/>
          <w:sz w:val="28"/>
          <w:szCs w:val="28"/>
        </w:rPr>
        <w:t>条 附则</w:t>
      </w:r>
    </w:p>
    <w:p w14:paraId="2C5C0606">
      <w:pPr>
        <w:spacing w:line="520" w:lineRule="exact"/>
        <w:ind w:firstLine="480"/>
        <w:rPr>
          <w:rFonts w:hint="eastAsia" w:ascii="仿宋_GB2312" w:hAnsi="宋体" w:eastAsia="仿宋_GB2312"/>
          <w:color w:val="000000"/>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1乙方承诺：乙方及其工作人员不向甲方工作人员赠送礼金、礼品、有价证券、购物卡及其它有价物品等，不邀请甲方工作人员吃喝游玩及其它娱乐性消费；不向甲方工作人员提供任何工作以外的便利和好处；在合同履行过程中不弄虚作假骗取工程款。若乙方违背上述承诺且经甲方法人单位或其上级纪委监察机关查实认定，或国家司法机关立案查处，视为乙方违约，乙方承担暂定合同总价的10%的违约金，违约金及乙方因违背承诺行为所取得的不当利益一并在结算中扣除。</w:t>
      </w:r>
    </w:p>
    <w:p w14:paraId="3FAB3BC4">
      <w:pPr>
        <w:spacing w:line="520" w:lineRule="exact"/>
        <w:ind w:firstLine="480"/>
        <w:rPr>
          <w:rFonts w:hint="eastAsia" w:ascii="仿宋_GB2312" w:hAnsi="宋体" w:eastAsia="仿宋_GB2312"/>
          <w:color w:val="000000"/>
          <w:sz w:val="28"/>
          <w:szCs w:val="28"/>
        </w:rPr>
      </w:pPr>
      <w:r>
        <w:rPr>
          <w:rFonts w:hint="eastAsia" w:ascii="仿宋_GB2312" w:hAnsi="宋体" w:eastAsia="仿宋_GB2312"/>
          <w:color w:val="000000"/>
          <w:sz w:val="28"/>
          <w:szCs w:val="28"/>
        </w:rPr>
        <w:t>甲方工作人员向乙方索贿的，乙方及其工作人员应向甲方法人单位或其上级纪检监察部门、国家司法机关检举。</w:t>
      </w:r>
    </w:p>
    <w:p w14:paraId="148C0715">
      <w:pPr>
        <w:spacing w:line="520" w:lineRule="exact"/>
        <w:ind w:firstLine="480"/>
        <w:rPr>
          <w:rFonts w:hint="eastAsia" w:ascii="仿宋_GB2312" w:hAnsi="宋体" w:eastAsia="仿宋_GB2312"/>
          <w:color w:val="000000"/>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2合同签订前乙方必须提供其营业执照、道路运输经营许可证、车辆营运证、资质证书、安全生产许可证、法定代表人授权委托书等资料原件由甲方进行审核。甲方审核通过后，乙方应将以上证件复印件加盖公章交由甲方，并作为本合同附件之一。</w:t>
      </w:r>
    </w:p>
    <w:p w14:paraId="4552BEF3">
      <w:pPr>
        <w:spacing w:line="520" w:lineRule="exact"/>
        <w:ind w:firstLine="480"/>
        <w:rPr>
          <w:rFonts w:hint="eastAsia" w:ascii="仿宋_GB2312" w:hAnsi="宋体" w:eastAsia="仿宋_GB2312"/>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.3</w:t>
      </w:r>
      <w:r>
        <w:rPr>
          <w:rFonts w:hint="eastAsia" w:ascii="仿宋_GB2312" w:hAnsi="宋体" w:eastAsia="仿宋_GB2312"/>
          <w:sz w:val="28"/>
          <w:szCs w:val="28"/>
        </w:rPr>
        <w:t>在本合同履行过程中，如任何一方发生税务登记、公司名称等重大信息的变更事项，应在重大信息变更后7日内书面通知对方变更情况，并提供相关信息资料。</w:t>
      </w:r>
    </w:p>
    <w:p w14:paraId="47C4ECFC">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ascii="仿宋_GB2312" w:hAnsi="宋体" w:eastAsia="仿宋_GB2312"/>
          <w:sz w:val="28"/>
          <w:szCs w:val="28"/>
        </w:rPr>
        <w:t>4</w:t>
      </w:r>
      <w:r>
        <w:rPr>
          <w:rFonts w:hint="eastAsia" w:ascii="仿宋_GB2312" w:hAnsi="宋体" w:eastAsia="仿宋_GB2312"/>
          <w:sz w:val="28"/>
          <w:szCs w:val="28"/>
        </w:rPr>
        <w:t>双方确认双方所预留的以下地址为往来函件、法院（仲裁、公证等机构）法律文书的送达地址，任一方变更送达地址必须在变更地址之日起7日内向对方书面通知，否则不发生送达地址变更的法律效力，对方按原地址送达仍然为有效送达</w:t>
      </w:r>
      <w:r>
        <w:rPr>
          <w:rFonts w:hint="eastAsia" w:ascii="仿宋_GB2312" w:hAnsi="宋体" w:eastAsia="仿宋_GB2312"/>
          <w:sz w:val="28"/>
          <w:szCs w:val="28"/>
          <w:lang w:eastAsia="zh-CN"/>
        </w:rPr>
        <w:t>，以信件或快递方式送达的，以发邮后第三日视为送达</w:t>
      </w:r>
      <w:r>
        <w:rPr>
          <w:rFonts w:hint="eastAsia" w:ascii="仿宋_GB2312" w:hAnsi="宋体" w:eastAsia="仿宋_GB2312"/>
          <w:sz w:val="28"/>
          <w:szCs w:val="28"/>
        </w:rPr>
        <w:t>。</w:t>
      </w:r>
    </w:p>
    <w:p w14:paraId="0B37CA92">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双方确认下列预留的邮箱号、手机号真实有效，预留的邮箱号、手机号作为双方之间发送有关通知、资料的有效联络方式，任何一方向对方的下述邮箱号、手机号发送即视为送达。如需要变更下列预留的邮箱号、手机号，应当书面通知对方，自通知到达时发生变更。</w:t>
      </w:r>
    </w:p>
    <w:p w14:paraId="55255911">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甲方送达地址：</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 xml:space="preserve"> </w:t>
      </w:r>
    </w:p>
    <w:p w14:paraId="421E3289">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联系人：</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4DAAAB31">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联系电话：</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 xml:space="preserve"> </w:t>
      </w:r>
    </w:p>
    <w:p w14:paraId="044AC505">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电子邮箱：</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2D8857E6">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乙方送达地址：</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 xml:space="preserve"> </w:t>
      </w:r>
    </w:p>
    <w:p w14:paraId="0BC4ED9F">
      <w:pPr>
        <w:spacing w:line="520" w:lineRule="exact"/>
        <w:ind w:firstLine="480"/>
        <w:rPr>
          <w:rFonts w:hint="eastAsia" w:ascii="仿宋_GB2312" w:hAnsi="宋体" w:eastAsia="仿宋_GB2312"/>
          <w:sz w:val="28"/>
          <w:szCs w:val="28"/>
        </w:rPr>
      </w:pPr>
      <w:r>
        <w:rPr>
          <w:rFonts w:hint="eastAsia" w:ascii="仿宋_GB2312" w:hAnsi="宋体" w:eastAsia="仿宋_GB2312"/>
          <w:sz w:val="28"/>
          <w:szCs w:val="28"/>
        </w:rPr>
        <w:t>联系人：</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 xml:space="preserve"> </w:t>
      </w:r>
    </w:p>
    <w:p w14:paraId="34BD1CCC">
      <w:pPr>
        <w:spacing w:line="520" w:lineRule="exact"/>
        <w:ind w:firstLine="480"/>
        <w:rPr>
          <w:rFonts w:hint="eastAsia" w:ascii="仿宋_GB2312" w:hAnsi="宋体" w:eastAsia="仿宋_GB2312"/>
          <w:sz w:val="28"/>
          <w:szCs w:val="28"/>
          <w:lang w:eastAsia="zh-CN"/>
        </w:rPr>
      </w:pPr>
      <w:r>
        <w:rPr>
          <w:rFonts w:hint="eastAsia" w:ascii="仿宋_GB2312" w:hAnsi="宋体" w:eastAsia="仿宋_GB2312"/>
          <w:sz w:val="28"/>
          <w:szCs w:val="28"/>
        </w:rPr>
        <w:t>联系电话：</w:t>
      </w:r>
      <w:r>
        <w:rPr>
          <w:rFonts w:hint="eastAsia" w:ascii="仿宋_GB2312" w:hAnsi="宋体" w:eastAsia="仿宋_GB2312"/>
          <w:sz w:val="28"/>
          <w:szCs w:val="28"/>
          <w:u w:val="single"/>
          <w:lang w:val="en-US" w:eastAsia="zh-CN"/>
        </w:rPr>
        <w:t xml:space="preserve"> </w:t>
      </w:r>
    </w:p>
    <w:p w14:paraId="1ACEFD5A">
      <w:pPr>
        <w:spacing w:line="520" w:lineRule="exact"/>
        <w:ind w:firstLine="480"/>
        <w:rPr>
          <w:rFonts w:hint="eastAsia" w:ascii="仿宋_GB2312" w:hAnsi="宋体" w:eastAsia="仿宋_GB2312"/>
          <w:sz w:val="28"/>
          <w:szCs w:val="28"/>
          <w:lang w:eastAsia="zh-CN"/>
        </w:rPr>
      </w:pPr>
      <w:r>
        <w:rPr>
          <w:rFonts w:hint="eastAsia" w:ascii="仿宋_GB2312" w:hAnsi="宋体" w:eastAsia="仿宋_GB2312"/>
          <w:sz w:val="28"/>
          <w:szCs w:val="28"/>
        </w:rPr>
        <w:t>电子邮箱：</w:t>
      </w:r>
      <w:r>
        <w:rPr>
          <w:rFonts w:hint="eastAsia" w:ascii="仿宋_GB2312" w:hAnsi="宋体" w:eastAsia="仿宋_GB2312"/>
          <w:sz w:val="28"/>
          <w:szCs w:val="28"/>
          <w:u w:val="single"/>
          <w:lang w:val="en-US" w:eastAsia="zh-CN"/>
        </w:rPr>
        <w:t xml:space="preserve"> </w:t>
      </w:r>
    </w:p>
    <w:p w14:paraId="2FACE2DF">
      <w:pPr>
        <w:tabs>
          <w:tab w:val="left" w:pos="1488"/>
        </w:tabs>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17.</w:t>
      </w:r>
      <w:r>
        <w:rPr>
          <w:rFonts w:hint="eastAsia" w:ascii="仿宋_GB2312" w:hAnsi="宋体" w:eastAsia="仿宋_GB2312"/>
          <w:color w:val="000000"/>
          <w:sz w:val="28"/>
          <w:szCs w:val="28"/>
          <w:lang w:val="en-US" w:eastAsia="zh-CN"/>
        </w:rPr>
        <w:t>5</w:t>
      </w:r>
      <w:r>
        <w:rPr>
          <w:rFonts w:hint="eastAsia" w:ascii="仿宋_GB2312" w:hAnsi="宋体" w:eastAsia="仿宋_GB2312"/>
          <w:color w:val="000000"/>
          <w:sz w:val="28"/>
          <w:szCs w:val="28"/>
        </w:rPr>
        <w:t>双方对本合同条款均已完全理解，对履行本合同可能存在的各项风险包括工程停建、工期变更、因发包方原因付款迟延或不足支付、自然条件变化、征地拆迁滞后、图纸迟延等均已充分判断，乙方签订本合同则视为自愿承担可能存在的各种风险。</w:t>
      </w:r>
    </w:p>
    <w:p w14:paraId="7C9C5EC2">
      <w:pPr>
        <w:tabs>
          <w:tab w:val="left" w:pos="1488"/>
        </w:tabs>
        <w:spacing w:line="520" w:lineRule="exact"/>
        <w:ind w:firstLine="560" w:firstLineChars="200"/>
        <w:rPr>
          <w:rFonts w:hint="eastAsia" w:ascii="仿宋_GB2312" w:hAnsi="宋体" w:eastAsia="仿宋_GB2312"/>
          <w:color w:val="000000"/>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w:t>
      </w:r>
      <w:r>
        <w:rPr>
          <w:rFonts w:hint="eastAsia" w:ascii="仿宋_GB2312" w:hAnsi="宋体" w:eastAsia="仿宋_GB2312"/>
          <w:color w:val="000000"/>
          <w:sz w:val="28"/>
          <w:szCs w:val="28"/>
          <w:lang w:val="en-US" w:eastAsia="zh-CN"/>
        </w:rPr>
        <w:t>6</w:t>
      </w:r>
      <w:r>
        <w:rPr>
          <w:rFonts w:hint="eastAsia" w:ascii="仿宋_GB2312" w:hAnsi="宋体" w:eastAsia="仿宋_GB2312"/>
          <w:color w:val="000000"/>
          <w:sz w:val="28"/>
          <w:szCs w:val="28"/>
        </w:rPr>
        <w:t>未尽事宜由双方在合同执行过程中协商，并签署补充协议书。</w:t>
      </w:r>
    </w:p>
    <w:p w14:paraId="17D6C159">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color w:val="000000"/>
          <w:sz w:val="28"/>
          <w:szCs w:val="28"/>
        </w:rPr>
        <w:t>1</w:t>
      </w:r>
      <w:r>
        <w:rPr>
          <w:rFonts w:hint="eastAsia" w:ascii="仿宋_GB2312" w:hAnsi="宋体" w:eastAsia="仿宋_GB2312"/>
          <w:color w:val="000000"/>
          <w:sz w:val="28"/>
          <w:szCs w:val="28"/>
          <w:lang w:val="en-US" w:eastAsia="zh-CN"/>
        </w:rPr>
        <w:t>4</w:t>
      </w:r>
      <w:r>
        <w:rPr>
          <w:rFonts w:hint="eastAsia" w:ascii="仿宋_GB2312" w:hAnsi="宋体" w:eastAsia="仿宋_GB2312"/>
          <w:color w:val="000000"/>
          <w:sz w:val="28"/>
          <w:szCs w:val="28"/>
        </w:rPr>
        <w:t>.</w:t>
      </w:r>
      <w:r>
        <w:rPr>
          <w:rFonts w:hint="eastAsia" w:ascii="仿宋_GB2312" w:hAnsi="宋体" w:eastAsia="仿宋_GB2312"/>
          <w:color w:val="000000"/>
          <w:sz w:val="28"/>
          <w:szCs w:val="28"/>
          <w:lang w:val="en-US" w:eastAsia="zh-CN"/>
        </w:rPr>
        <w:t>7</w:t>
      </w:r>
      <w:r>
        <w:rPr>
          <w:rFonts w:hint="eastAsia" w:ascii="仿宋_GB2312" w:hAnsi="宋体" w:eastAsia="仿宋_GB2312"/>
          <w:color w:val="000000"/>
          <w:sz w:val="28"/>
          <w:szCs w:val="28"/>
        </w:rPr>
        <w:t>本合同从双方签字并盖章之日起生效，</w:t>
      </w:r>
      <w:r>
        <w:rPr>
          <w:rFonts w:hint="eastAsia" w:ascii="仿宋_GB2312" w:hAnsi="宋体" w:eastAsia="仿宋_GB2312"/>
          <w:sz w:val="28"/>
          <w:szCs w:val="28"/>
        </w:rPr>
        <w:t>甲乙双方履行合同全部义务，竣工结算价款支付完毕，本合同即告终止。分包合同的权利义务终止后，双方应遵循诚实信用原则，履行通知、协助、保密等义务。</w:t>
      </w:r>
    </w:p>
    <w:p w14:paraId="4E0D6861">
      <w:pPr>
        <w:tabs>
          <w:tab w:val="left" w:pos="1488"/>
        </w:tabs>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4</w:t>
      </w:r>
      <w:r>
        <w:rPr>
          <w:rFonts w:hint="eastAsia" w:ascii="仿宋_GB2312" w:hAnsi="宋体" w:eastAsia="仿宋_GB2312"/>
          <w:sz w:val="28"/>
          <w:szCs w:val="28"/>
        </w:rPr>
        <w:t>.</w:t>
      </w:r>
      <w:r>
        <w:rPr>
          <w:rFonts w:hint="eastAsia" w:ascii="仿宋_GB2312" w:hAnsi="宋体" w:eastAsia="仿宋_GB2312"/>
          <w:sz w:val="28"/>
          <w:szCs w:val="28"/>
          <w:lang w:val="en-US" w:eastAsia="zh-CN"/>
        </w:rPr>
        <w:t>8</w:t>
      </w:r>
      <w:r>
        <w:rPr>
          <w:rFonts w:hint="eastAsia" w:ascii="仿宋_GB2312" w:hAnsi="宋体" w:eastAsia="仿宋_GB2312"/>
          <w:sz w:val="28"/>
          <w:szCs w:val="28"/>
        </w:rPr>
        <w:t>本合同正本叁份，具有同等效力，甲方执贰份，乙方执壹份。</w:t>
      </w:r>
    </w:p>
    <w:p w14:paraId="31BC48EC">
      <w:pPr>
        <w:tabs>
          <w:tab w:val="left" w:pos="1488"/>
        </w:tabs>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（以下无正文）</w:t>
      </w:r>
    </w:p>
    <w:p w14:paraId="3DDA86EA">
      <w:pPr>
        <w:tabs>
          <w:tab w:val="left" w:pos="1488"/>
        </w:tabs>
        <w:spacing w:line="520" w:lineRule="exact"/>
        <w:rPr>
          <w:rFonts w:hint="eastAsia" w:ascii="仿宋_GB2312" w:hAnsi="宋体" w:eastAsia="仿宋_GB2312"/>
          <w:sz w:val="28"/>
          <w:szCs w:val="28"/>
        </w:rPr>
      </w:pPr>
    </w:p>
    <w:tbl>
      <w:tblPr>
        <w:tblStyle w:val="9"/>
        <w:tblW w:w="0" w:type="auto"/>
        <w:tblInd w:w="0" w:type="dxa"/>
        <w:tblLayout w:type="fixed"/>
        <w:tblCellMar>
          <w:top w:w="0" w:type="dxa"/>
          <w:left w:w="108" w:type="dxa"/>
          <w:bottom w:w="0" w:type="dxa"/>
          <w:right w:w="108" w:type="dxa"/>
        </w:tblCellMar>
      </w:tblPr>
      <w:tblGrid>
        <w:gridCol w:w="4407"/>
        <w:gridCol w:w="4407"/>
      </w:tblGrid>
      <w:tr w14:paraId="0CC57792">
        <w:tblPrEx>
          <w:tblCellMar>
            <w:top w:w="0" w:type="dxa"/>
            <w:left w:w="108" w:type="dxa"/>
            <w:bottom w:w="0" w:type="dxa"/>
            <w:right w:w="108" w:type="dxa"/>
          </w:tblCellMar>
        </w:tblPrEx>
        <w:trPr>
          <w:trHeight w:val="568" w:hRule="atLeast"/>
        </w:trPr>
        <w:tc>
          <w:tcPr>
            <w:tcW w:w="4407" w:type="dxa"/>
          </w:tcPr>
          <w:p w14:paraId="60CA286D">
            <w:pPr>
              <w:spacing w:line="520" w:lineRule="exact"/>
              <w:rPr>
                <w:rFonts w:hint="eastAsia" w:ascii="仿宋_GB2312" w:hAnsi="宋体" w:eastAsia="仿宋_GB2312"/>
                <w:sz w:val="28"/>
                <w:szCs w:val="28"/>
              </w:rPr>
            </w:pPr>
            <w:r>
              <w:rPr>
                <w:rFonts w:hint="eastAsia" w:ascii="仿宋_GB2312" w:hAnsi="宋体" w:eastAsia="仿宋_GB2312"/>
                <w:sz w:val="28"/>
                <w:szCs w:val="28"/>
              </w:rPr>
              <w:t>工程承包人：（盖章）</w:t>
            </w:r>
          </w:p>
        </w:tc>
        <w:tc>
          <w:tcPr>
            <w:tcW w:w="4407" w:type="dxa"/>
          </w:tcPr>
          <w:p w14:paraId="5DF9FD81">
            <w:pPr>
              <w:spacing w:line="520" w:lineRule="exact"/>
              <w:rPr>
                <w:rFonts w:hint="eastAsia" w:ascii="仿宋_GB2312" w:hAnsi="宋体" w:eastAsia="仿宋_GB2312"/>
                <w:sz w:val="28"/>
                <w:szCs w:val="28"/>
              </w:rPr>
            </w:pPr>
            <w:r>
              <w:rPr>
                <w:rFonts w:hint="eastAsia" w:ascii="仿宋_GB2312" w:hAnsi="宋体" w:eastAsia="仿宋_GB2312"/>
                <w:sz w:val="28"/>
                <w:szCs w:val="28"/>
              </w:rPr>
              <w:t>承运人：（盖章）</w:t>
            </w:r>
          </w:p>
        </w:tc>
      </w:tr>
      <w:tr w14:paraId="597CB2FD">
        <w:tblPrEx>
          <w:tblCellMar>
            <w:top w:w="0" w:type="dxa"/>
            <w:left w:w="108" w:type="dxa"/>
            <w:bottom w:w="0" w:type="dxa"/>
            <w:right w:w="108" w:type="dxa"/>
          </w:tblCellMar>
        </w:tblPrEx>
        <w:trPr>
          <w:trHeight w:val="570" w:hRule="atLeast"/>
        </w:trPr>
        <w:tc>
          <w:tcPr>
            <w:tcW w:w="4407" w:type="dxa"/>
          </w:tcPr>
          <w:p w14:paraId="47523EA3">
            <w:pPr>
              <w:spacing w:line="520" w:lineRule="exact"/>
              <w:rPr>
                <w:rFonts w:hint="eastAsia" w:ascii="仿宋_GB2312" w:hAnsi="宋体" w:eastAsia="仿宋_GB2312"/>
                <w:sz w:val="28"/>
                <w:szCs w:val="28"/>
              </w:rPr>
            </w:pPr>
            <w:r>
              <w:rPr>
                <w:rFonts w:hint="eastAsia" w:ascii="仿宋_GB2312" w:hAnsi="宋体" w:eastAsia="仿宋_GB2312"/>
                <w:sz w:val="28"/>
                <w:szCs w:val="28"/>
              </w:rPr>
              <w:t>法定代表人：</w:t>
            </w:r>
          </w:p>
        </w:tc>
        <w:tc>
          <w:tcPr>
            <w:tcW w:w="4407" w:type="dxa"/>
          </w:tcPr>
          <w:p w14:paraId="7A4B7064">
            <w:pPr>
              <w:spacing w:line="520" w:lineRule="exact"/>
              <w:rPr>
                <w:rFonts w:hint="eastAsia" w:ascii="仿宋_GB2312" w:hAnsi="宋体" w:eastAsia="仿宋_GB2312"/>
                <w:sz w:val="28"/>
                <w:szCs w:val="28"/>
              </w:rPr>
            </w:pPr>
            <w:r>
              <w:rPr>
                <w:rFonts w:hint="eastAsia" w:ascii="仿宋_GB2312" w:hAnsi="宋体" w:eastAsia="仿宋_GB2312"/>
                <w:sz w:val="28"/>
                <w:szCs w:val="28"/>
              </w:rPr>
              <w:t>法定代表人：</w:t>
            </w:r>
          </w:p>
        </w:tc>
      </w:tr>
      <w:tr w14:paraId="37F8071F">
        <w:tblPrEx>
          <w:tblCellMar>
            <w:top w:w="0" w:type="dxa"/>
            <w:left w:w="108" w:type="dxa"/>
            <w:bottom w:w="0" w:type="dxa"/>
            <w:right w:w="108" w:type="dxa"/>
          </w:tblCellMar>
        </w:tblPrEx>
        <w:trPr>
          <w:trHeight w:val="564" w:hRule="atLeast"/>
        </w:trPr>
        <w:tc>
          <w:tcPr>
            <w:tcW w:w="4407" w:type="dxa"/>
          </w:tcPr>
          <w:p w14:paraId="78794C84">
            <w:pPr>
              <w:spacing w:line="520" w:lineRule="exact"/>
              <w:rPr>
                <w:rFonts w:hint="eastAsia" w:ascii="仿宋_GB2312" w:hAnsi="宋体" w:eastAsia="仿宋_GB2312"/>
                <w:sz w:val="28"/>
                <w:szCs w:val="28"/>
              </w:rPr>
            </w:pPr>
            <w:r>
              <w:rPr>
                <w:rFonts w:hint="eastAsia" w:ascii="仿宋_GB2312" w:hAnsi="宋体" w:eastAsia="仿宋_GB2312"/>
                <w:sz w:val="28"/>
                <w:szCs w:val="28"/>
              </w:rPr>
              <w:t>或委托代理人：</w:t>
            </w:r>
          </w:p>
        </w:tc>
        <w:tc>
          <w:tcPr>
            <w:tcW w:w="4407" w:type="dxa"/>
          </w:tcPr>
          <w:p w14:paraId="3E04CC03">
            <w:pPr>
              <w:spacing w:line="520" w:lineRule="exact"/>
              <w:rPr>
                <w:rFonts w:hint="eastAsia" w:ascii="仿宋_GB2312" w:hAnsi="宋体" w:eastAsia="仿宋_GB2312"/>
                <w:sz w:val="28"/>
                <w:szCs w:val="28"/>
              </w:rPr>
            </w:pPr>
            <w:r>
              <w:rPr>
                <w:rFonts w:hint="eastAsia" w:ascii="仿宋_GB2312" w:hAnsi="宋体" w:eastAsia="仿宋_GB2312"/>
                <w:sz w:val="28"/>
                <w:szCs w:val="28"/>
              </w:rPr>
              <w:t>或委托代理人：</w:t>
            </w:r>
          </w:p>
        </w:tc>
      </w:tr>
      <w:tr w14:paraId="6F29E49E">
        <w:tblPrEx>
          <w:tblCellMar>
            <w:top w:w="0" w:type="dxa"/>
            <w:left w:w="108" w:type="dxa"/>
            <w:bottom w:w="0" w:type="dxa"/>
            <w:right w:w="108" w:type="dxa"/>
          </w:tblCellMar>
        </w:tblPrEx>
        <w:trPr>
          <w:trHeight w:val="566" w:hRule="atLeast"/>
        </w:trPr>
        <w:tc>
          <w:tcPr>
            <w:tcW w:w="4407" w:type="dxa"/>
          </w:tcPr>
          <w:p w14:paraId="507E399A">
            <w:pPr>
              <w:spacing w:line="520" w:lineRule="exact"/>
              <w:rPr>
                <w:rFonts w:hint="eastAsia" w:ascii="仿宋_GB2312" w:hAnsi="宋体" w:eastAsia="仿宋_GB2312"/>
                <w:sz w:val="28"/>
                <w:szCs w:val="28"/>
              </w:rPr>
            </w:pPr>
            <w:r>
              <w:rPr>
                <w:rFonts w:hint="eastAsia" w:ascii="仿宋_GB2312" w:hAnsi="宋体" w:eastAsia="仿宋_GB2312"/>
                <w:sz w:val="28"/>
                <w:szCs w:val="28"/>
              </w:rPr>
              <w:t>签订日期：</w:t>
            </w:r>
          </w:p>
        </w:tc>
        <w:tc>
          <w:tcPr>
            <w:tcW w:w="4407" w:type="dxa"/>
          </w:tcPr>
          <w:p w14:paraId="7B23CF6C">
            <w:pPr>
              <w:spacing w:line="520" w:lineRule="exact"/>
              <w:rPr>
                <w:rFonts w:hint="eastAsia" w:ascii="仿宋_GB2312" w:hAnsi="宋体" w:eastAsia="仿宋_GB2312"/>
                <w:sz w:val="28"/>
                <w:szCs w:val="28"/>
              </w:rPr>
            </w:pPr>
          </w:p>
        </w:tc>
      </w:tr>
      <w:tr w14:paraId="392FEB7D">
        <w:tblPrEx>
          <w:tblCellMar>
            <w:top w:w="0" w:type="dxa"/>
            <w:left w:w="108" w:type="dxa"/>
            <w:bottom w:w="0" w:type="dxa"/>
            <w:right w:w="108" w:type="dxa"/>
          </w:tblCellMar>
        </w:tblPrEx>
        <w:trPr>
          <w:trHeight w:val="574" w:hRule="atLeast"/>
        </w:trPr>
        <w:tc>
          <w:tcPr>
            <w:tcW w:w="4407" w:type="dxa"/>
          </w:tcPr>
          <w:p w14:paraId="0CF2A164">
            <w:pPr>
              <w:tabs>
                <w:tab w:val="left" w:pos="1488"/>
              </w:tabs>
              <w:spacing w:line="520" w:lineRule="exact"/>
              <w:rPr>
                <w:rFonts w:hint="eastAsia" w:ascii="仿宋_GB2312" w:hAnsi="宋体" w:eastAsia="仿宋_GB2312"/>
                <w:sz w:val="28"/>
                <w:szCs w:val="28"/>
              </w:rPr>
            </w:pPr>
          </w:p>
        </w:tc>
        <w:tc>
          <w:tcPr>
            <w:tcW w:w="4407" w:type="dxa"/>
          </w:tcPr>
          <w:p w14:paraId="502FF2AF">
            <w:pPr>
              <w:spacing w:line="520" w:lineRule="exact"/>
              <w:rPr>
                <w:rFonts w:hint="eastAsia" w:ascii="仿宋_GB2312" w:hAnsi="宋体" w:eastAsia="仿宋_GB2312"/>
                <w:sz w:val="28"/>
                <w:szCs w:val="28"/>
              </w:rPr>
            </w:pPr>
          </w:p>
        </w:tc>
      </w:tr>
      <w:tr w14:paraId="7E55F936">
        <w:tblPrEx>
          <w:tblCellMar>
            <w:top w:w="0" w:type="dxa"/>
            <w:left w:w="108" w:type="dxa"/>
            <w:bottom w:w="0" w:type="dxa"/>
            <w:right w:w="108" w:type="dxa"/>
          </w:tblCellMar>
        </w:tblPrEx>
        <w:trPr>
          <w:trHeight w:val="639" w:hRule="atLeast"/>
        </w:trPr>
        <w:tc>
          <w:tcPr>
            <w:tcW w:w="4407" w:type="dxa"/>
          </w:tcPr>
          <w:p w14:paraId="3A59AC4D">
            <w:pPr>
              <w:spacing w:line="520" w:lineRule="exact"/>
              <w:rPr>
                <w:rFonts w:hint="eastAsia" w:ascii="仿宋_GB2312" w:hAnsi="宋体" w:eastAsia="仿宋_GB2312"/>
                <w:sz w:val="28"/>
                <w:szCs w:val="28"/>
              </w:rPr>
            </w:pPr>
          </w:p>
        </w:tc>
        <w:tc>
          <w:tcPr>
            <w:tcW w:w="4407" w:type="dxa"/>
          </w:tcPr>
          <w:p w14:paraId="706B687A">
            <w:pPr>
              <w:spacing w:line="520" w:lineRule="exact"/>
              <w:rPr>
                <w:rFonts w:hint="eastAsia" w:ascii="仿宋_GB2312" w:hAnsi="宋体" w:eastAsia="仿宋_GB2312"/>
                <w:sz w:val="28"/>
                <w:szCs w:val="28"/>
              </w:rPr>
            </w:pPr>
          </w:p>
        </w:tc>
      </w:tr>
    </w:tbl>
    <w:p w14:paraId="4FD0543A">
      <w:pPr>
        <w:spacing w:line="520" w:lineRule="exact"/>
        <w:rPr>
          <w:rFonts w:hint="eastAsia" w:ascii="仿宋_GB2312" w:hAnsi="宋体" w:eastAsia="仿宋_GB2312" w:cs="宋体"/>
          <w:color w:val="FF0000"/>
          <w:sz w:val="28"/>
          <w:szCs w:val="28"/>
        </w:rPr>
      </w:pPr>
    </w:p>
    <w:p w14:paraId="5D4594FF">
      <w:pPr>
        <w:spacing w:line="390" w:lineRule="exact"/>
        <w:rPr>
          <w:rFonts w:hint="eastAsia" w:ascii="仿宋_GB2312" w:hAnsi="宋体" w:eastAsia="仿宋_GB2312" w:cs="宋体"/>
          <w:color w:val="FF0000"/>
          <w:sz w:val="24"/>
          <w:szCs w:val="24"/>
        </w:rPr>
      </w:pPr>
    </w:p>
    <w:p w14:paraId="5254A1B1">
      <w:pPr>
        <w:spacing w:line="390" w:lineRule="exact"/>
        <w:rPr>
          <w:rFonts w:hint="eastAsia" w:ascii="仿宋_GB2312" w:hAnsi="宋体" w:eastAsia="仿宋_GB2312"/>
          <w:b/>
          <w:sz w:val="24"/>
          <w:szCs w:val="24"/>
        </w:rPr>
        <w:sectPr>
          <w:footerReference r:id="rId5" w:type="first"/>
          <w:footerReference r:id="rId4" w:type="default"/>
          <w:headerReference r:id="rId3" w:type="even"/>
          <w:pgSz w:w="11906" w:h="16838"/>
          <w:pgMar w:top="1418" w:right="1134" w:bottom="1418" w:left="1259" w:header="851" w:footer="992" w:gutter="0"/>
          <w:cols w:space="720" w:num="1"/>
          <w:docGrid w:linePitch="312" w:charSpace="0"/>
        </w:sectPr>
      </w:pPr>
    </w:p>
    <w:p w14:paraId="35F061D7">
      <w:pPr>
        <w:spacing w:line="390" w:lineRule="exact"/>
        <w:rPr>
          <w:rFonts w:hint="eastAsia" w:ascii="仿宋_GB2312" w:hAnsi="宋体" w:eastAsia="仿宋_GB2312"/>
          <w:b/>
          <w:sz w:val="24"/>
          <w:szCs w:val="24"/>
        </w:rPr>
      </w:pPr>
      <w:r>
        <w:rPr>
          <w:rFonts w:hint="eastAsia" w:ascii="仿宋_GB2312" w:hAnsi="宋体" w:eastAsia="仿宋_GB2312"/>
          <w:b/>
          <w:sz w:val="24"/>
          <w:szCs w:val="24"/>
        </w:rPr>
        <w:t>附件一：</w:t>
      </w:r>
    </w:p>
    <w:p w14:paraId="1C2C3111">
      <w:pPr>
        <w:spacing w:line="390" w:lineRule="exact"/>
        <w:jc w:val="center"/>
        <w:rPr>
          <w:rFonts w:hint="eastAsia" w:ascii="仿宋_GB2312" w:hAnsi="宋体" w:eastAsia="仿宋_GB2312"/>
          <w:b/>
          <w:sz w:val="24"/>
          <w:szCs w:val="24"/>
        </w:rPr>
      </w:pPr>
      <w:r>
        <w:rPr>
          <w:rFonts w:hint="eastAsia" w:ascii="仿宋_GB2312" w:hAnsi="宋体" w:eastAsia="仿宋_GB2312"/>
          <w:b/>
          <w:sz w:val="24"/>
          <w:szCs w:val="24"/>
        </w:rPr>
        <w:t>工程量清单</w:t>
      </w:r>
    </w:p>
    <w:p w14:paraId="43B6C510">
      <w:pPr>
        <w:spacing w:line="390" w:lineRule="exact"/>
        <w:rPr>
          <w:rFonts w:hint="eastAsia" w:ascii="仿宋_GB2312" w:hAnsi="宋体" w:eastAsia="仿宋_GB2312"/>
          <w:sz w:val="24"/>
          <w:szCs w:val="24"/>
        </w:rPr>
      </w:pPr>
      <w:r>
        <w:rPr>
          <w:rFonts w:hint="eastAsia" w:ascii="仿宋_GB2312" w:hAnsi="宋体" w:eastAsia="仿宋_GB2312"/>
          <w:sz w:val="24"/>
          <w:szCs w:val="24"/>
        </w:rPr>
        <w:t>工程项目名称：</w:t>
      </w:r>
      <w:r>
        <w:rPr>
          <w:rFonts w:hint="eastAsia" w:ascii="仿宋_GB2312" w:hAnsi="宋体" w:eastAsia="仿宋_GB2312"/>
          <w:sz w:val="24"/>
          <w:szCs w:val="24"/>
          <w:lang w:eastAsia="zh-CN"/>
        </w:rPr>
        <w:t>盘古路地块场地平整工程</w:t>
      </w:r>
      <w:r>
        <w:rPr>
          <w:rFonts w:hint="eastAsia" w:ascii="仿宋_GB2312" w:hAnsi="宋体" w:eastAsia="仿宋_GB2312"/>
          <w:sz w:val="24"/>
          <w:szCs w:val="24"/>
        </w:rPr>
        <w:t>项目</w:t>
      </w:r>
      <w:r>
        <w:rPr>
          <w:rFonts w:hint="eastAsia" w:ascii="仿宋_GB2312" w:hAnsi="宋体" w:eastAsia="仿宋_GB2312"/>
          <w:sz w:val="24"/>
          <w:szCs w:val="24"/>
          <w:lang w:eastAsia="zh-CN"/>
        </w:rPr>
        <w:t>土方车队运输服务</w:t>
      </w:r>
      <w:r>
        <w:rPr>
          <w:rFonts w:hint="eastAsia" w:ascii="仿宋_GB2312" w:hAnsi="宋体" w:eastAsia="仿宋_GB2312"/>
          <w:sz w:val="24"/>
          <w:szCs w:val="24"/>
        </w:rPr>
        <w:t xml:space="preserve">                                                  </w:t>
      </w:r>
    </w:p>
    <w:p w14:paraId="4E7CAFEA">
      <w:pPr>
        <w:spacing w:line="390" w:lineRule="exact"/>
        <w:jc w:val="center"/>
        <w:rPr>
          <w:rFonts w:hint="eastAsia" w:ascii="仿宋_GB2312" w:hAnsi="仿宋_GB2312" w:eastAsia="仿宋_GB2312" w:cs="仿宋_GB2312"/>
          <w:sz w:val="28"/>
          <w:szCs w:val="28"/>
        </w:rPr>
      </w:pPr>
    </w:p>
    <w:p w14:paraId="7E3BD348">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71CA941B">
      <w:pPr>
        <w:spacing w:line="39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附件二：</w:t>
      </w:r>
    </w:p>
    <w:p w14:paraId="2D497FF6">
      <w:pPr>
        <w:spacing w:line="39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乙方投入本合同工程主要机械设备表</w:t>
      </w:r>
    </w:p>
    <w:p w14:paraId="6F25CC2E">
      <w:pPr>
        <w:spacing w:line="390" w:lineRule="exact"/>
        <w:jc w:val="center"/>
        <w:rPr>
          <w:rFonts w:hint="eastAsia" w:ascii="仿宋_GB2312" w:hAnsi="仿宋_GB2312" w:eastAsia="仿宋_GB2312" w:cs="仿宋_GB2312"/>
          <w:b/>
          <w:bCs/>
          <w:sz w:val="28"/>
          <w:szCs w:val="28"/>
        </w:rPr>
      </w:pPr>
    </w:p>
    <w:p w14:paraId="47B7F3A7">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工程项目名称：</w:t>
      </w:r>
      <w:r>
        <w:rPr>
          <w:rFonts w:hint="eastAsia" w:ascii="仿宋_GB2312" w:hAnsi="宋体" w:eastAsia="仿宋_GB2312"/>
          <w:sz w:val="28"/>
          <w:szCs w:val="28"/>
        </w:rPr>
        <w:t>盘古路地块场地平整工程</w:t>
      </w:r>
      <w:r>
        <w:rPr>
          <w:rFonts w:hint="eastAsia" w:ascii="仿宋_GB2312" w:hAnsi="宋体" w:eastAsia="仿宋_GB2312"/>
          <w:sz w:val="28"/>
          <w:szCs w:val="28"/>
          <w:lang w:eastAsia="zh-CN"/>
        </w:rPr>
        <w:t>土方车队运输服务</w:t>
      </w:r>
      <w:r>
        <w:rPr>
          <w:rFonts w:hint="eastAsia" w:ascii="仿宋_GB2312" w:hAnsi="仿宋_GB2312" w:eastAsia="仿宋_GB2312" w:cs="仿宋_GB2312"/>
          <w:sz w:val="28"/>
          <w:szCs w:val="28"/>
        </w:rPr>
        <w:t xml:space="preserve">    </w:t>
      </w:r>
    </w:p>
    <w:tbl>
      <w:tblPr>
        <w:tblStyle w:val="9"/>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701"/>
        <w:gridCol w:w="1332"/>
        <w:gridCol w:w="1102"/>
        <w:gridCol w:w="1110"/>
        <w:gridCol w:w="1259"/>
        <w:gridCol w:w="1333"/>
        <w:gridCol w:w="852"/>
      </w:tblGrid>
      <w:tr w14:paraId="7822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7EB88CC9">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1701" w:type="dxa"/>
            <w:vAlign w:val="center"/>
          </w:tcPr>
          <w:p w14:paraId="65038BE2">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品种</w:t>
            </w:r>
          </w:p>
        </w:tc>
        <w:tc>
          <w:tcPr>
            <w:tcW w:w="1332" w:type="dxa"/>
            <w:vAlign w:val="center"/>
          </w:tcPr>
          <w:p w14:paraId="1B6523E7">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规格型号</w:t>
            </w:r>
          </w:p>
        </w:tc>
        <w:tc>
          <w:tcPr>
            <w:tcW w:w="1102" w:type="dxa"/>
            <w:vAlign w:val="center"/>
          </w:tcPr>
          <w:p w14:paraId="5C917D33">
            <w:pPr>
              <w:spacing w:line="390" w:lineRule="exact"/>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cyan"/>
              </w:rPr>
              <w:t>单位</w:t>
            </w:r>
            <w:r>
              <w:rPr>
                <w:rFonts w:hint="eastAsia" w:ascii="仿宋_GB2312" w:hAnsi="仿宋_GB2312" w:eastAsia="仿宋_GB2312" w:cs="仿宋_GB2312"/>
                <w:sz w:val="24"/>
                <w:szCs w:val="24"/>
                <w:highlight w:val="cyan"/>
                <w:lang w:val="en-US" w:eastAsia="zh-CN"/>
              </w:rPr>
              <w:t>/辆</w:t>
            </w:r>
          </w:p>
        </w:tc>
        <w:tc>
          <w:tcPr>
            <w:tcW w:w="1110" w:type="dxa"/>
            <w:vAlign w:val="center"/>
          </w:tcPr>
          <w:p w14:paraId="54A77B5E">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c>
          <w:tcPr>
            <w:tcW w:w="1259" w:type="dxa"/>
            <w:vAlign w:val="center"/>
          </w:tcPr>
          <w:p w14:paraId="799879FE">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供应时间</w:t>
            </w:r>
          </w:p>
        </w:tc>
        <w:tc>
          <w:tcPr>
            <w:tcW w:w="1333" w:type="dxa"/>
            <w:vAlign w:val="center"/>
          </w:tcPr>
          <w:p w14:paraId="0CFAF900">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送达地点</w:t>
            </w:r>
          </w:p>
        </w:tc>
        <w:tc>
          <w:tcPr>
            <w:tcW w:w="852" w:type="dxa"/>
            <w:vAlign w:val="center"/>
          </w:tcPr>
          <w:p w14:paraId="47E932D4">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备注</w:t>
            </w:r>
          </w:p>
        </w:tc>
      </w:tr>
      <w:tr w14:paraId="5909F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2291CFC0">
            <w:pPr>
              <w:spacing w:line="390" w:lineRule="exact"/>
              <w:jc w:val="center"/>
              <w:rPr>
                <w:rFonts w:hint="eastAsia" w:ascii="仿宋_GB2312" w:hAnsi="仿宋_GB2312" w:eastAsia="仿宋_GB2312" w:cs="仿宋_GB2312"/>
                <w:sz w:val="24"/>
                <w:szCs w:val="24"/>
                <w:lang w:eastAsia="zh-CN"/>
              </w:rPr>
            </w:pPr>
            <w:bookmarkStart w:id="4" w:name="OLE_LINK3" w:colFirst="4" w:colLast="6"/>
            <w:r>
              <w:rPr>
                <w:rFonts w:hint="eastAsia" w:ascii="仿宋_GB2312" w:hAnsi="仿宋_GB2312" w:eastAsia="仿宋_GB2312" w:cs="仿宋_GB2312"/>
                <w:sz w:val="24"/>
                <w:szCs w:val="24"/>
                <w:lang w:val="en-US" w:eastAsia="zh-CN"/>
              </w:rPr>
              <w:t>1</w:t>
            </w:r>
          </w:p>
        </w:tc>
        <w:tc>
          <w:tcPr>
            <w:tcW w:w="1701" w:type="dxa"/>
            <w:vAlign w:val="center"/>
          </w:tcPr>
          <w:p w14:paraId="1B04A25B">
            <w:pPr>
              <w:widowControl/>
              <w:jc w:val="center"/>
              <w:rPr>
                <w:rFonts w:hint="eastAsia" w:ascii="仿宋_GB2312" w:hAnsi="仿宋_GB2312" w:eastAsia="仿宋_GB2312" w:cs="仿宋_GB2312"/>
                <w:sz w:val="24"/>
                <w:szCs w:val="24"/>
              </w:rPr>
            </w:pPr>
            <w:r>
              <w:rPr>
                <w:rFonts w:hint="eastAsia" w:ascii="仿宋_GB2312" w:hAnsi="宋体" w:eastAsia="仿宋_GB2312" w:cs="宋体"/>
                <w:bCs/>
                <w:kern w:val="0"/>
                <w:sz w:val="24"/>
              </w:rPr>
              <w:t>自卸车</w:t>
            </w:r>
          </w:p>
        </w:tc>
        <w:tc>
          <w:tcPr>
            <w:tcW w:w="1332" w:type="dxa"/>
            <w:vAlign w:val="center"/>
          </w:tcPr>
          <w:p w14:paraId="7666BF2D">
            <w:pPr>
              <w:widowControl/>
              <w:jc w:val="center"/>
              <w:rPr>
                <w:rFonts w:hint="eastAsia" w:ascii="仿宋_GB2312" w:hAnsi="仿宋_GB2312" w:eastAsia="仿宋_GB2312" w:cs="仿宋_GB2312"/>
                <w:sz w:val="24"/>
                <w:szCs w:val="24"/>
              </w:rPr>
            </w:pPr>
          </w:p>
        </w:tc>
        <w:tc>
          <w:tcPr>
            <w:tcW w:w="1102" w:type="dxa"/>
            <w:vAlign w:val="center"/>
          </w:tcPr>
          <w:p w14:paraId="60F7C47E">
            <w:pPr>
              <w:spacing w:line="390" w:lineRule="exact"/>
              <w:jc w:val="center"/>
              <w:rPr>
                <w:rFonts w:hint="eastAsia" w:ascii="仿宋_GB2312" w:hAnsi="仿宋_GB2312" w:eastAsia="仿宋_GB2312" w:cs="仿宋_GB2312"/>
                <w:sz w:val="24"/>
                <w:szCs w:val="24"/>
              </w:rPr>
            </w:pPr>
          </w:p>
        </w:tc>
        <w:tc>
          <w:tcPr>
            <w:tcW w:w="1110" w:type="dxa"/>
            <w:vAlign w:val="center"/>
          </w:tcPr>
          <w:p w14:paraId="1D4EFE97">
            <w:pPr>
              <w:widowControl/>
              <w:jc w:val="center"/>
              <w:rPr>
                <w:rFonts w:hint="eastAsia" w:ascii="仿宋_GB2312" w:hAnsi="仿宋_GB2312" w:eastAsia="仿宋_GB2312" w:cs="仿宋_GB2312"/>
                <w:sz w:val="24"/>
                <w:szCs w:val="24"/>
              </w:rPr>
            </w:pPr>
            <w:r>
              <w:rPr>
                <w:rFonts w:hint="eastAsia" w:ascii="仿宋_GB2312" w:hAnsi="宋体" w:eastAsia="仿宋_GB2312" w:cs="宋体"/>
                <w:bCs/>
                <w:kern w:val="0"/>
                <w:sz w:val="24"/>
              </w:rPr>
              <w:t>满足现场需要</w:t>
            </w:r>
          </w:p>
        </w:tc>
        <w:tc>
          <w:tcPr>
            <w:tcW w:w="1259" w:type="dxa"/>
            <w:vAlign w:val="center"/>
          </w:tcPr>
          <w:p w14:paraId="1223CCDF">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根据现场需要</w:t>
            </w:r>
          </w:p>
        </w:tc>
        <w:tc>
          <w:tcPr>
            <w:tcW w:w="1333" w:type="dxa"/>
            <w:vAlign w:val="center"/>
          </w:tcPr>
          <w:p w14:paraId="2C5B4A72">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施工现场</w:t>
            </w:r>
          </w:p>
        </w:tc>
        <w:tc>
          <w:tcPr>
            <w:tcW w:w="852" w:type="dxa"/>
            <w:vAlign w:val="center"/>
          </w:tcPr>
          <w:p w14:paraId="3E3DEF61">
            <w:pPr>
              <w:widowControl/>
              <w:jc w:val="center"/>
              <w:rPr>
                <w:rFonts w:hint="eastAsia" w:ascii="仿宋_GB2312" w:hAnsi="仿宋_GB2312" w:eastAsia="仿宋_GB2312" w:cs="仿宋_GB2312"/>
                <w:sz w:val="24"/>
                <w:szCs w:val="24"/>
              </w:rPr>
            </w:pPr>
          </w:p>
        </w:tc>
      </w:tr>
      <w:bookmarkEnd w:id="4"/>
      <w:tr w14:paraId="64188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1773B25B">
            <w:pPr>
              <w:spacing w:line="390" w:lineRule="exact"/>
              <w:jc w:val="center"/>
              <w:rPr>
                <w:rFonts w:hint="eastAsia" w:ascii="仿宋_GB2312" w:hAnsi="仿宋_GB2312" w:eastAsia="仿宋_GB2312" w:cs="仿宋_GB2312"/>
                <w:sz w:val="24"/>
                <w:szCs w:val="24"/>
              </w:rPr>
            </w:pPr>
          </w:p>
        </w:tc>
        <w:tc>
          <w:tcPr>
            <w:tcW w:w="1701" w:type="dxa"/>
            <w:vAlign w:val="center"/>
          </w:tcPr>
          <w:p w14:paraId="07E766B6">
            <w:pPr>
              <w:spacing w:line="390" w:lineRule="exact"/>
              <w:jc w:val="center"/>
              <w:rPr>
                <w:rFonts w:hint="eastAsia" w:ascii="仿宋_GB2312" w:hAnsi="仿宋_GB2312" w:eastAsia="仿宋_GB2312" w:cs="仿宋_GB2312"/>
                <w:sz w:val="24"/>
                <w:szCs w:val="24"/>
              </w:rPr>
            </w:pPr>
          </w:p>
        </w:tc>
        <w:tc>
          <w:tcPr>
            <w:tcW w:w="1332" w:type="dxa"/>
            <w:vAlign w:val="center"/>
          </w:tcPr>
          <w:p w14:paraId="0CC5BCD6">
            <w:pPr>
              <w:spacing w:line="390" w:lineRule="exact"/>
              <w:jc w:val="center"/>
              <w:rPr>
                <w:rFonts w:hint="eastAsia" w:ascii="仿宋_GB2312" w:hAnsi="仿宋_GB2312" w:eastAsia="仿宋_GB2312" w:cs="仿宋_GB2312"/>
                <w:sz w:val="24"/>
                <w:szCs w:val="24"/>
              </w:rPr>
            </w:pPr>
          </w:p>
        </w:tc>
        <w:tc>
          <w:tcPr>
            <w:tcW w:w="1102" w:type="dxa"/>
            <w:vAlign w:val="center"/>
          </w:tcPr>
          <w:p w14:paraId="028EF6DF">
            <w:pPr>
              <w:spacing w:line="390" w:lineRule="exact"/>
              <w:jc w:val="center"/>
              <w:rPr>
                <w:rFonts w:hint="eastAsia" w:ascii="仿宋_GB2312" w:hAnsi="仿宋_GB2312" w:eastAsia="仿宋_GB2312" w:cs="仿宋_GB2312"/>
                <w:sz w:val="24"/>
                <w:szCs w:val="24"/>
              </w:rPr>
            </w:pPr>
          </w:p>
        </w:tc>
        <w:tc>
          <w:tcPr>
            <w:tcW w:w="1110" w:type="dxa"/>
            <w:vAlign w:val="center"/>
          </w:tcPr>
          <w:p w14:paraId="79D17A0A">
            <w:pPr>
              <w:spacing w:line="390" w:lineRule="exact"/>
              <w:jc w:val="center"/>
              <w:rPr>
                <w:rFonts w:hint="eastAsia" w:ascii="仿宋_GB2312" w:hAnsi="仿宋_GB2312" w:eastAsia="仿宋_GB2312" w:cs="仿宋_GB2312"/>
                <w:sz w:val="24"/>
                <w:szCs w:val="24"/>
              </w:rPr>
            </w:pPr>
          </w:p>
        </w:tc>
        <w:tc>
          <w:tcPr>
            <w:tcW w:w="1259" w:type="dxa"/>
            <w:vAlign w:val="center"/>
          </w:tcPr>
          <w:p w14:paraId="32DD4840">
            <w:pPr>
              <w:spacing w:line="390" w:lineRule="exact"/>
              <w:jc w:val="center"/>
              <w:rPr>
                <w:rFonts w:hint="eastAsia" w:ascii="仿宋_GB2312" w:hAnsi="仿宋_GB2312" w:eastAsia="仿宋_GB2312" w:cs="仿宋_GB2312"/>
                <w:sz w:val="24"/>
                <w:szCs w:val="24"/>
              </w:rPr>
            </w:pPr>
          </w:p>
        </w:tc>
        <w:tc>
          <w:tcPr>
            <w:tcW w:w="1333" w:type="dxa"/>
            <w:vAlign w:val="center"/>
          </w:tcPr>
          <w:p w14:paraId="45176989">
            <w:pPr>
              <w:spacing w:line="390" w:lineRule="exact"/>
              <w:jc w:val="center"/>
              <w:rPr>
                <w:rFonts w:hint="eastAsia" w:ascii="仿宋_GB2312" w:hAnsi="仿宋_GB2312" w:eastAsia="仿宋_GB2312" w:cs="仿宋_GB2312"/>
                <w:sz w:val="24"/>
                <w:szCs w:val="24"/>
              </w:rPr>
            </w:pPr>
          </w:p>
        </w:tc>
        <w:tc>
          <w:tcPr>
            <w:tcW w:w="852" w:type="dxa"/>
            <w:vAlign w:val="center"/>
          </w:tcPr>
          <w:p w14:paraId="60046DD5">
            <w:pPr>
              <w:spacing w:line="390" w:lineRule="exact"/>
              <w:jc w:val="center"/>
              <w:rPr>
                <w:rFonts w:hint="eastAsia" w:ascii="仿宋_GB2312" w:hAnsi="仿宋_GB2312" w:eastAsia="仿宋_GB2312" w:cs="仿宋_GB2312"/>
                <w:sz w:val="24"/>
                <w:szCs w:val="24"/>
              </w:rPr>
            </w:pPr>
          </w:p>
        </w:tc>
      </w:tr>
      <w:tr w14:paraId="4E737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7C021198">
            <w:pPr>
              <w:spacing w:line="390" w:lineRule="exact"/>
              <w:jc w:val="center"/>
              <w:rPr>
                <w:rFonts w:hint="eastAsia" w:ascii="仿宋_GB2312" w:hAnsi="仿宋_GB2312" w:eastAsia="仿宋_GB2312" w:cs="仿宋_GB2312"/>
                <w:sz w:val="24"/>
                <w:szCs w:val="24"/>
              </w:rPr>
            </w:pPr>
          </w:p>
        </w:tc>
        <w:tc>
          <w:tcPr>
            <w:tcW w:w="1701" w:type="dxa"/>
            <w:vAlign w:val="center"/>
          </w:tcPr>
          <w:p w14:paraId="4D14AD9C">
            <w:pPr>
              <w:spacing w:line="390" w:lineRule="exact"/>
              <w:jc w:val="center"/>
              <w:rPr>
                <w:rFonts w:hint="eastAsia" w:ascii="仿宋_GB2312" w:hAnsi="仿宋_GB2312" w:eastAsia="仿宋_GB2312" w:cs="仿宋_GB2312"/>
                <w:sz w:val="24"/>
                <w:szCs w:val="24"/>
              </w:rPr>
            </w:pPr>
          </w:p>
        </w:tc>
        <w:tc>
          <w:tcPr>
            <w:tcW w:w="1332" w:type="dxa"/>
            <w:vAlign w:val="center"/>
          </w:tcPr>
          <w:p w14:paraId="64128112">
            <w:pPr>
              <w:spacing w:line="390" w:lineRule="exact"/>
              <w:jc w:val="center"/>
              <w:rPr>
                <w:rFonts w:hint="eastAsia" w:ascii="仿宋_GB2312" w:hAnsi="仿宋_GB2312" w:eastAsia="仿宋_GB2312" w:cs="仿宋_GB2312"/>
                <w:sz w:val="24"/>
                <w:szCs w:val="24"/>
              </w:rPr>
            </w:pPr>
          </w:p>
        </w:tc>
        <w:tc>
          <w:tcPr>
            <w:tcW w:w="1102" w:type="dxa"/>
            <w:vAlign w:val="center"/>
          </w:tcPr>
          <w:p w14:paraId="2079893C">
            <w:pPr>
              <w:spacing w:line="390" w:lineRule="exact"/>
              <w:jc w:val="center"/>
              <w:rPr>
                <w:rFonts w:hint="eastAsia" w:ascii="仿宋_GB2312" w:hAnsi="仿宋_GB2312" w:eastAsia="仿宋_GB2312" w:cs="仿宋_GB2312"/>
                <w:sz w:val="24"/>
                <w:szCs w:val="24"/>
              </w:rPr>
            </w:pPr>
          </w:p>
        </w:tc>
        <w:tc>
          <w:tcPr>
            <w:tcW w:w="1110" w:type="dxa"/>
            <w:vAlign w:val="center"/>
          </w:tcPr>
          <w:p w14:paraId="361D0E4B">
            <w:pPr>
              <w:spacing w:line="390" w:lineRule="exact"/>
              <w:jc w:val="center"/>
              <w:rPr>
                <w:rFonts w:hint="eastAsia" w:ascii="仿宋_GB2312" w:hAnsi="仿宋_GB2312" w:eastAsia="仿宋_GB2312" w:cs="仿宋_GB2312"/>
                <w:sz w:val="24"/>
                <w:szCs w:val="24"/>
              </w:rPr>
            </w:pPr>
          </w:p>
        </w:tc>
        <w:tc>
          <w:tcPr>
            <w:tcW w:w="1259" w:type="dxa"/>
            <w:vAlign w:val="center"/>
          </w:tcPr>
          <w:p w14:paraId="1DAB4191">
            <w:pPr>
              <w:spacing w:line="390" w:lineRule="exact"/>
              <w:jc w:val="center"/>
              <w:rPr>
                <w:rFonts w:hint="eastAsia" w:ascii="仿宋_GB2312" w:hAnsi="仿宋_GB2312" w:eastAsia="仿宋_GB2312" w:cs="仿宋_GB2312"/>
                <w:sz w:val="24"/>
                <w:szCs w:val="24"/>
              </w:rPr>
            </w:pPr>
          </w:p>
        </w:tc>
        <w:tc>
          <w:tcPr>
            <w:tcW w:w="1333" w:type="dxa"/>
            <w:vAlign w:val="center"/>
          </w:tcPr>
          <w:p w14:paraId="49B13068">
            <w:pPr>
              <w:spacing w:line="390" w:lineRule="exact"/>
              <w:jc w:val="center"/>
              <w:rPr>
                <w:rFonts w:hint="eastAsia" w:ascii="仿宋_GB2312" w:hAnsi="仿宋_GB2312" w:eastAsia="仿宋_GB2312" w:cs="仿宋_GB2312"/>
                <w:sz w:val="24"/>
                <w:szCs w:val="24"/>
              </w:rPr>
            </w:pPr>
          </w:p>
        </w:tc>
        <w:tc>
          <w:tcPr>
            <w:tcW w:w="852" w:type="dxa"/>
            <w:vAlign w:val="center"/>
          </w:tcPr>
          <w:p w14:paraId="59370754">
            <w:pPr>
              <w:spacing w:line="390" w:lineRule="exact"/>
              <w:jc w:val="center"/>
              <w:rPr>
                <w:rFonts w:hint="eastAsia" w:ascii="仿宋_GB2312" w:hAnsi="仿宋_GB2312" w:eastAsia="仿宋_GB2312" w:cs="仿宋_GB2312"/>
                <w:sz w:val="24"/>
                <w:szCs w:val="24"/>
              </w:rPr>
            </w:pPr>
          </w:p>
        </w:tc>
      </w:tr>
      <w:tr w14:paraId="1C14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2F4A5EAE">
            <w:pPr>
              <w:spacing w:line="390" w:lineRule="exact"/>
              <w:jc w:val="center"/>
              <w:rPr>
                <w:rFonts w:hint="eastAsia" w:ascii="仿宋_GB2312" w:hAnsi="仿宋_GB2312" w:eastAsia="仿宋_GB2312" w:cs="仿宋_GB2312"/>
                <w:sz w:val="24"/>
                <w:szCs w:val="24"/>
              </w:rPr>
            </w:pPr>
          </w:p>
        </w:tc>
        <w:tc>
          <w:tcPr>
            <w:tcW w:w="1701" w:type="dxa"/>
            <w:vAlign w:val="center"/>
          </w:tcPr>
          <w:p w14:paraId="4B7ED303">
            <w:pPr>
              <w:spacing w:line="390" w:lineRule="exact"/>
              <w:jc w:val="center"/>
              <w:rPr>
                <w:rFonts w:hint="eastAsia" w:ascii="仿宋_GB2312" w:hAnsi="仿宋_GB2312" w:eastAsia="仿宋_GB2312" w:cs="仿宋_GB2312"/>
                <w:sz w:val="24"/>
                <w:szCs w:val="24"/>
              </w:rPr>
            </w:pPr>
          </w:p>
        </w:tc>
        <w:tc>
          <w:tcPr>
            <w:tcW w:w="1332" w:type="dxa"/>
            <w:vAlign w:val="center"/>
          </w:tcPr>
          <w:p w14:paraId="255070D7">
            <w:pPr>
              <w:spacing w:line="390" w:lineRule="exact"/>
              <w:jc w:val="center"/>
              <w:rPr>
                <w:rFonts w:hint="eastAsia" w:ascii="仿宋_GB2312" w:hAnsi="仿宋_GB2312" w:eastAsia="仿宋_GB2312" w:cs="仿宋_GB2312"/>
                <w:sz w:val="24"/>
                <w:szCs w:val="24"/>
              </w:rPr>
            </w:pPr>
          </w:p>
        </w:tc>
        <w:tc>
          <w:tcPr>
            <w:tcW w:w="1102" w:type="dxa"/>
            <w:vAlign w:val="center"/>
          </w:tcPr>
          <w:p w14:paraId="0F2D30B3">
            <w:pPr>
              <w:spacing w:line="390" w:lineRule="exact"/>
              <w:jc w:val="center"/>
              <w:rPr>
                <w:rFonts w:hint="eastAsia" w:ascii="仿宋_GB2312" w:hAnsi="仿宋_GB2312" w:eastAsia="仿宋_GB2312" w:cs="仿宋_GB2312"/>
                <w:sz w:val="24"/>
                <w:szCs w:val="24"/>
              </w:rPr>
            </w:pPr>
          </w:p>
        </w:tc>
        <w:tc>
          <w:tcPr>
            <w:tcW w:w="1110" w:type="dxa"/>
            <w:vAlign w:val="center"/>
          </w:tcPr>
          <w:p w14:paraId="4F617EBC">
            <w:pPr>
              <w:spacing w:line="390" w:lineRule="exact"/>
              <w:jc w:val="center"/>
              <w:rPr>
                <w:rFonts w:hint="eastAsia" w:ascii="仿宋_GB2312" w:hAnsi="仿宋_GB2312" w:eastAsia="仿宋_GB2312" w:cs="仿宋_GB2312"/>
                <w:sz w:val="24"/>
                <w:szCs w:val="24"/>
              </w:rPr>
            </w:pPr>
          </w:p>
        </w:tc>
        <w:tc>
          <w:tcPr>
            <w:tcW w:w="1259" w:type="dxa"/>
            <w:vAlign w:val="center"/>
          </w:tcPr>
          <w:p w14:paraId="00111A4A">
            <w:pPr>
              <w:spacing w:line="390" w:lineRule="exact"/>
              <w:jc w:val="center"/>
              <w:rPr>
                <w:rFonts w:hint="eastAsia" w:ascii="仿宋_GB2312" w:hAnsi="仿宋_GB2312" w:eastAsia="仿宋_GB2312" w:cs="仿宋_GB2312"/>
                <w:sz w:val="24"/>
                <w:szCs w:val="24"/>
              </w:rPr>
            </w:pPr>
          </w:p>
        </w:tc>
        <w:tc>
          <w:tcPr>
            <w:tcW w:w="1333" w:type="dxa"/>
            <w:vAlign w:val="center"/>
          </w:tcPr>
          <w:p w14:paraId="0969DF7F">
            <w:pPr>
              <w:spacing w:line="390" w:lineRule="exact"/>
              <w:jc w:val="center"/>
              <w:rPr>
                <w:rFonts w:hint="eastAsia" w:ascii="仿宋_GB2312" w:hAnsi="仿宋_GB2312" w:eastAsia="仿宋_GB2312" w:cs="仿宋_GB2312"/>
                <w:sz w:val="24"/>
                <w:szCs w:val="24"/>
              </w:rPr>
            </w:pPr>
          </w:p>
        </w:tc>
        <w:tc>
          <w:tcPr>
            <w:tcW w:w="852" w:type="dxa"/>
            <w:vAlign w:val="center"/>
          </w:tcPr>
          <w:p w14:paraId="1EADFB87">
            <w:pPr>
              <w:spacing w:line="390" w:lineRule="exact"/>
              <w:jc w:val="center"/>
              <w:rPr>
                <w:rFonts w:hint="eastAsia" w:ascii="仿宋_GB2312" w:hAnsi="仿宋_GB2312" w:eastAsia="仿宋_GB2312" w:cs="仿宋_GB2312"/>
                <w:sz w:val="24"/>
                <w:szCs w:val="24"/>
              </w:rPr>
            </w:pPr>
          </w:p>
        </w:tc>
      </w:tr>
      <w:tr w14:paraId="4A4A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318D1498">
            <w:pPr>
              <w:spacing w:line="390" w:lineRule="exact"/>
              <w:jc w:val="center"/>
              <w:rPr>
                <w:rFonts w:hint="eastAsia" w:ascii="仿宋_GB2312" w:hAnsi="仿宋_GB2312" w:eastAsia="仿宋_GB2312" w:cs="仿宋_GB2312"/>
                <w:sz w:val="24"/>
                <w:szCs w:val="24"/>
              </w:rPr>
            </w:pPr>
          </w:p>
        </w:tc>
        <w:tc>
          <w:tcPr>
            <w:tcW w:w="1701" w:type="dxa"/>
            <w:vAlign w:val="center"/>
          </w:tcPr>
          <w:p w14:paraId="74852756">
            <w:pPr>
              <w:spacing w:line="390" w:lineRule="exact"/>
              <w:jc w:val="center"/>
              <w:rPr>
                <w:rFonts w:hint="eastAsia" w:ascii="仿宋_GB2312" w:hAnsi="仿宋_GB2312" w:eastAsia="仿宋_GB2312" w:cs="仿宋_GB2312"/>
                <w:sz w:val="24"/>
                <w:szCs w:val="24"/>
              </w:rPr>
            </w:pPr>
          </w:p>
        </w:tc>
        <w:tc>
          <w:tcPr>
            <w:tcW w:w="1332" w:type="dxa"/>
            <w:vAlign w:val="center"/>
          </w:tcPr>
          <w:p w14:paraId="79E9F343">
            <w:pPr>
              <w:spacing w:line="390" w:lineRule="exact"/>
              <w:jc w:val="center"/>
              <w:rPr>
                <w:rFonts w:hint="eastAsia" w:ascii="仿宋_GB2312" w:hAnsi="仿宋_GB2312" w:eastAsia="仿宋_GB2312" w:cs="仿宋_GB2312"/>
                <w:sz w:val="24"/>
                <w:szCs w:val="24"/>
              </w:rPr>
            </w:pPr>
          </w:p>
        </w:tc>
        <w:tc>
          <w:tcPr>
            <w:tcW w:w="1102" w:type="dxa"/>
            <w:vAlign w:val="center"/>
          </w:tcPr>
          <w:p w14:paraId="07EAED68">
            <w:pPr>
              <w:spacing w:line="390" w:lineRule="exact"/>
              <w:jc w:val="center"/>
              <w:rPr>
                <w:rFonts w:hint="eastAsia" w:ascii="仿宋_GB2312" w:hAnsi="仿宋_GB2312" w:eastAsia="仿宋_GB2312" w:cs="仿宋_GB2312"/>
                <w:sz w:val="24"/>
                <w:szCs w:val="24"/>
              </w:rPr>
            </w:pPr>
          </w:p>
        </w:tc>
        <w:tc>
          <w:tcPr>
            <w:tcW w:w="1110" w:type="dxa"/>
            <w:vAlign w:val="center"/>
          </w:tcPr>
          <w:p w14:paraId="68F711BC">
            <w:pPr>
              <w:spacing w:line="390" w:lineRule="exact"/>
              <w:jc w:val="center"/>
              <w:rPr>
                <w:rFonts w:hint="eastAsia" w:ascii="仿宋_GB2312" w:hAnsi="仿宋_GB2312" w:eastAsia="仿宋_GB2312" w:cs="仿宋_GB2312"/>
                <w:sz w:val="24"/>
                <w:szCs w:val="24"/>
              </w:rPr>
            </w:pPr>
          </w:p>
        </w:tc>
        <w:tc>
          <w:tcPr>
            <w:tcW w:w="1259" w:type="dxa"/>
            <w:vAlign w:val="center"/>
          </w:tcPr>
          <w:p w14:paraId="1DC77E04">
            <w:pPr>
              <w:spacing w:line="390" w:lineRule="exact"/>
              <w:jc w:val="center"/>
              <w:rPr>
                <w:rFonts w:hint="eastAsia" w:ascii="仿宋_GB2312" w:hAnsi="仿宋_GB2312" w:eastAsia="仿宋_GB2312" w:cs="仿宋_GB2312"/>
                <w:sz w:val="24"/>
                <w:szCs w:val="24"/>
              </w:rPr>
            </w:pPr>
          </w:p>
        </w:tc>
        <w:tc>
          <w:tcPr>
            <w:tcW w:w="1333" w:type="dxa"/>
            <w:vAlign w:val="center"/>
          </w:tcPr>
          <w:p w14:paraId="632AD5CB">
            <w:pPr>
              <w:spacing w:line="390" w:lineRule="exact"/>
              <w:jc w:val="center"/>
              <w:rPr>
                <w:rFonts w:hint="eastAsia" w:ascii="仿宋_GB2312" w:hAnsi="仿宋_GB2312" w:eastAsia="仿宋_GB2312" w:cs="仿宋_GB2312"/>
                <w:sz w:val="24"/>
                <w:szCs w:val="24"/>
              </w:rPr>
            </w:pPr>
          </w:p>
        </w:tc>
        <w:tc>
          <w:tcPr>
            <w:tcW w:w="852" w:type="dxa"/>
            <w:vAlign w:val="center"/>
          </w:tcPr>
          <w:p w14:paraId="082B4BA3">
            <w:pPr>
              <w:spacing w:line="390" w:lineRule="exact"/>
              <w:jc w:val="center"/>
              <w:rPr>
                <w:rFonts w:hint="eastAsia" w:ascii="仿宋_GB2312" w:hAnsi="仿宋_GB2312" w:eastAsia="仿宋_GB2312" w:cs="仿宋_GB2312"/>
                <w:sz w:val="24"/>
                <w:szCs w:val="24"/>
              </w:rPr>
            </w:pPr>
          </w:p>
        </w:tc>
      </w:tr>
      <w:tr w14:paraId="7774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1" w:type="dxa"/>
            <w:vAlign w:val="center"/>
          </w:tcPr>
          <w:p w14:paraId="75A29AA7">
            <w:pPr>
              <w:spacing w:line="390" w:lineRule="exact"/>
              <w:jc w:val="center"/>
              <w:rPr>
                <w:rFonts w:hint="eastAsia" w:ascii="仿宋_GB2312" w:hAnsi="仿宋_GB2312" w:eastAsia="仿宋_GB2312" w:cs="仿宋_GB2312"/>
                <w:sz w:val="24"/>
                <w:szCs w:val="24"/>
              </w:rPr>
            </w:pPr>
          </w:p>
        </w:tc>
        <w:tc>
          <w:tcPr>
            <w:tcW w:w="1701" w:type="dxa"/>
            <w:vAlign w:val="center"/>
          </w:tcPr>
          <w:p w14:paraId="5467017E">
            <w:pPr>
              <w:spacing w:line="390" w:lineRule="exact"/>
              <w:jc w:val="center"/>
              <w:rPr>
                <w:rFonts w:hint="eastAsia" w:ascii="仿宋_GB2312" w:hAnsi="仿宋_GB2312" w:eastAsia="仿宋_GB2312" w:cs="仿宋_GB2312"/>
                <w:sz w:val="24"/>
                <w:szCs w:val="24"/>
              </w:rPr>
            </w:pPr>
          </w:p>
        </w:tc>
        <w:tc>
          <w:tcPr>
            <w:tcW w:w="1332" w:type="dxa"/>
            <w:vAlign w:val="center"/>
          </w:tcPr>
          <w:p w14:paraId="17BE314A">
            <w:pPr>
              <w:spacing w:line="390" w:lineRule="exact"/>
              <w:jc w:val="center"/>
              <w:rPr>
                <w:rFonts w:hint="eastAsia" w:ascii="仿宋_GB2312" w:hAnsi="仿宋_GB2312" w:eastAsia="仿宋_GB2312" w:cs="仿宋_GB2312"/>
                <w:sz w:val="24"/>
                <w:szCs w:val="24"/>
              </w:rPr>
            </w:pPr>
          </w:p>
        </w:tc>
        <w:tc>
          <w:tcPr>
            <w:tcW w:w="1102" w:type="dxa"/>
            <w:vAlign w:val="center"/>
          </w:tcPr>
          <w:p w14:paraId="68E1C1B7">
            <w:pPr>
              <w:spacing w:line="390" w:lineRule="exact"/>
              <w:jc w:val="center"/>
              <w:rPr>
                <w:rFonts w:hint="eastAsia" w:ascii="仿宋_GB2312" w:hAnsi="仿宋_GB2312" w:eastAsia="仿宋_GB2312" w:cs="仿宋_GB2312"/>
                <w:sz w:val="24"/>
                <w:szCs w:val="24"/>
              </w:rPr>
            </w:pPr>
          </w:p>
        </w:tc>
        <w:tc>
          <w:tcPr>
            <w:tcW w:w="1110" w:type="dxa"/>
            <w:vAlign w:val="center"/>
          </w:tcPr>
          <w:p w14:paraId="736AB241">
            <w:pPr>
              <w:spacing w:line="390" w:lineRule="exact"/>
              <w:jc w:val="center"/>
              <w:rPr>
                <w:rFonts w:hint="eastAsia" w:ascii="仿宋_GB2312" w:hAnsi="仿宋_GB2312" w:eastAsia="仿宋_GB2312" w:cs="仿宋_GB2312"/>
                <w:sz w:val="24"/>
                <w:szCs w:val="24"/>
              </w:rPr>
            </w:pPr>
          </w:p>
        </w:tc>
        <w:tc>
          <w:tcPr>
            <w:tcW w:w="1259" w:type="dxa"/>
            <w:vAlign w:val="center"/>
          </w:tcPr>
          <w:p w14:paraId="533F5EAB">
            <w:pPr>
              <w:spacing w:line="390" w:lineRule="exact"/>
              <w:jc w:val="center"/>
              <w:rPr>
                <w:rFonts w:hint="eastAsia" w:ascii="仿宋_GB2312" w:hAnsi="仿宋_GB2312" w:eastAsia="仿宋_GB2312" w:cs="仿宋_GB2312"/>
                <w:sz w:val="24"/>
                <w:szCs w:val="24"/>
              </w:rPr>
            </w:pPr>
          </w:p>
        </w:tc>
        <w:tc>
          <w:tcPr>
            <w:tcW w:w="1333" w:type="dxa"/>
            <w:vAlign w:val="center"/>
          </w:tcPr>
          <w:p w14:paraId="5CD4C72F">
            <w:pPr>
              <w:spacing w:line="390" w:lineRule="exact"/>
              <w:jc w:val="center"/>
              <w:rPr>
                <w:rFonts w:hint="eastAsia" w:ascii="仿宋_GB2312" w:hAnsi="仿宋_GB2312" w:eastAsia="仿宋_GB2312" w:cs="仿宋_GB2312"/>
                <w:sz w:val="24"/>
                <w:szCs w:val="24"/>
              </w:rPr>
            </w:pPr>
          </w:p>
        </w:tc>
        <w:tc>
          <w:tcPr>
            <w:tcW w:w="852" w:type="dxa"/>
            <w:vAlign w:val="center"/>
          </w:tcPr>
          <w:p w14:paraId="09A4C488">
            <w:pPr>
              <w:spacing w:line="390" w:lineRule="exact"/>
              <w:jc w:val="center"/>
              <w:rPr>
                <w:rFonts w:hint="eastAsia" w:ascii="仿宋_GB2312" w:hAnsi="仿宋_GB2312" w:eastAsia="仿宋_GB2312" w:cs="仿宋_GB2312"/>
                <w:sz w:val="24"/>
                <w:szCs w:val="24"/>
              </w:rPr>
            </w:pPr>
          </w:p>
        </w:tc>
      </w:tr>
    </w:tbl>
    <w:p w14:paraId="5FF16565">
      <w:pPr>
        <w:spacing w:line="390" w:lineRule="exact"/>
        <w:rPr>
          <w:rFonts w:hint="eastAsia" w:ascii="仿宋_GB2312" w:hAnsi="仿宋_GB2312" w:eastAsia="仿宋_GB2312" w:cs="仿宋_GB2312"/>
          <w:sz w:val="24"/>
          <w:szCs w:val="24"/>
        </w:rPr>
      </w:pPr>
    </w:p>
    <w:p w14:paraId="3F142619">
      <w:pPr>
        <w:spacing w:line="390" w:lineRule="exact"/>
        <w:rPr>
          <w:rFonts w:hint="eastAsia" w:ascii="仿宋_GB2312" w:hAnsi="仿宋_GB2312" w:eastAsia="仿宋_GB2312" w:cs="仿宋_GB2312"/>
          <w:b/>
          <w:sz w:val="24"/>
          <w:szCs w:val="24"/>
        </w:rPr>
      </w:pPr>
    </w:p>
    <w:p w14:paraId="7F65CDED">
      <w:pPr>
        <w:spacing w:line="390" w:lineRule="exact"/>
        <w:rPr>
          <w:rFonts w:hint="eastAsia" w:ascii="仿宋_GB2312" w:hAnsi="仿宋_GB2312" w:eastAsia="仿宋_GB2312" w:cs="仿宋_GB2312"/>
          <w:b/>
          <w:sz w:val="24"/>
          <w:szCs w:val="24"/>
        </w:rPr>
      </w:pPr>
    </w:p>
    <w:p w14:paraId="5FB32F6F">
      <w:pPr>
        <w:spacing w:line="390" w:lineRule="exact"/>
        <w:rPr>
          <w:rFonts w:hint="eastAsia" w:ascii="仿宋_GB2312" w:hAnsi="仿宋_GB2312" w:eastAsia="仿宋_GB2312" w:cs="仿宋_GB2312"/>
          <w:b/>
          <w:sz w:val="24"/>
          <w:szCs w:val="24"/>
        </w:rPr>
      </w:pPr>
    </w:p>
    <w:p w14:paraId="51070D9B">
      <w:pPr>
        <w:spacing w:line="390" w:lineRule="exact"/>
        <w:rPr>
          <w:rFonts w:hint="eastAsia" w:ascii="仿宋_GB2312" w:hAnsi="仿宋_GB2312" w:eastAsia="仿宋_GB2312" w:cs="仿宋_GB2312"/>
          <w:b/>
          <w:sz w:val="24"/>
          <w:szCs w:val="24"/>
        </w:rPr>
      </w:pPr>
    </w:p>
    <w:p w14:paraId="63E6FB74">
      <w:pPr>
        <w:spacing w:line="390" w:lineRule="exact"/>
        <w:rPr>
          <w:rFonts w:hint="eastAsia" w:ascii="仿宋_GB2312" w:hAnsi="仿宋_GB2312" w:eastAsia="仿宋_GB2312" w:cs="仿宋_GB2312"/>
          <w:b/>
          <w:sz w:val="24"/>
          <w:szCs w:val="24"/>
        </w:rPr>
      </w:pPr>
    </w:p>
    <w:p w14:paraId="0D4CF9EB">
      <w:pPr>
        <w:spacing w:line="390" w:lineRule="exact"/>
        <w:rPr>
          <w:rFonts w:hint="eastAsia" w:ascii="仿宋_GB2312" w:hAnsi="仿宋_GB2312" w:eastAsia="仿宋_GB2312" w:cs="仿宋_GB2312"/>
          <w:b/>
          <w:sz w:val="24"/>
          <w:szCs w:val="24"/>
        </w:rPr>
      </w:pPr>
    </w:p>
    <w:p w14:paraId="3207EDFE">
      <w:pPr>
        <w:spacing w:line="390" w:lineRule="exact"/>
        <w:rPr>
          <w:rFonts w:hint="eastAsia" w:ascii="仿宋_GB2312" w:hAnsi="仿宋_GB2312" w:eastAsia="仿宋_GB2312" w:cs="仿宋_GB2312"/>
          <w:b/>
          <w:sz w:val="24"/>
          <w:szCs w:val="24"/>
        </w:rPr>
      </w:pPr>
    </w:p>
    <w:p w14:paraId="0FE78726">
      <w:pPr>
        <w:spacing w:line="390" w:lineRule="exact"/>
        <w:rPr>
          <w:rFonts w:hint="eastAsia" w:ascii="仿宋_GB2312" w:hAnsi="仿宋_GB2312" w:eastAsia="仿宋_GB2312" w:cs="仿宋_GB2312"/>
          <w:b/>
          <w:sz w:val="24"/>
          <w:szCs w:val="24"/>
        </w:rPr>
      </w:pPr>
    </w:p>
    <w:p w14:paraId="3BDB98AB">
      <w:pPr>
        <w:spacing w:line="390" w:lineRule="exact"/>
        <w:rPr>
          <w:rFonts w:hint="eastAsia" w:ascii="仿宋_GB2312" w:hAnsi="仿宋_GB2312" w:eastAsia="仿宋_GB2312" w:cs="仿宋_GB2312"/>
          <w:b/>
          <w:sz w:val="24"/>
          <w:szCs w:val="24"/>
        </w:rPr>
      </w:pPr>
    </w:p>
    <w:p w14:paraId="27E68521">
      <w:pPr>
        <w:spacing w:line="390" w:lineRule="exact"/>
        <w:rPr>
          <w:rFonts w:hint="eastAsia" w:ascii="仿宋_GB2312" w:hAnsi="仿宋_GB2312" w:eastAsia="仿宋_GB2312" w:cs="仿宋_GB2312"/>
          <w:b/>
          <w:sz w:val="24"/>
          <w:szCs w:val="24"/>
        </w:rPr>
      </w:pPr>
    </w:p>
    <w:p w14:paraId="7A0C9F71">
      <w:pPr>
        <w:spacing w:line="390" w:lineRule="exact"/>
        <w:rPr>
          <w:rFonts w:hint="eastAsia" w:ascii="仿宋_GB2312" w:hAnsi="仿宋_GB2312" w:eastAsia="仿宋_GB2312" w:cs="仿宋_GB2312"/>
          <w:b/>
          <w:sz w:val="24"/>
          <w:szCs w:val="24"/>
        </w:rPr>
      </w:pPr>
    </w:p>
    <w:p w14:paraId="439CFE13">
      <w:pPr>
        <w:spacing w:line="390" w:lineRule="exact"/>
        <w:rPr>
          <w:rFonts w:hint="eastAsia" w:ascii="仿宋_GB2312" w:hAnsi="仿宋_GB2312" w:eastAsia="仿宋_GB2312" w:cs="仿宋_GB2312"/>
          <w:b/>
          <w:sz w:val="24"/>
          <w:szCs w:val="24"/>
        </w:rPr>
      </w:pPr>
    </w:p>
    <w:p w14:paraId="3B1BF025">
      <w:pPr>
        <w:spacing w:line="390" w:lineRule="exact"/>
        <w:rPr>
          <w:rFonts w:hint="eastAsia" w:ascii="仿宋_GB2312" w:hAnsi="仿宋_GB2312" w:eastAsia="仿宋_GB2312" w:cs="仿宋_GB2312"/>
          <w:b/>
          <w:sz w:val="24"/>
          <w:szCs w:val="24"/>
        </w:rPr>
      </w:pPr>
    </w:p>
    <w:p w14:paraId="4740F68A">
      <w:pPr>
        <w:spacing w:line="390" w:lineRule="exact"/>
        <w:rPr>
          <w:rFonts w:hint="eastAsia" w:ascii="仿宋_GB2312" w:hAnsi="仿宋_GB2312" w:eastAsia="仿宋_GB2312" w:cs="仿宋_GB2312"/>
          <w:b/>
          <w:sz w:val="24"/>
          <w:szCs w:val="24"/>
        </w:rPr>
      </w:pPr>
    </w:p>
    <w:p w14:paraId="2E2C50AE">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3B758163">
      <w:pPr>
        <w:spacing w:line="39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附件三：</w:t>
      </w:r>
    </w:p>
    <w:p w14:paraId="5E27E9F2">
      <w:pPr>
        <w:spacing w:line="39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乙方投入本合同工程主要人员表</w:t>
      </w:r>
    </w:p>
    <w:p w14:paraId="4585A536">
      <w:pPr>
        <w:spacing w:line="390" w:lineRule="exact"/>
        <w:jc w:val="center"/>
        <w:rPr>
          <w:rFonts w:hint="eastAsia" w:ascii="仿宋_GB2312" w:hAnsi="仿宋_GB2312" w:eastAsia="仿宋_GB2312" w:cs="仿宋_GB2312"/>
          <w:bCs/>
          <w:sz w:val="24"/>
          <w:szCs w:val="24"/>
        </w:rPr>
      </w:pPr>
    </w:p>
    <w:p w14:paraId="596FC3F5">
      <w:pPr>
        <w:spacing w:line="39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工程项目名称：</w:t>
      </w:r>
      <w:r>
        <w:rPr>
          <w:rFonts w:hint="eastAsia" w:ascii="仿宋_GB2312" w:hAnsi="宋体" w:eastAsia="仿宋_GB2312"/>
          <w:sz w:val="28"/>
          <w:szCs w:val="28"/>
        </w:rPr>
        <w:t>盘古路地块场地平整工程</w:t>
      </w:r>
      <w:r>
        <w:rPr>
          <w:rFonts w:hint="eastAsia" w:ascii="仿宋_GB2312" w:hAnsi="宋体" w:eastAsia="仿宋_GB2312"/>
          <w:sz w:val="28"/>
          <w:szCs w:val="28"/>
          <w:lang w:eastAsia="zh-CN"/>
        </w:rPr>
        <w:t>土方车队运输服务</w:t>
      </w:r>
      <w:r>
        <w:rPr>
          <w:rFonts w:hint="eastAsia" w:ascii="仿宋_GB2312" w:hAnsi="仿宋_GB2312" w:eastAsia="仿宋_GB2312" w:cs="仿宋_GB2312"/>
          <w:sz w:val="28"/>
          <w:szCs w:val="28"/>
        </w:rPr>
        <w:t xml:space="preserve">     </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1002"/>
        <w:gridCol w:w="869"/>
        <w:gridCol w:w="2131"/>
        <w:gridCol w:w="852"/>
        <w:gridCol w:w="1991"/>
        <w:gridCol w:w="972"/>
      </w:tblGrid>
      <w:tr w14:paraId="5BE14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6E0F4952">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588" w:type="pct"/>
            <w:vAlign w:val="center"/>
          </w:tcPr>
          <w:p w14:paraId="195F29F3">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510" w:type="pct"/>
            <w:vAlign w:val="center"/>
          </w:tcPr>
          <w:p w14:paraId="589C3677">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年龄</w:t>
            </w:r>
          </w:p>
        </w:tc>
        <w:tc>
          <w:tcPr>
            <w:tcW w:w="1250" w:type="pct"/>
            <w:vAlign w:val="center"/>
          </w:tcPr>
          <w:p w14:paraId="53CB68CA">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身份证号</w:t>
            </w:r>
          </w:p>
        </w:tc>
        <w:tc>
          <w:tcPr>
            <w:tcW w:w="500" w:type="pct"/>
            <w:vAlign w:val="center"/>
          </w:tcPr>
          <w:p w14:paraId="1296D9F6">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工种</w:t>
            </w:r>
          </w:p>
        </w:tc>
        <w:tc>
          <w:tcPr>
            <w:tcW w:w="1168" w:type="pct"/>
            <w:vAlign w:val="center"/>
          </w:tcPr>
          <w:p w14:paraId="3686645A">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特殊工种证件号</w:t>
            </w:r>
          </w:p>
        </w:tc>
        <w:tc>
          <w:tcPr>
            <w:tcW w:w="570" w:type="pct"/>
            <w:vAlign w:val="center"/>
          </w:tcPr>
          <w:p w14:paraId="155555F1">
            <w:pPr>
              <w:spacing w:line="39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备注</w:t>
            </w:r>
          </w:p>
        </w:tc>
      </w:tr>
      <w:tr w14:paraId="69197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440CFCBA">
            <w:pPr>
              <w:widowControl/>
              <w:jc w:val="center"/>
              <w:rPr>
                <w:rFonts w:hint="eastAsia" w:ascii="仿宋_GB2312" w:hAnsi="仿宋_GB2312" w:eastAsia="仿宋_GB2312" w:cs="仿宋_GB2312"/>
                <w:sz w:val="24"/>
                <w:szCs w:val="24"/>
              </w:rPr>
            </w:pPr>
            <w:bookmarkStart w:id="5" w:name="OLE_LINK2" w:colFirst="5" w:colLast="5"/>
            <w:r>
              <w:rPr>
                <w:rFonts w:hint="eastAsia" w:ascii="仿宋_GB2312" w:hAnsi="宋体" w:eastAsia="仿宋_GB2312" w:cs="宋体"/>
                <w:kern w:val="0"/>
                <w:sz w:val="24"/>
              </w:rPr>
              <w:t>1</w:t>
            </w:r>
          </w:p>
        </w:tc>
        <w:tc>
          <w:tcPr>
            <w:tcW w:w="588" w:type="pct"/>
            <w:vAlign w:val="center"/>
          </w:tcPr>
          <w:p w14:paraId="54F2CA49">
            <w:pPr>
              <w:widowControl/>
              <w:jc w:val="center"/>
              <w:rPr>
                <w:rFonts w:hint="eastAsia" w:ascii="仿宋_GB2312" w:hAnsi="仿宋_GB2312" w:eastAsia="仿宋_GB2312" w:cs="仿宋_GB2312"/>
                <w:sz w:val="24"/>
                <w:szCs w:val="24"/>
              </w:rPr>
            </w:pPr>
          </w:p>
        </w:tc>
        <w:tc>
          <w:tcPr>
            <w:tcW w:w="510" w:type="pct"/>
            <w:vAlign w:val="center"/>
          </w:tcPr>
          <w:p w14:paraId="3B1989AD">
            <w:pPr>
              <w:widowControl/>
              <w:jc w:val="center"/>
              <w:rPr>
                <w:rFonts w:hint="eastAsia" w:ascii="仿宋_GB2312" w:hAnsi="仿宋_GB2312" w:eastAsia="仿宋_GB2312" w:cs="仿宋_GB2312"/>
                <w:sz w:val="24"/>
                <w:szCs w:val="24"/>
              </w:rPr>
            </w:pPr>
          </w:p>
        </w:tc>
        <w:tc>
          <w:tcPr>
            <w:tcW w:w="1250" w:type="pct"/>
            <w:vAlign w:val="center"/>
          </w:tcPr>
          <w:p w14:paraId="04818442">
            <w:pPr>
              <w:widowControl/>
              <w:jc w:val="center"/>
              <w:rPr>
                <w:rFonts w:hint="eastAsia" w:ascii="仿宋_GB2312" w:hAnsi="仿宋_GB2312" w:eastAsia="仿宋_GB2312" w:cs="仿宋_GB2312"/>
                <w:sz w:val="24"/>
                <w:szCs w:val="24"/>
              </w:rPr>
            </w:pPr>
          </w:p>
        </w:tc>
        <w:tc>
          <w:tcPr>
            <w:tcW w:w="500" w:type="pct"/>
            <w:vAlign w:val="center"/>
          </w:tcPr>
          <w:p w14:paraId="7F73FFB4">
            <w:pPr>
              <w:widowControl/>
              <w:jc w:val="center"/>
              <w:rPr>
                <w:rFonts w:hint="eastAsia" w:ascii="仿宋_GB2312" w:hAnsi="仿宋_GB2312" w:eastAsia="仿宋_GB2312" w:cs="仿宋_GB2312"/>
                <w:sz w:val="24"/>
                <w:szCs w:val="24"/>
              </w:rPr>
            </w:pPr>
          </w:p>
        </w:tc>
        <w:tc>
          <w:tcPr>
            <w:tcW w:w="1168" w:type="pct"/>
            <w:vAlign w:val="center"/>
          </w:tcPr>
          <w:p w14:paraId="5573982A">
            <w:pPr>
              <w:spacing w:line="390" w:lineRule="exact"/>
              <w:jc w:val="center"/>
              <w:rPr>
                <w:rFonts w:hint="eastAsia" w:ascii="仿宋_GB2312" w:hAnsi="仿宋_GB2312" w:eastAsia="仿宋_GB2312" w:cs="仿宋_GB2312"/>
                <w:sz w:val="24"/>
                <w:szCs w:val="24"/>
              </w:rPr>
            </w:pPr>
          </w:p>
        </w:tc>
        <w:tc>
          <w:tcPr>
            <w:tcW w:w="570" w:type="pct"/>
            <w:vAlign w:val="center"/>
          </w:tcPr>
          <w:p w14:paraId="23F569A0">
            <w:pPr>
              <w:spacing w:line="390" w:lineRule="exact"/>
              <w:jc w:val="center"/>
              <w:rPr>
                <w:rFonts w:hint="eastAsia" w:ascii="仿宋_GB2312" w:hAnsi="仿宋_GB2312" w:eastAsia="仿宋_GB2312" w:cs="仿宋_GB2312"/>
                <w:sz w:val="24"/>
                <w:szCs w:val="24"/>
              </w:rPr>
            </w:pPr>
          </w:p>
        </w:tc>
      </w:tr>
      <w:tr w14:paraId="0A17D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3282E8F5">
            <w:pPr>
              <w:widowControl/>
              <w:jc w:val="center"/>
              <w:rPr>
                <w:rFonts w:hint="eastAsia" w:ascii="仿宋_GB2312" w:hAnsi="仿宋_GB2312" w:eastAsia="仿宋_GB2312" w:cs="仿宋_GB2312"/>
                <w:sz w:val="24"/>
                <w:szCs w:val="24"/>
              </w:rPr>
            </w:pPr>
            <w:r>
              <w:rPr>
                <w:rFonts w:hint="eastAsia" w:ascii="仿宋_GB2312" w:hAnsi="宋体" w:eastAsia="仿宋_GB2312" w:cs="宋体"/>
                <w:kern w:val="0"/>
                <w:sz w:val="24"/>
              </w:rPr>
              <w:t>2</w:t>
            </w:r>
          </w:p>
        </w:tc>
        <w:tc>
          <w:tcPr>
            <w:tcW w:w="588" w:type="pct"/>
            <w:vAlign w:val="center"/>
          </w:tcPr>
          <w:p w14:paraId="06A84980">
            <w:pPr>
              <w:widowControl/>
              <w:jc w:val="center"/>
              <w:rPr>
                <w:rFonts w:hint="eastAsia" w:ascii="仿宋_GB2312" w:hAnsi="仿宋_GB2312" w:eastAsia="仿宋_GB2312" w:cs="仿宋_GB2312"/>
                <w:sz w:val="24"/>
                <w:szCs w:val="24"/>
              </w:rPr>
            </w:pPr>
          </w:p>
        </w:tc>
        <w:tc>
          <w:tcPr>
            <w:tcW w:w="510" w:type="pct"/>
            <w:vAlign w:val="center"/>
          </w:tcPr>
          <w:p w14:paraId="2C2ED5AD">
            <w:pPr>
              <w:widowControl/>
              <w:jc w:val="center"/>
              <w:rPr>
                <w:rFonts w:hint="eastAsia" w:ascii="仿宋_GB2312" w:hAnsi="仿宋_GB2312" w:eastAsia="仿宋_GB2312" w:cs="仿宋_GB2312"/>
                <w:sz w:val="24"/>
                <w:szCs w:val="24"/>
              </w:rPr>
            </w:pPr>
          </w:p>
        </w:tc>
        <w:tc>
          <w:tcPr>
            <w:tcW w:w="1250" w:type="pct"/>
            <w:vAlign w:val="center"/>
          </w:tcPr>
          <w:p w14:paraId="551B5769">
            <w:pPr>
              <w:widowControl/>
              <w:jc w:val="center"/>
              <w:rPr>
                <w:rFonts w:hint="eastAsia" w:ascii="仿宋_GB2312" w:hAnsi="仿宋_GB2312" w:eastAsia="仿宋_GB2312" w:cs="仿宋_GB2312"/>
                <w:sz w:val="24"/>
                <w:szCs w:val="24"/>
              </w:rPr>
            </w:pPr>
          </w:p>
        </w:tc>
        <w:tc>
          <w:tcPr>
            <w:tcW w:w="500" w:type="pct"/>
            <w:vAlign w:val="center"/>
          </w:tcPr>
          <w:p w14:paraId="017B509F">
            <w:pPr>
              <w:widowControl/>
              <w:jc w:val="center"/>
              <w:rPr>
                <w:rFonts w:hint="eastAsia" w:ascii="仿宋_GB2312" w:hAnsi="仿宋_GB2312" w:eastAsia="仿宋_GB2312" w:cs="仿宋_GB2312"/>
                <w:sz w:val="24"/>
                <w:szCs w:val="24"/>
              </w:rPr>
            </w:pPr>
          </w:p>
        </w:tc>
        <w:tc>
          <w:tcPr>
            <w:tcW w:w="1168" w:type="pct"/>
            <w:vAlign w:val="center"/>
          </w:tcPr>
          <w:p w14:paraId="13BA0FBC">
            <w:pPr>
              <w:spacing w:line="390" w:lineRule="exact"/>
              <w:jc w:val="center"/>
              <w:rPr>
                <w:rFonts w:hint="eastAsia" w:ascii="仿宋_GB2312" w:hAnsi="仿宋_GB2312" w:eastAsia="仿宋_GB2312" w:cs="仿宋_GB2312"/>
                <w:sz w:val="24"/>
                <w:szCs w:val="24"/>
              </w:rPr>
            </w:pPr>
          </w:p>
        </w:tc>
        <w:tc>
          <w:tcPr>
            <w:tcW w:w="570" w:type="pct"/>
            <w:vAlign w:val="center"/>
          </w:tcPr>
          <w:p w14:paraId="0A844D9F">
            <w:pPr>
              <w:spacing w:line="390" w:lineRule="exact"/>
              <w:jc w:val="center"/>
              <w:rPr>
                <w:rFonts w:hint="eastAsia" w:ascii="仿宋_GB2312" w:hAnsi="仿宋_GB2312" w:eastAsia="仿宋_GB2312" w:cs="仿宋_GB2312"/>
                <w:sz w:val="24"/>
                <w:szCs w:val="24"/>
              </w:rPr>
            </w:pPr>
          </w:p>
        </w:tc>
      </w:tr>
      <w:tr w14:paraId="38D5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414" w:type="pct"/>
            <w:vAlign w:val="center"/>
          </w:tcPr>
          <w:p w14:paraId="0002627E">
            <w:pPr>
              <w:widowControl/>
              <w:jc w:val="center"/>
              <w:rPr>
                <w:rFonts w:hint="eastAsia" w:ascii="仿宋_GB2312" w:hAnsi="仿宋_GB2312" w:eastAsia="仿宋_GB2312" w:cs="仿宋_GB2312"/>
                <w:sz w:val="24"/>
                <w:szCs w:val="24"/>
              </w:rPr>
            </w:pPr>
          </w:p>
        </w:tc>
        <w:tc>
          <w:tcPr>
            <w:tcW w:w="588" w:type="pct"/>
            <w:vAlign w:val="center"/>
          </w:tcPr>
          <w:p w14:paraId="6520EDB7">
            <w:pPr>
              <w:widowControl/>
              <w:jc w:val="center"/>
              <w:rPr>
                <w:rFonts w:hint="eastAsia" w:ascii="仿宋_GB2312" w:hAnsi="仿宋_GB2312" w:eastAsia="仿宋_GB2312" w:cs="仿宋_GB2312"/>
                <w:sz w:val="24"/>
                <w:szCs w:val="24"/>
              </w:rPr>
            </w:pPr>
          </w:p>
        </w:tc>
        <w:tc>
          <w:tcPr>
            <w:tcW w:w="510" w:type="pct"/>
            <w:vAlign w:val="center"/>
          </w:tcPr>
          <w:p w14:paraId="2D425677">
            <w:pPr>
              <w:widowControl/>
              <w:jc w:val="center"/>
              <w:rPr>
                <w:rFonts w:hint="eastAsia" w:ascii="仿宋_GB2312" w:hAnsi="仿宋_GB2312" w:eastAsia="仿宋_GB2312" w:cs="仿宋_GB2312"/>
                <w:sz w:val="24"/>
                <w:szCs w:val="24"/>
              </w:rPr>
            </w:pPr>
          </w:p>
        </w:tc>
        <w:tc>
          <w:tcPr>
            <w:tcW w:w="1250" w:type="pct"/>
            <w:vAlign w:val="center"/>
          </w:tcPr>
          <w:p w14:paraId="59F9C666">
            <w:pPr>
              <w:widowControl/>
              <w:jc w:val="center"/>
              <w:rPr>
                <w:rFonts w:hint="eastAsia" w:ascii="仿宋_GB2312" w:hAnsi="仿宋_GB2312" w:eastAsia="仿宋_GB2312" w:cs="仿宋_GB2312"/>
                <w:sz w:val="24"/>
                <w:szCs w:val="24"/>
              </w:rPr>
            </w:pPr>
          </w:p>
        </w:tc>
        <w:tc>
          <w:tcPr>
            <w:tcW w:w="500" w:type="pct"/>
            <w:vAlign w:val="center"/>
          </w:tcPr>
          <w:p w14:paraId="7B4053AA">
            <w:pPr>
              <w:widowControl/>
              <w:jc w:val="center"/>
              <w:rPr>
                <w:rFonts w:hint="eastAsia" w:ascii="仿宋_GB2312" w:hAnsi="仿宋_GB2312" w:eastAsia="仿宋_GB2312" w:cs="仿宋_GB2312"/>
                <w:sz w:val="24"/>
                <w:szCs w:val="24"/>
              </w:rPr>
            </w:pPr>
          </w:p>
        </w:tc>
        <w:tc>
          <w:tcPr>
            <w:tcW w:w="1168" w:type="pct"/>
            <w:vAlign w:val="center"/>
          </w:tcPr>
          <w:p w14:paraId="67A1A33B">
            <w:pPr>
              <w:spacing w:line="390" w:lineRule="exact"/>
              <w:jc w:val="center"/>
              <w:rPr>
                <w:rFonts w:hint="eastAsia" w:ascii="仿宋_GB2312" w:hAnsi="仿宋_GB2312" w:eastAsia="仿宋_GB2312" w:cs="仿宋_GB2312"/>
                <w:sz w:val="24"/>
                <w:szCs w:val="24"/>
              </w:rPr>
            </w:pPr>
          </w:p>
        </w:tc>
        <w:tc>
          <w:tcPr>
            <w:tcW w:w="570" w:type="pct"/>
            <w:vAlign w:val="center"/>
          </w:tcPr>
          <w:p w14:paraId="69BA27B7">
            <w:pPr>
              <w:spacing w:line="390" w:lineRule="exact"/>
              <w:jc w:val="center"/>
              <w:rPr>
                <w:rFonts w:hint="eastAsia" w:ascii="仿宋_GB2312" w:hAnsi="仿宋_GB2312" w:eastAsia="仿宋_GB2312" w:cs="仿宋_GB2312"/>
                <w:sz w:val="24"/>
                <w:szCs w:val="24"/>
              </w:rPr>
            </w:pPr>
          </w:p>
        </w:tc>
      </w:tr>
      <w:tr w14:paraId="10BB6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7563C1B2">
            <w:pPr>
              <w:widowControl/>
              <w:jc w:val="center"/>
              <w:rPr>
                <w:rFonts w:hint="eastAsia" w:ascii="仿宋_GB2312" w:hAnsi="仿宋_GB2312" w:eastAsia="仿宋_GB2312" w:cs="仿宋_GB2312"/>
                <w:sz w:val="24"/>
                <w:szCs w:val="24"/>
              </w:rPr>
            </w:pPr>
          </w:p>
        </w:tc>
        <w:tc>
          <w:tcPr>
            <w:tcW w:w="588" w:type="pct"/>
            <w:vAlign w:val="center"/>
          </w:tcPr>
          <w:p w14:paraId="0A544838">
            <w:pPr>
              <w:widowControl/>
              <w:jc w:val="center"/>
              <w:rPr>
                <w:rFonts w:hint="eastAsia" w:ascii="仿宋_GB2312" w:hAnsi="仿宋_GB2312" w:eastAsia="仿宋_GB2312" w:cs="仿宋_GB2312"/>
                <w:sz w:val="24"/>
                <w:szCs w:val="24"/>
              </w:rPr>
            </w:pPr>
          </w:p>
        </w:tc>
        <w:tc>
          <w:tcPr>
            <w:tcW w:w="510" w:type="pct"/>
            <w:vAlign w:val="center"/>
          </w:tcPr>
          <w:p w14:paraId="3D75AF89">
            <w:pPr>
              <w:widowControl/>
              <w:jc w:val="center"/>
              <w:rPr>
                <w:rFonts w:hint="eastAsia" w:ascii="仿宋_GB2312" w:hAnsi="仿宋_GB2312" w:eastAsia="仿宋_GB2312" w:cs="仿宋_GB2312"/>
                <w:sz w:val="24"/>
                <w:szCs w:val="24"/>
              </w:rPr>
            </w:pPr>
          </w:p>
        </w:tc>
        <w:tc>
          <w:tcPr>
            <w:tcW w:w="1250" w:type="pct"/>
            <w:vAlign w:val="center"/>
          </w:tcPr>
          <w:p w14:paraId="59F7A9D5">
            <w:pPr>
              <w:widowControl/>
              <w:jc w:val="center"/>
              <w:rPr>
                <w:rFonts w:hint="eastAsia" w:ascii="仿宋_GB2312" w:hAnsi="仿宋_GB2312" w:eastAsia="仿宋_GB2312" w:cs="仿宋_GB2312"/>
                <w:sz w:val="24"/>
                <w:szCs w:val="24"/>
              </w:rPr>
            </w:pPr>
          </w:p>
        </w:tc>
        <w:tc>
          <w:tcPr>
            <w:tcW w:w="500" w:type="pct"/>
            <w:vAlign w:val="center"/>
          </w:tcPr>
          <w:p w14:paraId="47D2E132">
            <w:pPr>
              <w:widowControl/>
              <w:jc w:val="center"/>
              <w:rPr>
                <w:rFonts w:hint="eastAsia" w:ascii="仿宋_GB2312" w:hAnsi="仿宋_GB2312" w:eastAsia="仿宋_GB2312" w:cs="仿宋_GB2312"/>
                <w:sz w:val="24"/>
                <w:szCs w:val="24"/>
              </w:rPr>
            </w:pPr>
          </w:p>
        </w:tc>
        <w:tc>
          <w:tcPr>
            <w:tcW w:w="1168" w:type="pct"/>
            <w:vAlign w:val="center"/>
          </w:tcPr>
          <w:p w14:paraId="73F568D6">
            <w:pPr>
              <w:spacing w:line="390" w:lineRule="exact"/>
              <w:jc w:val="center"/>
              <w:rPr>
                <w:rFonts w:hint="eastAsia" w:ascii="仿宋_GB2312" w:hAnsi="仿宋_GB2312" w:eastAsia="仿宋_GB2312" w:cs="仿宋_GB2312"/>
                <w:sz w:val="24"/>
                <w:szCs w:val="24"/>
              </w:rPr>
            </w:pPr>
          </w:p>
        </w:tc>
        <w:tc>
          <w:tcPr>
            <w:tcW w:w="570" w:type="pct"/>
            <w:vAlign w:val="center"/>
          </w:tcPr>
          <w:p w14:paraId="1A13964C">
            <w:pPr>
              <w:spacing w:line="390" w:lineRule="exact"/>
              <w:jc w:val="center"/>
              <w:rPr>
                <w:rFonts w:hint="eastAsia" w:ascii="仿宋_GB2312" w:hAnsi="仿宋_GB2312" w:eastAsia="仿宋_GB2312" w:cs="仿宋_GB2312"/>
                <w:sz w:val="24"/>
                <w:szCs w:val="24"/>
              </w:rPr>
            </w:pPr>
          </w:p>
        </w:tc>
      </w:tr>
      <w:tr w14:paraId="2E04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1EAB9DB4">
            <w:pPr>
              <w:widowControl/>
              <w:jc w:val="center"/>
              <w:rPr>
                <w:rFonts w:hint="eastAsia" w:ascii="仿宋_GB2312" w:hAnsi="仿宋_GB2312" w:eastAsia="仿宋_GB2312" w:cs="仿宋_GB2312"/>
                <w:sz w:val="24"/>
                <w:szCs w:val="24"/>
              </w:rPr>
            </w:pPr>
          </w:p>
        </w:tc>
        <w:tc>
          <w:tcPr>
            <w:tcW w:w="588" w:type="pct"/>
            <w:vAlign w:val="center"/>
          </w:tcPr>
          <w:p w14:paraId="7618A2A6">
            <w:pPr>
              <w:widowControl/>
              <w:jc w:val="center"/>
              <w:rPr>
                <w:rFonts w:hint="eastAsia" w:ascii="仿宋_GB2312" w:hAnsi="仿宋_GB2312" w:eastAsia="仿宋_GB2312" w:cs="仿宋_GB2312"/>
                <w:sz w:val="24"/>
                <w:szCs w:val="24"/>
              </w:rPr>
            </w:pPr>
          </w:p>
        </w:tc>
        <w:tc>
          <w:tcPr>
            <w:tcW w:w="510" w:type="pct"/>
            <w:vAlign w:val="center"/>
          </w:tcPr>
          <w:p w14:paraId="6E4A547B">
            <w:pPr>
              <w:widowControl/>
              <w:jc w:val="center"/>
              <w:rPr>
                <w:rFonts w:hint="eastAsia" w:ascii="仿宋_GB2312" w:hAnsi="仿宋_GB2312" w:eastAsia="仿宋_GB2312" w:cs="仿宋_GB2312"/>
                <w:sz w:val="24"/>
                <w:szCs w:val="24"/>
              </w:rPr>
            </w:pPr>
          </w:p>
        </w:tc>
        <w:tc>
          <w:tcPr>
            <w:tcW w:w="1250" w:type="pct"/>
            <w:vAlign w:val="center"/>
          </w:tcPr>
          <w:p w14:paraId="35EEB534">
            <w:pPr>
              <w:widowControl/>
              <w:jc w:val="center"/>
              <w:rPr>
                <w:rFonts w:hint="eastAsia" w:ascii="仿宋_GB2312" w:hAnsi="仿宋_GB2312" w:eastAsia="仿宋_GB2312" w:cs="仿宋_GB2312"/>
                <w:sz w:val="24"/>
                <w:szCs w:val="24"/>
              </w:rPr>
            </w:pPr>
          </w:p>
        </w:tc>
        <w:tc>
          <w:tcPr>
            <w:tcW w:w="500" w:type="pct"/>
            <w:vAlign w:val="center"/>
          </w:tcPr>
          <w:p w14:paraId="0E96A06F">
            <w:pPr>
              <w:widowControl/>
              <w:jc w:val="center"/>
              <w:rPr>
                <w:rFonts w:hint="eastAsia" w:ascii="仿宋_GB2312" w:hAnsi="仿宋_GB2312" w:eastAsia="仿宋_GB2312" w:cs="仿宋_GB2312"/>
                <w:sz w:val="24"/>
                <w:szCs w:val="24"/>
              </w:rPr>
            </w:pPr>
          </w:p>
        </w:tc>
        <w:tc>
          <w:tcPr>
            <w:tcW w:w="1168" w:type="pct"/>
            <w:vAlign w:val="center"/>
          </w:tcPr>
          <w:p w14:paraId="0B09A51E">
            <w:pPr>
              <w:spacing w:line="390" w:lineRule="exact"/>
              <w:jc w:val="center"/>
              <w:rPr>
                <w:rFonts w:hint="eastAsia" w:ascii="仿宋_GB2312" w:hAnsi="仿宋_GB2312" w:eastAsia="仿宋_GB2312" w:cs="仿宋_GB2312"/>
                <w:sz w:val="24"/>
                <w:szCs w:val="24"/>
              </w:rPr>
            </w:pPr>
          </w:p>
        </w:tc>
        <w:tc>
          <w:tcPr>
            <w:tcW w:w="570" w:type="pct"/>
            <w:vAlign w:val="center"/>
          </w:tcPr>
          <w:p w14:paraId="079AF705">
            <w:pPr>
              <w:spacing w:line="390" w:lineRule="exact"/>
              <w:jc w:val="center"/>
              <w:rPr>
                <w:rFonts w:hint="eastAsia" w:ascii="仿宋_GB2312" w:hAnsi="仿宋_GB2312" w:eastAsia="仿宋_GB2312" w:cs="仿宋_GB2312"/>
                <w:sz w:val="24"/>
                <w:szCs w:val="24"/>
              </w:rPr>
            </w:pPr>
          </w:p>
        </w:tc>
      </w:tr>
      <w:tr w14:paraId="228D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7E677168">
            <w:pPr>
              <w:widowControl/>
              <w:jc w:val="center"/>
              <w:rPr>
                <w:rFonts w:hint="eastAsia" w:ascii="仿宋_GB2312" w:hAnsi="仿宋_GB2312" w:eastAsia="仿宋_GB2312" w:cs="仿宋_GB2312"/>
                <w:sz w:val="24"/>
                <w:szCs w:val="24"/>
              </w:rPr>
            </w:pPr>
          </w:p>
        </w:tc>
        <w:tc>
          <w:tcPr>
            <w:tcW w:w="588" w:type="pct"/>
            <w:vAlign w:val="center"/>
          </w:tcPr>
          <w:p w14:paraId="29E6B3E1">
            <w:pPr>
              <w:widowControl/>
              <w:jc w:val="center"/>
              <w:rPr>
                <w:rFonts w:hint="eastAsia" w:ascii="仿宋_GB2312" w:hAnsi="仿宋_GB2312" w:eastAsia="仿宋_GB2312" w:cs="仿宋_GB2312"/>
                <w:sz w:val="24"/>
                <w:szCs w:val="24"/>
              </w:rPr>
            </w:pPr>
          </w:p>
        </w:tc>
        <w:tc>
          <w:tcPr>
            <w:tcW w:w="510" w:type="pct"/>
            <w:vAlign w:val="center"/>
          </w:tcPr>
          <w:p w14:paraId="4C022164">
            <w:pPr>
              <w:widowControl/>
              <w:jc w:val="center"/>
              <w:rPr>
                <w:rFonts w:hint="eastAsia" w:ascii="仿宋_GB2312" w:hAnsi="仿宋_GB2312" w:eastAsia="仿宋_GB2312" w:cs="仿宋_GB2312"/>
                <w:sz w:val="24"/>
                <w:szCs w:val="24"/>
              </w:rPr>
            </w:pPr>
          </w:p>
        </w:tc>
        <w:tc>
          <w:tcPr>
            <w:tcW w:w="1250" w:type="pct"/>
            <w:vAlign w:val="center"/>
          </w:tcPr>
          <w:p w14:paraId="78703599">
            <w:pPr>
              <w:widowControl/>
              <w:jc w:val="center"/>
              <w:rPr>
                <w:rFonts w:hint="eastAsia" w:ascii="仿宋_GB2312" w:hAnsi="仿宋_GB2312" w:eastAsia="仿宋_GB2312" w:cs="仿宋_GB2312"/>
                <w:sz w:val="24"/>
                <w:szCs w:val="24"/>
              </w:rPr>
            </w:pPr>
          </w:p>
        </w:tc>
        <w:tc>
          <w:tcPr>
            <w:tcW w:w="500" w:type="pct"/>
            <w:vAlign w:val="center"/>
          </w:tcPr>
          <w:p w14:paraId="4FE35A5E">
            <w:pPr>
              <w:widowControl/>
              <w:jc w:val="center"/>
              <w:rPr>
                <w:rFonts w:hint="eastAsia" w:ascii="仿宋_GB2312" w:hAnsi="仿宋_GB2312" w:eastAsia="仿宋_GB2312" w:cs="仿宋_GB2312"/>
                <w:sz w:val="24"/>
                <w:szCs w:val="24"/>
              </w:rPr>
            </w:pPr>
          </w:p>
        </w:tc>
        <w:tc>
          <w:tcPr>
            <w:tcW w:w="1168" w:type="pct"/>
            <w:vAlign w:val="center"/>
          </w:tcPr>
          <w:p w14:paraId="1F9361E1">
            <w:pPr>
              <w:spacing w:line="390" w:lineRule="exact"/>
              <w:jc w:val="center"/>
              <w:rPr>
                <w:rFonts w:hint="eastAsia" w:ascii="仿宋_GB2312" w:hAnsi="仿宋_GB2312" w:eastAsia="仿宋_GB2312" w:cs="仿宋_GB2312"/>
                <w:sz w:val="24"/>
                <w:szCs w:val="24"/>
              </w:rPr>
            </w:pPr>
          </w:p>
        </w:tc>
        <w:tc>
          <w:tcPr>
            <w:tcW w:w="570" w:type="pct"/>
            <w:vAlign w:val="center"/>
          </w:tcPr>
          <w:p w14:paraId="167047E5">
            <w:pPr>
              <w:spacing w:line="390" w:lineRule="exact"/>
              <w:jc w:val="center"/>
              <w:rPr>
                <w:rFonts w:hint="eastAsia" w:ascii="仿宋_GB2312" w:hAnsi="仿宋_GB2312" w:eastAsia="仿宋_GB2312" w:cs="仿宋_GB2312"/>
                <w:sz w:val="24"/>
                <w:szCs w:val="24"/>
              </w:rPr>
            </w:pPr>
          </w:p>
        </w:tc>
      </w:tr>
      <w:bookmarkEnd w:id="5"/>
      <w:tr w14:paraId="4E6F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664D624B">
            <w:pPr>
              <w:widowControl/>
              <w:jc w:val="center"/>
              <w:rPr>
                <w:rFonts w:hint="eastAsia" w:ascii="仿宋_GB2312" w:hAnsi="仿宋_GB2312" w:eastAsia="仿宋_GB2312" w:cs="仿宋_GB2312"/>
                <w:sz w:val="24"/>
                <w:szCs w:val="24"/>
              </w:rPr>
            </w:pPr>
          </w:p>
        </w:tc>
        <w:tc>
          <w:tcPr>
            <w:tcW w:w="588" w:type="pct"/>
            <w:vAlign w:val="center"/>
          </w:tcPr>
          <w:p w14:paraId="2556650E">
            <w:pPr>
              <w:widowControl/>
              <w:jc w:val="center"/>
              <w:rPr>
                <w:rFonts w:hint="eastAsia" w:ascii="仿宋_GB2312" w:hAnsi="仿宋_GB2312" w:eastAsia="仿宋_GB2312" w:cs="仿宋_GB2312"/>
                <w:sz w:val="24"/>
                <w:szCs w:val="24"/>
              </w:rPr>
            </w:pPr>
          </w:p>
        </w:tc>
        <w:tc>
          <w:tcPr>
            <w:tcW w:w="510" w:type="pct"/>
            <w:vAlign w:val="center"/>
          </w:tcPr>
          <w:p w14:paraId="42AEBEFC">
            <w:pPr>
              <w:widowControl/>
              <w:jc w:val="center"/>
              <w:rPr>
                <w:rFonts w:hint="eastAsia" w:ascii="仿宋_GB2312" w:hAnsi="仿宋_GB2312" w:eastAsia="仿宋_GB2312" w:cs="仿宋_GB2312"/>
                <w:sz w:val="24"/>
                <w:szCs w:val="24"/>
              </w:rPr>
            </w:pPr>
          </w:p>
        </w:tc>
        <w:tc>
          <w:tcPr>
            <w:tcW w:w="1250" w:type="pct"/>
            <w:vAlign w:val="center"/>
          </w:tcPr>
          <w:p w14:paraId="34465D3E">
            <w:pPr>
              <w:widowControl/>
              <w:jc w:val="center"/>
              <w:rPr>
                <w:rFonts w:hint="eastAsia" w:ascii="仿宋_GB2312" w:hAnsi="仿宋_GB2312" w:eastAsia="仿宋_GB2312" w:cs="仿宋_GB2312"/>
                <w:sz w:val="24"/>
                <w:szCs w:val="24"/>
              </w:rPr>
            </w:pPr>
          </w:p>
        </w:tc>
        <w:tc>
          <w:tcPr>
            <w:tcW w:w="500" w:type="pct"/>
            <w:vAlign w:val="center"/>
          </w:tcPr>
          <w:p w14:paraId="67FC63DD">
            <w:pPr>
              <w:widowControl/>
              <w:jc w:val="center"/>
              <w:rPr>
                <w:rFonts w:hint="eastAsia" w:ascii="仿宋_GB2312" w:hAnsi="仿宋_GB2312" w:eastAsia="仿宋_GB2312" w:cs="仿宋_GB2312"/>
                <w:sz w:val="24"/>
                <w:szCs w:val="24"/>
              </w:rPr>
            </w:pPr>
          </w:p>
        </w:tc>
        <w:tc>
          <w:tcPr>
            <w:tcW w:w="1168" w:type="pct"/>
            <w:vAlign w:val="center"/>
          </w:tcPr>
          <w:p w14:paraId="7F18EEEC">
            <w:pPr>
              <w:spacing w:line="390" w:lineRule="exact"/>
              <w:jc w:val="center"/>
              <w:rPr>
                <w:rFonts w:hint="eastAsia" w:ascii="仿宋_GB2312" w:hAnsi="仿宋_GB2312" w:eastAsia="仿宋_GB2312" w:cs="仿宋_GB2312"/>
                <w:sz w:val="24"/>
                <w:szCs w:val="24"/>
              </w:rPr>
            </w:pPr>
          </w:p>
        </w:tc>
        <w:tc>
          <w:tcPr>
            <w:tcW w:w="570" w:type="pct"/>
            <w:vAlign w:val="center"/>
          </w:tcPr>
          <w:p w14:paraId="44DA2748">
            <w:pPr>
              <w:spacing w:line="390" w:lineRule="exact"/>
              <w:jc w:val="center"/>
              <w:rPr>
                <w:rFonts w:hint="eastAsia" w:ascii="仿宋_GB2312" w:hAnsi="仿宋_GB2312" w:eastAsia="仿宋_GB2312" w:cs="仿宋_GB2312"/>
                <w:sz w:val="24"/>
                <w:szCs w:val="24"/>
              </w:rPr>
            </w:pPr>
          </w:p>
        </w:tc>
      </w:tr>
      <w:tr w14:paraId="6577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 w:type="pct"/>
            <w:vAlign w:val="center"/>
          </w:tcPr>
          <w:p w14:paraId="16107A4E">
            <w:pPr>
              <w:widowControl/>
              <w:jc w:val="center"/>
              <w:rPr>
                <w:rFonts w:hint="eastAsia" w:ascii="仿宋_GB2312" w:hAnsi="仿宋_GB2312" w:eastAsia="仿宋_GB2312" w:cs="仿宋_GB2312"/>
                <w:sz w:val="24"/>
                <w:szCs w:val="24"/>
              </w:rPr>
            </w:pPr>
          </w:p>
        </w:tc>
        <w:tc>
          <w:tcPr>
            <w:tcW w:w="588" w:type="pct"/>
            <w:vAlign w:val="center"/>
          </w:tcPr>
          <w:p w14:paraId="73202D59">
            <w:pPr>
              <w:widowControl/>
              <w:jc w:val="center"/>
              <w:rPr>
                <w:rFonts w:hint="eastAsia" w:ascii="仿宋_GB2312" w:hAnsi="仿宋_GB2312" w:eastAsia="仿宋_GB2312" w:cs="仿宋_GB2312"/>
                <w:sz w:val="24"/>
                <w:szCs w:val="24"/>
              </w:rPr>
            </w:pPr>
          </w:p>
        </w:tc>
        <w:tc>
          <w:tcPr>
            <w:tcW w:w="510" w:type="pct"/>
            <w:vAlign w:val="center"/>
          </w:tcPr>
          <w:p w14:paraId="1FC4DE70">
            <w:pPr>
              <w:widowControl/>
              <w:jc w:val="center"/>
              <w:rPr>
                <w:rFonts w:hint="eastAsia" w:ascii="仿宋_GB2312" w:hAnsi="仿宋_GB2312" w:eastAsia="仿宋_GB2312" w:cs="仿宋_GB2312"/>
                <w:sz w:val="24"/>
                <w:szCs w:val="24"/>
              </w:rPr>
            </w:pPr>
          </w:p>
        </w:tc>
        <w:tc>
          <w:tcPr>
            <w:tcW w:w="1250" w:type="pct"/>
            <w:vAlign w:val="center"/>
          </w:tcPr>
          <w:p w14:paraId="08C2292F">
            <w:pPr>
              <w:widowControl/>
              <w:jc w:val="center"/>
              <w:rPr>
                <w:rFonts w:hint="eastAsia" w:ascii="仿宋_GB2312" w:hAnsi="仿宋_GB2312" w:eastAsia="仿宋_GB2312" w:cs="仿宋_GB2312"/>
                <w:sz w:val="24"/>
                <w:szCs w:val="24"/>
              </w:rPr>
            </w:pPr>
          </w:p>
        </w:tc>
        <w:tc>
          <w:tcPr>
            <w:tcW w:w="500" w:type="pct"/>
            <w:vAlign w:val="center"/>
          </w:tcPr>
          <w:p w14:paraId="57FC7646">
            <w:pPr>
              <w:widowControl/>
              <w:jc w:val="center"/>
              <w:rPr>
                <w:rFonts w:hint="eastAsia" w:ascii="仿宋_GB2312" w:hAnsi="仿宋_GB2312" w:eastAsia="仿宋_GB2312" w:cs="仿宋_GB2312"/>
                <w:sz w:val="24"/>
                <w:szCs w:val="24"/>
              </w:rPr>
            </w:pPr>
          </w:p>
        </w:tc>
        <w:tc>
          <w:tcPr>
            <w:tcW w:w="1168" w:type="pct"/>
            <w:vAlign w:val="center"/>
          </w:tcPr>
          <w:p w14:paraId="312EE0ED">
            <w:pPr>
              <w:spacing w:line="390" w:lineRule="exact"/>
              <w:jc w:val="center"/>
              <w:rPr>
                <w:rFonts w:hint="eastAsia" w:ascii="仿宋_GB2312" w:hAnsi="仿宋_GB2312" w:eastAsia="仿宋_GB2312" w:cs="仿宋_GB2312"/>
                <w:sz w:val="24"/>
                <w:szCs w:val="24"/>
              </w:rPr>
            </w:pPr>
          </w:p>
        </w:tc>
        <w:tc>
          <w:tcPr>
            <w:tcW w:w="570" w:type="pct"/>
            <w:vAlign w:val="center"/>
          </w:tcPr>
          <w:p w14:paraId="68DAA8DF">
            <w:pPr>
              <w:spacing w:line="390" w:lineRule="exact"/>
              <w:jc w:val="center"/>
              <w:rPr>
                <w:rFonts w:hint="eastAsia" w:ascii="仿宋_GB2312" w:hAnsi="仿宋_GB2312" w:eastAsia="仿宋_GB2312" w:cs="仿宋_GB2312"/>
                <w:sz w:val="24"/>
                <w:szCs w:val="24"/>
              </w:rPr>
            </w:pPr>
          </w:p>
        </w:tc>
      </w:tr>
    </w:tbl>
    <w:p w14:paraId="1101A490">
      <w:pPr>
        <w:spacing w:line="390" w:lineRule="exact"/>
        <w:rPr>
          <w:rFonts w:hint="eastAsia" w:ascii="仿宋_GB2312" w:hAnsi="仿宋_GB2312" w:eastAsia="仿宋_GB2312" w:cs="仿宋_GB2312"/>
          <w:sz w:val="24"/>
          <w:szCs w:val="24"/>
        </w:rPr>
      </w:pPr>
    </w:p>
    <w:p w14:paraId="3B3B732C">
      <w:pPr>
        <w:spacing w:line="390" w:lineRule="exact"/>
        <w:rPr>
          <w:rFonts w:hint="eastAsia" w:ascii="仿宋_GB2312" w:hAnsi="仿宋_GB2312" w:eastAsia="仿宋_GB2312" w:cs="仿宋_GB2312"/>
          <w:b/>
          <w:sz w:val="24"/>
          <w:szCs w:val="24"/>
        </w:rPr>
      </w:pPr>
    </w:p>
    <w:p w14:paraId="234A0A16">
      <w:pPr>
        <w:spacing w:line="390" w:lineRule="exact"/>
        <w:rPr>
          <w:rFonts w:hint="eastAsia" w:ascii="仿宋_GB2312" w:hAnsi="仿宋_GB2312" w:eastAsia="仿宋_GB2312" w:cs="仿宋_GB2312"/>
          <w:b/>
          <w:sz w:val="24"/>
          <w:szCs w:val="24"/>
        </w:rPr>
      </w:pPr>
    </w:p>
    <w:p w14:paraId="3069628D">
      <w:pPr>
        <w:spacing w:line="390" w:lineRule="exact"/>
        <w:rPr>
          <w:rFonts w:hint="eastAsia" w:ascii="仿宋_GB2312" w:hAnsi="仿宋_GB2312" w:eastAsia="仿宋_GB2312" w:cs="仿宋_GB2312"/>
          <w:b/>
          <w:sz w:val="24"/>
          <w:szCs w:val="24"/>
        </w:rPr>
      </w:pPr>
    </w:p>
    <w:p w14:paraId="02BE2585">
      <w:pPr>
        <w:spacing w:line="390" w:lineRule="exact"/>
        <w:rPr>
          <w:rFonts w:hint="eastAsia" w:ascii="仿宋_GB2312" w:hAnsi="仿宋_GB2312" w:eastAsia="仿宋_GB2312" w:cs="仿宋_GB2312"/>
          <w:b/>
          <w:sz w:val="24"/>
          <w:szCs w:val="24"/>
        </w:rPr>
      </w:pPr>
    </w:p>
    <w:p w14:paraId="39FBAA0E">
      <w:pPr>
        <w:spacing w:line="390" w:lineRule="exact"/>
        <w:rPr>
          <w:rFonts w:hint="eastAsia" w:ascii="仿宋_GB2312" w:hAnsi="仿宋_GB2312" w:eastAsia="仿宋_GB2312" w:cs="仿宋_GB2312"/>
          <w:b/>
          <w:sz w:val="24"/>
          <w:szCs w:val="24"/>
        </w:rPr>
      </w:pPr>
    </w:p>
    <w:p w14:paraId="1536BDBF">
      <w:pPr>
        <w:spacing w:line="390" w:lineRule="exact"/>
        <w:rPr>
          <w:rFonts w:hint="eastAsia" w:ascii="仿宋_GB2312" w:hAnsi="仿宋_GB2312" w:eastAsia="仿宋_GB2312" w:cs="仿宋_GB2312"/>
          <w:b/>
          <w:sz w:val="24"/>
          <w:szCs w:val="24"/>
        </w:rPr>
      </w:pPr>
    </w:p>
    <w:p w14:paraId="55BD6056">
      <w:pPr>
        <w:spacing w:line="390" w:lineRule="exact"/>
        <w:rPr>
          <w:rFonts w:hint="eastAsia" w:ascii="仿宋_GB2312" w:hAnsi="仿宋_GB2312" w:eastAsia="仿宋_GB2312" w:cs="仿宋_GB2312"/>
          <w:b/>
          <w:sz w:val="24"/>
          <w:szCs w:val="24"/>
        </w:rPr>
      </w:pPr>
    </w:p>
    <w:p w14:paraId="0A7EB3AC">
      <w:pPr>
        <w:spacing w:line="390" w:lineRule="exact"/>
        <w:rPr>
          <w:rFonts w:hint="eastAsia" w:ascii="仿宋_GB2312" w:hAnsi="仿宋_GB2312" w:eastAsia="仿宋_GB2312" w:cs="仿宋_GB2312"/>
          <w:b/>
          <w:sz w:val="24"/>
          <w:szCs w:val="24"/>
        </w:rPr>
      </w:pPr>
    </w:p>
    <w:p w14:paraId="361F95F3">
      <w:pPr>
        <w:spacing w:line="390" w:lineRule="exact"/>
        <w:rPr>
          <w:rFonts w:hint="eastAsia" w:ascii="仿宋_GB2312" w:hAnsi="仿宋_GB2312" w:eastAsia="仿宋_GB2312" w:cs="仿宋_GB2312"/>
          <w:b/>
          <w:sz w:val="24"/>
          <w:szCs w:val="24"/>
        </w:rPr>
      </w:pPr>
    </w:p>
    <w:p w14:paraId="3003903E">
      <w:pPr>
        <w:spacing w:line="390" w:lineRule="exact"/>
        <w:rPr>
          <w:rFonts w:hint="eastAsia" w:ascii="仿宋_GB2312" w:hAnsi="仿宋_GB2312" w:eastAsia="仿宋_GB2312" w:cs="仿宋_GB2312"/>
          <w:b/>
          <w:sz w:val="24"/>
          <w:szCs w:val="24"/>
        </w:rPr>
      </w:pPr>
    </w:p>
    <w:p w14:paraId="3568D0F4">
      <w:pPr>
        <w:spacing w:line="390" w:lineRule="exact"/>
        <w:rPr>
          <w:rFonts w:hint="eastAsia" w:ascii="仿宋_GB2312" w:hAnsi="仿宋_GB2312" w:eastAsia="仿宋_GB2312" w:cs="仿宋_GB2312"/>
          <w:b/>
          <w:sz w:val="24"/>
          <w:szCs w:val="24"/>
        </w:rPr>
      </w:pPr>
    </w:p>
    <w:p w14:paraId="155959BD">
      <w:pPr>
        <w:spacing w:line="390" w:lineRule="exact"/>
        <w:rPr>
          <w:rFonts w:hint="eastAsia" w:ascii="仿宋_GB2312" w:hAnsi="仿宋_GB2312" w:eastAsia="仿宋_GB2312" w:cs="仿宋_GB2312"/>
          <w:b/>
          <w:sz w:val="24"/>
          <w:szCs w:val="24"/>
        </w:rPr>
      </w:pPr>
    </w:p>
    <w:p w14:paraId="3B393CCB">
      <w:pPr>
        <w:spacing w:line="390" w:lineRule="exact"/>
        <w:rPr>
          <w:rFonts w:hint="eastAsia" w:ascii="仿宋_GB2312" w:hAnsi="仿宋_GB2312" w:eastAsia="仿宋_GB2312" w:cs="仿宋_GB2312"/>
          <w:b/>
          <w:sz w:val="24"/>
          <w:szCs w:val="24"/>
        </w:rPr>
      </w:pPr>
    </w:p>
    <w:p w14:paraId="403E5977">
      <w:pPr>
        <w:spacing w:line="390" w:lineRule="exact"/>
        <w:rPr>
          <w:rFonts w:hint="eastAsia" w:ascii="仿宋_GB2312" w:hAnsi="仿宋_GB2312" w:eastAsia="仿宋_GB2312" w:cs="仿宋_GB2312"/>
          <w:b/>
          <w:sz w:val="24"/>
          <w:szCs w:val="24"/>
        </w:rPr>
      </w:pPr>
    </w:p>
    <w:p w14:paraId="662F563F">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5248C0B5">
      <w:pPr>
        <w:pStyle w:val="5"/>
        <w:spacing w:line="39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四</w:t>
      </w:r>
      <w:r>
        <w:rPr>
          <w:rFonts w:hint="eastAsia" w:ascii="仿宋_GB2312" w:hAnsi="仿宋_GB2312" w:eastAsia="仿宋_GB2312" w:cs="仿宋_GB2312"/>
          <w:b/>
          <w:sz w:val="28"/>
          <w:szCs w:val="28"/>
        </w:rPr>
        <w:t>：</w:t>
      </w:r>
    </w:p>
    <w:p w14:paraId="1FE28C59">
      <w:pPr>
        <w:pStyle w:val="5"/>
        <w:spacing w:after="120" w:afterLines="50" w:line="390" w:lineRule="exact"/>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32"/>
          <w:szCs w:val="32"/>
        </w:rPr>
        <w:t>不拖欠农民工工资承诺书</w:t>
      </w:r>
    </w:p>
    <w:p w14:paraId="49948264">
      <w:pPr>
        <w:pStyle w:val="5"/>
        <w:spacing w:line="39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南宁轨道地产建筑工程有限责任公司：</w:t>
      </w:r>
    </w:p>
    <w:p w14:paraId="0710E54C">
      <w:pPr>
        <w:pStyle w:val="5"/>
        <w:adjustRightInd w:val="0"/>
        <w:spacing w:line="520" w:lineRule="exact"/>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为了切实维护农民工的合法权益，确保社会和企业稳定，根据各级政府和相关主管部门的相关要求，结合我公司承包的</w:t>
      </w:r>
      <w:r>
        <w:rPr>
          <w:rFonts w:hint="eastAsia" w:ascii="仿宋_GB2312" w:hAnsi="宋体" w:eastAsia="仿宋_GB2312"/>
          <w:sz w:val="28"/>
          <w:szCs w:val="28"/>
          <w:lang w:eastAsia="zh-CN"/>
        </w:rPr>
        <w:t>盘古路地块场地平整工程</w:t>
      </w:r>
      <w:r>
        <w:rPr>
          <w:rFonts w:hint="eastAsia" w:ascii="仿宋_GB2312" w:hAnsi="宋体" w:eastAsia="仿宋_GB2312"/>
          <w:sz w:val="28"/>
          <w:szCs w:val="28"/>
        </w:rPr>
        <w:t>项目</w:t>
      </w:r>
      <w:r>
        <w:rPr>
          <w:rFonts w:hint="eastAsia" w:ascii="仿宋_GB2312" w:hAnsi="宋体" w:eastAsia="仿宋_GB2312"/>
          <w:sz w:val="28"/>
          <w:szCs w:val="28"/>
          <w:lang w:eastAsia="zh-CN"/>
        </w:rPr>
        <w:t>土方车队运输服务</w:t>
      </w:r>
      <w:r>
        <w:rPr>
          <w:rFonts w:hint="eastAsia" w:ascii="仿宋_GB2312" w:hAnsi="仿宋_GB2312" w:eastAsia="仿宋_GB2312" w:cs="仿宋_GB2312"/>
          <w:sz w:val="28"/>
          <w:szCs w:val="28"/>
        </w:rPr>
        <w:t>的施工实际情况，特作如下慎重承诺:</w:t>
      </w:r>
    </w:p>
    <w:p w14:paraId="15E94E7E">
      <w:pPr>
        <w:pStyle w:val="5"/>
        <w:adjustRightInd w:val="0"/>
        <w:spacing w:line="520" w:lineRule="exact"/>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1、我公司将严格按照上级主管部门以及贵项目部关于农民工工资发放的相关要求，切实做好农民工工资发放工作;</w:t>
      </w:r>
    </w:p>
    <w:p w14:paraId="3A4E0A22">
      <w:pPr>
        <w:pStyle w:val="5"/>
        <w:adjustRightInd w:val="0"/>
        <w:spacing w:line="520" w:lineRule="exact"/>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我公司一定按照规定将农民工工资足额、直接发放到农民工手中；保证将每月发放的农民工工资表(表格形式、现场负责人和班组长签字认可、农民工本人签字)于每月5日前将上月农民工工资如实、及时上报给贵项目部，否则我司愿意接受贵项目部的处理;</w:t>
      </w:r>
    </w:p>
    <w:p w14:paraId="2600ADBE">
      <w:pPr>
        <w:pStyle w:val="5"/>
        <w:adjustRightInd w:val="0"/>
        <w:spacing w:line="520" w:lineRule="exact"/>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如因农民工工资发放、处置不力，导致农民工有不同形式的上访、闹访、集访等事件发生，项目部将立即停止对我公司工程款的支付，我公司愿意将剩余工程款用作民工工资保证金。由此造成的一切不良后果和损失由我公司承担，并与贵项目部无关。</w:t>
      </w:r>
    </w:p>
    <w:p w14:paraId="7BFB6D46">
      <w:pPr>
        <w:pStyle w:val="5"/>
        <w:adjustRightInd w:val="0"/>
        <w:spacing w:line="520" w:lineRule="exact"/>
        <w:ind w:left="0" w:leftChars="0"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特此承诺！</w:t>
      </w:r>
    </w:p>
    <w:p w14:paraId="0E9EDFC5">
      <w:pPr>
        <w:pStyle w:val="5"/>
        <w:wordWrap w:val="0"/>
        <w:adjustRightInd w:val="0"/>
        <w:spacing w:line="520" w:lineRule="exact"/>
        <w:ind w:left="0" w:leftChars="0" w:right="112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承诺单位：</w:t>
      </w:r>
    </w:p>
    <w:p w14:paraId="65736CB1">
      <w:pPr>
        <w:pStyle w:val="5"/>
        <w:wordWrap w:val="0"/>
        <w:adjustRightInd w:val="0"/>
        <w:spacing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法人代表或授权委托人：              </w:t>
      </w:r>
    </w:p>
    <w:p w14:paraId="214C8B14">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8"/>
          <w:szCs w:val="28"/>
        </w:rPr>
        <w:t xml:space="preserve">                                    年    月    日   </w:t>
      </w:r>
      <w:r>
        <w:rPr>
          <w:rFonts w:hint="eastAsia" w:ascii="仿宋_GB2312" w:hAnsi="仿宋_GB2312" w:eastAsia="仿宋_GB2312" w:cs="仿宋_GB2312"/>
          <w:sz w:val="24"/>
          <w:szCs w:val="24"/>
        </w:rPr>
        <w:t xml:space="preserve"> </w:t>
      </w:r>
    </w:p>
    <w:p w14:paraId="4CAC29EB">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br w:type="page"/>
      </w:r>
    </w:p>
    <w:p w14:paraId="24E9AF2D">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附件</w:t>
      </w:r>
      <w:r>
        <w:rPr>
          <w:rFonts w:hint="eastAsia" w:ascii="仿宋_GB2312" w:hAnsi="仿宋_GB2312" w:eastAsia="仿宋_GB2312" w:cs="仿宋_GB2312"/>
          <w:b/>
          <w:bCs/>
          <w:sz w:val="24"/>
          <w:szCs w:val="24"/>
          <w:lang w:val="en-US" w:eastAsia="zh-CN"/>
        </w:rPr>
        <w:t>五</w:t>
      </w:r>
      <w:r>
        <w:rPr>
          <w:rFonts w:hint="eastAsia" w:ascii="仿宋_GB2312" w:hAnsi="仿宋_GB2312" w:eastAsia="仿宋_GB2312" w:cs="仿宋_GB2312"/>
          <w:b/>
          <w:bCs/>
          <w:sz w:val="24"/>
          <w:szCs w:val="24"/>
        </w:rPr>
        <w:t>：</w:t>
      </w:r>
    </w:p>
    <w:p w14:paraId="3913F0ED">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工程建设项目廉政责任书</w:t>
      </w:r>
    </w:p>
    <w:p w14:paraId="17AD6190">
      <w:pPr>
        <w:spacing w:line="520" w:lineRule="exact"/>
        <w:rPr>
          <w:rFonts w:hint="eastAsia" w:ascii="仿宋_GB2312" w:hAnsi="仿宋_GB2312" w:eastAsia="仿宋_GB2312" w:cs="仿宋_GB2312"/>
          <w:sz w:val="24"/>
          <w:szCs w:val="24"/>
        </w:rPr>
      </w:pPr>
    </w:p>
    <w:p w14:paraId="165B7B21">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工程项目名称：</w:t>
      </w:r>
    </w:p>
    <w:p w14:paraId="46AFAEE1">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工程项目地址：</w:t>
      </w:r>
    </w:p>
    <w:p w14:paraId="4D8B6F2E">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w:t>
      </w:r>
    </w:p>
    <w:p w14:paraId="76F62078">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w:t>
      </w:r>
    </w:p>
    <w:p w14:paraId="2B008451">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6FA67B3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第一条  甲乙双方的责任</w:t>
      </w:r>
    </w:p>
    <w:p w14:paraId="00A2DE8E">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（一）应严格遵守国家关于市场准入、项目招标投标、工程建设、施工安装和市场活动等有关法律法规、相关政策，以及廉政建设的各项规定。</w:t>
      </w:r>
    </w:p>
    <w:p w14:paraId="74AAC13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（二）严格执行建设工程项目承发包合同文件，自觉按合同办事。</w:t>
      </w:r>
    </w:p>
    <w:p w14:paraId="77416BEF">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（三）业务活动必须坚持公开、公平、公正、诚信、透明的原则（除法律法规另有规定者外），不得损害国家利益、集体利益和对方的合法权益，不得违反工程建设管理、施工安装的法律法规及规章制度。</w:t>
      </w:r>
    </w:p>
    <w:p w14:paraId="00874F4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（四）发现对方在业务活动中有违规、违纪、违法行为的，应及时提醒对方，并向监管单位报告；情节严重的，应向其上级主管部门或纪检监察、司法等有关机关举报。</w:t>
      </w:r>
    </w:p>
    <w:p w14:paraId="761E9F25">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第二条  甲方的责任</w:t>
      </w:r>
    </w:p>
    <w:p w14:paraId="197FD170">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甲方及甲方相关工作人员，在工程建设的事前、事中、事后应遵守以下规定：</w:t>
      </w:r>
    </w:p>
    <w:p w14:paraId="7A0F086D">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（一）不准向乙方和相关单位索要或接受回扣、礼金、有价证券、贵重物品和好处费、感谢费等。</w:t>
      </w:r>
    </w:p>
    <w:p w14:paraId="56174DF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不准以任何理由向乙方和相关单位无偿或以明显低于市场价格借用房屋、车辆、金钱或其他贵重物品等。</w:t>
      </w:r>
    </w:p>
    <w:p w14:paraId="3040BF2F">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（二）不准在乙方和相关单位报销任何应由甲方或个人支付的费用。</w:t>
      </w:r>
    </w:p>
    <w:p w14:paraId="7BBA22E0">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（三）不准要求、暗示或接受乙方和相关单位为个人装修住房、婚丧嫁娶、配偶子女的工作安排以及出国（境）、旅游等提供方便。</w:t>
      </w:r>
    </w:p>
    <w:p w14:paraId="4B011222">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（四）不准参加乙方和相关单位安排的有可能影响公正执行工作任务的宴请和健身、娱乐等活动。</w:t>
      </w:r>
    </w:p>
    <w:p w14:paraId="36320689">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五）不准向乙方介绍或为配偶、子女、亲属介绍参与同甲方工程项目工程专业分包合同有关的设备和材料采购、工程和劳务分包等经济活动。不得以任何理由向乙方和相关单位推荐分包单位和要求乙方购买项目工程专业分包合同规定以外的材料、设备等。</w:t>
      </w:r>
    </w:p>
    <w:p w14:paraId="7B576F9F">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第三条  乙方的责任</w:t>
      </w:r>
    </w:p>
    <w:p w14:paraId="1ACBAAB1">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应与甲方保持正常的业务交往，按照有关法律法规和程序开展业务工作，严格执行工程建设的有关方针、政策，尤其是有关建筑施工安装的强制性标准和规范，并遵守以下规定：</w:t>
      </w:r>
    </w:p>
    <w:p w14:paraId="116C3B78">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（一）不准以任何理由向甲方、相关单位及其工作人员赠送礼金、有价证券、贵重物品及回扣、好处费、感谢费等。</w:t>
      </w:r>
    </w:p>
    <w:p w14:paraId="6F32CCB5">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不准以任何理由向甲方、相关单位及其工作人员无偿或以明显低于市场价格出借房屋、车辆、金钱或其他贵重物品等。</w:t>
      </w:r>
    </w:p>
    <w:p w14:paraId="7C37A8E1">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（二）不准以任何理由为甲方和相关单位及其工作人员报销应由甲方或个人支付的费用。</w:t>
      </w:r>
    </w:p>
    <w:p w14:paraId="476D6D8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（三）不准明示或暗示为甲方、相关单位或个人装修住房、婚丧嫁娶、配偶子女的工作安排以及出国（境）、旅游等提供方便。</w:t>
      </w:r>
    </w:p>
    <w:p w14:paraId="2BC0E92A">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（四）不准以任何理由为甲方、相关单位或个人组织安排有可能影响公正执行工作任务的宴请、健身、娱乐等活动。</w:t>
      </w:r>
    </w:p>
    <w:p w14:paraId="23753610">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（五）乙方（民企或个体）接受甲方监管单位的监管、监督执行。</w:t>
      </w:r>
    </w:p>
    <w:p w14:paraId="6073C2BB">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第四条  违约责任</w:t>
      </w:r>
    </w:p>
    <w:p w14:paraId="6C558C1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（一）甲方工作人员有违反本责任书第一，二条责任行为的，甲方应按照管理权限，依据有关法律法规和规定给予追责处理；涉嫌犯罪的，移交司法机关追究刑事责任；给乙方单位造成损失的，应予以赔偿。</w:t>
      </w:r>
    </w:p>
    <w:p w14:paraId="2D5FBF1E">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（二）乙方工作人员有违反责任书第一，三条责任行为的，乙方应按照管理权限，依据有关法律法规和规定给予追责处理；涉嫌犯罪的，移交司法机关追究刑事责任；给甲方单位造成损失的，应予以赔偿。</w:t>
      </w:r>
    </w:p>
    <w:p w14:paraId="00D1A19F">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第五条  本责任书经双方法定代表人或授权代表签字并加盖双方单位公章后立即生效。</w:t>
      </w:r>
    </w:p>
    <w:p w14:paraId="7D1A2283">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第六条  本责任书的有效期为双方签署之日起至该工程项目竣工验收合格时止。</w:t>
      </w:r>
    </w:p>
    <w:p w14:paraId="4568AFA5">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第七条  本责任书一式四份，由甲乙双方各执一份，送交甲乙双方的监督单位各一份。</w:t>
      </w:r>
    </w:p>
    <w:p w14:paraId="3A5889A7">
      <w:pPr>
        <w:spacing w:line="520" w:lineRule="exact"/>
        <w:rPr>
          <w:rFonts w:hint="eastAsia" w:ascii="仿宋_GB2312" w:hAnsi="仿宋_GB2312" w:eastAsia="仿宋_GB2312" w:cs="仿宋_GB2312"/>
          <w:sz w:val="24"/>
          <w:szCs w:val="24"/>
        </w:rPr>
      </w:pPr>
    </w:p>
    <w:p w14:paraId="69555D92">
      <w:pPr>
        <w:spacing w:line="520" w:lineRule="exact"/>
        <w:rPr>
          <w:rFonts w:hint="eastAsia" w:ascii="仿宋_GB2312" w:hAnsi="仿宋_GB2312" w:eastAsia="仿宋_GB2312" w:cs="仿宋_GB2312"/>
          <w:sz w:val="24"/>
          <w:szCs w:val="24"/>
        </w:rPr>
      </w:pPr>
    </w:p>
    <w:p w14:paraId="61B8D88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甲方单位：（盖章）           乙方单位：（盖章）</w:t>
      </w:r>
    </w:p>
    <w:p w14:paraId="46D11A9E">
      <w:pPr>
        <w:spacing w:line="520" w:lineRule="exact"/>
        <w:rPr>
          <w:rFonts w:hint="eastAsia" w:ascii="仿宋_GB2312" w:hAnsi="仿宋_GB2312" w:eastAsia="仿宋_GB2312" w:cs="仿宋_GB2312"/>
          <w:sz w:val="24"/>
          <w:szCs w:val="24"/>
        </w:rPr>
      </w:pPr>
    </w:p>
    <w:p w14:paraId="7C924DAE">
      <w:pPr>
        <w:spacing w:line="520" w:lineRule="exact"/>
        <w:rPr>
          <w:rFonts w:hint="eastAsia" w:ascii="仿宋_GB2312" w:hAnsi="仿宋_GB2312" w:eastAsia="仿宋_GB2312" w:cs="仿宋_GB2312"/>
          <w:sz w:val="24"/>
          <w:szCs w:val="24"/>
        </w:rPr>
      </w:pPr>
    </w:p>
    <w:p w14:paraId="165D220F">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法定代表人或                  法定代表人或</w:t>
      </w:r>
    </w:p>
    <w:p w14:paraId="79A7D4B0">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授权代表（签字）：             授权代表（签字）：</w:t>
      </w:r>
    </w:p>
    <w:p w14:paraId="0B8835B4">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14:paraId="0D482DB7">
      <w:pPr>
        <w:spacing w:line="52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   月   日                  年   月   日</w:t>
      </w:r>
    </w:p>
    <w:p w14:paraId="4B6536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602FE">
    <w:pPr>
      <w:pStyle w:val="7"/>
      <w:jc w:val="center"/>
    </w:pPr>
    <w:r>
      <w:rPr>
        <w:b/>
        <w:bCs/>
        <w:sz w:val="24"/>
        <w:szCs w:val="24"/>
      </w:rPr>
      <w:fldChar w:fldCharType="begin"/>
    </w:r>
    <w:r>
      <w:rPr>
        <w:b/>
        <w:bCs/>
      </w:rPr>
      <w:instrText xml:space="preserve">PAGE</w:instrText>
    </w:r>
    <w:r>
      <w:rPr>
        <w:b/>
        <w:bCs/>
        <w:sz w:val="24"/>
        <w:szCs w:val="24"/>
      </w:rPr>
      <w:fldChar w:fldCharType="separate"/>
    </w:r>
    <w:r>
      <w:rPr>
        <w:b/>
        <w:bCs/>
      </w:rPr>
      <w:t>20</w:t>
    </w:r>
    <w:r>
      <w:rPr>
        <w:b/>
        <w:bCs/>
        <w:sz w:val="24"/>
        <w:szCs w:val="24"/>
      </w:rPr>
      <w:fldChar w:fldCharType="end"/>
    </w:r>
    <w:r>
      <w:rPr>
        <w:lang w:val="zh-CN"/>
      </w:rPr>
      <w:t xml:space="preserve">/ </w:t>
    </w:r>
    <w:r>
      <w:rPr>
        <w:b/>
        <w:bCs/>
        <w:sz w:val="24"/>
        <w:szCs w:val="24"/>
      </w:rPr>
      <w:fldChar w:fldCharType="begin"/>
    </w:r>
    <w:r>
      <w:rPr>
        <w:b/>
        <w:bCs/>
      </w:rPr>
      <w:instrText xml:space="preserve">NUMPAGES</w:instrText>
    </w:r>
    <w:r>
      <w:rPr>
        <w:b/>
        <w:bCs/>
        <w:sz w:val="24"/>
        <w:szCs w:val="24"/>
      </w:rPr>
      <w:fldChar w:fldCharType="separate"/>
    </w:r>
    <w:r>
      <w:rPr>
        <w:b/>
        <w:bCs/>
      </w:rPr>
      <w:t>20</w:t>
    </w:r>
    <w:r>
      <w:rPr>
        <w:b/>
        <w:bCs/>
        <w:sz w:val="24"/>
        <w:szCs w:val="24"/>
      </w:rPr>
      <w:fldChar w:fldCharType="end"/>
    </w:r>
  </w:p>
  <w:p w14:paraId="4E44916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CC95C">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8BC48">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B4944"/>
    <w:rsid w:val="02D25D8F"/>
    <w:rsid w:val="0633208D"/>
    <w:rsid w:val="093412EE"/>
    <w:rsid w:val="09420839"/>
    <w:rsid w:val="09E02F7F"/>
    <w:rsid w:val="0A0855DF"/>
    <w:rsid w:val="0A0D0E47"/>
    <w:rsid w:val="0CE63154"/>
    <w:rsid w:val="0E9F4CDA"/>
    <w:rsid w:val="0FC1695C"/>
    <w:rsid w:val="108A31F2"/>
    <w:rsid w:val="11C25C1F"/>
    <w:rsid w:val="12681311"/>
    <w:rsid w:val="12C15ADC"/>
    <w:rsid w:val="14221993"/>
    <w:rsid w:val="14D42C8D"/>
    <w:rsid w:val="16640041"/>
    <w:rsid w:val="18CD0120"/>
    <w:rsid w:val="192F0DDA"/>
    <w:rsid w:val="1A442663"/>
    <w:rsid w:val="1AF75928"/>
    <w:rsid w:val="1B5E59A7"/>
    <w:rsid w:val="1BF9747E"/>
    <w:rsid w:val="1C290605"/>
    <w:rsid w:val="1F0E7F00"/>
    <w:rsid w:val="1F9D049A"/>
    <w:rsid w:val="215950FE"/>
    <w:rsid w:val="25EA0D48"/>
    <w:rsid w:val="29763EBB"/>
    <w:rsid w:val="29CC4423"/>
    <w:rsid w:val="2A375D41"/>
    <w:rsid w:val="2C0E017B"/>
    <w:rsid w:val="2FA15A0A"/>
    <w:rsid w:val="321B5F48"/>
    <w:rsid w:val="347B0F20"/>
    <w:rsid w:val="359F0C3E"/>
    <w:rsid w:val="39842C16"/>
    <w:rsid w:val="3B2D45F6"/>
    <w:rsid w:val="3BED006B"/>
    <w:rsid w:val="3FC90D91"/>
    <w:rsid w:val="430736E6"/>
    <w:rsid w:val="436A4639"/>
    <w:rsid w:val="43BB6C43"/>
    <w:rsid w:val="44613C8E"/>
    <w:rsid w:val="44615A3C"/>
    <w:rsid w:val="44654E01"/>
    <w:rsid w:val="4AE253FD"/>
    <w:rsid w:val="4DE24E53"/>
    <w:rsid w:val="4F7C1E08"/>
    <w:rsid w:val="532D11DF"/>
    <w:rsid w:val="53852DC9"/>
    <w:rsid w:val="53AE168A"/>
    <w:rsid w:val="54694499"/>
    <w:rsid w:val="54857525"/>
    <w:rsid w:val="54DF6CC5"/>
    <w:rsid w:val="55012924"/>
    <w:rsid w:val="55717AA9"/>
    <w:rsid w:val="586B07E0"/>
    <w:rsid w:val="59AD4E28"/>
    <w:rsid w:val="5ADF1011"/>
    <w:rsid w:val="5EA762EA"/>
    <w:rsid w:val="5F267F57"/>
    <w:rsid w:val="5F3C2ED6"/>
    <w:rsid w:val="60B052C8"/>
    <w:rsid w:val="60B116A2"/>
    <w:rsid w:val="637F7835"/>
    <w:rsid w:val="670544F5"/>
    <w:rsid w:val="689A0C6D"/>
    <w:rsid w:val="6A2175BD"/>
    <w:rsid w:val="6ABC71AD"/>
    <w:rsid w:val="6AD2649C"/>
    <w:rsid w:val="6C5F1FB2"/>
    <w:rsid w:val="70651B61"/>
    <w:rsid w:val="71072C7D"/>
    <w:rsid w:val="71F46959"/>
    <w:rsid w:val="75096F5F"/>
    <w:rsid w:val="761262E7"/>
    <w:rsid w:val="771B741D"/>
    <w:rsid w:val="77D221D2"/>
    <w:rsid w:val="7A320D06"/>
    <w:rsid w:val="7A7C01D3"/>
    <w:rsid w:val="7A7F2F30"/>
    <w:rsid w:val="7A963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4"/>
    <w:basedOn w:val="1"/>
    <w:next w:val="1"/>
    <w:qFormat/>
    <w:uiPriority w:val="0"/>
    <w:pPr>
      <w:keepNext/>
      <w:keepLines/>
      <w:spacing w:before="120" w:after="120" w:line="480" w:lineRule="exact"/>
      <w:ind w:left="200" w:leftChars="200"/>
      <w:jc w:val="left"/>
      <w:outlineLvl w:val="3"/>
    </w:pPr>
    <w:rPr>
      <w:rFonts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djustRightInd w:val="0"/>
      <w:snapToGrid w:val="0"/>
      <w:spacing w:line="360" w:lineRule="auto"/>
      <w:ind w:firstLine="198"/>
    </w:pPr>
    <w:rPr>
      <w:rFonts w:ascii="宋体" w:hAnsi="宋体"/>
      <w:sz w:val="28"/>
      <w:szCs w:val="28"/>
    </w:rPr>
  </w:style>
  <w:style w:type="paragraph" w:styleId="5">
    <w:name w:val="Plain Text"/>
    <w:basedOn w:val="1"/>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6">
    <w:name w:val="Date"/>
    <w:basedOn w:val="1"/>
    <w:next w:val="1"/>
    <w:qFormat/>
    <w:uiPriority w:val="0"/>
    <w:pPr>
      <w:ind w:left="100" w:leftChars="250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14427</Words>
  <Characters>15000</Characters>
  <Lines>0</Lines>
  <Paragraphs>0</Paragraphs>
  <TotalTime>1</TotalTime>
  <ScaleCrop>false</ScaleCrop>
  <LinksUpToDate>false</LinksUpToDate>
  <CharactersWithSpaces>15314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2026-05-06T03:29:00Z</dcterms:created>
  <dc:creator>Administrator</dc:creator>
  <cp:lastModifiedBy>唐欢</cp:lastModifiedBy>
  <dcterms:modified xsi:type="dcterms:W3CDTF">2026-05-12T01:57:40Z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eyJoZGlkIjoiMjY2YTc5MjYxZTA2YTJkZWRlNDJkNmMyYWE1ZjQzNTciLCJ1c2VySWQiOiIyMDA4ODUzNDQifQ==</vt:lpwstr>
  </property>
  <property fmtid="{D5CDD505-2E9C-101B-9397-08002B2CF9AE}" pid="4" name="ICV">
    <vt:lpwstr>C180A731D6654324B602C952070DFD88_13</vt:lpwstr>
  </property>
</Properties>
</file>