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79E0F">
      <w:pPr>
        <w:adjustRightInd/>
        <w:snapToGrid/>
        <w:spacing w:before="0" w:beforeLines="0" w:line="360" w:lineRule="auto"/>
        <w:ind w:firstLine="0" w:firstLineChars="0"/>
        <w:jc w:val="both"/>
        <w:rPr>
          <w:rFonts w:ascii="Times New Roman"/>
          <w:b/>
          <w:w w:val="80"/>
          <w:sz w:val="112"/>
          <w:szCs w:val="112"/>
        </w:rPr>
      </w:pPr>
      <w:bookmarkStart w:id="0" w:name="OLE_LINK52"/>
      <w:bookmarkStart w:id="1" w:name="OLE_LINK53"/>
    </w:p>
    <w:p w14:paraId="122C4A29">
      <w:pPr>
        <w:spacing w:line="360" w:lineRule="auto"/>
        <w:ind w:firstLine="0" w:firstLineChars="0"/>
        <w:jc w:val="center"/>
        <w:textAlignment w:val="baseline"/>
        <w:rPr>
          <w:rFonts w:hint="eastAsia" w:hAnsi="宋体" w:eastAsia="宋体" w:cs="宋体"/>
          <w:b/>
          <w:sz w:val="48"/>
          <w:szCs w:val="48"/>
          <w:lang w:eastAsia="zh-CN"/>
        </w:rPr>
      </w:pPr>
      <w:r>
        <w:rPr>
          <w:rFonts w:hint="eastAsia" w:hAnsi="宋体" w:eastAsia="宋体" w:cs="宋体"/>
          <w:b/>
          <w:sz w:val="48"/>
          <w:szCs w:val="48"/>
          <w:lang w:eastAsia="zh-CN"/>
        </w:rPr>
        <w:t>轨道御玺君临湾项目结算阶段造价服务</w:t>
      </w:r>
    </w:p>
    <w:p w14:paraId="1ECDBE72">
      <w:pPr>
        <w:pStyle w:val="112"/>
        <w:spacing w:line="360" w:lineRule="auto"/>
        <w:jc w:val="center"/>
        <w:rPr>
          <w:rFonts w:hint="eastAsia" w:ascii="宋体" w:hAnsi="宋体" w:eastAsia="宋体" w:cs="宋体"/>
          <w:b/>
          <w:sz w:val="36"/>
          <w:szCs w:val="36"/>
        </w:rPr>
      </w:pPr>
      <w:bookmarkStart w:id="2" w:name="_Toc491534401"/>
      <w:bookmarkStart w:id="3" w:name="_Toc29204"/>
    </w:p>
    <w:p w14:paraId="0F9E536D">
      <w:pPr>
        <w:pStyle w:val="112"/>
        <w:spacing w:line="360" w:lineRule="auto"/>
        <w:jc w:val="both"/>
        <w:rPr>
          <w:rFonts w:hint="eastAsia" w:ascii="宋体" w:hAnsi="宋体" w:eastAsia="宋体" w:cs="宋体"/>
          <w:b/>
          <w:sz w:val="36"/>
          <w:szCs w:val="36"/>
        </w:rPr>
      </w:pPr>
    </w:p>
    <w:p w14:paraId="36158EE8">
      <w:pPr>
        <w:pStyle w:val="112"/>
        <w:spacing w:line="360" w:lineRule="auto"/>
        <w:jc w:val="center"/>
        <w:rPr>
          <w:rFonts w:hint="eastAsia" w:ascii="宋体" w:hAnsi="宋体" w:eastAsia="宋体" w:cs="宋体"/>
          <w:b/>
          <w:sz w:val="36"/>
          <w:szCs w:val="36"/>
        </w:rPr>
      </w:pPr>
      <w:permStart w:id="0" w:edGrp="everyone"/>
      <w:permEnd w:id="0"/>
    </w:p>
    <w:p w14:paraId="430C4D67">
      <w:pPr>
        <w:ind w:firstLine="0" w:firstLineChars="0"/>
        <w:jc w:val="center"/>
        <w:rPr>
          <w:rFonts w:hint="eastAsia" w:ascii="宋体" w:hAnsi="宋体" w:eastAsia="宋体" w:cs="宋体"/>
          <w:sz w:val="96"/>
          <w:szCs w:val="96"/>
        </w:rPr>
      </w:pPr>
      <w:r>
        <w:rPr>
          <w:rFonts w:hint="eastAsia" w:ascii="宋体" w:hAnsi="宋体" w:eastAsia="宋体" w:cs="宋体"/>
          <w:sz w:val="96"/>
          <w:szCs w:val="96"/>
        </w:rPr>
        <w:t>招标文件</w:t>
      </w:r>
    </w:p>
    <w:p w14:paraId="78E67EE1">
      <w:pPr>
        <w:spacing w:line="540" w:lineRule="exact"/>
        <w:ind w:firstLine="480"/>
        <w:jc w:val="center"/>
        <w:rPr>
          <w:rFonts w:hint="eastAsia" w:ascii="宋体" w:hAnsi="宋体" w:eastAsia="宋体" w:cs="宋体"/>
          <w:szCs w:val="21"/>
        </w:rPr>
      </w:pPr>
    </w:p>
    <w:p w14:paraId="506A2C7E">
      <w:pPr>
        <w:spacing w:line="540" w:lineRule="exact"/>
        <w:ind w:firstLine="482"/>
        <w:jc w:val="center"/>
        <w:rPr>
          <w:rFonts w:hint="eastAsia" w:ascii="宋体" w:hAnsi="宋体" w:eastAsia="宋体" w:cs="宋体"/>
          <w:b/>
          <w:bCs/>
          <w:szCs w:val="21"/>
        </w:rPr>
      </w:pPr>
    </w:p>
    <w:p w14:paraId="078BA475">
      <w:pPr>
        <w:spacing w:line="540" w:lineRule="exact"/>
        <w:ind w:firstLine="964" w:firstLineChars="300"/>
        <w:rPr>
          <w:rFonts w:hint="eastAsia" w:ascii="宋体" w:hAnsi="宋体" w:eastAsia="宋体" w:cs="宋体"/>
          <w:b/>
          <w:bCs/>
          <w:sz w:val="32"/>
          <w:szCs w:val="32"/>
          <w:u w:val="single"/>
        </w:rPr>
      </w:pPr>
      <w:r>
        <w:rPr>
          <w:rFonts w:hint="eastAsia" w:ascii="宋体" w:hAnsi="宋体" w:eastAsia="宋体" w:cs="宋体"/>
          <w:b/>
          <w:bCs/>
          <w:sz w:val="32"/>
          <w:szCs w:val="32"/>
        </w:rPr>
        <w:t>项目招标编号：ZXHTZB2504XG04B520C</w:t>
      </w:r>
    </w:p>
    <w:p w14:paraId="48EA18D5">
      <w:pPr>
        <w:spacing w:line="540" w:lineRule="exact"/>
        <w:ind w:firstLine="482"/>
        <w:rPr>
          <w:rFonts w:hint="eastAsia" w:ascii="宋体" w:hAnsi="宋体" w:eastAsia="宋体" w:cs="宋体"/>
          <w:b/>
          <w:bCs/>
          <w:sz w:val="28"/>
          <w:szCs w:val="22"/>
        </w:rPr>
      </w:pPr>
    </w:p>
    <w:p w14:paraId="6D1F4E3B">
      <w:pPr>
        <w:spacing w:line="540" w:lineRule="exact"/>
        <w:ind w:firstLine="482"/>
        <w:rPr>
          <w:rFonts w:hint="eastAsia" w:ascii="宋体" w:hAnsi="宋体" w:eastAsia="宋体" w:cs="宋体"/>
          <w:b/>
          <w:bCs/>
          <w:sz w:val="28"/>
          <w:szCs w:val="22"/>
        </w:rPr>
      </w:pPr>
    </w:p>
    <w:p w14:paraId="13C81665">
      <w:pPr>
        <w:spacing w:line="540" w:lineRule="exact"/>
        <w:ind w:firstLine="482"/>
        <w:rPr>
          <w:rFonts w:hint="eastAsia" w:ascii="宋体" w:hAnsi="宋体" w:eastAsia="宋体" w:cs="宋体"/>
          <w:b w:val="0"/>
          <w:bCs w:val="0"/>
          <w:sz w:val="28"/>
          <w:szCs w:val="22"/>
        </w:rPr>
      </w:pPr>
    </w:p>
    <w:p w14:paraId="26B90EB4">
      <w:pPr>
        <w:spacing w:line="540" w:lineRule="exact"/>
        <w:ind w:firstLine="0" w:firstLineChars="0"/>
        <w:rPr>
          <w:rFonts w:hint="eastAsia" w:ascii="宋体" w:hAnsi="宋体" w:eastAsia="宋体" w:cs="宋体"/>
          <w:b/>
          <w:bCs/>
          <w:sz w:val="36"/>
          <w:szCs w:val="36"/>
        </w:rPr>
      </w:pPr>
      <w:r>
        <w:rPr>
          <w:rFonts w:hint="eastAsia" w:ascii="宋体" w:hAnsi="宋体" w:eastAsia="宋体" w:cs="宋体"/>
          <w:b/>
          <w:bCs/>
          <w:sz w:val="36"/>
          <w:szCs w:val="36"/>
        </w:rPr>
        <w:t>招标人：南宁轨道地产集团有限责</w:t>
      </w:r>
      <w:permStart w:id="1" w:edGrp="everyone"/>
      <w:permEnd w:id="1"/>
      <w:r>
        <w:rPr>
          <w:rFonts w:hint="eastAsia" w:ascii="宋体" w:hAnsi="宋体" w:eastAsia="宋体" w:cs="宋体"/>
          <w:b/>
          <w:bCs/>
          <w:sz w:val="36"/>
          <w:szCs w:val="36"/>
        </w:rPr>
        <w:t>任公司</w:t>
      </w:r>
    </w:p>
    <w:p w14:paraId="02F49DFA">
      <w:pPr>
        <w:spacing w:line="540" w:lineRule="exact"/>
        <w:ind w:firstLine="0" w:firstLineChars="0"/>
        <w:rPr>
          <w:rFonts w:hint="eastAsia" w:ascii="宋体" w:hAnsi="宋体" w:eastAsia="宋体" w:cs="宋体"/>
          <w:b/>
          <w:bCs/>
          <w:sz w:val="36"/>
          <w:szCs w:val="36"/>
        </w:rPr>
      </w:pPr>
      <w:r>
        <w:rPr>
          <w:rFonts w:hint="eastAsia" w:ascii="宋体" w:hAnsi="宋体" w:eastAsia="宋体" w:cs="宋体"/>
          <w:b/>
          <w:bCs/>
          <w:sz w:val="36"/>
          <w:szCs w:val="36"/>
        </w:rPr>
        <w:t>招标代理机构：广西中信恒泰工程顾问有限公司</w:t>
      </w:r>
    </w:p>
    <w:p w14:paraId="72C90669">
      <w:pPr>
        <w:spacing w:line="540" w:lineRule="exact"/>
        <w:ind w:firstLine="0" w:firstLineChars="0"/>
        <w:jc w:val="center"/>
        <w:rPr>
          <w:rFonts w:hint="eastAsia" w:ascii="宋体" w:hAnsi="宋体" w:eastAsia="宋体" w:cs="宋体"/>
          <w:b/>
          <w:bCs/>
          <w:sz w:val="32"/>
          <w:szCs w:val="32"/>
        </w:rPr>
      </w:pPr>
      <w:r>
        <w:rPr>
          <w:rFonts w:hint="eastAsia" w:ascii="宋体" w:hAnsi="宋体" w:eastAsia="宋体" w:cs="宋体"/>
          <w:b/>
          <w:bCs/>
          <w:sz w:val="32"/>
          <w:szCs w:val="32"/>
        </w:rPr>
        <w:t>发布日期：</w:t>
      </w:r>
      <w:r>
        <w:rPr>
          <w:rFonts w:hint="eastAsia" w:ascii="宋体" w:hAnsi="宋体" w:eastAsia="宋体" w:cs="宋体"/>
          <w:b/>
          <w:bCs/>
          <w:sz w:val="32"/>
          <w:szCs w:val="32"/>
          <w:u w:val="none"/>
        </w:rPr>
        <w:t>202</w:t>
      </w:r>
      <w:r>
        <w:rPr>
          <w:rFonts w:hint="eastAsia" w:hAnsi="宋体" w:eastAsia="宋体" w:cs="宋体"/>
          <w:b/>
          <w:bCs/>
          <w:sz w:val="32"/>
          <w:szCs w:val="32"/>
          <w:u w:val="none"/>
          <w:lang w:val="en-US" w:eastAsia="zh-CN"/>
        </w:rPr>
        <w:t>6</w:t>
      </w:r>
      <w:r>
        <w:rPr>
          <w:rFonts w:hint="eastAsia" w:ascii="宋体" w:hAnsi="宋体" w:eastAsia="宋体" w:cs="宋体"/>
          <w:b/>
          <w:bCs/>
          <w:sz w:val="32"/>
          <w:szCs w:val="32"/>
        </w:rPr>
        <w:t>年</w:t>
      </w:r>
      <w:r>
        <w:rPr>
          <w:rFonts w:hint="eastAsia" w:hAnsi="宋体" w:eastAsia="宋体" w:cs="宋体"/>
          <w:b/>
          <w:bCs/>
          <w:sz w:val="32"/>
          <w:szCs w:val="32"/>
          <w:u w:val="none"/>
          <w:lang w:val="en-US" w:eastAsia="zh-CN"/>
        </w:rPr>
        <w:t>05</w:t>
      </w:r>
      <w:r>
        <w:rPr>
          <w:rFonts w:hint="eastAsia" w:ascii="宋体" w:hAnsi="宋体" w:eastAsia="宋体" w:cs="宋体"/>
          <w:b/>
          <w:bCs/>
          <w:sz w:val="32"/>
          <w:szCs w:val="32"/>
        </w:rPr>
        <w:t>月</w:t>
      </w:r>
      <w:bookmarkEnd w:id="0"/>
      <w:bookmarkEnd w:id="1"/>
      <w:permStart w:id="2" w:edGrp="everyone"/>
      <w:permEnd w:id="2"/>
    </w:p>
    <w:p w14:paraId="3F9BAA23">
      <w:pPr>
        <w:pStyle w:val="99"/>
        <w:adjustRightInd/>
        <w:snapToGrid/>
        <w:spacing w:before="0" w:beforeLines="0" w:line="360" w:lineRule="auto"/>
        <w:rPr>
          <w:rFonts w:ascii="Times New Roman" w:hAnsi="Times New Roman" w:cs="Times New Roman"/>
          <w:sz w:val="36"/>
          <w:szCs w:val="36"/>
        </w:rPr>
      </w:pPr>
      <w:r>
        <w:rPr>
          <w:rFonts w:ascii="Times New Roman" w:hAnsi="Times New Roman" w:cs="Times New Roman"/>
          <w:sz w:val="44"/>
          <w:szCs w:val="44"/>
        </w:rPr>
        <w:br w:type="page"/>
      </w:r>
      <w:r>
        <w:rPr>
          <w:rFonts w:ascii="Times New Roman" w:hAnsi="Times New Roman" w:cs="Times New Roman"/>
          <w:sz w:val="28"/>
          <w:szCs w:val="28"/>
        </w:rPr>
        <w:t>目 录</w:t>
      </w:r>
      <w:bookmarkEnd w:id="2"/>
      <w:bookmarkEnd w:id="3"/>
    </w:p>
    <w:p w14:paraId="07488E65">
      <w:pPr>
        <w:pStyle w:val="41"/>
        <w:adjustRightInd w:val="0"/>
        <w:snapToGrid w:val="0"/>
        <w:spacing w:line="400" w:lineRule="atLeast"/>
        <w:ind w:firstLine="0" w:firstLineChars="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TOC \o "1-3" \h \z \u </w:instrText>
      </w:r>
      <w:r>
        <w:rPr>
          <w:rStyle w:val="59"/>
          <w:rFonts w:hint="eastAsia" w:ascii="Times New Roman"/>
          <w:color w:val="auto"/>
        </w:rPr>
        <w:fldChar w:fldCharType="separate"/>
      </w:r>
      <w:r>
        <w:rPr>
          <w:rStyle w:val="59"/>
          <w:rFonts w:hint="eastAsia" w:ascii="Times New Roman"/>
          <w:b/>
          <w:bCs/>
          <w:color w:val="auto"/>
        </w:rPr>
        <w:fldChar w:fldCharType="begin"/>
      </w:r>
      <w:r>
        <w:rPr>
          <w:rStyle w:val="59"/>
          <w:rFonts w:hint="eastAsia" w:ascii="Times New Roman"/>
          <w:b/>
          <w:bCs/>
          <w:color w:val="auto"/>
        </w:rPr>
        <w:instrText xml:space="preserve"> HYPERLINK \l "_Toc193981245" </w:instrText>
      </w:r>
      <w:r>
        <w:rPr>
          <w:rStyle w:val="59"/>
          <w:rFonts w:hint="eastAsia" w:ascii="Times New Roman"/>
          <w:b/>
          <w:bCs/>
          <w:color w:val="auto"/>
        </w:rPr>
        <w:fldChar w:fldCharType="separate"/>
      </w:r>
      <w:r>
        <w:rPr>
          <w:rStyle w:val="59"/>
          <w:rFonts w:hint="eastAsia" w:ascii="Times New Roman"/>
          <w:b/>
          <w:bCs/>
          <w:color w:val="auto"/>
        </w:rPr>
        <w:t>第一章 招标公告</w:t>
      </w:r>
      <w:r>
        <w:rPr>
          <w:rStyle w:val="59"/>
          <w:rFonts w:hint="eastAsia" w:ascii="Times New Roman"/>
          <w:b/>
          <w:bCs/>
          <w:color w:val="auto"/>
        </w:rPr>
        <w:tab/>
      </w:r>
      <w:r>
        <w:rPr>
          <w:rStyle w:val="59"/>
          <w:rFonts w:hint="eastAsia" w:ascii="Times New Roman"/>
          <w:b/>
          <w:bCs/>
          <w:color w:val="auto"/>
        </w:rPr>
        <w:fldChar w:fldCharType="begin"/>
      </w:r>
      <w:r>
        <w:rPr>
          <w:rStyle w:val="59"/>
          <w:rFonts w:hint="eastAsia" w:ascii="Times New Roman"/>
          <w:b/>
          <w:bCs/>
          <w:color w:val="auto"/>
        </w:rPr>
        <w:instrText xml:space="preserve"> PAGEREF _Toc193981245 \h </w:instrText>
      </w:r>
      <w:r>
        <w:rPr>
          <w:rStyle w:val="59"/>
          <w:rFonts w:hint="eastAsia" w:ascii="Times New Roman"/>
          <w:b/>
          <w:bCs/>
          <w:color w:val="auto"/>
        </w:rPr>
        <w:fldChar w:fldCharType="separate"/>
      </w:r>
      <w:r>
        <w:rPr>
          <w:rStyle w:val="59"/>
          <w:rFonts w:hint="eastAsia" w:ascii="Times New Roman"/>
          <w:b/>
          <w:bCs/>
          <w:color w:val="auto"/>
        </w:rPr>
        <w:t>1</w:t>
      </w:r>
      <w:r>
        <w:rPr>
          <w:rStyle w:val="59"/>
          <w:rFonts w:hint="eastAsia" w:ascii="Times New Roman"/>
          <w:b/>
          <w:bCs/>
          <w:color w:val="auto"/>
        </w:rPr>
        <w:fldChar w:fldCharType="end"/>
      </w:r>
      <w:r>
        <w:rPr>
          <w:rStyle w:val="59"/>
          <w:rFonts w:hint="eastAsia" w:ascii="Times New Roman"/>
          <w:b/>
          <w:bCs/>
          <w:color w:val="auto"/>
        </w:rPr>
        <w:fldChar w:fldCharType="end"/>
      </w:r>
    </w:p>
    <w:p w14:paraId="69B832FC">
      <w:pPr>
        <w:pStyle w:val="41"/>
        <w:adjustRightInd w:val="0"/>
        <w:snapToGrid w:val="0"/>
        <w:spacing w:line="400" w:lineRule="atLeast"/>
        <w:ind w:firstLine="0" w:firstLineChars="0"/>
        <w:rPr>
          <w:rStyle w:val="59"/>
          <w:rFonts w:hint="eastAsia" w:ascii="Times New Roman"/>
          <w:color w:val="auto"/>
        </w:rPr>
      </w:pPr>
      <w:r>
        <w:rPr>
          <w:rStyle w:val="59"/>
          <w:rFonts w:hint="eastAsia" w:ascii="Times New Roman"/>
          <w:b/>
          <w:bCs/>
          <w:color w:val="auto"/>
        </w:rPr>
        <w:fldChar w:fldCharType="begin"/>
      </w:r>
      <w:r>
        <w:rPr>
          <w:rStyle w:val="59"/>
          <w:rFonts w:hint="eastAsia" w:ascii="Times New Roman"/>
          <w:b/>
          <w:bCs/>
          <w:color w:val="auto"/>
        </w:rPr>
        <w:instrText xml:space="preserve"> HYPERLINK \l "_Toc193981255" </w:instrText>
      </w:r>
      <w:r>
        <w:rPr>
          <w:rStyle w:val="59"/>
          <w:rFonts w:hint="eastAsia" w:ascii="Times New Roman"/>
          <w:b/>
          <w:bCs/>
          <w:color w:val="auto"/>
        </w:rPr>
        <w:fldChar w:fldCharType="separate"/>
      </w:r>
      <w:r>
        <w:rPr>
          <w:rStyle w:val="59"/>
          <w:rFonts w:hint="eastAsia" w:ascii="Times New Roman"/>
          <w:b/>
          <w:bCs/>
          <w:color w:val="auto"/>
        </w:rPr>
        <w:t>第二章 投标人须知</w:t>
      </w:r>
      <w:r>
        <w:rPr>
          <w:rStyle w:val="59"/>
          <w:rFonts w:hint="eastAsia" w:ascii="Times New Roman"/>
          <w:b/>
          <w:bCs/>
          <w:color w:val="auto"/>
        </w:rPr>
        <w:tab/>
      </w:r>
      <w:r>
        <w:rPr>
          <w:rStyle w:val="59"/>
          <w:rFonts w:hint="eastAsia" w:ascii="Times New Roman"/>
          <w:b/>
          <w:bCs/>
          <w:color w:val="auto"/>
        </w:rPr>
        <w:fldChar w:fldCharType="begin"/>
      </w:r>
      <w:r>
        <w:rPr>
          <w:rStyle w:val="59"/>
          <w:rFonts w:hint="eastAsia" w:ascii="Times New Roman"/>
          <w:b/>
          <w:bCs/>
          <w:color w:val="auto"/>
        </w:rPr>
        <w:instrText xml:space="preserve"> PAGEREF _Toc193981255 \h </w:instrText>
      </w:r>
      <w:r>
        <w:rPr>
          <w:rStyle w:val="59"/>
          <w:rFonts w:hint="eastAsia" w:ascii="Times New Roman"/>
          <w:b/>
          <w:bCs/>
          <w:color w:val="auto"/>
        </w:rPr>
        <w:fldChar w:fldCharType="separate"/>
      </w:r>
      <w:r>
        <w:rPr>
          <w:rStyle w:val="59"/>
          <w:rFonts w:hint="eastAsia" w:ascii="Times New Roman"/>
          <w:b/>
          <w:bCs/>
          <w:color w:val="auto"/>
        </w:rPr>
        <w:t>4</w:t>
      </w:r>
      <w:r>
        <w:rPr>
          <w:rStyle w:val="59"/>
          <w:rFonts w:hint="eastAsia" w:ascii="Times New Roman"/>
          <w:b/>
          <w:bCs/>
          <w:color w:val="auto"/>
        </w:rPr>
        <w:fldChar w:fldCharType="end"/>
      </w:r>
      <w:r>
        <w:rPr>
          <w:rStyle w:val="59"/>
          <w:rFonts w:hint="eastAsia" w:ascii="Times New Roman"/>
          <w:b/>
          <w:bCs/>
          <w:color w:val="auto"/>
        </w:rPr>
        <w:fldChar w:fldCharType="end"/>
      </w:r>
    </w:p>
    <w:p w14:paraId="34274517">
      <w:pPr>
        <w:pStyle w:val="41"/>
        <w:adjustRightInd w:val="0"/>
        <w:snapToGrid w:val="0"/>
        <w:spacing w:line="400" w:lineRule="atLeast"/>
        <w:ind w:firstLine="0" w:firstLineChars="0"/>
        <w:rPr>
          <w:rStyle w:val="59"/>
          <w:rFonts w:hint="eastAsia" w:ascii="Times New Roman"/>
          <w:b/>
          <w:bCs/>
          <w:color w:val="auto"/>
        </w:rPr>
      </w:pPr>
      <w:r>
        <w:rPr>
          <w:rStyle w:val="59"/>
          <w:rFonts w:hint="eastAsia" w:ascii="Times New Roman"/>
          <w:b/>
          <w:bCs/>
          <w:color w:val="auto"/>
        </w:rPr>
        <w:fldChar w:fldCharType="begin"/>
      </w:r>
      <w:r>
        <w:rPr>
          <w:rStyle w:val="59"/>
          <w:rFonts w:hint="eastAsia" w:ascii="Times New Roman"/>
          <w:b/>
          <w:bCs/>
          <w:color w:val="auto"/>
        </w:rPr>
        <w:instrText xml:space="preserve"> HYPERLINK \l "_Toc193981301" </w:instrText>
      </w:r>
      <w:r>
        <w:rPr>
          <w:rStyle w:val="59"/>
          <w:rFonts w:hint="eastAsia" w:ascii="Times New Roman"/>
          <w:b/>
          <w:bCs/>
          <w:color w:val="auto"/>
        </w:rPr>
        <w:fldChar w:fldCharType="separate"/>
      </w:r>
      <w:r>
        <w:rPr>
          <w:rStyle w:val="59"/>
          <w:rFonts w:hint="eastAsia" w:ascii="Times New Roman"/>
          <w:b/>
          <w:bCs/>
          <w:color w:val="auto"/>
        </w:rPr>
        <w:t>第三章 评标办法</w:t>
      </w:r>
      <w:r>
        <w:rPr>
          <w:rStyle w:val="59"/>
          <w:rFonts w:hint="eastAsia" w:ascii="Times New Roman"/>
          <w:b/>
          <w:bCs/>
          <w:color w:val="auto"/>
        </w:rPr>
        <w:tab/>
      </w:r>
      <w:r>
        <w:rPr>
          <w:rStyle w:val="59"/>
          <w:rFonts w:hint="eastAsia" w:ascii="Times New Roman"/>
          <w:b/>
          <w:bCs/>
          <w:color w:val="auto"/>
        </w:rPr>
        <w:fldChar w:fldCharType="begin"/>
      </w:r>
      <w:r>
        <w:rPr>
          <w:rStyle w:val="59"/>
          <w:rFonts w:hint="eastAsia" w:ascii="Times New Roman"/>
          <w:b/>
          <w:bCs/>
          <w:color w:val="auto"/>
        </w:rPr>
        <w:instrText xml:space="preserve"> PAGEREF _Toc193981301 \h </w:instrText>
      </w:r>
      <w:r>
        <w:rPr>
          <w:rStyle w:val="59"/>
          <w:rFonts w:hint="eastAsia" w:ascii="Times New Roman"/>
          <w:b/>
          <w:bCs/>
          <w:color w:val="auto"/>
        </w:rPr>
        <w:fldChar w:fldCharType="separate"/>
      </w:r>
      <w:r>
        <w:rPr>
          <w:rStyle w:val="59"/>
          <w:rFonts w:hint="eastAsia" w:ascii="Times New Roman"/>
          <w:b/>
          <w:bCs/>
          <w:color w:val="auto"/>
        </w:rPr>
        <w:t>16</w:t>
      </w:r>
      <w:r>
        <w:rPr>
          <w:rStyle w:val="59"/>
          <w:rFonts w:hint="eastAsia" w:ascii="Times New Roman"/>
          <w:b/>
          <w:bCs/>
          <w:color w:val="auto"/>
        </w:rPr>
        <w:fldChar w:fldCharType="end"/>
      </w:r>
      <w:r>
        <w:rPr>
          <w:rStyle w:val="59"/>
          <w:rFonts w:hint="eastAsia" w:ascii="Times New Roman"/>
          <w:b/>
          <w:bCs/>
          <w:color w:val="auto"/>
        </w:rPr>
        <w:fldChar w:fldCharType="end"/>
      </w:r>
    </w:p>
    <w:p w14:paraId="21812712">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"_Toc193981302" </w:instrText>
      </w:r>
      <w:r>
        <w:rPr>
          <w:rStyle w:val="59"/>
          <w:rFonts w:hint="eastAsia" w:ascii="Times New Roman"/>
          <w:color w:val="auto"/>
        </w:rPr>
        <w:fldChar w:fldCharType="separate"/>
      </w:r>
      <w:r>
        <w:rPr>
          <w:rStyle w:val="59"/>
          <w:rFonts w:hint="eastAsia" w:ascii="Times New Roman"/>
          <w:color w:val="auto"/>
        </w:rPr>
        <w:t>附表一 资格审查表</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_Toc193981302 \h </w:instrText>
      </w:r>
      <w:r>
        <w:rPr>
          <w:rStyle w:val="59"/>
          <w:rFonts w:hint="eastAsia" w:ascii="Times New Roman"/>
          <w:color w:val="auto"/>
        </w:rPr>
        <w:fldChar w:fldCharType="separate"/>
      </w:r>
      <w:r>
        <w:rPr>
          <w:rStyle w:val="59"/>
          <w:rFonts w:hint="eastAsia" w:ascii="Times New Roman"/>
          <w:color w:val="auto"/>
        </w:rPr>
        <w:t>20</w:t>
      </w:r>
      <w:r>
        <w:rPr>
          <w:rStyle w:val="59"/>
          <w:rFonts w:hint="eastAsia" w:ascii="Times New Roman"/>
          <w:color w:val="auto"/>
        </w:rPr>
        <w:fldChar w:fldCharType="end"/>
      </w:r>
      <w:r>
        <w:rPr>
          <w:rStyle w:val="59"/>
          <w:rFonts w:hint="eastAsia" w:ascii="Times New Roman"/>
          <w:color w:val="auto"/>
        </w:rPr>
        <w:fldChar w:fldCharType="end"/>
      </w:r>
    </w:p>
    <w:p w14:paraId="5F9D2672">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"_Toc193981303" </w:instrText>
      </w:r>
      <w:r>
        <w:rPr>
          <w:rStyle w:val="59"/>
          <w:rFonts w:hint="eastAsia" w:ascii="Times New Roman"/>
          <w:color w:val="auto"/>
        </w:rPr>
        <w:fldChar w:fldCharType="separate"/>
      </w:r>
      <w:r>
        <w:rPr>
          <w:rStyle w:val="59"/>
          <w:rFonts w:hint="eastAsia" w:ascii="Times New Roman"/>
          <w:color w:val="auto"/>
        </w:rPr>
        <w:t>附表二 初步评审表</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_Toc193981303 \h </w:instrText>
      </w:r>
      <w:r>
        <w:rPr>
          <w:rStyle w:val="59"/>
          <w:rFonts w:hint="eastAsia" w:ascii="Times New Roman"/>
          <w:color w:val="auto"/>
        </w:rPr>
        <w:fldChar w:fldCharType="separate"/>
      </w:r>
      <w:r>
        <w:rPr>
          <w:rStyle w:val="59"/>
          <w:rFonts w:hint="eastAsia" w:ascii="Times New Roman"/>
          <w:color w:val="auto"/>
        </w:rPr>
        <w:t>22</w:t>
      </w:r>
      <w:r>
        <w:rPr>
          <w:rStyle w:val="59"/>
          <w:rFonts w:hint="eastAsia" w:ascii="Times New Roman"/>
          <w:color w:val="auto"/>
        </w:rPr>
        <w:fldChar w:fldCharType="end"/>
      </w:r>
      <w:r>
        <w:rPr>
          <w:rStyle w:val="59"/>
          <w:rFonts w:hint="eastAsia" w:ascii="Times New Roman"/>
          <w:color w:val="auto"/>
        </w:rPr>
        <w:fldChar w:fldCharType="end"/>
      </w:r>
    </w:p>
    <w:p w14:paraId="13CDA288">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"_Toc193981304" </w:instrText>
      </w:r>
      <w:r>
        <w:rPr>
          <w:rStyle w:val="59"/>
          <w:rFonts w:hint="eastAsia" w:ascii="Times New Roman"/>
          <w:color w:val="auto"/>
        </w:rPr>
        <w:fldChar w:fldCharType="separate"/>
      </w:r>
      <w:r>
        <w:rPr>
          <w:rStyle w:val="59"/>
          <w:rFonts w:hint="eastAsia" w:ascii="Times New Roman"/>
          <w:color w:val="auto"/>
        </w:rPr>
        <w:t>附表三 资信部分评审表</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_Toc193981304 \h </w:instrText>
      </w:r>
      <w:r>
        <w:rPr>
          <w:rStyle w:val="59"/>
          <w:rFonts w:hint="eastAsia" w:ascii="Times New Roman"/>
          <w:color w:val="auto"/>
        </w:rPr>
        <w:fldChar w:fldCharType="separate"/>
      </w:r>
      <w:r>
        <w:rPr>
          <w:rStyle w:val="59"/>
          <w:rFonts w:hint="eastAsia" w:ascii="Times New Roman"/>
          <w:color w:val="auto"/>
        </w:rPr>
        <w:t>23</w:t>
      </w:r>
      <w:r>
        <w:rPr>
          <w:rStyle w:val="59"/>
          <w:rFonts w:hint="eastAsia" w:ascii="Times New Roman"/>
          <w:color w:val="auto"/>
        </w:rPr>
        <w:fldChar w:fldCharType="end"/>
      </w:r>
      <w:r>
        <w:rPr>
          <w:rStyle w:val="59"/>
          <w:rFonts w:hint="eastAsia" w:ascii="Times New Roman"/>
          <w:color w:val="auto"/>
        </w:rPr>
        <w:fldChar w:fldCharType="end"/>
      </w:r>
    </w:p>
    <w:p w14:paraId="3C5D37B0">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"_Toc193981305" </w:instrText>
      </w:r>
      <w:r>
        <w:rPr>
          <w:rStyle w:val="59"/>
          <w:rFonts w:hint="eastAsia" w:ascii="Times New Roman"/>
          <w:color w:val="auto"/>
        </w:rPr>
        <w:fldChar w:fldCharType="separate"/>
      </w:r>
      <w:r>
        <w:rPr>
          <w:rStyle w:val="59"/>
          <w:rFonts w:hint="eastAsia" w:ascii="Times New Roman"/>
          <w:color w:val="auto"/>
        </w:rPr>
        <w:t>附表四 技术部分评审表</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_Toc193981305 \h </w:instrText>
      </w:r>
      <w:r>
        <w:rPr>
          <w:rStyle w:val="59"/>
          <w:rFonts w:hint="eastAsia" w:ascii="Times New Roman"/>
          <w:color w:val="auto"/>
        </w:rPr>
        <w:fldChar w:fldCharType="separate"/>
      </w:r>
      <w:r>
        <w:rPr>
          <w:rStyle w:val="59"/>
          <w:rFonts w:hint="eastAsia" w:ascii="Times New Roman"/>
          <w:color w:val="auto"/>
        </w:rPr>
        <w:t>24</w:t>
      </w:r>
      <w:r>
        <w:rPr>
          <w:rStyle w:val="59"/>
          <w:rFonts w:hint="eastAsia" w:ascii="Times New Roman"/>
          <w:color w:val="auto"/>
        </w:rPr>
        <w:fldChar w:fldCharType="end"/>
      </w:r>
      <w:r>
        <w:rPr>
          <w:rStyle w:val="59"/>
          <w:rFonts w:hint="eastAsia" w:ascii="Times New Roman"/>
          <w:color w:val="auto"/>
        </w:rPr>
        <w:fldChar w:fldCharType="end"/>
      </w:r>
    </w:p>
    <w:p w14:paraId="1261EE74">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"_Toc193981306" </w:instrText>
      </w:r>
      <w:r>
        <w:rPr>
          <w:rStyle w:val="59"/>
          <w:rFonts w:hint="eastAsia" w:ascii="Times New Roman"/>
          <w:color w:val="auto"/>
        </w:rPr>
        <w:fldChar w:fldCharType="separate"/>
      </w:r>
      <w:r>
        <w:rPr>
          <w:rStyle w:val="59"/>
          <w:rFonts w:hint="eastAsia" w:ascii="Times New Roman"/>
          <w:color w:val="auto"/>
        </w:rPr>
        <w:t>附表五 报价部分评审表</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_Toc193981306 \h </w:instrText>
      </w:r>
      <w:r>
        <w:rPr>
          <w:rStyle w:val="59"/>
          <w:rFonts w:hint="eastAsia" w:ascii="Times New Roman"/>
          <w:color w:val="auto"/>
        </w:rPr>
        <w:fldChar w:fldCharType="separate"/>
      </w:r>
      <w:r>
        <w:rPr>
          <w:rStyle w:val="59"/>
          <w:rFonts w:hint="eastAsia" w:ascii="Times New Roman"/>
          <w:color w:val="auto"/>
        </w:rPr>
        <w:t>28</w:t>
      </w:r>
      <w:r>
        <w:rPr>
          <w:rStyle w:val="59"/>
          <w:rFonts w:hint="eastAsia" w:ascii="Times New Roman"/>
          <w:color w:val="auto"/>
        </w:rPr>
        <w:fldChar w:fldCharType="end"/>
      </w:r>
      <w:r>
        <w:rPr>
          <w:rStyle w:val="59"/>
          <w:rFonts w:hint="eastAsia" w:ascii="Times New Roman"/>
          <w:color w:val="auto"/>
        </w:rPr>
        <w:fldChar w:fldCharType="end"/>
      </w:r>
    </w:p>
    <w:p w14:paraId="29D17143">
      <w:pPr>
        <w:pStyle w:val="41"/>
        <w:adjustRightInd w:val="0"/>
        <w:snapToGrid w:val="0"/>
        <w:spacing w:line="400" w:lineRule="atLeast"/>
        <w:ind w:firstLine="0" w:firstLineChars="0"/>
        <w:rPr>
          <w:rStyle w:val="59"/>
          <w:rFonts w:hint="eastAsia" w:ascii="Times New Roman"/>
          <w:b/>
          <w:bCs/>
          <w:color w:val="auto"/>
        </w:rPr>
      </w:pPr>
      <w:r>
        <w:rPr>
          <w:rStyle w:val="59"/>
          <w:rFonts w:hint="eastAsia" w:ascii="Times New Roman"/>
          <w:b/>
          <w:bCs/>
          <w:color w:val="auto"/>
        </w:rPr>
        <w:fldChar w:fldCharType="begin"/>
      </w:r>
      <w:r>
        <w:rPr>
          <w:rStyle w:val="59"/>
          <w:rFonts w:hint="eastAsia" w:ascii="Times New Roman"/>
          <w:b/>
          <w:bCs/>
          <w:color w:val="auto"/>
        </w:rPr>
        <w:instrText xml:space="preserve"> HYPERLINK \l "_Toc193981307" </w:instrText>
      </w:r>
      <w:r>
        <w:rPr>
          <w:rStyle w:val="59"/>
          <w:rFonts w:hint="eastAsia" w:ascii="Times New Roman"/>
          <w:b/>
          <w:bCs/>
          <w:color w:val="auto"/>
        </w:rPr>
        <w:fldChar w:fldCharType="separate"/>
      </w:r>
      <w:r>
        <w:rPr>
          <w:rStyle w:val="59"/>
          <w:rFonts w:hint="eastAsia" w:ascii="Times New Roman"/>
          <w:b/>
          <w:bCs/>
          <w:color w:val="auto"/>
        </w:rPr>
        <w:t>第四章 合同条款及格式</w:t>
      </w:r>
      <w:r>
        <w:rPr>
          <w:rStyle w:val="59"/>
          <w:rFonts w:hint="eastAsia" w:ascii="Times New Roman"/>
          <w:b/>
          <w:bCs/>
          <w:color w:val="auto"/>
        </w:rPr>
        <w:tab/>
      </w:r>
      <w:r>
        <w:rPr>
          <w:rStyle w:val="59"/>
          <w:rFonts w:hint="eastAsia" w:ascii="Times New Roman"/>
          <w:b/>
          <w:bCs/>
          <w:color w:val="auto"/>
        </w:rPr>
        <w:fldChar w:fldCharType="begin"/>
      </w:r>
      <w:r>
        <w:rPr>
          <w:rStyle w:val="59"/>
          <w:rFonts w:hint="eastAsia" w:ascii="Times New Roman"/>
          <w:b/>
          <w:bCs/>
          <w:color w:val="auto"/>
        </w:rPr>
        <w:instrText xml:space="preserve"> PAGEREF _Toc193981307 \h </w:instrText>
      </w:r>
      <w:r>
        <w:rPr>
          <w:rStyle w:val="59"/>
          <w:rFonts w:hint="eastAsia" w:ascii="Times New Roman"/>
          <w:b/>
          <w:bCs/>
          <w:color w:val="auto"/>
        </w:rPr>
        <w:fldChar w:fldCharType="separate"/>
      </w:r>
      <w:r>
        <w:rPr>
          <w:rStyle w:val="59"/>
          <w:rFonts w:hint="eastAsia" w:ascii="Times New Roman"/>
          <w:b/>
          <w:bCs/>
          <w:color w:val="auto"/>
        </w:rPr>
        <w:t>29</w:t>
      </w:r>
      <w:r>
        <w:rPr>
          <w:rStyle w:val="59"/>
          <w:rFonts w:hint="eastAsia" w:ascii="Times New Roman"/>
          <w:b/>
          <w:bCs/>
          <w:color w:val="auto"/>
        </w:rPr>
        <w:fldChar w:fldCharType="end"/>
      </w:r>
      <w:r>
        <w:rPr>
          <w:rStyle w:val="59"/>
          <w:rFonts w:hint="eastAsia" w:ascii="Times New Roman"/>
          <w:b/>
          <w:bCs/>
          <w:color w:val="auto"/>
        </w:rPr>
        <w:fldChar w:fldCharType="end"/>
      </w:r>
    </w:p>
    <w:p w14:paraId="2AB70B66">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"_Toc193981308" </w:instrText>
      </w:r>
      <w:r>
        <w:rPr>
          <w:rStyle w:val="59"/>
          <w:rFonts w:hint="eastAsia" w:ascii="Times New Roman"/>
          <w:color w:val="auto"/>
        </w:rPr>
        <w:fldChar w:fldCharType="separate"/>
      </w:r>
      <w:r>
        <w:rPr>
          <w:rStyle w:val="59"/>
          <w:rFonts w:hint="eastAsia" w:ascii="Times New Roman"/>
          <w:color w:val="auto"/>
        </w:rPr>
        <w:t>1.词语定义</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_Toc193981308 \h </w:instrText>
      </w:r>
      <w:r>
        <w:rPr>
          <w:rStyle w:val="59"/>
          <w:rFonts w:hint="eastAsia" w:ascii="Times New Roman"/>
          <w:color w:val="auto"/>
        </w:rPr>
        <w:fldChar w:fldCharType="separate"/>
      </w:r>
      <w:r>
        <w:rPr>
          <w:rStyle w:val="59"/>
          <w:rFonts w:hint="eastAsia" w:ascii="Times New Roman"/>
          <w:color w:val="auto"/>
        </w:rPr>
        <w:t>30</w:t>
      </w:r>
      <w:r>
        <w:rPr>
          <w:rStyle w:val="59"/>
          <w:rFonts w:hint="eastAsia" w:ascii="Times New Roman"/>
          <w:color w:val="auto"/>
        </w:rPr>
        <w:fldChar w:fldCharType="end"/>
      </w:r>
      <w:r>
        <w:rPr>
          <w:rStyle w:val="59"/>
          <w:rFonts w:hint="eastAsia" w:ascii="Times New Roman"/>
          <w:color w:val="auto"/>
        </w:rPr>
        <w:fldChar w:fldCharType="end"/>
      </w:r>
    </w:p>
    <w:p w14:paraId="4C4B7269">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"_Toc193981309" </w:instrText>
      </w:r>
      <w:r>
        <w:rPr>
          <w:rStyle w:val="59"/>
          <w:rFonts w:hint="eastAsia" w:ascii="Times New Roman"/>
          <w:color w:val="auto"/>
        </w:rPr>
        <w:fldChar w:fldCharType="separate"/>
      </w:r>
      <w:r>
        <w:rPr>
          <w:rStyle w:val="59"/>
          <w:rFonts w:hint="eastAsia" w:ascii="Times New Roman"/>
          <w:color w:val="auto"/>
        </w:rPr>
        <w:t>2.合同文件的优先次序</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_Toc193981309 \h </w:instrText>
      </w:r>
      <w:r>
        <w:rPr>
          <w:rStyle w:val="59"/>
          <w:rFonts w:hint="eastAsia" w:ascii="Times New Roman"/>
          <w:color w:val="auto"/>
        </w:rPr>
        <w:fldChar w:fldCharType="separate"/>
      </w:r>
      <w:r>
        <w:rPr>
          <w:rStyle w:val="59"/>
          <w:rFonts w:hint="eastAsia" w:ascii="Times New Roman"/>
          <w:color w:val="auto"/>
        </w:rPr>
        <w:t>30</w:t>
      </w:r>
      <w:r>
        <w:rPr>
          <w:rStyle w:val="59"/>
          <w:rFonts w:hint="eastAsia" w:ascii="Times New Roman"/>
          <w:color w:val="auto"/>
        </w:rPr>
        <w:fldChar w:fldCharType="end"/>
      </w:r>
      <w:r>
        <w:rPr>
          <w:rStyle w:val="59"/>
          <w:rFonts w:hint="eastAsia" w:ascii="Times New Roman"/>
          <w:color w:val="auto"/>
        </w:rPr>
        <w:fldChar w:fldCharType="end"/>
      </w:r>
    </w:p>
    <w:p w14:paraId="3D3AEC55">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"_Toc193981310" </w:instrText>
      </w:r>
      <w:r>
        <w:rPr>
          <w:rStyle w:val="59"/>
          <w:rFonts w:hint="eastAsia" w:ascii="Times New Roman"/>
          <w:color w:val="auto"/>
        </w:rPr>
        <w:fldChar w:fldCharType="separate"/>
      </w:r>
      <w:r>
        <w:rPr>
          <w:rStyle w:val="59"/>
          <w:rFonts w:hint="eastAsia" w:ascii="Times New Roman"/>
          <w:color w:val="auto"/>
        </w:rPr>
        <w:t>3.项目概况</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_Toc193981310 \h </w:instrText>
      </w:r>
      <w:r>
        <w:rPr>
          <w:rStyle w:val="59"/>
          <w:rFonts w:hint="eastAsia" w:ascii="Times New Roman"/>
          <w:color w:val="auto"/>
        </w:rPr>
        <w:fldChar w:fldCharType="separate"/>
      </w:r>
      <w:r>
        <w:rPr>
          <w:rStyle w:val="59"/>
          <w:rFonts w:hint="eastAsia" w:ascii="Times New Roman"/>
          <w:color w:val="auto"/>
        </w:rPr>
        <w:t>30</w:t>
      </w:r>
      <w:r>
        <w:rPr>
          <w:rStyle w:val="59"/>
          <w:rFonts w:hint="eastAsia" w:ascii="Times New Roman"/>
          <w:color w:val="auto"/>
        </w:rPr>
        <w:fldChar w:fldCharType="end"/>
      </w:r>
      <w:r>
        <w:rPr>
          <w:rStyle w:val="59"/>
          <w:rFonts w:hint="eastAsia" w:ascii="Times New Roman"/>
          <w:color w:val="auto"/>
        </w:rPr>
        <w:fldChar w:fldCharType="end"/>
      </w:r>
    </w:p>
    <w:p w14:paraId="33B875A0">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"_Toc193981311" </w:instrText>
      </w:r>
      <w:r>
        <w:rPr>
          <w:rStyle w:val="59"/>
          <w:rFonts w:hint="eastAsia" w:ascii="Times New Roman"/>
          <w:color w:val="auto"/>
        </w:rPr>
        <w:fldChar w:fldCharType="separate"/>
      </w:r>
      <w:r>
        <w:rPr>
          <w:rStyle w:val="59"/>
          <w:rFonts w:hint="eastAsia" w:ascii="Times New Roman"/>
          <w:color w:val="auto"/>
        </w:rPr>
        <w:t>4.法律、法规和规定（如有最新规范或规程，则以最新为准）</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_Toc193981311 \h </w:instrText>
      </w:r>
      <w:r>
        <w:rPr>
          <w:rStyle w:val="59"/>
          <w:rFonts w:hint="eastAsia" w:ascii="Times New Roman"/>
          <w:color w:val="auto"/>
        </w:rPr>
        <w:fldChar w:fldCharType="separate"/>
      </w:r>
      <w:r>
        <w:rPr>
          <w:rStyle w:val="59"/>
          <w:rFonts w:hint="eastAsia" w:ascii="Times New Roman"/>
          <w:color w:val="auto"/>
        </w:rPr>
        <w:t>31</w:t>
      </w:r>
      <w:r>
        <w:rPr>
          <w:rStyle w:val="59"/>
          <w:rFonts w:hint="eastAsia" w:ascii="Times New Roman"/>
          <w:color w:val="auto"/>
        </w:rPr>
        <w:fldChar w:fldCharType="end"/>
      </w:r>
      <w:r>
        <w:rPr>
          <w:rStyle w:val="59"/>
          <w:rFonts w:hint="eastAsia" w:ascii="Times New Roman"/>
          <w:color w:val="auto"/>
        </w:rPr>
        <w:fldChar w:fldCharType="end"/>
      </w:r>
    </w:p>
    <w:p w14:paraId="5E848F10">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"_Toc193981312" </w:instrText>
      </w:r>
      <w:r>
        <w:rPr>
          <w:rStyle w:val="59"/>
          <w:rFonts w:hint="eastAsia" w:ascii="Times New Roman"/>
          <w:color w:val="auto"/>
        </w:rPr>
        <w:fldChar w:fldCharType="separate"/>
      </w:r>
      <w:r>
        <w:rPr>
          <w:rStyle w:val="59"/>
          <w:rFonts w:hint="eastAsia" w:ascii="Times New Roman"/>
          <w:color w:val="auto"/>
        </w:rPr>
        <w:t>5.服务范围和工作内容</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_Toc193981312 \h </w:instrText>
      </w:r>
      <w:r>
        <w:rPr>
          <w:rStyle w:val="59"/>
          <w:rFonts w:hint="eastAsia" w:ascii="Times New Roman"/>
          <w:color w:val="auto"/>
        </w:rPr>
        <w:fldChar w:fldCharType="separate"/>
      </w:r>
      <w:r>
        <w:rPr>
          <w:rStyle w:val="59"/>
          <w:rFonts w:hint="eastAsia" w:ascii="Times New Roman"/>
          <w:color w:val="auto"/>
        </w:rPr>
        <w:t>31</w:t>
      </w:r>
      <w:r>
        <w:rPr>
          <w:rStyle w:val="59"/>
          <w:rFonts w:hint="eastAsia" w:ascii="Times New Roman"/>
          <w:color w:val="auto"/>
        </w:rPr>
        <w:fldChar w:fldCharType="end"/>
      </w:r>
      <w:r>
        <w:rPr>
          <w:rStyle w:val="59"/>
          <w:rFonts w:hint="eastAsia" w:ascii="Times New Roman"/>
          <w:color w:val="auto"/>
        </w:rPr>
        <w:fldChar w:fldCharType="end"/>
      </w:r>
    </w:p>
    <w:p w14:paraId="6F42F813">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"_Toc193981313" </w:instrText>
      </w:r>
      <w:r>
        <w:rPr>
          <w:rStyle w:val="59"/>
          <w:rFonts w:hint="eastAsia" w:ascii="Times New Roman"/>
          <w:color w:val="auto"/>
        </w:rPr>
        <w:fldChar w:fldCharType="separate"/>
      </w:r>
      <w:r>
        <w:rPr>
          <w:rStyle w:val="59"/>
          <w:rFonts w:hint="eastAsia" w:ascii="Times New Roman"/>
          <w:color w:val="auto"/>
        </w:rPr>
        <w:t>6.服务人员要求</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_Toc193981313 \h </w:instrText>
      </w:r>
      <w:r>
        <w:rPr>
          <w:rStyle w:val="59"/>
          <w:rFonts w:hint="eastAsia" w:ascii="Times New Roman"/>
          <w:color w:val="auto"/>
        </w:rPr>
        <w:fldChar w:fldCharType="separate"/>
      </w:r>
      <w:r>
        <w:rPr>
          <w:rStyle w:val="59"/>
          <w:rFonts w:hint="eastAsia" w:ascii="Times New Roman"/>
          <w:color w:val="auto"/>
        </w:rPr>
        <w:t>37</w:t>
      </w:r>
      <w:r>
        <w:rPr>
          <w:rStyle w:val="59"/>
          <w:rFonts w:hint="eastAsia" w:ascii="Times New Roman"/>
          <w:color w:val="auto"/>
        </w:rPr>
        <w:fldChar w:fldCharType="end"/>
      </w:r>
      <w:r>
        <w:rPr>
          <w:rStyle w:val="59"/>
          <w:rFonts w:hint="eastAsia" w:ascii="Times New Roman"/>
          <w:color w:val="auto"/>
        </w:rPr>
        <w:fldChar w:fldCharType="end"/>
      </w:r>
    </w:p>
    <w:p w14:paraId="561C3601">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"_Toc193981314" </w:instrText>
      </w:r>
      <w:r>
        <w:rPr>
          <w:rStyle w:val="59"/>
          <w:rFonts w:hint="eastAsia" w:ascii="Times New Roman"/>
          <w:color w:val="auto"/>
        </w:rPr>
        <w:fldChar w:fldCharType="separate"/>
      </w:r>
      <w:r>
        <w:rPr>
          <w:rStyle w:val="59"/>
          <w:rFonts w:hint="eastAsia" w:ascii="Times New Roman"/>
          <w:color w:val="auto"/>
        </w:rPr>
        <w:t>7.工作时限要求</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_Toc193981314 \h </w:instrText>
      </w:r>
      <w:r>
        <w:rPr>
          <w:rStyle w:val="59"/>
          <w:rFonts w:hint="eastAsia" w:ascii="Times New Roman"/>
          <w:color w:val="auto"/>
        </w:rPr>
        <w:fldChar w:fldCharType="separate"/>
      </w:r>
      <w:r>
        <w:rPr>
          <w:rStyle w:val="59"/>
          <w:rFonts w:hint="eastAsia" w:ascii="Times New Roman"/>
          <w:color w:val="auto"/>
        </w:rPr>
        <w:t>39</w:t>
      </w:r>
      <w:r>
        <w:rPr>
          <w:rStyle w:val="59"/>
          <w:rFonts w:hint="eastAsia" w:ascii="Times New Roman"/>
          <w:color w:val="auto"/>
        </w:rPr>
        <w:fldChar w:fldCharType="end"/>
      </w:r>
      <w:r>
        <w:rPr>
          <w:rStyle w:val="59"/>
          <w:rFonts w:hint="eastAsia" w:ascii="Times New Roman"/>
          <w:color w:val="auto"/>
        </w:rPr>
        <w:fldChar w:fldCharType="end"/>
      </w:r>
    </w:p>
    <w:p w14:paraId="0845AB5D">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"_Toc193981315" </w:instrText>
      </w:r>
      <w:r>
        <w:rPr>
          <w:rStyle w:val="59"/>
          <w:rFonts w:hint="eastAsia" w:ascii="Times New Roman"/>
          <w:color w:val="auto"/>
        </w:rPr>
        <w:fldChar w:fldCharType="separate"/>
      </w:r>
      <w:r>
        <w:rPr>
          <w:rStyle w:val="59"/>
          <w:rFonts w:hint="eastAsia" w:ascii="Times New Roman"/>
          <w:color w:val="auto"/>
        </w:rPr>
        <w:t>8.造价服务实施程序</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_Toc193981315 \h </w:instrText>
      </w:r>
      <w:r>
        <w:rPr>
          <w:rStyle w:val="59"/>
          <w:rFonts w:hint="eastAsia" w:ascii="Times New Roman"/>
          <w:color w:val="auto"/>
        </w:rPr>
        <w:fldChar w:fldCharType="separate"/>
      </w:r>
      <w:r>
        <w:rPr>
          <w:rStyle w:val="59"/>
          <w:rFonts w:hint="eastAsia" w:ascii="Times New Roman"/>
          <w:color w:val="auto"/>
        </w:rPr>
        <w:t>40</w:t>
      </w:r>
      <w:r>
        <w:rPr>
          <w:rStyle w:val="59"/>
          <w:rFonts w:hint="eastAsia" w:ascii="Times New Roman"/>
          <w:color w:val="auto"/>
        </w:rPr>
        <w:fldChar w:fldCharType="end"/>
      </w:r>
      <w:r>
        <w:rPr>
          <w:rStyle w:val="59"/>
          <w:rFonts w:hint="eastAsia" w:ascii="Times New Roman"/>
          <w:color w:val="auto"/>
        </w:rPr>
        <w:fldChar w:fldCharType="end"/>
      </w:r>
    </w:p>
    <w:p w14:paraId="4DD88F6A">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"_Toc193981316" </w:instrText>
      </w:r>
      <w:r>
        <w:rPr>
          <w:rStyle w:val="59"/>
          <w:rFonts w:hint="eastAsia" w:ascii="Times New Roman"/>
          <w:color w:val="auto"/>
        </w:rPr>
        <w:fldChar w:fldCharType="separate"/>
      </w:r>
      <w:r>
        <w:rPr>
          <w:rStyle w:val="59"/>
          <w:rFonts w:hint="eastAsia" w:ascii="Times New Roman"/>
          <w:color w:val="auto"/>
        </w:rPr>
        <w:t>10.服务酬金及支付</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_Toc193981316 \h </w:instrText>
      </w:r>
      <w:r>
        <w:rPr>
          <w:rStyle w:val="59"/>
          <w:rFonts w:hint="eastAsia" w:ascii="Times New Roman"/>
          <w:color w:val="auto"/>
        </w:rPr>
        <w:fldChar w:fldCharType="separate"/>
      </w:r>
      <w:r>
        <w:rPr>
          <w:rStyle w:val="59"/>
          <w:rFonts w:hint="eastAsia" w:ascii="Times New Roman"/>
          <w:color w:val="auto"/>
        </w:rPr>
        <w:t>41</w:t>
      </w:r>
      <w:r>
        <w:rPr>
          <w:rStyle w:val="59"/>
          <w:rFonts w:hint="eastAsia" w:ascii="Times New Roman"/>
          <w:color w:val="auto"/>
        </w:rPr>
        <w:fldChar w:fldCharType="end"/>
      </w:r>
      <w:r>
        <w:rPr>
          <w:rStyle w:val="59"/>
          <w:rFonts w:hint="eastAsia" w:ascii="Times New Roman"/>
          <w:color w:val="auto"/>
        </w:rPr>
        <w:fldChar w:fldCharType="end"/>
      </w:r>
    </w:p>
    <w:p w14:paraId="5309FF9E">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"_Toc193981317" </w:instrText>
      </w:r>
      <w:r>
        <w:rPr>
          <w:rStyle w:val="59"/>
          <w:rFonts w:hint="eastAsia" w:ascii="Times New Roman"/>
          <w:color w:val="auto"/>
        </w:rPr>
        <w:fldChar w:fldCharType="separate"/>
      </w:r>
      <w:r>
        <w:rPr>
          <w:rStyle w:val="59"/>
          <w:rFonts w:hint="eastAsia" w:ascii="Times New Roman"/>
          <w:color w:val="auto"/>
        </w:rPr>
        <w:t>11.履约保证金</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_Toc193981317 \h </w:instrText>
      </w:r>
      <w:r>
        <w:rPr>
          <w:rStyle w:val="59"/>
          <w:rFonts w:hint="eastAsia" w:ascii="Times New Roman"/>
          <w:color w:val="auto"/>
        </w:rPr>
        <w:fldChar w:fldCharType="separate"/>
      </w:r>
      <w:r>
        <w:rPr>
          <w:rStyle w:val="59"/>
          <w:rFonts w:hint="eastAsia" w:ascii="Times New Roman"/>
          <w:color w:val="auto"/>
        </w:rPr>
        <w:t>42</w:t>
      </w:r>
      <w:r>
        <w:rPr>
          <w:rStyle w:val="59"/>
          <w:rFonts w:hint="eastAsia" w:ascii="Times New Roman"/>
          <w:color w:val="auto"/>
        </w:rPr>
        <w:fldChar w:fldCharType="end"/>
      </w:r>
      <w:r>
        <w:rPr>
          <w:rStyle w:val="59"/>
          <w:rFonts w:hint="eastAsia" w:ascii="Times New Roman"/>
          <w:color w:val="auto"/>
        </w:rPr>
        <w:fldChar w:fldCharType="end"/>
      </w:r>
    </w:p>
    <w:p w14:paraId="6F52A020">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"_Toc193981318" </w:instrText>
      </w:r>
      <w:r>
        <w:rPr>
          <w:rStyle w:val="59"/>
          <w:rFonts w:hint="eastAsia" w:ascii="Times New Roman"/>
          <w:color w:val="auto"/>
        </w:rPr>
        <w:fldChar w:fldCharType="separate"/>
      </w:r>
      <w:r>
        <w:rPr>
          <w:rStyle w:val="59"/>
          <w:rFonts w:hint="eastAsia" w:ascii="Times New Roman"/>
          <w:color w:val="auto"/>
        </w:rPr>
        <w:t>12.甲方的权利和义务</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_Toc193981318 \h </w:instrText>
      </w:r>
      <w:r>
        <w:rPr>
          <w:rStyle w:val="59"/>
          <w:rFonts w:hint="eastAsia" w:ascii="Times New Roman"/>
          <w:color w:val="auto"/>
        </w:rPr>
        <w:fldChar w:fldCharType="separate"/>
      </w:r>
      <w:r>
        <w:rPr>
          <w:rStyle w:val="59"/>
          <w:rFonts w:hint="eastAsia" w:ascii="Times New Roman"/>
          <w:color w:val="auto"/>
        </w:rPr>
        <w:t>43</w:t>
      </w:r>
      <w:r>
        <w:rPr>
          <w:rStyle w:val="59"/>
          <w:rFonts w:hint="eastAsia" w:ascii="Times New Roman"/>
          <w:color w:val="auto"/>
        </w:rPr>
        <w:fldChar w:fldCharType="end"/>
      </w:r>
      <w:r>
        <w:rPr>
          <w:rStyle w:val="59"/>
          <w:rFonts w:hint="eastAsia" w:ascii="Times New Roman"/>
          <w:color w:val="auto"/>
        </w:rPr>
        <w:fldChar w:fldCharType="end"/>
      </w:r>
    </w:p>
    <w:p w14:paraId="1C964880">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"_Toc193981319" </w:instrText>
      </w:r>
      <w:r>
        <w:rPr>
          <w:rStyle w:val="59"/>
          <w:rFonts w:hint="eastAsia" w:ascii="Times New Roman"/>
          <w:color w:val="auto"/>
        </w:rPr>
        <w:fldChar w:fldCharType="separate"/>
      </w:r>
      <w:r>
        <w:rPr>
          <w:rStyle w:val="59"/>
          <w:rFonts w:hint="eastAsia" w:ascii="Times New Roman"/>
          <w:color w:val="auto"/>
        </w:rPr>
        <w:t>13.乙方的权利和义务</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_Toc193981319 \h </w:instrText>
      </w:r>
      <w:r>
        <w:rPr>
          <w:rStyle w:val="59"/>
          <w:rFonts w:hint="eastAsia" w:ascii="Times New Roman"/>
          <w:color w:val="auto"/>
        </w:rPr>
        <w:fldChar w:fldCharType="separate"/>
      </w:r>
      <w:r>
        <w:rPr>
          <w:rStyle w:val="59"/>
          <w:rFonts w:hint="eastAsia" w:ascii="Times New Roman"/>
          <w:color w:val="auto"/>
        </w:rPr>
        <w:t>44</w:t>
      </w:r>
      <w:r>
        <w:rPr>
          <w:rStyle w:val="59"/>
          <w:rFonts w:hint="eastAsia" w:ascii="Times New Roman"/>
          <w:color w:val="auto"/>
        </w:rPr>
        <w:fldChar w:fldCharType="end"/>
      </w:r>
      <w:r>
        <w:rPr>
          <w:rStyle w:val="59"/>
          <w:rFonts w:hint="eastAsia" w:ascii="Times New Roman"/>
          <w:color w:val="auto"/>
        </w:rPr>
        <w:fldChar w:fldCharType="end"/>
      </w:r>
    </w:p>
    <w:p w14:paraId="44491D77">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"_Toc193981320" </w:instrText>
      </w:r>
      <w:r>
        <w:rPr>
          <w:rStyle w:val="59"/>
          <w:rFonts w:hint="eastAsia" w:ascii="Times New Roman"/>
          <w:color w:val="auto"/>
        </w:rPr>
        <w:fldChar w:fldCharType="separate"/>
      </w:r>
      <w:r>
        <w:rPr>
          <w:rStyle w:val="59"/>
          <w:rFonts w:hint="eastAsia" w:ascii="Times New Roman"/>
          <w:color w:val="auto"/>
        </w:rPr>
        <w:t>14.违约责任</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_Toc193981320 \h </w:instrText>
      </w:r>
      <w:r>
        <w:rPr>
          <w:rStyle w:val="59"/>
          <w:rFonts w:hint="eastAsia" w:ascii="Times New Roman"/>
          <w:color w:val="auto"/>
        </w:rPr>
        <w:fldChar w:fldCharType="separate"/>
      </w:r>
      <w:r>
        <w:rPr>
          <w:rStyle w:val="59"/>
          <w:rFonts w:hint="eastAsia" w:ascii="Times New Roman"/>
          <w:color w:val="auto"/>
        </w:rPr>
        <w:t>46</w:t>
      </w:r>
      <w:r>
        <w:rPr>
          <w:rStyle w:val="59"/>
          <w:rFonts w:hint="eastAsia" w:ascii="Times New Roman"/>
          <w:color w:val="auto"/>
        </w:rPr>
        <w:fldChar w:fldCharType="end"/>
      </w:r>
      <w:r>
        <w:rPr>
          <w:rStyle w:val="59"/>
          <w:rFonts w:hint="eastAsia" w:ascii="Times New Roman"/>
          <w:color w:val="auto"/>
        </w:rPr>
        <w:fldChar w:fldCharType="end"/>
      </w:r>
    </w:p>
    <w:p w14:paraId="7AA1C3A7">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"_Toc193981321" </w:instrText>
      </w:r>
      <w:r>
        <w:rPr>
          <w:rStyle w:val="59"/>
          <w:rFonts w:hint="eastAsia" w:ascii="Times New Roman"/>
          <w:color w:val="auto"/>
        </w:rPr>
        <w:fldChar w:fldCharType="separate"/>
      </w:r>
      <w:r>
        <w:rPr>
          <w:rStyle w:val="59"/>
          <w:rFonts w:hint="eastAsia" w:ascii="Times New Roman"/>
          <w:color w:val="auto"/>
        </w:rPr>
        <w:t>15 服务期间奖罚</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_Toc193981321 \h </w:instrText>
      </w:r>
      <w:r>
        <w:rPr>
          <w:rStyle w:val="59"/>
          <w:rFonts w:hint="eastAsia" w:ascii="Times New Roman"/>
          <w:color w:val="auto"/>
        </w:rPr>
        <w:fldChar w:fldCharType="separate"/>
      </w:r>
      <w:r>
        <w:rPr>
          <w:rStyle w:val="59"/>
          <w:rFonts w:hint="eastAsia" w:ascii="Times New Roman"/>
          <w:color w:val="auto"/>
        </w:rPr>
        <w:t>48</w:t>
      </w:r>
      <w:r>
        <w:rPr>
          <w:rStyle w:val="59"/>
          <w:rFonts w:hint="eastAsia" w:ascii="Times New Roman"/>
          <w:color w:val="auto"/>
        </w:rPr>
        <w:fldChar w:fldCharType="end"/>
      </w:r>
      <w:r>
        <w:rPr>
          <w:rStyle w:val="59"/>
          <w:rFonts w:hint="eastAsia" w:ascii="Times New Roman"/>
          <w:color w:val="auto"/>
        </w:rPr>
        <w:fldChar w:fldCharType="end"/>
      </w:r>
    </w:p>
    <w:p w14:paraId="1594A04B">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"_Toc193981322" </w:instrText>
      </w:r>
      <w:r>
        <w:rPr>
          <w:rStyle w:val="59"/>
          <w:rFonts w:hint="eastAsia" w:ascii="Times New Roman"/>
          <w:color w:val="auto"/>
        </w:rPr>
        <w:fldChar w:fldCharType="separate"/>
      </w:r>
      <w:r>
        <w:rPr>
          <w:rStyle w:val="59"/>
          <w:rFonts w:hint="eastAsia" w:ascii="Times New Roman"/>
          <w:color w:val="auto"/>
        </w:rPr>
        <w:t>16.合同变更和终止</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_Toc193981322 \h </w:instrText>
      </w:r>
      <w:r>
        <w:rPr>
          <w:rStyle w:val="59"/>
          <w:rFonts w:hint="eastAsia" w:ascii="Times New Roman"/>
          <w:color w:val="auto"/>
        </w:rPr>
        <w:fldChar w:fldCharType="separate"/>
      </w:r>
      <w:r>
        <w:rPr>
          <w:rStyle w:val="59"/>
          <w:rFonts w:hint="eastAsia" w:ascii="Times New Roman"/>
          <w:color w:val="auto"/>
        </w:rPr>
        <w:t>49</w:t>
      </w:r>
      <w:r>
        <w:rPr>
          <w:rStyle w:val="59"/>
          <w:rFonts w:hint="eastAsia" w:ascii="Times New Roman"/>
          <w:color w:val="auto"/>
        </w:rPr>
        <w:fldChar w:fldCharType="end"/>
      </w:r>
      <w:r>
        <w:rPr>
          <w:rStyle w:val="59"/>
          <w:rFonts w:hint="eastAsia" w:ascii="Times New Roman"/>
          <w:color w:val="auto"/>
        </w:rPr>
        <w:fldChar w:fldCharType="end"/>
      </w:r>
    </w:p>
    <w:p w14:paraId="52E7D148">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"_Toc193981323" </w:instrText>
      </w:r>
      <w:r>
        <w:rPr>
          <w:rStyle w:val="59"/>
          <w:rFonts w:hint="eastAsia" w:ascii="Times New Roman"/>
          <w:color w:val="auto"/>
        </w:rPr>
        <w:fldChar w:fldCharType="separate"/>
      </w:r>
      <w:r>
        <w:rPr>
          <w:rStyle w:val="59"/>
          <w:rFonts w:hint="eastAsia" w:ascii="Times New Roman"/>
          <w:color w:val="auto"/>
        </w:rPr>
        <w:t>17.争议处理</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_Toc193981323 \h </w:instrText>
      </w:r>
      <w:r>
        <w:rPr>
          <w:rStyle w:val="59"/>
          <w:rFonts w:hint="eastAsia" w:ascii="Times New Roman"/>
          <w:color w:val="auto"/>
        </w:rPr>
        <w:fldChar w:fldCharType="separate"/>
      </w:r>
      <w:r>
        <w:rPr>
          <w:rStyle w:val="59"/>
          <w:rFonts w:hint="eastAsia" w:ascii="Times New Roman"/>
          <w:color w:val="auto"/>
        </w:rPr>
        <w:t>49</w:t>
      </w:r>
      <w:r>
        <w:rPr>
          <w:rStyle w:val="59"/>
          <w:rFonts w:hint="eastAsia" w:ascii="Times New Roman"/>
          <w:color w:val="auto"/>
        </w:rPr>
        <w:fldChar w:fldCharType="end"/>
      </w:r>
      <w:r>
        <w:rPr>
          <w:rStyle w:val="59"/>
          <w:rFonts w:hint="eastAsia" w:ascii="Times New Roman"/>
          <w:color w:val="auto"/>
        </w:rPr>
        <w:fldChar w:fldCharType="end"/>
      </w:r>
    </w:p>
    <w:p w14:paraId="4A1080FF">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"_Toc193981324" </w:instrText>
      </w:r>
      <w:r>
        <w:rPr>
          <w:rStyle w:val="59"/>
          <w:rFonts w:hint="eastAsia" w:ascii="Times New Roman"/>
          <w:color w:val="auto"/>
        </w:rPr>
        <w:fldChar w:fldCharType="separate"/>
      </w:r>
      <w:r>
        <w:rPr>
          <w:rStyle w:val="59"/>
          <w:rFonts w:hint="eastAsia" w:ascii="Times New Roman"/>
          <w:color w:val="auto"/>
        </w:rPr>
        <w:t>18.附则</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_Toc193981324 \h </w:instrText>
      </w:r>
      <w:r>
        <w:rPr>
          <w:rStyle w:val="59"/>
          <w:rFonts w:hint="eastAsia" w:ascii="Times New Roman"/>
          <w:color w:val="auto"/>
        </w:rPr>
        <w:fldChar w:fldCharType="separate"/>
      </w:r>
      <w:r>
        <w:rPr>
          <w:rStyle w:val="59"/>
          <w:rFonts w:hint="eastAsia" w:ascii="Times New Roman"/>
          <w:color w:val="auto"/>
        </w:rPr>
        <w:t>50</w:t>
      </w:r>
      <w:r>
        <w:rPr>
          <w:rStyle w:val="59"/>
          <w:rFonts w:hint="eastAsia" w:ascii="Times New Roman"/>
          <w:color w:val="auto"/>
        </w:rPr>
        <w:fldChar w:fldCharType="end"/>
      </w:r>
      <w:r>
        <w:rPr>
          <w:rStyle w:val="59"/>
          <w:rFonts w:hint="eastAsia" w:ascii="Times New Roman"/>
          <w:color w:val="auto"/>
        </w:rPr>
        <w:fldChar w:fldCharType="end"/>
      </w:r>
    </w:p>
    <w:p w14:paraId="2678BB34">
      <w:pPr>
        <w:pStyle w:val="41"/>
        <w:adjustRightInd w:val="0"/>
        <w:snapToGrid w:val="0"/>
        <w:spacing w:line="400" w:lineRule="atLeast"/>
        <w:ind w:firstLine="0" w:firstLineChars="0"/>
        <w:rPr>
          <w:rStyle w:val="59"/>
          <w:rFonts w:hint="eastAsia" w:ascii="Times New Roman"/>
          <w:color w:val="auto"/>
        </w:rPr>
      </w:pPr>
      <w:r>
        <w:rPr>
          <w:rStyle w:val="59"/>
          <w:rFonts w:hint="eastAsia" w:ascii="Times New Roman"/>
          <w:b/>
          <w:bCs/>
          <w:color w:val="auto"/>
        </w:rPr>
        <w:fldChar w:fldCharType="begin"/>
      </w:r>
      <w:r>
        <w:rPr>
          <w:rStyle w:val="59"/>
          <w:rFonts w:hint="eastAsia" w:ascii="Times New Roman"/>
          <w:b/>
          <w:bCs/>
          <w:color w:val="auto"/>
        </w:rPr>
        <w:instrText xml:space="preserve"> HYPERLINK \l "_Toc193981325" </w:instrText>
      </w:r>
      <w:r>
        <w:rPr>
          <w:rStyle w:val="59"/>
          <w:rFonts w:hint="eastAsia" w:ascii="Times New Roman"/>
          <w:b/>
          <w:bCs/>
          <w:color w:val="auto"/>
        </w:rPr>
        <w:fldChar w:fldCharType="separate"/>
      </w:r>
      <w:r>
        <w:rPr>
          <w:rStyle w:val="59"/>
          <w:rFonts w:hint="eastAsia" w:ascii="Times New Roman"/>
          <w:b/>
          <w:bCs/>
          <w:color w:val="auto"/>
        </w:rPr>
        <w:t>第五章 发包人要求</w:t>
      </w:r>
      <w:r>
        <w:rPr>
          <w:rStyle w:val="59"/>
          <w:rFonts w:hint="eastAsia" w:ascii="Times New Roman"/>
          <w:b/>
          <w:bCs/>
          <w:color w:val="auto"/>
        </w:rPr>
        <w:tab/>
      </w:r>
      <w:r>
        <w:rPr>
          <w:rStyle w:val="59"/>
          <w:rFonts w:hint="eastAsia" w:ascii="Times New Roman"/>
          <w:b/>
          <w:bCs/>
          <w:color w:val="auto"/>
        </w:rPr>
        <w:fldChar w:fldCharType="begin"/>
      </w:r>
      <w:r>
        <w:rPr>
          <w:rStyle w:val="59"/>
          <w:rFonts w:hint="eastAsia" w:ascii="Times New Roman"/>
          <w:b/>
          <w:bCs/>
          <w:color w:val="auto"/>
        </w:rPr>
        <w:instrText xml:space="preserve"> PAGEREF _Toc193981325 \h </w:instrText>
      </w:r>
      <w:r>
        <w:rPr>
          <w:rStyle w:val="59"/>
          <w:rFonts w:hint="eastAsia" w:ascii="Times New Roman"/>
          <w:b/>
          <w:bCs/>
          <w:color w:val="auto"/>
        </w:rPr>
        <w:fldChar w:fldCharType="separate"/>
      </w:r>
      <w:r>
        <w:rPr>
          <w:rStyle w:val="59"/>
          <w:rFonts w:hint="eastAsia" w:ascii="Times New Roman"/>
          <w:b/>
          <w:bCs/>
          <w:color w:val="auto"/>
        </w:rPr>
        <w:t>59</w:t>
      </w:r>
      <w:r>
        <w:rPr>
          <w:rStyle w:val="59"/>
          <w:rFonts w:hint="eastAsia" w:ascii="Times New Roman"/>
          <w:b/>
          <w:bCs/>
          <w:color w:val="auto"/>
        </w:rPr>
        <w:fldChar w:fldCharType="end"/>
      </w:r>
      <w:r>
        <w:rPr>
          <w:rStyle w:val="59"/>
          <w:rFonts w:hint="eastAsia" w:ascii="Times New Roman"/>
          <w:b/>
          <w:bCs/>
          <w:color w:val="auto"/>
        </w:rPr>
        <w:fldChar w:fldCharType="end"/>
      </w:r>
    </w:p>
    <w:p w14:paraId="07A424EA">
      <w:pPr>
        <w:pStyle w:val="41"/>
        <w:adjustRightInd w:val="0"/>
        <w:snapToGrid w:val="0"/>
        <w:spacing w:line="400" w:lineRule="atLeast"/>
        <w:ind w:firstLine="240" w:firstLineChars="1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"_Toc193981326" </w:instrText>
      </w:r>
      <w:r>
        <w:rPr>
          <w:rStyle w:val="59"/>
          <w:rFonts w:hint="eastAsia" w:ascii="Times New Roman"/>
          <w:color w:val="auto"/>
        </w:rPr>
        <w:fldChar w:fldCharType="separate"/>
      </w:r>
      <w:r>
        <w:rPr>
          <w:rStyle w:val="59"/>
          <w:rFonts w:hint="eastAsia" w:ascii="Times New Roman"/>
          <w:color w:val="auto"/>
        </w:rPr>
        <w:t>一、招标人对造价咨询工作的具体要求</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_Toc193981326 \h </w:instrText>
      </w:r>
      <w:r>
        <w:rPr>
          <w:rStyle w:val="59"/>
          <w:rFonts w:hint="eastAsia" w:ascii="Times New Roman"/>
          <w:color w:val="auto"/>
        </w:rPr>
        <w:fldChar w:fldCharType="separate"/>
      </w:r>
      <w:r>
        <w:rPr>
          <w:rStyle w:val="59"/>
          <w:rFonts w:hint="eastAsia" w:ascii="Times New Roman"/>
          <w:color w:val="auto"/>
        </w:rPr>
        <w:t>59</w:t>
      </w:r>
      <w:r>
        <w:rPr>
          <w:rStyle w:val="59"/>
          <w:rFonts w:hint="eastAsia" w:ascii="Times New Roman"/>
          <w:color w:val="auto"/>
        </w:rPr>
        <w:fldChar w:fldCharType="end"/>
      </w:r>
      <w:r>
        <w:rPr>
          <w:rStyle w:val="59"/>
          <w:rFonts w:hint="eastAsia" w:ascii="Times New Roman"/>
          <w:color w:val="auto"/>
        </w:rPr>
        <w:fldChar w:fldCharType="end"/>
      </w:r>
    </w:p>
    <w:p w14:paraId="341AED58">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"_Toc193981327" </w:instrText>
      </w:r>
      <w:r>
        <w:rPr>
          <w:rStyle w:val="59"/>
          <w:rFonts w:hint="eastAsia" w:ascii="Times New Roman"/>
          <w:color w:val="auto"/>
        </w:rPr>
        <w:fldChar w:fldCharType="separate"/>
      </w:r>
      <w:r>
        <w:rPr>
          <w:rStyle w:val="59"/>
          <w:rFonts w:hint="eastAsia" w:ascii="Times New Roman"/>
          <w:color w:val="auto"/>
        </w:rPr>
        <w:t>（一）服务内容</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_Toc193981327 \h </w:instrText>
      </w:r>
      <w:r>
        <w:rPr>
          <w:rStyle w:val="59"/>
          <w:rFonts w:hint="eastAsia" w:ascii="Times New Roman"/>
          <w:color w:val="auto"/>
        </w:rPr>
        <w:fldChar w:fldCharType="separate"/>
      </w:r>
      <w:r>
        <w:rPr>
          <w:rStyle w:val="59"/>
          <w:rFonts w:hint="eastAsia" w:ascii="Times New Roman"/>
          <w:color w:val="auto"/>
        </w:rPr>
        <w:t>59</w:t>
      </w:r>
      <w:r>
        <w:rPr>
          <w:rStyle w:val="59"/>
          <w:rFonts w:hint="eastAsia" w:ascii="Times New Roman"/>
          <w:color w:val="auto"/>
        </w:rPr>
        <w:fldChar w:fldCharType="end"/>
      </w:r>
      <w:r>
        <w:rPr>
          <w:rStyle w:val="59"/>
          <w:rFonts w:hint="eastAsia" w:ascii="Times New Roman"/>
          <w:color w:val="auto"/>
        </w:rPr>
        <w:fldChar w:fldCharType="end"/>
      </w:r>
    </w:p>
    <w:p w14:paraId="025F9031">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"_Toc193981328" </w:instrText>
      </w:r>
      <w:r>
        <w:rPr>
          <w:rStyle w:val="59"/>
          <w:rFonts w:hint="eastAsia" w:ascii="Times New Roman"/>
          <w:color w:val="auto"/>
        </w:rPr>
        <w:fldChar w:fldCharType="separate"/>
      </w:r>
      <w:r>
        <w:rPr>
          <w:rStyle w:val="59"/>
          <w:rFonts w:hint="eastAsia" w:ascii="Times New Roman"/>
          <w:color w:val="auto"/>
        </w:rPr>
        <w:t>（二）服务要求</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_Toc193981328 \h </w:instrText>
      </w:r>
      <w:r>
        <w:rPr>
          <w:rStyle w:val="59"/>
          <w:rFonts w:hint="eastAsia" w:ascii="Times New Roman"/>
          <w:color w:val="auto"/>
        </w:rPr>
        <w:fldChar w:fldCharType="separate"/>
      </w:r>
      <w:r>
        <w:rPr>
          <w:rStyle w:val="59"/>
          <w:rFonts w:hint="eastAsia" w:ascii="Times New Roman"/>
          <w:color w:val="auto"/>
        </w:rPr>
        <w:t>63</w:t>
      </w:r>
      <w:r>
        <w:rPr>
          <w:rStyle w:val="59"/>
          <w:rFonts w:hint="eastAsia" w:ascii="Times New Roman"/>
          <w:color w:val="auto"/>
        </w:rPr>
        <w:fldChar w:fldCharType="end"/>
      </w:r>
      <w:r>
        <w:rPr>
          <w:rStyle w:val="59"/>
          <w:rFonts w:hint="eastAsia" w:ascii="Times New Roman"/>
          <w:color w:val="auto"/>
        </w:rPr>
        <w:fldChar w:fldCharType="end"/>
      </w:r>
    </w:p>
    <w:p w14:paraId="2C186091">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"_Toc193981329" </w:instrText>
      </w:r>
      <w:r>
        <w:rPr>
          <w:rStyle w:val="59"/>
          <w:rFonts w:hint="eastAsia" w:ascii="Times New Roman"/>
          <w:color w:val="auto"/>
        </w:rPr>
        <w:fldChar w:fldCharType="separate"/>
      </w:r>
      <w:r>
        <w:rPr>
          <w:rStyle w:val="59"/>
          <w:rFonts w:hint="eastAsia" w:ascii="Times New Roman"/>
          <w:color w:val="auto"/>
        </w:rPr>
        <w:t>（三）服务期限</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_Toc193981329 \h </w:instrText>
      </w:r>
      <w:r>
        <w:rPr>
          <w:rStyle w:val="59"/>
          <w:rFonts w:hint="eastAsia" w:ascii="Times New Roman"/>
          <w:color w:val="auto"/>
        </w:rPr>
        <w:fldChar w:fldCharType="separate"/>
      </w:r>
      <w:r>
        <w:rPr>
          <w:rStyle w:val="59"/>
          <w:rFonts w:hint="eastAsia" w:ascii="Times New Roman"/>
          <w:color w:val="auto"/>
        </w:rPr>
        <w:t>64</w:t>
      </w:r>
      <w:r>
        <w:rPr>
          <w:rStyle w:val="59"/>
          <w:rFonts w:hint="eastAsia" w:ascii="Times New Roman"/>
          <w:color w:val="auto"/>
        </w:rPr>
        <w:fldChar w:fldCharType="end"/>
      </w:r>
      <w:r>
        <w:rPr>
          <w:rStyle w:val="59"/>
          <w:rFonts w:hint="eastAsia" w:ascii="Times New Roman"/>
          <w:color w:val="auto"/>
        </w:rPr>
        <w:fldChar w:fldCharType="end"/>
      </w:r>
    </w:p>
    <w:p w14:paraId="386F0DDA">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"_Toc193981330" </w:instrText>
      </w:r>
      <w:r>
        <w:rPr>
          <w:rStyle w:val="59"/>
          <w:rFonts w:hint="eastAsia" w:ascii="Times New Roman"/>
          <w:color w:val="auto"/>
        </w:rPr>
        <w:fldChar w:fldCharType="separate"/>
      </w:r>
      <w:r>
        <w:rPr>
          <w:rStyle w:val="59"/>
          <w:rFonts w:hint="eastAsia" w:ascii="Times New Roman"/>
          <w:color w:val="auto"/>
        </w:rPr>
        <w:t>（四）质量要求</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_Toc193981330 \h </w:instrText>
      </w:r>
      <w:r>
        <w:rPr>
          <w:rStyle w:val="59"/>
          <w:rFonts w:hint="eastAsia" w:ascii="Times New Roman"/>
          <w:color w:val="auto"/>
        </w:rPr>
        <w:fldChar w:fldCharType="separate"/>
      </w:r>
      <w:r>
        <w:rPr>
          <w:rStyle w:val="59"/>
          <w:rFonts w:hint="eastAsia" w:ascii="Times New Roman"/>
          <w:color w:val="auto"/>
        </w:rPr>
        <w:t>64</w:t>
      </w:r>
      <w:r>
        <w:rPr>
          <w:rStyle w:val="59"/>
          <w:rFonts w:hint="eastAsia" w:ascii="Times New Roman"/>
          <w:color w:val="auto"/>
        </w:rPr>
        <w:fldChar w:fldCharType="end"/>
      </w:r>
      <w:r>
        <w:rPr>
          <w:rStyle w:val="59"/>
          <w:rFonts w:hint="eastAsia" w:ascii="Times New Roman"/>
          <w:color w:val="auto"/>
        </w:rPr>
        <w:fldChar w:fldCharType="end"/>
      </w:r>
    </w:p>
    <w:p w14:paraId="7D564CEA">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"_Toc193981331" </w:instrText>
      </w:r>
      <w:r>
        <w:rPr>
          <w:rStyle w:val="59"/>
          <w:rFonts w:hint="eastAsia" w:ascii="Times New Roman"/>
          <w:color w:val="auto"/>
        </w:rPr>
        <w:fldChar w:fldCharType="separate"/>
      </w:r>
      <w:r>
        <w:rPr>
          <w:rStyle w:val="59"/>
          <w:rFonts w:hint="eastAsia" w:ascii="Times New Roman"/>
          <w:color w:val="auto"/>
        </w:rPr>
        <w:t>（五）服务地点</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_Toc193981331 \h </w:instrText>
      </w:r>
      <w:r>
        <w:rPr>
          <w:rStyle w:val="59"/>
          <w:rFonts w:hint="eastAsia" w:ascii="Times New Roman"/>
          <w:color w:val="auto"/>
        </w:rPr>
        <w:fldChar w:fldCharType="separate"/>
      </w:r>
      <w:r>
        <w:rPr>
          <w:rStyle w:val="59"/>
          <w:rFonts w:hint="eastAsia" w:ascii="Times New Roman"/>
          <w:color w:val="auto"/>
        </w:rPr>
        <w:t>65</w:t>
      </w:r>
      <w:r>
        <w:rPr>
          <w:rStyle w:val="59"/>
          <w:rFonts w:hint="eastAsia" w:ascii="Times New Roman"/>
          <w:color w:val="auto"/>
        </w:rPr>
        <w:fldChar w:fldCharType="end"/>
      </w:r>
      <w:r>
        <w:rPr>
          <w:rStyle w:val="59"/>
          <w:rFonts w:hint="eastAsia" w:ascii="Times New Roman"/>
          <w:color w:val="auto"/>
        </w:rPr>
        <w:fldChar w:fldCharType="end"/>
      </w:r>
    </w:p>
    <w:p w14:paraId="7CDDD2B6">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"_Toc193981332" </w:instrText>
      </w:r>
      <w:r>
        <w:rPr>
          <w:rStyle w:val="59"/>
          <w:rFonts w:hint="eastAsia" w:ascii="Times New Roman"/>
          <w:color w:val="auto"/>
        </w:rPr>
        <w:fldChar w:fldCharType="separate"/>
      </w:r>
      <w:r>
        <w:rPr>
          <w:rStyle w:val="59"/>
          <w:rFonts w:hint="eastAsia" w:ascii="Times New Roman"/>
          <w:color w:val="auto"/>
        </w:rPr>
        <w:t>（六）拟投入本工程项目组人员要求</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_Toc193981332 \h </w:instrText>
      </w:r>
      <w:r>
        <w:rPr>
          <w:rStyle w:val="59"/>
          <w:rFonts w:hint="eastAsia" w:ascii="Times New Roman"/>
          <w:color w:val="auto"/>
        </w:rPr>
        <w:fldChar w:fldCharType="separate"/>
      </w:r>
      <w:r>
        <w:rPr>
          <w:rStyle w:val="59"/>
          <w:rFonts w:hint="eastAsia" w:ascii="Times New Roman"/>
          <w:color w:val="auto"/>
        </w:rPr>
        <w:t>65</w:t>
      </w:r>
      <w:r>
        <w:rPr>
          <w:rStyle w:val="59"/>
          <w:rFonts w:hint="eastAsia" w:ascii="Times New Roman"/>
          <w:color w:val="auto"/>
        </w:rPr>
        <w:fldChar w:fldCharType="end"/>
      </w:r>
      <w:r>
        <w:rPr>
          <w:rStyle w:val="59"/>
          <w:rFonts w:hint="eastAsia" w:ascii="Times New Roman"/>
          <w:color w:val="auto"/>
        </w:rPr>
        <w:fldChar w:fldCharType="end"/>
      </w:r>
    </w:p>
    <w:p w14:paraId="1B117064">
      <w:pPr>
        <w:pStyle w:val="41"/>
        <w:adjustRightInd w:val="0"/>
        <w:snapToGrid w:val="0"/>
        <w:spacing w:line="400" w:lineRule="atLeast"/>
        <w:ind w:firstLine="240" w:firstLineChars="1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"_Toc193981333" </w:instrText>
      </w:r>
      <w:r>
        <w:rPr>
          <w:rStyle w:val="59"/>
          <w:rFonts w:hint="eastAsia" w:ascii="Times New Roman"/>
          <w:color w:val="auto"/>
        </w:rPr>
        <w:fldChar w:fldCharType="separate"/>
      </w:r>
      <w:r>
        <w:rPr>
          <w:rStyle w:val="59"/>
          <w:rFonts w:hint="eastAsia" w:ascii="Times New Roman"/>
          <w:color w:val="auto"/>
        </w:rPr>
        <w:t>二、报价方式、要求及上限控制价</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_Toc193981333 \h </w:instrText>
      </w:r>
      <w:r>
        <w:rPr>
          <w:rStyle w:val="59"/>
          <w:rFonts w:hint="eastAsia" w:ascii="Times New Roman"/>
          <w:color w:val="auto"/>
        </w:rPr>
        <w:fldChar w:fldCharType="separate"/>
      </w:r>
      <w:r>
        <w:rPr>
          <w:rStyle w:val="59"/>
          <w:rFonts w:hint="eastAsia" w:ascii="Times New Roman"/>
          <w:color w:val="auto"/>
        </w:rPr>
        <w:t>65</w:t>
      </w:r>
      <w:r>
        <w:rPr>
          <w:rStyle w:val="59"/>
          <w:rFonts w:hint="eastAsia" w:ascii="Times New Roman"/>
          <w:color w:val="auto"/>
        </w:rPr>
        <w:fldChar w:fldCharType="end"/>
      </w:r>
      <w:r>
        <w:rPr>
          <w:rStyle w:val="59"/>
          <w:rFonts w:hint="eastAsia" w:ascii="Times New Roman"/>
          <w:color w:val="auto"/>
        </w:rPr>
        <w:fldChar w:fldCharType="end"/>
      </w:r>
    </w:p>
    <w:p w14:paraId="033EA895">
      <w:pPr>
        <w:pStyle w:val="41"/>
        <w:adjustRightInd w:val="0"/>
        <w:snapToGrid w:val="0"/>
        <w:spacing w:line="400" w:lineRule="atLeast"/>
        <w:ind w:firstLine="0" w:firstLineChars="0"/>
        <w:rPr>
          <w:rStyle w:val="59"/>
          <w:rFonts w:hint="eastAsia" w:ascii="Times New Roman"/>
          <w:b/>
          <w:bCs/>
          <w:color w:val="auto"/>
        </w:rPr>
      </w:pPr>
      <w:r>
        <w:rPr>
          <w:rStyle w:val="59"/>
          <w:rFonts w:hint="eastAsia" w:ascii="Times New Roman"/>
          <w:b/>
          <w:bCs/>
          <w:color w:val="auto"/>
        </w:rPr>
        <w:fldChar w:fldCharType="begin"/>
      </w:r>
      <w:r>
        <w:rPr>
          <w:rStyle w:val="59"/>
          <w:rFonts w:hint="eastAsia" w:ascii="Times New Roman"/>
          <w:b/>
          <w:bCs/>
          <w:color w:val="auto"/>
        </w:rPr>
        <w:instrText xml:space="preserve"> HYPERLINK \l "_Toc193981334" </w:instrText>
      </w:r>
      <w:r>
        <w:rPr>
          <w:rStyle w:val="59"/>
          <w:rFonts w:hint="eastAsia" w:ascii="Times New Roman"/>
          <w:b/>
          <w:bCs/>
          <w:color w:val="auto"/>
        </w:rPr>
        <w:fldChar w:fldCharType="separate"/>
      </w:r>
      <w:r>
        <w:rPr>
          <w:rStyle w:val="59"/>
          <w:rFonts w:hint="eastAsia" w:ascii="Times New Roman"/>
          <w:b/>
          <w:bCs/>
          <w:color w:val="auto"/>
        </w:rPr>
        <w:t>第六章 投标文件格式</w:t>
      </w:r>
      <w:r>
        <w:rPr>
          <w:rStyle w:val="59"/>
          <w:rFonts w:hint="eastAsia" w:ascii="Times New Roman"/>
          <w:b/>
          <w:bCs/>
          <w:color w:val="auto"/>
        </w:rPr>
        <w:tab/>
      </w:r>
      <w:r>
        <w:rPr>
          <w:rStyle w:val="59"/>
          <w:rFonts w:hint="eastAsia" w:ascii="Times New Roman"/>
          <w:b/>
          <w:bCs/>
          <w:color w:val="auto"/>
        </w:rPr>
        <w:fldChar w:fldCharType="begin"/>
      </w:r>
      <w:r>
        <w:rPr>
          <w:rStyle w:val="59"/>
          <w:rFonts w:hint="eastAsia" w:ascii="Times New Roman"/>
          <w:b/>
          <w:bCs/>
          <w:color w:val="auto"/>
        </w:rPr>
        <w:instrText xml:space="preserve"> PAGEREF _Toc193981334 \h </w:instrText>
      </w:r>
      <w:r>
        <w:rPr>
          <w:rStyle w:val="59"/>
          <w:rFonts w:hint="eastAsia" w:ascii="Times New Roman"/>
          <w:b/>
          <w:bCs/>
          <w:color w:val="auto"/>
        </w:rPr>
        <w:fldChar w:fldCharType="separate"/>
      </w:r>
      <w:r>
        <w:rPr>
          <w:rStyle w:val="59"/>
          <w:rFonts w:hint="eastAsia" w:ascii="Times New Roman"/>
          <w:b/>
          <w:bCs/>
          <w:color w:val="auto"/>
        </w:rPr>
        <w:t>66</w:t>
      </w:r>
      <w:r>
        <w:rPr>
          <w:rStyle w:val="59"/>
          <w:rFonts w:hint="eastAsia" w:ascii="Times New Roman"/>
          <w:b/>
          <w:bCs/>
          <w:color w:val="auto"/>
        </w:rPr>
        <w:fldChar w:fldCharType="end"/>
      </w:r>
      <w:r>
        <w:rPr>
          <w:rStyle w:val="59"/>
          <w:rFonts w:hint="eastAsia" w:ascii="Times New Roman"/>
          <w:b/>
          <w:bCs/>
          <w:color w:val="auto"/>
        </w:rPr>
        <w:fldChar w:fldCharType="end"/>
      </w:r>
    </w:p>
    <w:p w14:paraId="6C53EECA">
      <w:pPr>
        <w:pStyle w:val="41"/>
        <w:adjustRightInd w:val="0"/>
        <w:snapToGrid w:val="0"/>
        <w:spacing w:line="400" w:lineRule="atLeast"/>
        <w:ind w:firstLine="240" w:firstLineChars="1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"_Toc193981335" </w:instrText>
      </w:r>
      <w:r>
        <w:rPr>
          <w:rStyle w:val="59"/>
          <w:rFonts w:hint="eastAsia" w:ascii="Times New Roman"/>
          <w:color w:val="auto"/>
        </w:rPr>
        <w:fldChar w:fldCharType="separate"/>
      </w:r>
      <w:r>
        <w:rPr>
          <w:rStyle w:val="59"/>
          <w:rFonts w:hint="eastAsia" w:ascii="Times New Roman"/>
          <w:color w:val="auto"/>
        </w:rPr>
        <w:t>封面格式（外包装）</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_Toc193981335 \h </w:instrText>
      </w:r>
      <w:r>
        <w:rPr>
          <w:rStyle w:val="59"/>
          <w:rFonts w:hint="eastAsia" w:ascii="Times New Roman"/>
          <w:color w:val="auto"/>
        </w:rPr>
        <w:fldChar w:fldCharType="separate"/>
      </w:r>
      <w:r>
        <w:rPr>
          <w:rStyle w:val="59"/>
          <w:rFonts w:hint="eastAsia" w:ascii="Times New Roman"/>
          <w:color w:val="auto"/>
        </w:rPr>
        <w:t>66</w:t>
      </w:r>
      <w:r>
        <w:rPr>
          <w:rStyle w:val="59"/>
          <w:rFonts w:hint="eastAsia" w:ascii="Times New Roman"/>
          <w:color w:val="auto"/>
        </w:rPr>
        <w:fldChar w:fldCharType="end"/>
      </w:r>
      <w:r>
        <w:rPr>
          <w:rStyle w:val="59"/>
          <w:rFonts w:hint="eastAsia" w:ascii="Times New Roman"/>
          <w:color w:val="auto"/>
        </w:rPr>
        <w:fldChar w:fldCharType="end"/>
      </w:r>
    </w:p>
    <w:p w14:paraId="523B0405">
      <w:pPr>
        <w:pStyle w:val="41"/>
        <w:adjustRightInd w:val="0"/>
        <w:snapToGrid w:val="0"/>
        <w:spacing w:line="400" w:lineRule="atLeast"/>
        <w:ind w:firstLine="240" w:firstLineChars="1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"_Toc193981336" </w:instrText>
      </w:r>
      <w:r>
        <w:rPr>
          <w:rStyle w:val="59"/>
          <w:rFonts w:hint="eastAsia" w:ascii="Times New Roman"/>
          <w:color w:val="auto"/>
        </w:rPr>
        <w:fldChar w:fldCharType="separate"/>
      </w:r>
      <w:r>
        <w:rPr>
          <w:rStyle w:val="59"/>
          <w:rFonts w:hint="eastAsia" w:ascii="Times New Roman"/>
          <w:color w:val="auto"/>
        </w:rPr>
        <w:t>A资格审查部分</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_Toc193981336 \h </w:instrText>
      </w:r>
      <w:r>
        <w:rPr>
          <w:rStyle w:val="59"/>
          <w:rFonts w:hint="eastAsia" w:ascii="Times New Roman"/>
          <w:color w:val="auto"/>
        </w:rPr>
        <w:fldChar w:fldCharType="separate"/>
      </w:r>
      <w:r>
        <w:rPr>
          <w:rStyle w:val="59"/>
          <w:rFonts w:hint="eastAsia" w:ascii="Times New Roman"/>
          <w:color w:val="auto"/>
        </w:rPr>
        <w:t>68</w:t>
      </w:r>
      <w:r>
        <w:rPr>
          <w:rStyle w:val="59"/>
          <w:rFonts w:hint="eastAsia" w:ascii="Times New Roman"/>
          <w:color w:val="auto"/>
        </w:rPr>
        <w:fldChar w:fldCharType="end"/>
      </w:r>
      <w:r>
        <w:rPr>
          <w:rStyle w:val="59"/>
          <w:rFonts w:hint="eastAsia" w:ascii="Times New Roman"/>
          <w:color w:val="auto"/>
        </w:rPr>
        <w:fldChar w:fldCharType="end"/>
      </w:r>
    </w:p>
    <w:p w14:paraId="0385FBD5">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"_Toc193981337" </w:instrText>
      </w:r>
      <w:r>
        <w:rPr>
          <w:rStyle w:val="59"/>
          <w:rFonts w:hint="eastAsia" w:ascii="Times New Roman"/>
          <w:color w:val="auto"/>
        </w:rPr>
        <w:fldChar w:fldCharType="separate"/>
      </w:r>
      <w:r>
        <w:rPr>
          <w:rStyle w:val="59"/>
          <w:rFonts w:hint="eastAsia" w:ascii="Times New Roman"/>
          <w:color w:val="auto"/>
        </w:rPr>
        <w:t>A1法定代表人授权委托书</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_Toc193981337 \h </w:instrText>
      </w:r>
      <w:r>
        <w:rPr>
          <w:rStyle w:val="59"/>
          <w:rFonts w:hint="eastAsia" w:ascii="Times New Roman"/>
          <w:color w:val="auto"/>
        </w:rPr>
        <w:fldChar w:fldCharType="separate"/>
      </w:r>
      <w:r>
        <w:rPr>
          <w:rStyle w:val="59"/>
          <w:rFonts w:hint="eastAsia" w:ascii="Times New Roman"/>
          <w:color w:val="auto"/>
        </w:rPr>
        <w:t>69</w:t>
      </w:r>
      <w:r>
        <w:rPr>
          <w:rStyle w:val="59"/>
          <w:rFonts w:hint="eastAsia" w:ascii="Times New Roman"/>
          <w:color w:val="auto"/>
        </w:rPr>
        <w:fldChar w:fldCharType="end"/>
      </w:r>
      <w:r>
        <w:rPr>
          <w:rStyle w:val="59"/>
          <w:rFonts w:hint="eastAsia" w:ascii="Times New Roman"/>
          <w:color w:val="auto"/>
        </w:rPr>
        <w:fldChar w:fldCharType="end"/>
      </w:r>
    </w:p>
    <w:p w14:paraId="5423C384">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"_Toc193981338" </w:instrText>
      </w:r>
      <w:r>
        <w:rPr>
          <w:rStyle w:val="59"/>
          <w:rFonts w:hint="eastAsia" w:ascii="Times New Roman"/>
          <w:color w:val="auto"/>
        </w:rPr>
        <w:fldChar w:fldCharType="separate"/>
      </w:r>
      <w:r>
        <w:rPr>
          <w:rStyle w:val="59"/>
          <w:rFonts w:hint="eastAsia" w:ascii="Times New Roman"/>
          <w:color w:val="auto"/>
        </w:rPr>
        <w:t>A2法定代表人资格证明书</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_Toc193981338 \h </w:instrText>
      </w:r>
      <w:r>
        <w:rPr>
          <w:rStyle w:val="59"/>
          <w:rFonts w:hint="eastAsia" w:ascii="Times New Roman"/>
          <w:color w:val="auto"/>
        </w:rPr>
        <w:fldChar w:fldCharType="separate"/>
      </w:r>
      <w:r>
        <w:rPr>
          <w:rStyle w:val="59"/>
          <w:rFonts w:hint="eastAsia" w:ascii="Times New Roman"/>
          <w:color w:val="auto"/>
        </w:rPr>
        <w:t>70</w:t>
      </w:r>
      <w:r>
        <w:rPr>
          <w:rStyle w:val="59"/>
          <w:rFonts w:hint="eastAsia" w:ascii="Times New Roman"/>
          <w:color w:val="auto"/>
        </w:rPr>
        <w:fldChar w:fldCharType="end"/>
      </w:r>
      <w:r>
        <w:rPr>
          <w:rStyle w:val="59"/>
          <w:rFonts w:hint="eastAsia" w:ascii="Times New Roman"/>
          <w:color w:val="auto"/>
        </w:rPr>
        <w:fldChar w:fldCharType="end"/>
      </w:r>
    </w:p>
    <w:p w14:paraId="6065DCC0">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"_Toc193981339" </w:instrText>
      </w:r>
      <w:r>
        <w:rPr>
          <w:rStyle w:val="59"/>
          <w:rFonts w:hint="eastAsia" w:ascii="Times New Roman"/>
          <w:color w:val="auto"/>
        </w:rPr>
        <w:fldChar w:fldCharType="separate"/>
      </w:r>
      <w:r>
        <w:rPr>
          <w:rStyle w:val="59"/>
          <w:rFonts w:hint="eastAsia" w:ascii="Times New Roman"/>
          <w:color w:val="auto"/>
        </w:rPr>
        <w:t>A3信誉承诺书</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_Toc193981339 \h </w:instrText>
      </w:r>
      <w:r>
        <w:rPr>
          <w:rStyle w:val="59"/>
          <w:rFonts w:hint="eastAsia" w:ascii="Times New Roman"/>
          <w:color w:val="auto"/>
        </w:rPr>
        <w:fldChar w:fldCharType="separate"/>
      </w:r>
      <w:r>
        <w:rPr>
          <w:rStyle w:val="59"/>
          <w:rFonts w:hint="eastAsia" w:ascii="Times New Roman"/>
          <w:color w:val="auto"/>
        </w:rPr>
        <w:t>71</w:t>
      </w:r>
      <w:r>
        <w:rPr>
          <w:rStyle w:val="59"/>
          <w:rFonts w:hint="eastAsia" w:ascii="Times New Roman"/>
          <w:color w:val="auto"/>
        </w:rPr>
        <w:fldChar w:fldCharType="end"/>
      </w:r>
      <w:r>
        <w:rPr>
          <w:rStyle w:val="59"/>
          <w:rFonts w:hint="eastAsia" w:ascii="Times New Roman"/>
          <w:color w:val="auto"/>
        </w:rPr>
        <w:fldChar w:fldCharType="end"/>
      </w:r>
    </w:p>
    <w:p w14:paraId="58E2C1E8">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"_Toc193981340" </w:instrText>
      </w:r>
      <w:r>
        <w:rPr>
          <w:rStyle w:val="59"/>
          <w:rFonts w:hint="eastAsia" w:ascii="Times New Roman"/>
          <w:color w:val="auto"/>
        </w:rPr>
        <w:fldChar w:fldCharType="separate"/>
      </w:r>
      <w:r>
        <w:rPr>
          <w:rStyle w:val="59"/>
          <w:rFonts w:hint="eastAsia" w:ascii="Times New Roman"/>
          <w:color w:val="auto"/>
        </w:rPr>
        <w:t>A4联合体协议书</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_Toc193981340 \h </w:instrText>
      </w:r>
      <w:r>
        <w:rPr>
          <w:rStyle w:val="59"/>
          <w:rFonts w:hint="eastAsia" w:ascii="Times New Roman"/>
          <w:color w:val="auto"/>
        </w:rPr>
        <w:fldChar w:fldCharType="separate"/>
      </w:r>
      <w:r>
        <w:rPr>
          <w:rStyle w:val="59"/>
          <w:rFonts w:hint="eastAsia" w:ascii="Times New Roman"/>
          <w:color w:val="auto"/>
        </w:rPr>
        <w:t>72</w:t>
      </w:r>
      <w:r>
        <w:rPr>
          <w:rStyle w:val="59"/>
          <w:rFonts w:hint="eastAsia" w:ascii="Times New Roman"/>
          <w:color w:val="auto"/>
        </w:rPr>
        <w:fldChar w:fldCharType="end"/>
      </w:r>
      <w:r>
        <w:rPr>
          <w:rStyle w:val="59"/>
          <w:rFonts w:hint="eastAsia" w:ascii="Times New Roman"/>
          <w:color w:val="auto"/>
        </w:rPr>
        <w:fldChar w:fldCharType="end"/>
      </w:r>
    </w:p>
    <w:p w14:paraId="5F6EDD0A">
      <w:pPr>
        <w:pStyle w:val="41"/>
        <w:adjustRightInd w:val="0"/>
        <w:snapToGrid w:val="0"/>
        <w:spacing w:line="400" w:lineRule="atLeast"/>
        <w:ind w:firstLine="240" w:firstLineChars="1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"_Toc193981341" </w:instrText>
      </w:r>
      <w:r>
        <w:rPr>
          <w:rStyle w:val="59"/>
          <w:rFonts w:hint="eastAsia" w:ascii="Times New Roman"/>
          <w:color w:val="auto"/>
        </w:rPr>
        <w:fldChar w:fldCharType="separate"/>
      </w:r>
      <w:r>
        <w:rPr>
          <w:rStyle w:val="59"/>
          <w:rFonts w:hint="eastAsia" w:ascii="Times New Roman"/>
          <w:color w:val="auto"/>
        </w:rPr>
        <w:t>B 资信部分</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_Toc193981341 \h </w:instrText>
      </w:r>
      <w:r>
        <w:rPr>
          <w:rStyle w:val="59"/>
          <w:rFonts w:hint="eastAsia" w:ascii="Times New Roman"/>
          <w:color w:val="auto"/>
        </w:rPr>
        <w:fldChar w:fldCharType="separate"/>
      </w:r>
      <w:r>
        <w:rPr>
          <w:rStyle w:val="59"/>
          <w:rFonts w:hint="eastAsia" w:ascii="Times New Roman"/>
          <w:color w:val="auto"/>
        </w:rPr>
        <w:t>73</w:t>
      </w:r>
      <w:r>
        <w:rPr>
          <w:rStyle w:val="59"/>
          <w:rFonts w:hint="eastAsia" w:ascii="Times New Roman"/>
          <w:color w:val="auto"/>
        </w:rPr>
        <w:fldChar w:fldCharType="end"/>
      </w:r>
      <w:r>
        <w:rPr>
          <w:rStyle w:val="59"/>
          <w:rFonts w:hint="eastAsia" w:ascii="Times New Roman"/>
          <w:color w:val="auto"/>
        </w:rPr>
        <w:fldChar w:fldCharType="end"/>
      </w:r>
    </w:p>
    <w:p w14:paraId="24892ABD">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"_Toc193981342" </w:instrText>
      </w:r>
      <w:r>
        <w:rPr>
          <w:rStyle w:val="59"/>
          <w:rFonts w:hint="eastAsia" w:ascii="Times New Roman"/>
          <w:color w:val="auto"/>
        </w:rPr>
        <w:fldChar w:fldCharType="separate"/>
      </w:r>
      <w:r>
        <w:rPr>
          <w:rStyle w:val="59"/>
          <w:rFonts w:hint="eastAsia" w:ascii="Times New Roman"/>
          <w:color w:val="auto"/>
        </w:rPr>
        <w:t>B1承诺书</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_Toc193981342 \h </w:instrText>
      </w:r>
      <w:r>
        <w:rPr>
          <w:rStyle w:val="59"/>
          <w:rFonts w:hint="eastAsia" w:ascii="Times New Roman"/>
          <w:color w:val="auto"/>
        </w:rPr>
        <w:fldChar w:fldCharType="separate"/>
      </w:r>
      <w:r>
        <w:rPr>
          <w:rStyle w:val="59"/>
          <w:rFonts w:hint="eastAsia" w:ascii="Times New Roman"/>
          <w:color w:val="auto"/>
        </w:rPr>
        <w:t>74</w:t>
      </w:r>
      <w:r>
        <w:rPr>
          <w:rStyle w:val="59"/>
          <w:rFonts w:hint="eastAsia" w:ascii="Times New Roman"/>
          <w:color w:val="auto"/>
        </w:rPr>
        <w:fldChar w:fldCharType="end"/>
      </w:r>
      <w:r>
        <w:rPr>
          <w:rStyle w:val="59"/>
          <w:rFonts w:hint="eastAsia" w:ascii="Times New Roman"/>
          <w:color w:val="auto"/>
        </w:rPr>
        <w:fldChar w:fldCharType="end"/>
      </w:r>
    </w:p>
    <w:p w14:paraId="5EB8EE8D">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"_Toc193981343" </w:instrText>
      </w:r>
      <w:r>
        <w:rPr>
          <w:rStyle w:val="59"/>
          <w:rFonts w:hint="eastAsia" w:ascii="Times New Roman"/>
          <w:color w:val="auto"/>
        </w:rPr>
        <w:fldChar w:fldCharType="separate"/>
      </w:r>
      <w:r>
        <w:rPr>
          <w:rStyle w:val="59"/>
          <w:rFonts w:hint="eastAsia" w:ascii="Times New Roman"/>
          <w:color w:val="auto"/>
        </w:rPr>
        <w:t>B2投标人基本情况表</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_Toc193981343 \h </w:instrText>
      </w:r>
      <w:r>
        <w:rPr>
          <w:rStyle w:val="59"/>
          <w:rFonts w:hint="eastAsia" w:ascii="Times New Roman"/>
          <w:color w:val="auto"/>
        </w:rPr>
        <w:fldChar w:fldCharType="separate"/>
      </w:r>
      <w:r>
        <w:rPr>
          <w:rStyle w:val="59"/>
          <w:rFonts w:hint="eastAsia" w:ascii="Times New Roman"/>
          <w:color w:val="auto"/>
        </w:rPr>
        <w:t>75</w:t>
      </w:r>
      <w:r>
        <w:rPr>
          <w:rStyle w:val="59"/>
          <w:rFonts w:hint="eastAsia" w:ascii="Times New Roman"/>
          <w:color w:val="auto"/>
        </w:rPr>
        <w:fldChar w:fldCharType="end"/>
      </w:r>
      <w:r>
        <w:rPr>
          <w:rStyle w:val="59"/>
          <w:rFonts w:hint="eastAsia" w:ascii="Times New Roman"/>
          <w:color w:val="auto"/>
        </w:rPr>
        <w:fldChar w:fldCharType="end"/>
      </w:r>
    </w:p>
    <w:p w14:paraId="7D30A06C">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"_Toc193981344" </w:instrText>
      </w:r>
      <w:r>
        <w:rPr>
          <w:rStyle w:val="59"/>
          <w:rFonts w:hint="eastAsia" w:ascii="Times New Roman"/>
          <w:color w:val="auto"/>
        </w:rPr>
        <w:fldChar w:fldCharType="separate"/>
      </w:r>
      <w:r>
        <w:rPr>
          <w:rStyle w:val="59"/>
          <w:rFonts w:hint="eastAsia" w:ascii="Times New Roman"/>
          <w:color w:val="auto"/>
        </w:rPr>
        <w:t>B3企业简介</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_Toc193981344 \h </w:instrText>
      </w:r>
      <w:r>
        <w:rPr>
          <w:rStyle w:val="59"/>
          <w:rFonts w:hint="eastAsia" w:ascii="Times New Roman"/>
          <w:color w:val="auto"/>
        </w:rPr>
        <w:fldChar w:fldCharType="separate"/>
      </w:r>
      <w:r>
        <w:rPr>
          <w:rStyle w:val="59"/>
          <w:rFonts w:hint="eastAsia" w:ascii="Times New Roman"/>
          <w:color w:val="auto"/>
        </w:rPr>
        <w:t>76</w:t>
      </w:r>
      <w:r>
        <w:rPr>
          <w:rStyle w:val="59"/>
          <w:rFonts w:hint="eastAsia" w:ascii="Times New Roman"/>
          <w:color w:val="auto"/>
        </w:rPr>
        <w:fldChar w:fldCharType="end"/>
      </w:r>
      <w:r>
        <w:rPr>
          <w:rStyle w:val="59"/>
          <w:rFonts w:hint="eastAsia" w:ascii="Times New Roman"/>
          <w:color w:val="auto"/>
        </w:rPr>
        <w:fldChar w:fldCharType="end"/>
      </w:r>
    </w:p>
    <w:p w14:paraId="5D416748">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"_Toc193981345" </w:instrText>
      </w:r>
      <w:r>
        <w:rPr>
          <w:rStyle w:val="59"/>
          <w:rFonts w:hint="eastAsia" w:ascii="Times New Roman"/>
          <w:color w:val="auto"/>
        </w:rPr>
        <w:fldChar w:fldCharType="separate"/>
      </w:r>
      <w:r>
        <w:rPr>
          <w:rStyle w:val="59"/>
          <w:rFonts w:hint="eastAsia" w:ascii="Times New Roman"/>
          <w:color w:val="auto"/>
        </w:rPr>
        <w:t>B4类似项目业绩</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_Toc193981345 \h </w:instrText>
      </w:r>
      <w:r>
        <w:rPr>
          <w:rStyle w:val="59"/>
          <w:rFonts w:hint="eastAsia" w:ascii="Times New Roman"/>
          <w:color w:val="auto"/>
        </w:rPr>
        <w:fldChar w:fldCharType="separate"/>
      </w:r>
      <w:r>
        <w:rPr>
          <w:rStyle w:val="59"/>
          <w:rFonts w:hint="eastAsia" w:ascii="Times New Roman"/>
          <w:color w:val="auto"/>
        </w:rPr>
        <w:t>77</w:t>
      </w:r>
      <w:r>
        <w:rPr>
          <w:rStyle w:val="59"/>
          <w:rFonts w:hint="eastAsia" w:ascii="Times New Roman"/>
          <w:color w:val="auto"/>
        </w:rPr>
        <w:fldChar w:fldCharType="end"/>
      </w:r>
      <w:r>
        <w:rPr>
          <w:rStyle w:val="59"/>
          <w:rFonts w:hint="eastAsia" w:ascii="Times New Roman"/>
          <w:color w:val="auto"/>
        </w:rPr>
        <w:fldChar w:fldCharType="end"/>
      </w:r>
    </w:p>
    <w:p w14:paraId="059CDA61">
      <w:pPr>
        <w:pStyle w:val="41"/>
        <w:adjustRightInd w:val="0"/>
        <w:snapToGrid w:val="0"/>
        <w:spacing w:line="400" w:lineRule="atLeast"/>
        <w:ind w:firstLine="240" w:firstLineChars="1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"_Toc193981346" </w:instrText>
      </w:r>
      <w:r>
        <w:rPr>
          <w:rStyle w:val="59"/>
          <w:rFonts w:hint="eastAsia" w:ascii="Times New Roman"/>
          <w:color w:val="auto"/>
        </w:rPr>
        <w:fldChar w:fldCharType="separate"/>
      </w:r>
      <w:r>
        <w:rPr>
          <w:rStyle w:val="59"/>
          <w:rFonts w:hint="eastAsia" w:ascii="Times New Roman"/>
          <w:color w:val="auto"/>
        </w:rPr>
        <w:t>C技术部分</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_Toc193981346 \h </w:instrText>
      </w:r>
      <w:r>
        <w:rPr>
          <w:rStyle w:val="59"/>
          <w:rFonts w:hint="eastAsia" w:ascii="Times New Roman"/>
          <w:color w:val="auto"/>
        </w:rPr>
        <w:fldChar w:fldCharType="separate"/>
      </w:r>
      <w:r>
        <w:rPr>
          <w:rStyle w:val="59"/>
          <w:rFonts w:hint="eastAsia" w:ascii="Times New Roman"/>
          <w:color w:val="auto"/>
        </w:rPr>
        <w:t>80</w:t>
      </w:r>
      <w:r>
        <w:rPr>
          <w:rStyle w:val="59"/>
          <w:rFonts w:hint="eastAsia" w:ascii="Times New Roman"/>
          <w:color w:val="auto"/>
        </w:rPr>
        <w:fldChar w:fldCharType="end"/>
      </w:r>
      <w:r>
        <w:rPr>
          <w:rStyle w:val="59"/>
          <w:rFonts w:hint="eastAsia" w:ascii="Times New Roman"/>
          <w:color w:val="auto"/>
        </w:rPr>
        <w:fldChar w:fldCharType="end"/>
      </w:r>
    </w:p>
    <w:p w14:paraId="49CFBCE4">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"_Toc193981347" </w:instrText>
      </w:r>
      <w:r>
        <w:rPr>
          <w:rStyle w:val="59"/>
          <w:rFonts w:hint="eastAsia" w:ascii="Times New Roman"/>
          <w:color w:val="auto"/>
        </w:rPr>
        <w:fldChar w:fldCharType="separate"/>
      </w:r>
      <w:r>
        <w:rPr>
          <w:rStyle w:val="59"/>
          <w:rFonts w:hint="eastAsia" w:ascii="Times New Roman"/>
          <w:color w:val="auto"/>
        </w:rPr>
        <w:t>C1拟投入本项目主要人员一览表</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_Toc193981347 \h </w:instrText>
      </w:r>
      <w:r>
        <w:rPr>
          <w:rStyle w:val="59"/>
          <w:rFonts w:hint="eastAsia" w:ascii="Times New Roman"/>
          <w:color w:val="auto"/>
        </w:rPr>
        <w:fldChar w:fldCharType="separate"/>
      </w:r>
      <w:r>
        <w:rPr>
          <w:rStyle w:val="59"/>
          <w:rFonts w:hint="eastAsia" w:ascii="Times New Roman"/>
          <w:color w:val="auto"/>
        </w:rPr>
        <w:t>81</w:t>
      </w:r>
      <w:r>
        <w:rPr>
          <w:rStyle w:val="59"/>
          <w:rFonts w:hint="eastAsia" w:ascii="Times New Roman"/>
          <w:color w:val="auto"/>
        </w:rPr>
        <w:fldChar w:fldCharType="end"/>
      </w:r>
      <w:r>
        <w:rPr>
          <w:rStyle w:val="59"/>
          <w:rFonts w:hint="eastAsia" w:ascii="Times New Roman"/>
          <w:color w:val="auto"/>
        </w:rPr>
        <w:fldChar w:fldCharType="end"/>
      </w:r>
    </w:p>
    <w:p w14:paraId="79E72AA0">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"_Toc193981348" </w:instrText>
      </w:r>
      <w:r>
        <w:rPr>
          <w:rStyle w:val="59"/>
          <w:rFonts w:hint="eastAsia" w:ascii="Times New Roman"/>
          <w:color w:val="auto"/>
        </w:rPr>
        <w:fldChar w:fldCharType="separate"/>
      </w:r>
      <w:r>
        <w:rPr>
          <w:rStyle w:val="59"/>
          <w:rFonts w:hint="eastAsia" w:ascii="Times New Roman"/>
          <w:color w:val="auto"/>
        </w:rPr>
        <w:t>C2拟派人员汇总表</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_Toc193981348 \h </w:instrText>
      </w:r>
      <w:r>
        <w:rPr>
          <w:rStyle w:val="59"/>
          <w:rFonts w:hint="eastAsia" w:ascii="Times New Roman"/>
          <w:color w:val="auto"/>
        </w:rPr>
        <w:fldChar w:fldCharType="separate"/>
      </w:r>
      <w:r>
        <w:rPr>
          <w:rStyle w:val="59"/>
          <w:rFonts w:hint="eastAsia" w:ascii="Times New Roman"/>
          <w:color w:val="auto"/>
        </w:rPr>
        <w:t>82</w:t>
      </w:r>
      <w:r>
        <w:rPr>
          <w:rStyle w:val="59"/>
          <w:rFonts w:hint="eastAsia" w:ascii="Times New Roman"/>
          <w:color w:val="auto"/>
        </w:rPr>
        <w:fldChar w:fldCharType="end"/>
      </w:r>
      <w:r>
        <w:rPr>
          <w:rStyle w:val="59"/>
          <w:rFonts w:hint="eastAsia" w:ascii="Times New Roman"/>
          <w:color w:val="auto"/>
        </w:rPr>
        <w:fldChar w:fldCharType="end"/>
      </w:r>
    </w:p>
    <w:p w14:paraId="3FDC9F41">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"_Toc193981349" </w:instrText>
      </w:r>
      <w:r>
        <w:rPr>
          <w:rStyle w:val="59"/>
          <w:rFonts w:hint="eastAsia" w:ascii="Times New Roman"/>
          <w:color w:val="auto"/>
        </w:rPr>
        <w:fldChar w:fldCharType="separate"/>
      </w:r>
      <w:r>
        <w:rPr>
          <w:rStyle w:val="59"/>
          <w:rFonts w:hint="eastAsia" w:ascii="Times New Roman"/>
          <w:color w:val="auto"/>
        </w:rPr>
        <w:t>C3拟投入本项目人员简历表</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_Toc193981349 \h </w:instrText>
      </w:r>
      <w:r>
        <w:rPr>
          <w:rStyle w:val="59"/>
          <w:rFonts w:hint="eastAsia" w:ascii="Times New Roman"/>
          <w:color w:val="auto"/>
        </w:rPr>
        <w:fldChar w:fldCharType="separate"/>
      </w:r>
      <w:r>
        <w:rPr>
          <w:rStyle w:val="59"/>
          <w:rFonts w:hint="eastAsia" w:ascii="Times New Roman"/>
          <w:color w:val="auto"/>
        </w:rPr>
        <w:t>83</w:t>
      </w:r>
      <w:r>
        <w:rPr>
          <w:rStyle w:val="59"/>
          <w:rFonts w:hint="eastAsia" w:ascii="Times New Roman"/>
          <w:color w:val="auto"/>
        </w:rPr>
        <w:fldChar w:fldCharType="end"/>
      </w:r>
      <w:r>
        <w:rPr>
          <w:rStyle w:val="59"/>
          <w:rFonts w:hint="eastAsia" w:ascii="Times New Roman"/>
          <w:color w:val="auto"/>
        </w:rPr>
        <w:fldChar w:fldCharType="end"/>
      </w:r>
    </w:p>
    <w:p w14:paraId="0DAA40C3">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"_Toc193981350" </w:instrText>
      </w:r>
      <w:r>
        <w:rPr>
          <w:rStyle w:val="59"/>
          <w:rFonts w:hint="eastAsia" w:ascii="Times New Roman"/>
          <w:color w:val="auto"/>
        </w:rPr>
        <w:fldChar w:fldCharType="separate"/>
      </w:r>
      <w:r>
        <w:rPr>
          <w:rStyle w:val="59"/>
          <w:rFonts w:hint="eastAsia" w:ascii="Times New Roman"/>
          <w:color w:val="auto"/>
        </w:rPr>
        <w:t>C4工程造价咨询服务方案</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_Toc193981350 \h </w:instrText>
      </w:r>
      <w:r>
        <w:rPr>
          <w:rStyle w:val="59"/>
          <w:rFonts w:hint="eastAsia" w:ascii="Times New Roman"/>
          <w:color w:val="auto"/>
        </w:rPr>
        <w:fldChar w:fldCharType="separate"/>
      </w:r>
      <w:r>
        <w:rPr>
          <w:rStyle w:val="59"/>
          <w:rFonts w:hint="eastAsia" w:ascii="Times New Roman"/>
          <w:color w:val="auto"/>
        </w:rPr>
        <w:t>84</w:t>
      </w:r>
      <w:r>
        <w:rPr>
          <w:rStyle w:val="59"/>
          <w:rFonts w:hint="eastAsia" w:ascii="Times New Roman"/>
          <w:color w:val="auto"/>
        </w:rPr>
        <w:fldChar w:fldCharType="end"/>
      </w:r>
      <w:r>
        <w:rPr>
          <w:rStyle w:val="59"/>
          <w:rFonts w:hint="eastAsia" w:ascii="Times New Roman"/>
          <w:color w:val="auto"/>
        </w:rPr>
        <w:fldChar w:fldCharType="end"/>
      </w:r>
    </w:p>
    <w:p w14:paraId="4E30DD5F">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"_Toc193981351" </w:instrText>
      </w:r>
      <w:r>
        <w:rPr>
          <w:rStyle w:val="59"/>
          <w:rFonts w:hint="eastAsia" w:ascii="Times New Roman"/>
          <w:color w:val="auto"/>
        </w:rPr>
        <w:fldChar w:fldCharType="separate"/>
      </w:r>
      <w:r>
        <w:rPr>
          <w:rStyle w:val="59"/>
          <w:rFonts w:hint="eastAsia" w:ascii="Times New Roman"/>
          <w:color w:val="auto"/>
        </w:rPr>
        <w:t>C5专业资料及软件配备情况表</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_Toc193981351 \h </w:instrText>
      </w:r>
      <w:r>
        <w:rPr>
          <w:rStyle w:val="59"/>
          <w:rFonts w:hint="eastAsia" w:ascii="Times New Roman"/>
          <w:color w:val="auto"/>
        </w:rPr>
        <w:fldChar w:fldCharType="separate"/>
      </w:r>
      <w:r>
        <w:rPr>
          <w:rStyle w:val="59"/>
          <w:rFonts w:hint="eastAsia" w:ascii="Times New Roman"/>
          <w:color w:val="auto"/>
        </w:rPr>
        <w:t>85</w:t>
      </w:r>
      <w:r>
        <w:rPr>
          <w:rStyle w:val="59"/>
          <w:rFonts w:hint="eastAsia" w:ascii="Times New Roman"/>
          <w:color w:val="auto"/>
        </w:rPr>
        <w:fldChar w:fldCharType="end"/>
      </w:r>
      <w:r>
        <w:rPr>
          <w:rStyle w:val="59"/>
          <w:rFonts w:hint="eastAsia" w:ascii="Times New Roman"/>
          <w:color w:val="auto"/>
        </w:rPr>
        <w:fldChar w:fldCharType="end"/>
      </w:r>
    </w:p>
    <w:p w14:paraId="45A8FECE">
      <w:pPr>
        <w:pStyle w:val="41"/>
        <w:adjustRightInd w:val="0"/>
        <w:snapToGrid w:val="0"/>
        <w:spacing w:line="400" w:lineRule="atLeast"/>
        <w:ind w:firstLine="240" w:firstLineChars="1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"_Toc193981352" </w:instrText>
      </w:r>
      <w:r>
        <w:rPr>
          <w:rStyle w:val="59"/>
          <w:rFonts w:hint="eastAsia" w:ascii="Times New Roman"/>
          <w:color w:val="auto"/>
        </w:rPr>
        <w:fldChar w:fldCharType="separate"/>
      </w:r>
      <w:r>
        <w:rPr>
          <w:rStyle w:val="59"/>
          <w:rFonts w:hint="eastAsia" w:ascii="Times New Roman"/>
          <w:color w:val="auto"/>
        </w:rPr>
        <w:t>D报价部分</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_Toc193981352 \h </w:instrText>
      </w:r>
      <w:r>
        <w:rPr>
          <w:rStyle w:val="59"/>
          <w:rFonts w:hint="eastAsia" w:ascii="Times New Roman"/>
          <w:color w:val="auto"/>
        </w:rPr>
        <w:fldChar w:fldCharType="separate"/>
      </w:r>
      <w:r>
        <w:rPr>
          <w:rStyle w:val="59"/>
          <w:rFonts w:hint="eastAsia" w:ascii="Times New Roman"/>
          <w:color w:val="auto"/>
        </w:rPr>
        <w:t>87</w:t>
      </w:r>
      <w:r>
        <w:rPr>
          <w:rStyle w:val="59"/>
          <w:rFonts w:hint="eastAsia" w:ascii="Times New Roman"/>
          <w:color w:val="auto"/>
        </w:rPr>
        <w:fldChar w:fldCharType="end"/>
      </w:r>
      <w:r>
        <w:rPr>
          <w:rStyle w:val="59"/>
          <w:rFonts w:hint="eastAsia" w:ascii="Times New Roman"/>
          <w:color w:val="auto"/>
        </w:rPr>
        <w:fldChar w:fldCharType="end"/>
      </w:r>
    </w:p>
    <w:p w14:paraId="5E0ED14E">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"_Toc193981353" </w:instrText>
      </w:r>
      <w:r>
        <w:rPr>
          <w:rStyle w:val="59"/>
          <w:rFonts w:hint="eastAsia" w:ascii="Times New Roman"/>
          <w:color w:val="auto"/>
        </w:rPr>
        <w:fldChar w:fldCharType="separate"/>
      </w:r>
      <w:r>
        <w:rPr>
          <w:rStyle w:val="59"/>
          <w:rFonts w:hint="eastAsia" w:ascii="Times New Roman"/>
          <w:color w:val="auto"/>
        </w:rPr>
        <w:t>D1投标函</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_Toc193981353 \h </w:instrText>
      </w:r>
      <w:r>
        <w:rPr>
          <w:rStyle w:val="59"/>
          <w:rFonts w:hint="eastAsia" w:ascii="Times New Roman"/>
          <w:color w:val="auto"/>
        </w:rPr>
        <w:fldChar w:fldCharType="separate"/>
      </w:r>
      <w:r>
        <w:rPr>
          <w:rStyle w:val="59"/>
          <w:rFonts w:hint="eastAsia" w:ascii="Times New Roman"/>
          <w:color w:val="auto"/>
        </w:rPr>
        <w:t>88</w:t>
      </w:r>
      <w:r>
        <w:rPr>
          <w:rStyle w:val="59"/>
          <w:rFonts w:hint="eastAsia" w:ascii="Times New Roman"/>
          <w:color w:val="auto"/>
        </w:rPr>
        <w:fldChar w:fldCharType="end"/>
      </w:r>
      <w:r>
        <w:rPr>
          <w:rStyle w:val="59"/>
          <w:rFonts w:hint="eastAsia" w:ascii="Times New Roman"/>
          <w:color w:val="auto"/>
        </w:rPr>
        <w:fldChar w:fldCharType="end"/>
      </w:r>
    </w:p>
    <w:p w14:paraId="739ED07E">
      <w:pPr>
        <w:pStyle w:val="41"/>
        <w:adjustRightInd w:val="0"/>
        <w:snapToGrid w:val="0"/>
        <w:spacing w:line="400" w:lineRule="atLeast"/>
        <w:ind w:firstLine="480" w:firstLineChars="200"/>
        <w:rPr>
          <w:rStyle w:val="59"/>
          <w:rFonts w:hint="eastAsia" w:ascii="Times New Roman"/>
          <w:color w:val="auto"/>
        </w:rPr>
      </w:pPr>
      <w:r>
        <w:rPr>
          <w:rStyle w:val="59"/>
          <w:rFonts w:hint="eastAsia" w:ascii="Times New Roman"/>
          <w:color w:val="auto"/>
        </w:rPr>
        <w:fldChar w:fldCharType="begin"/>
      </w:r>
      <w:r>
        <w:rPr>
          <w:rStyle w:val="59"/>
          <w:rFonts w:hint="eastAsia" w:ascii="Times New Roman"/>
          <w:color w:val="auto"/>
        </w:rPr>
        <w:instrText xml:space="preserve"> HYPERLINK \l "_Toc193981354" </w:instrText>
      </w:r>
      <w:r>
        <w:rPr>
          <w:rStyle w:val="59"/>
          <w:rFonts w:hint="eastAsia" w:ascii="Times New Roman"/>
          <w:color w:val="auto"/>
        </w:rPr>
        <w:fldChar w:fldCharType="separate"/>
      </w:r>
      <w:r>
        <w:rPr>
          <w:rStyle w:val="59"/>
          <w:rFonts w:hint="eastAsia" w:ascii="Times New Roman"/>
          <w:color w:val="auto"/>
        </w:rPr>
        <w:t>D2投标函附录</w:t>
      </w:r>
      <w:r>
        <w:rPr>
          <w:rStyle w:val="59"/>
          <w:rFonts w:hint="eastAsia" w:ascii="Times New Roman"/>
          <w:color w:val="auto"/>
        </w:rPr>
        <w:tab/>
      </w:r>
      <w:r>
        <w:rPr>
          <w:rStyle w:val="59"/>
          <w:rFonts w:hint="eastAsia" w:ascii="Times New Roman"/>
          <w:color w:val="auto"/>
        </w:rPr>
        <w:fldChar w:fldCharType="begin"/>
      </w:r>
      <w:r>
        <w:rPr>
          <w:rStyle w:val="59"/>
          <w:rFonts w:hint="eastAsia" w:ascii="Times New Roman"/>
          <w:color w:val="auto"/>
        </w:rPr>
        <w:instrText xml:space="preserve"> PAGEREF _Toc193981354 \h </w:instrText>
      </w:r>
      <w:r>
        <w:rPr>
          <w:rStyle w:val="59"/>
          <w:rFonts w:hint="eastAsia" w:ascii="Times New Roman"/>
          <w:color w:val="auto"/>
        </w:rPr>
        <w:fldChar w:fldCharType="separate"/>
      </w:r>
      <w:r>
        <w:rPr>
          <w:rStyle w:val="59"/>
          <w:rFonts w:hint="eastAsia" w:ascii="Times New Roman"/>
          <w:color w:val="auto"/>
        </w:rPr>
        <w:t>89</w:t>
      </w:r>
      <w:r>
        <w:rPr>
          <w:rStyle w:val="59"/>
          <w:rFonts w:hint="eastAsia" w:ascii="Times New Roman"/>
          <w:color w:val="auto"/>
        </w:rPr>
        <w:fldChar w:fldCharType="end"/>
      </w:r>
      <w:r>
        <w:rPr>
          <w:rStyle w:val="59"/>
          <w:rFonts w:hint="eastAsia" w:ascii="Times New Roman"/>
          <w:color w:val="auto"/>
        </w:rPr>
        <w:fldChar w:fldCharType="end"/>
      </w:r>
    </w:p>
    <w:p w14:paraId="5A8A58CD">
      <w:pPr>
        <w:pStyle w:val="41"/>
        <w:adjustRightInd w:val="0"/>
        <w:snapToGrid w:val="0"/>
        <w:spacing w:line="400" w:lineRule="atLeast"/>
        <w:ind w:firstLine="0" w:firstLineChars="0"/>
        <w:rPr>
          <w:rStyle w:val="59"/>
          <w:rFonts w:hint="eastAsia" w:ascii="Times New Roman"/>
          <w:color w:val="auto"/>
        </w:rPr>
      </w:pPr>
      <w:r>
        <w:rPr>
          <w:rStyle w:val="59"/>
          <w:rFonts w:hint="eastAsia" w:ascii="Times New Roman"/>
          <w:color w:val="auto"/>
        </w:rPr>
        <w:fldChar w:fldCharType="end"/>
      </w:r>
    </w:p>
    <w:p w14:paraId="256633AB">
      <w:pPr>
        <w:pStyle w:val="41"/>
        <w:adjustRightInd w:val="0"/>
        <w:snapToGrid w:val="0"/>
        <w:spacing w:line="240" w:lineRule="auto"/>
        <w:ind w:firstLine="0" w:firstLineChars="0"/>
        <w:rPr>
          <w:rStyle w:val="59"/>
          <w:rFonts w:hint="eastAsia" w:ascii="Times New Roman"/>
          <w:color w:val="auto"/>
        </w:rPr>
        <w:sectPr>
          <w:headerReference r:id="rId6" w:type="first"/>
          <w:footerReference r:id="rId8" w:type="first"/>
          <w:headerReference r:id="rId5" w:type="default"/>
          <w:footerReference r:id="rId7" w:type="default"/>
          <w:pgSz w:w="11906" w:h="16838"/>
          <w:pgMar w:top="1440" w:right="1247" w:bottom="1440" w:left="1304" w:header="851" w:footer="992" w:gutter="0"/>
          <w:cols w:space="720" w:num="1"/>
          <w:titlePg/>
          <w:docGrid w:type="lines" w:linePitch="312" w:charSpace="0"/>
        </w:sectPr>
      </w:pPr>
    </w:p>
    <w:p w14:paraId="55598C6C">
      <w:pPr>
        <w:pStyle w:val="4"/>
        <w:spacing w:before="120" w:beforeLines="0"/>
        <w:ind w:firstLine="0" w:firstLineChars="0"/>
        <w:rPr>
          <w:rFonts w:ascii="Times New Roman"/>
        </w:rPr>
      </w:pPr>
      <w:bookmarkStart w:id="4" w:name="_Toc193981245"/>
      <w:bookmarkStart w:id="5" w:name="_Toc341171601"/>
      <w:r>
        <w:rPr>
          <w:rFonts w:ascii="Times New Roman"/>
        </w:rPr>
        <w:t>第一章 招标公告</w:t>
      </w:r>
      <w:bookmarkEnd w:id="4"/>
      <w:bookmarkEnd w:id="5"/>
    </w:p>
    <w:p w14:paraId="31F26718">
      <w:pPr>
        <w:spacing w:before="120" w:beforeLines="0" w:after="312" w:afterLines="100"/>
        <w:ind w:firstLine="0" w:firstLineChars="0"/>
        <w:jc w:val="center"/>
        <w:rPr>
          <w:rFonts w:ascii="Times New Roman"/>
          <w:color w:val="auto"/>
          <w:sz w:val="30"/>
          <w:szCs w:val="30"/>
          <w:highlight w:val="none"/>
        </w:rPr>
      </w:pPr>
      <w:bookmarkStart w:id="6" w:name="OLE_LINK21"/>
      <w:bookmarkStart w:id="7" w:name="OLE_LINK20"/>
      <w:bookmarkStart w:id="8" w:name="OLE_LINK18"/>
      <w:r>
        <w:rPr>
          <w:rFonts w:hint="eastAsia" w:ascii="Times New Roman" w:eastAsia="黑体"/>
          <w:color w:val="auto"/>
          <w:sz w:val="30"/>
          <w:szCs w:val="30"/>
          <w:highlight w:val="none"/>
          <w:lang w:eastAsia="zh-CN"/>
        </w:rPr>
        <w:t>轨道御玺君临湾项目结算阶段造价服务</w:t>
      </w:r>
      <w:r>
        <w:rPr>
          <w:rFonts w:ascii="Times New Roman" w:eastAsia="黑体"/>
          <w:color w:val="auto"/>
          <w:sz w:val="30"/>
          <w:szCs w:val="30"/>
          <w:highlight w:val="none"/>
        </w:rPr>
        <w:t>招标公告</w:t>
      </w:r>
    </w:p>
    <w:bookmarkEnd w:id="6"/>
    <w:bookmarkEnd w:id="7"/>
    <w:p w14:paraId="161CFE4B">
      <w:pPr>
        <w:spacing w:before="0" w:beforeLines="0" w:line="360" w:lineRule="auto"/>
        <w:ind w:firstLine="420"/>
        <w:rPr>
          <w:rFonts w:hAnsi="宋体"/>
          <w:color w:val="auto"/>
          <w:sz w:val="21"/>
          <w:szCs w:val="21"/>
          <w:highlight w:val="none"/>
        </w:rPr>
      </w:pPr>
      <w:bookmarkStart w:id="9" w:name="OLE_LINK23"/>
      <w:bookmarkStart w:id="10" w:name="OLE_LINK22"/>
      <w:bookmarkStart w:id="11" w:name="OLE_LINK28"/>
      <w:bookmarkStart w:id="12" w:name="OLE_LINK29"/>
      <w:r>
        <w:rPr>
          <w:rFonts w:hint="eastAsia" w:hAnsi="宋体"/>
          <w:color w:val="auto"/>
          <w:sz w:val="21"/>
          <w:szCs w:val="21"/>
          <w:highlight w:val="none"/>
        </w:rPr>
        <w:t>广西中信恒泰工程顾问有限公司</w:t>
      </w:r>
      <w:r>
        <w:rPr>
          <w:rFonts w:hAnsi="宋体"/>
          <w:color w:val="auto"/>
          <w:sz w:val="21"/>
          <w:szCs w:val="21"/>
          <w:highlight w:val="none"/>
        </w:rPr>
        <w:t>（以下简称“招标代理机构”）</w:t>
      </w:r>
      <w:r>
        <w:rPr>
          <w:rFonts w:hint="eastAsia" w:hAnsi="宋体"/>
          <w:color w:val="auto"/>
          <w:sz w:val="21"/>
          <w:szCs w:val="21"/>
          <w:highlight w:val="none"/>
        </w:rPr>
        <w:t>受南宁轨道地产集团有限责任公司（以下简称“招标人”）的委托，就“</w:t>
      </w:r>
      <w:r>
        <w:rPr>
          <w:rFonts w:hint="eastAsia" w:hAnsi="宋体"/>
          <w:color w:val="auto"/>
          <w:sz w:val="21"/>
          <w:szCs w:val="21"/>
          <w:highlight w:val="none"/>
          <w:lang w:eastAsia="zh-CN"/>
        </w:rPr>
        <w:t>轨道御玺君临湾项目结算阶段造价服务</w:t>
      </w:r>
      <w:r>
        <w:rPr>
          <w:rFonts w:hAnsi="宋体"/>
          <w:color w:val="auto"/>
          <w:sz w:val="21"/>
          <w:szCs w:val="21"/>
          <w:highlight w:val="none"/>
        </w:rPr>
        <w:t>”项下服务进行国内公开招标，现邀请有意向的、符合国家规定的合格投标人参加投标。</w:t>
      </w:r>
    </w:p>
    <w:p w14:paraId="125511BE">
      <w:pPr>
        <w:spacing w:before="0" w:beforeLines="0" w:line="360" w:lineRule="auto"/>
        <w:ind w:firstLine="0" w:firstLineChars="0"/>
        <w:outlineLvl w:val="1"/>
        <w:rPr>
          <w:rFonts w:ascii="Times New Roman"/>
          <w:b/>
          <w:bCs/>
          <w:color w:val="auto"/>
          <w:sz w:val="21"/>
          <w:szCs w:val="21"/>
          <w:highlight w:val="none"/>
        </w:rPr>
      </w:pPr>
      <w:bookmarkStart w:id="13" w:name="_Toc193981246"/>
      <w:bookmarkStart w:id="14" w:name="_Toc375212215"/>
      <w:bookmarkStart w:id="15" w:name="_Toc375230780"/>
      <w:r>
        <w:rPr>
          <w:rFonts w:ascii="Times New Roman"/>
          <w:b/>
          <w:bCs/>
          <w:color w:val="auto"/>
          <w:sz w:val="21"/>
          <w:szCs w:val="21"/>
          <w:highlight w:val="none"/>
        </w:rPr>
        <w:t>1.工程概况</w:t>
      </w:r>
      <w:bookmarkEnd w:id="13"/>
      <w:bookmarkEnd w:id="14"/>
      <w:bookmarkEnd w:id="15"/>
    </w:p>
    <w:p w14:paraId="11A752D5">
      <w:pPr>
        <w:spacing w:before="0" w:beforeLines="0" w:line="360" w:lineRule="auto"/>
        <w:ind w:firstLine="420"/>
        <w:rPr>
          <w:rFonts w:hint="eastAsia" w:hAnsi="宋体" w:eastAsia="宋体"/>
          <w:color w:val="auto"/>
          <w:sz w:val="21"/>
          <w:szCs w:val="21"/>
          <w:highlight w:val="none"/>
          <w:lang w:eastAsia="zh-CN"/>
        </w:rPr>
      </w:pPr>
      <w:r>
        <w:rPr>
          <w:rFonts w:hAnsi="宋体"/>
          <w:color w:val="auto"/>
          <w:sz w:val="21"/>
          <w:szCs w:val="21"/>
          <w:highlight w:val="none"/>
        </w:rPr>
        <w:t>1.1</w:t>
      </w:r>
      <w:r>
        <w:rPr>
          <w:rFonts w:hint="eastAsia" w:hAnsi="宋体"/>
          <w:color w:val="auto"/>
          <w:sz w:val="21"/>
          <w:szCs w:val="21"/>
          <w:highlight w:val="none"/>
        </w:rPr>
        <w:t>项目</w:t>
      </w:r>
      <w:r>
        <w:rPr>
          <w:rFonts w:hAnsi="宋体"/>
          <w:color w:val="auto"/>
          <w:sz w:val="21"/>
          <w:szCs w:val="21"/>
          <w:highlight w:val="none"/>
        </w:rPr>
        <w:t>名称：</w:t>
      </w:r>
      <w:r>
        <w:rPr>
          <w:rFonts w:hint="eastAsia" w:hAnsi="宋体"/>
          <w:color w:val="auto"/>
          <w:sz w:val="21"/>
          <w:szCs w:val="21"/>
          <w:highlight w:val="none"/>
          <w:lang w:eastAsia="zh-CN"/>
        </w:rPr>
        <w:t>轨道御玺君临湾项目结算阶段造价服务</w:t>
      </w:r>
    </w:p>
    <w:p w14:paraId="5C5F3698">
      <w:pPr>
        <w:spacing w:before="0" w:beforeLines="0" w:line="360" w:lineRule="auto"/>
        <w:ind w:firstLine="420"/>
        <w:rPr>
          <w:rFonts w:hAnsi="宋体"/>
          <w:color w:val="auto"/>
          <w:sz w:val="21"/>
          <w:szCs w:val="21"/>
          <w:highlight w:val="none"/>
        </w:rPr>
      </w:pPr>
      <w:r>
        <w:rPr>
          <w:rFonts w:hAnsi="宋体"/>
          <w:color w:val="auto"/>
          <w:sz w:val="21"/>
          <w:szCs w:val="21"/>
          <w:highlight w:val="none"/>
        </w:rPr>
        <w:t>1.2招标编号：</w:t>
      </w:r>
      <w:r>
        <w:rPr>
          <w:rFonts w:hint="eastAsia" w:hAnsi="宋体"/>
          <w:color w:val="auto"/>
          <w:sz w:val="21"/>
          <w:szCs w:val="21"/>
          <w:highlight w:val="none"/>
        </w:rPr>
        <w:t>ZXHTZB2504XG04B520C</w:t>
      </w:r>
    </w:p>
    <w:p w14:paraId="12B6D0A4">
      <w:pPr>
        <w:spacing w:before="0" w:beforeLines="0" w:line="360" w:lineRule="auto"/>
        <w:ind w:firstLine="420"/>
        <w:rPr>
          <w:rFonts w:hint="default" w:hAnsi="宋体" w:eastAsia="宋体"/>
          <w:color w:val="auto"/>
          <w:sz w:val="21"/>
          <w:szCs w:val="21"/>
          <w:highlight w:val="none"/>
          <w:lang w:val="en-US" w:eastAsia="zh-CN"/>
        </w:rPr>
      </w:pPr>
      <w:r>
        <w:rPr>
          <w:rFonts w:hAnsi="宋体"/>
          <w:color w:val="auto"/>
          <w:sz w:val="21"/>
          <w:szCs w:val="21"/>
          <w:highlight w:val="none"/>
        </w:rPr>
        <w:t>1.3工程规模：</w:t>
      </w:r>
      <w:r>
        <w:rPr>
          <w:rFonts w:hint="eastAsia" w:hAnsi="宋体"/>
          <w:color w:val="auto"/>
          <w:sz w:val="21"/>
          <w:szCs w:val="21"/>
          <w:highlight w:val="none"/>
        </w:rPr>
        <w:t>本项目总建筑面积386720.49m²。预计于2026年7月30日整体竣工，项目分为6个总包标段，当前已完成4个总包标段的结算，剩余未结算合同造价约11亿元。</w:t>
      </w:r>
    </w:p>
    <w:p w14:paraId="6352EF30">
      <w:pPr>
        <w:spacing w:before="0" w:beforeLines="0" w:line="360" w:lineRule="auto"/>
        <w:ind w:firstLine="420"/>
        <w:rPr>
          <w:rFonts w:hAnsi="宋体"/>
          <w:color w:val="auto"/>
          <w:sz w:val="21"/>
          <w:szCs w:val="21"/>
          <w:highlight w:val="none"/>
        </w:rPr>
      </w:pPr>
      <w:r>
        <w:rPr>
          <w:rFonts w:hAnsi="宋体"/>
          <w:color w:val="auto"/>
          <w:sz w:val="21"/>
          <w:szCs w:val="21"/>
          <w:highlight w:val="none"/>
        </w:rPr>
        <w:t>1</w:t>
      </w:r>
      <w:r>
        <w:rPr>
          <w:rFonts w:hint="eastAsia" w:hAnsi="宋体"/>
          <w:color w:val="auto"/>
          <w:sz w:val="21"/>
          <w:szCs w:val="21"/>
          <w:highlight w:val="none"/>
        </w:rPr>
        <w:t>.4</w:t>
      </w:r>
      <w:r>
        <w:rPr>
          <w:rFonts w:hAnsi="宋体"/>
          <w:color w:val="auto"/>
          <w:sz w:val="21"/>
          <w:szCs w:val="21"/>
          <w:highlight w:val="none"/>
        </w:rPr>
        <w:t>建设地点：</w:t>
      </w:r>
      <w:r>
        <w:rPr>
          <w:rFonts w:hint="eastAsia" w:hAnsi="宋体"/>
          <w:color w:val="auto"/>
          <w:sz w:val="21"/>
          <w:szCs w:val="21"/>
          <w:highlight w:val="none"/>
        </w:rPr>
        <w:t>南宁市良庆区良庆大桥南</w:t>
      </w:r>
    </w:p>
    <w:p w14:paraId="1556A716">
      <w:pPr>
        <w:spacing w:before="0" w:beforeLines="0" w:line="360" w:lineRule="auto"/>
        <w:ind w:firstLine="420"/>
        <w:rPr>
          <w:rFonts w:hAnsi="宋体"/>
          <w:color w:val="auto"/>
          <w:sz w:val="21"/>
          <w:szCs w:val="21"/>
          <w:highlight w:val="none"/>
        </w:rPr>
      </w:pPr>
      <w:r>
        <w:rPr>
          <w:rFonts w:hAnsi="宋体"/>
          <w:color w:val="auto"/>
          <w:sz w:val="21"/>
          <w:szCs w:val="21"/>
          <w:highlight w:val="none"/>
        </w:rPr>
        <w:t>1</w:t>
      </w:r>
      <w:r>
        <w:rPr>
          <w:rFonts w:hint="eastAsia" w:hAnsi="宋体"/>
          <w:color w:val="auto"/>
          <w:sz w:val="21"/>
          <w:szCs w:val="21"/>
          <w:highlight w:val="none"/>
        </w:rPr>
        <w:t>.5</w:t>
      </w:r>
      <w:r>
        <w:rPr>
          <w:rFonts w:hAnsi="宋体"/>
          <w:color w:val="auto"/>
          <w:sz w:val="21"/>
          <w:szCs w:val="21"/>
          <w:highlight w:val="none"/>
        </w:rPr>
        <w:t>合同估算</w:t>
      </w:r>
      <w:r>
        <w:rPr>
          <w:rFonts w:ascii="宋体" w:hAnsi="宋体" w:eastAsia="宋体" w:cs="Times New Roman"/>
          <w:color w:val="auto"/>
          <w:sz w:val="21"/>
          <w:szCs w:val="21"/>
          <w:highlight w:val="none"/>
        </w:rPr>
        <w:t>价：</w:t>
      </w:r>
      <w:bookmarkStart w:id="16" w:name="OLE_LINK50"/>
      <w:r>
        <w:rPr>
          <w:rFonts w:hint="default" w:ascii="宋体" w:hAnsi="宋体" w:eastAsia="宋体" w:cs="Times New Roman"/>
          <w:color w:val="auto"/>
          <w:sz w:val="21"/>
          <w:szCs w:val="21"/>
          <w:highlight w:val="none"/>
        </w:rPr>
        <w:t>230</w:t>
      </w:r>
      <w:r>
        <w:rPr>
          <w:rFonts w:ascii="宋体" w:hAnsi="宋体" w:eastAsia="宋体" w:cs="Times New Roman"/>
          <w:color w:val="auto"/>
          <w:sz w:val="21"/>
          <w:szCs w:val="21"/>
          <w:highlight w:val="none"/>
        </w:rPr>
        <w:t>万元</w:t>
      </w:r>
      <w:bookmarkEnd w:id="16"/>
      <w:r>
        <w:rPr>
          <w:rFonts w:ascii="宋体" w:hAnsi="宋体" w:eastAsia="宋体" w:cs="Times New Roman"/>
          <w:color w:val="auto"/>
          <w:sz w:val="21"/>
          <w:szCs w:val="21"/>
          <w:highlight w:val="none"/>
        </w:rPr>
        <w:t>。</w:t>
      </w:r>
    </w:p>
    <w:p w14:paraId="25C636CC">
      <w:pPr>
        <w:spacing w:before="0" w:beforeLines="0" w:line="360" w:lineRule="auto"/>
        <w:ind w:firstLine="420"/>
        <w:rPr>
          <w:rFonts w:hAnsi="宋体"/>
          <w:color w:val="auto"/>
          <w:sz w:val="21"/>
          <w:szCs w:val="21"/>
          <w:highlight w:val="none"/>
        </w:rPr>
      </w:pPr>
      <w:r>
        <w:rPr>
          <w:rFonts w:hAnsi="宋体"/>
          <w:color w:val="auto"/>
          <w:sz w:val="21"/>
          <w:szCs w:val="21"/>
          <w:highlight w:val="none"/>
        </w:rPr>
        <w:t>1.6资金来源：</w:t>
      </w:r>
      <w:bookmarkStart w:id="17" w:name="OLE_LINK51"/>
      <w:r>
        <w:rPr>
          <w:rFonts w:hAnsi="宋体"/>
          <w:color w:val="auto"/>
          <w:sz w:val="21"/>
          <w:szCs w:val="21"/>
          <w:highlight w:val="none"/>
        </w:rPr>
        <w:t>企业</w:t>
      </w:r>
      <w:r>
        <w:rPr>
          <w:rFonts w:hint="eastAsia" w:hAnsi="宋体"/>
          <w:color w:val="auto"/>
          <w:sz w:val="21"/>
          <w:szCs w:val="21"/>
          <w:highlight w:val="none"/>
        </w:rPr>
        <w:t>自筹</w:t>
      </w:r>
      <w:bookmarkEnd w:id="17"/>
      <w:r>
        <w:rPr>
          <w:rFonts w:hAnsi="宋体"/>
          <w:color w:val="auto"/>
          <w:sz w:val="21"/>
          <w:szCs w:val="21"/>
          <w:highlight w:val="none"/>
        </w:rPr>
        <w:t>，已落实。</w:t>
      </w:r>
    </w:p>
    <w:p w14:paraId="71F88FE7">
      <w:pPr>
        <w:spacing w:before="0" w:beforeLines="0" w:line="360" w:lineRule="auto"/>
        <w:ind w:firstLine="420"/>
        <w:rPr>
          <w:rFonts w:hAnsi="宋体"/>
          <w:color w:val="auto"/>
          <w:sz w:val="21"/>
          <w:szCs w:val="21"/>
          <w:highlight w:val="none"/>
        </w:rPr>
      </w:pPr>
      <w:r>
        <w:rPr>
          <w:rFonts w:hint="eastAsia" w:hAnsi="宋体"/>
          <w:color w:val="auto"/>
          <w:sz w:val="21"/>
          <w:szCs w:val="21"/>
          <w:highlight w:val="none"/>
        </w:rPr>
        <w:t>1.7</w:t>
      </w:r>
      <w:r>
        <w:rPr>
          <w:rFonts w:hint="eastAsia" w:hAnsi="宋体"/>
          <w:color w:val="auto"/>
          <w:sz w:val="21"/>
          <w:szCs w:val="21"/>
          <w:highlight w:val="none"/>
          <w:lang w:val="zh-CN"/>
        </w:rPr>
        <w:t>本项目共分为</w:t>
      </w:r>
      <w:r>
        <w:rPr>
          <w:rFonts w:hint="eastAsia" w:hAnsi="宋体"/>
          <w:color w:val="auto"/>
          <w:sz w:val="21"/>
          <w:szCs w:val="21"/>
          <w:highlight w:val="none"/>
        </w:rPr>
        <w:t>1</w:t>
      </w:r>
      <w:r>
        <w:rPr>
          <w:rFonts w:hint="eastAsia" w:hAnsi="宋体"/>
          <w:color w:val="auto"/>
          <w:sz w:val="21"/>
          <w:szCs w:val="21"/>
          <w:highlight w:val="none"/>
          <w:lang w:val="zh-CN"/>
        </w:rPr>
        <w:t>个标段进行招标。</w:t>
      </w:r>
    </w:p>
    <w:p w14:paraId="3BBCB0B4">
      <w:pPr>
        <w:spacing w:before="0" w:beforeLines="0" w:line="360" w:lineRule="auto"/>
        <w:ind w:firstLine="0" w:firstLineChars="0"/>
        <w:outlineLvl w:val="1"/>
        <w:rPr>
          <w:rFonts w:ascii="Times New Roman"/>
          <w:b/>
          <w:bCs/>
          <w:color w:val="auto"/>
          <w:sz w:val="21"/>
          <w:szCs w:val="21"/>
          <w:highlight w:val="none"/>
        </w:rPr>
      </w:pPr>
      <w:bookmarkStart w:id="18" w:name="_Toc375212216"/>
      <w:bookmarkStart w:id="19" w:name="_Toc375230781"/>
      <w:bookmarkStart w:id="20" w:name="_Toc193981247"/>
      <w:r>
        <w:rPr>
          <w:rFonts w:ascii="Times New Roman"/>
          <w:b/>
          <w:bCs/>
          <w:color w:val="auto"/>
          <w:sz w:val="21"/>
          <w:szCs w:val="21"/>
          <w:highlight w:val="none"/>
        </w:rPr>
        <w:t>2.招标范围</w:t>
      </w:r>
      <w:bookmarkEnd w:id="18"/>
      <w:bookmarkEnd w:id="19"/>
      <w:r>
        <w:rPr>
          <w:rFonts w:ascii="Times New Roman"/>
          <w:b/>
          <w:bCs/>
          <w:color w:val="auto"/>
          <w:sz w:val="21"/>
          <w:szCs w:val="21"/>
          <w:highlight w:val="none"/>
        </w:rPr>
        <w:t>、服务周期、质量要求</w:t>
      </w:r>
      <w:bookmarkEnd w:id="20"/>
    </w:p>
    <w:p w14:paraId="0B411509">
      <w:pPr>
        <w:spacing w:before="0" w:beforeLines="0" w:line="360" w:lineRule="auto"/>
        <w:ind w:firstLine="420"/>
        <w:rPr>
          <w:rFonts w:hint="eastAsia" w:hAnsi="宋体"/>
          <w:color w:val="auto"/>
          <w:sz w:val="21"/>
          <w:szCs w:val="21"/>
          <w:highlight w:val="none"/>
        </w:rPr>
      </w:pPr>
      <w:r>
        <w:rPr>
          <w:rFonts w:hAnsi="宋体"/>
          <w:color w:val="auto"/>
          <w:sz w:val="21"/>
          <w:szCs w:val="21"/>
          <w:highlight w:val="none"/>
        </w:rPr>
        <w:t>2.1招标范围：</w:t>
      </w:r>
      <w:bookmarkStart w:id="21" w:name="OLE_LINK48"/>
      <w:bookmarkStart w:id="22" w:name="OLE_LINK47"/>
      <w:bookmarkStart w:id="23" w:name="OLE_LINK15"/>
      <w:bookmarkStart w:id="24" w:name="OLE_LINK11"/>
      <w:bookmarkStart w:id="25" w:name="OLE_LINK10"/>
      <w:r>
        <w:rPr>
          <w:rFonts w:hint="eastAsia" w:hAnsi="宋体"/>
          <w:color w:val="auto"/>
          <w:sz w:val="21"/>
          <w:szCs w:val="21"/>
          <w:highlight w:val="none"/>
          <w:lang w:eastAsia="zh-CN"/>
        </w:rPr>
        <w:t>轨道御玺君临湾项目结算阶段造价服务</w:t>
      </w:r>
      <w:r>
        <w:rPr>
          <w:rFonts w:hint="eastAsia" w:hAnsi="宋体"/>
          <w:color w:val="auto"/>
          <w:sz w:val="21"/>
          <w:szCs w:val="21"/>
          <w:highlight w:val="none"/>
        </w:rPr>
        <w:t>，含签证变更</w:t>
      </w:r>
      <w:r>
        <w:rPr>
          <w:rFonts w:hint="eastAsia" w:hAnsi="宋体"/>
          <w:color w:val="auto"/>
          <w:sz w:val="21"/>
          <w:szCs w:val="21"/>
          <w:highlight w:val="none"/>
          <w:lang w:val="en-US" w:eastAsia="zh-CN"/>
        </w:rPr>
        <w:t>测算及核对</w:t>
      </w:r>
      <w:r>
        <w:rPr>
          <w:rFonts w:hint="eastAsia" w:hAnsi="宋体"/>
          <w:color w:val="auto"/>
          <w:sz w:val="21"/>
          <w:szCs w:val="21"/>
          <w:highlight w:val="none"/>
        </w:rPr>
        <w:t>、</w:t>
      </w:r>
      <w:r>
        <w:rPr>
          <w:rFonts w:hint="eastAsia" w:hAnsi="宋体"/>
          <w:color w:val="auto"/>
          <w:sz w:val="21"/>
          <w:szCs w:val="21"/>
          <w:highlight w:val="none"/>
          <w:lang w:val="en-US" w:eastAsia="zh-CN"/>
        </w:rPr>
        <w:t>进度款审核</w:t>
      </w:r>
      <w:r>
        <w:rPr>
          <w:rFonts w:hint="eastAsia" w:hAnsi="宋体"/>
          <w:color w:val="auto"/>
          <w:sz w:val="21"/>
          <w:szCs w:val="21"/>
          <w:highlight w:val="none"/>
        </w:rPr>
        <w:t>、预结算编制及审核等业主需要完成的过程造价服务内容。</w:t>
      </w:r>
      <w:bookmarkEnd w:id="21"/>
      <w:bookmarkEnd w:id="22"/>
      <w:bookmarkStart w:id="26" w:name="OLE_LINK49"/>
      <w:r>
        <w:rPr>
          <w:rFonts w:hint="eastAsia" w:hAnsi="宋体"/>
          <w:color w:val="auto"/>
          <w:sz w:val="21"/>
          <w:szCs w:val="21"/>
          <w:highlight w:val="none"/>
        </w:rPr>
        <w:t>具体详见招标文件第五章 发包人要求。</w:t>
      </w:r>
      <w:bookmarkEnd w:id="23"/>
      <w:bookmarkEnd w:id="24"/>
      <w:bookmarkEnd w:id="25"/>
      <w:bookmarkEnd w:id="26"/>
    </w:p>
    <w:p w14:paraId="736193D2">
      <w:pPr>
        <w:spacing w:before="0" w:beforeLines="0" w:line="360" w:lineRule="auto"/>
        <w:ind w:firstLine="420"/>
        <w:rPr>
          <w:rFonts w:hint="eastAsia" w:hAnsi="宋体"/>
          <w:color w:val="auto"/>
          <w:sz w:val="21"/>
          <w:szCs w:val="21"/>
          <w:highlight w:val="none"/>
        </w:rPr>
      </w:pPr>
      <w:r>
        <w:rPr>
          <w:rFonts w:hAnsi="宋体"/>
          <w:color w:val="auto"/>
          <w:sz w:val="21"/>
          <w:szCs w:val="21"/>
          <w:highlight w:val="none"/>
        </w:rPr>
        <w:t>2.2</w:t>
      </w:r>
      <w:r>
        <w:rPr>
          <w:rFonts w:hint="eastAsia" w:hAnsi="宋体"/>
          <w:color w:val="auto"/>
          <w:sz w:val="21"/>
          <w:szCs w:val="21"/>
          <w:highlight w:val="none"/>
        </w:rPr>
        <w:t>服务期/合同有效期：签订合同之日起至项目所有合同结算完成。</w:t>
      </w:r>
    </w:p>
    <w:p w14:paraId="777DDFF2">
      <w:pPr>
        <w:spacing w:before="0" w:beforeLines="0" w:line="360" w:lineRule="auto"/>
        <w:ind w:firstLine="420"/>
        <w:rPr>
          <w:rFonts w:hAnsi="宋体"/>
          <w:color w:val="auto"/>
          <w:sz w:val="21"/>
          <w:szCs w:val="21"/>
          <w:highlight w:val="none"/>
        </w:rPr>
      </w:pPr>
      <w:r>
        <w:rPr>
          <w:rFonts w:hAnsi="宋体"/>
          <w:color w:val="auto"/>
          <w:sz w:val="21"/>
          <w:szCs w:val="21"/>
          <w:highlight w:val="none"/>
        </w:rPr>
        <w:t>2.3质量要求：</w:t>
      </w:r>
      <w:r>
        <w:rPr>
          <w:rFonts w:hint="eastAsia" w:hAnsi="宋体"/>
          <w:color w:val="auto"/>
          <w:sz w:val="21"/>
          <w:szCs w:val="21"/>
          <w:highlight w:val="none"/>
        </w:rPr>
        <w:t>按服务范围内的建设工程造价咨询业务，保质保量按时完成合同约定造价咨询服务事项，并符合中国工程造价管理协会颁布的《建设项目全过程造价咨询规程》（CECAGC4-2017）要求及国家及地方现行有关法律、法规、标准的规定。</w:t>
      </w:r>
    </w:p>
    <w:p w14:paraId="2DB0CC76">
      <w:pPr>
        <w:spacing w:before="0" w:beforeLines="0" w:line="360" w:lineRule="auto"/>
        <w:ind w:firstLine="0" w:firstLineChars="0"/>
        <w:outlineLvl w:val="1"/>
        <w:rPr>
          <w:rFonts w:ascii="Times New Roman"/>
          <w:b/>
          <w:bCs/>
          <w:color w:val="auto"/>
          <w:sz w:val="21"/>
          <w:szCs w:val="21"/>
          <w:highlight w:val="none"/>
        </w:rPr>
      </w:pPr>
      <w:bookmarkStart w:id="27" w:name="_Toc375212217"/>
      <w:bookmarkStart w:id="28" w:name="_Toc193981248"/>
      <w:bookmarkStart w:id="29" w:name="_Toc375230782"/>
      <w:r>
        <w:rPr>
          <w:rFonts w:ascii="Times New Roman"/>
          <w:b/>
          <w:bCs/>
          <w:color w:val="auto"/>
          <w:sz w:val="21"/>
          <w:szCs w:val="21"/>
          <w:highlight w:val="none"/>
        </w:rPr>
        <w:t>3.投标人资格要求</w:t>
      </w:r>
      <w:bookmarkEnd w:id="27"/>
      <w:bookmarkEnd w:id="28"/>
      <w:bookmarkEnd w:id="29"/>
    </w:p>
    <w:p w14:paraId="7B6B2190">
      <w:pPr>
        <w:spacing w:before="0" w:beforeLines="0" w:line="360" w:lineRule="auto"/>
        <w:ind w:firstLine="420"/>
        <w:rPr>
          <w:rFonts w:hint="eastAsia" w:hAnsi="宋体"/>
          <w:color w:val="auto"/>
          <w:sz w:val="21"/>
          <w:szCs w:val="21"/>
          <w:highlight w:val="none"/>
        </w:rPr>
      </w:pPr>
      <w:bookmarkStart w:id="30" w:name="OLE_LINK16"/>
      <w:bookmarkStart w:id="31" w:name="OLE_LINK17"/>
      <w:r>
        <w:rPr>
          <w:rFonts w:hint="eastAsia" w:hAnsi="宋体"/>
          <w:color w:val="auto"/>
          <w:sz w:val="21"/>
          <w:szCs w:val="21"/>
          <w:highlight w:val="none"/>
        </w:rPr>
        <w:t>3.1投标人须是按照国家有关规定注册的独立法人、持有合法有效的企业法人营业执照，营业执照经营范围须包含工程造价咨询，并在人员、资金等方面具备相应的能力。</w:t>
      </w:r>
    </w:p>
    <w:p w14:paraId="3C042A54">
      <w:pPr>
        <w:spacing w:before="0" w:beforeLines="0" w:line="360" w:lineRule="auto"/>
        <w:ind w:firstLine="420"/>
        <w:rPr>
          <w:rFonts w:hint="eastAsia" w:hAnsi="宋体"/>
          <w:color w:val="auto"/>
          <w:sz w:val="21"/>
          <w:szCs w:val="21"/>
          <w:highlight w:val="none"/>
        </w:rPr>
      </w:pPr>
      <w:r>
        <w:rPr>
          <w:rFonts w:hint="eastAsia" w:hAnsi="宋体"/>
          <w:color w:val="auto"/>
          <w:sz w:val="21"/>
          <w:szCs w:val="21"/>
          <w:highlight w:val="none"/>
        </w:rPr>
        <w:t>3.2业绩要求：近3年内（202</w:t>
      </w:r>
      <w:r>
        <w:rPr>
          <w:rFonts w:hint="eastAsia" w:hAnsi="宋体"/>
          <w:color w:val="auto"/>
          <w:sz w:val="21"/>
          <w:szCs w:val="21"/>
          <w:highlight w:val="none"/>
          <w:lang w:val="en-US" w:eastAsia="zh-CN"/>
        </w:rPr>
        <w:t>3</w:t>
      </w:r>
      <w:r>
        <w:rPr>
          <w:rFonts w:hint="eastAsia" w:hAnsi="宋体"/>
          <w:color w:val="auto"/>
          <w:sz w:val="21"/>
          <w:szCs w:val="21"/>
          <w:highlight w:val="none"/>
        </w:rPr>
        <w:t>年1月1日至投标截止日前）承接过3个类似业绩。（①“类似业绩”指：房地产开发项目（建筑面积15万㎡（含）以上）工程造价咨询服务业绩；②“不同项目”指：不同建设项目；③如为同一建设项目分标段签订合同，以建筑面积最大的单项合同业绩作为该项目业绩，其他标段业绩无效）。已完成项目或在建项目以“中标通知书或合同文件或有业主盖章确认的成果文件关键页或业主出具的证明材料”为准。</w:t>
      </w:r>
    </w:p>
    <w:p w14:paraId="004314FC">
      <w:pPr>
        <w:spacing w:before="0" w:beforeLines="0" w:line="360" w:lineRule="auto"/>
        <w:ind w:firstLine="420"/>
        <w:rPr>
          <w:rFonts w:hint="eastAsia" w:hAnsi="宋体"/>
          <w:color w:val="auto"/>
          <w:sz w:val="21"/>
          <w:szCs w:val="21"/>
          <w:highlight w:val="none"/>
        </w:rPr>
      </w:pPr>
      <w:r>
        <w:rPr>
          <w:rFonts w:hint="eastAsia" w:hAnsi="宋体"/>
          <w:color w:val="auto"/>
          <w:sz w:val="21"/>
          <w:szCs w:val="21"/>
          <w:highlight w:val="none"/>
        </w:rPr>
        <w:t>3.3信誉要求：</w:t>
      </w:r>
      <w:bookmarkStart w:id="32" w:name="_Hlk31036765"/>
      <w:r>
        <w:rPr>
          <w:rFonts w:hint="eastAsia" w:hAnsi="宋体"/>
          <w:color w:val="auto"/>
          <w:sz w:val="21"/>
          <w:szCs w:val="21"/>
          <w:highlight w:val="none"/>
        </w:rPr>
        <w:t>没有处于被责令停业，投标资格被取消，财产被接管、冻结，破产状态；在最近三年内（20</w:t>
      </w:r>
      <w:r>
        <w:rPr>
          <w:rFonts w:hint="eastAsia" w:hAnsi="宋体"/>
          <w:color w:val="auto"/>
          <w:sz w:val="21"/>
          <w:szCs w:val="21"/>
          <w:highlight w:val="none"/>
          <w:lang w:val="en-US" w:eastAsia="zh-CN"/>
        </w:rPr>
        <w:t>23</w:t>
      </w:r>
      <w:r>
        <w:rPr>
          <w:rFonts w:hint="eastAsia" w:hAnsi="宋体"/>
          <w:color w:val="auto"/>
          <w:sz w:val="21"/>
          <w:szCs w:val="21"/>
          <w:highlight w:val="none"/>
        </w:rPr>
        <w:t>年1月1日至投标截止时间）没有骗取中标或严重违约或较大质量安全责任事故的情况</w:t>
      </w:r>
      <w:bookmarkEnd w:id="32"/>
      <w:r>
        <w:rPr>
          <w:rFonts w:hint="eastAsia" w:hAnsi="宋体"/>
          <w:color w:val="auto"/>
          <w:sz w:val="21"/>
          <w:szCs w:val="21"/>
          <w:highlight w:val="none"/>
        </w:rPr>
        <w:t>（骗取中标、严重违约的认定以国家住房和城乡建设部在处罚期内通报有不良行为的企业名单为准，较大质量安全责任事故的认定以应急管理部公布的重大生产安全事故责任企业名单为准）。</w:t>
      </w:r>
    </w:p>
    <w:p w14:paraId="5596FED6">
      <w:pPr>
        <w:spacing w:before="0" w:beforeLines="0" w:line="360" w:lineRule="auto"/>
        <w:ind w:firstLine="420"/>
        <w:rPr>
          <w:rFonts w:hint="eastAsia" w:hAnsi="宋体"/>
          <w:color w:val="auto"/>
          <w:sz w:val="21"/>
          <w:szCs w:val="21"/>
          <w:highlight w:val="none"/>
        </w:rPr>
      </w:pPr>
      <w:r>
        <w:rPr>
          <w:rFonts w:hint="eastAsia" w:hAnsi="宋体"/>
          <w:color w:val="auto"/>
          <w:sz w:val="21"/>
          <w:szCs w:val="21"/>
          <w:highlight w:val="none"/>
        </w:rPr>
        <w:t>3.4人员要求：</w:t>
      </w:r>
    </w:p>
    <w:p w14:paraId="0B369760">
      <w:pPr>
        <w:spacing w:before="0" w:beforeLines="0" w:line="360" w:lineRule="auto"/>
        <w:ind w:firstLine="420"/>
        <w:rPr>
          <w:rFonts w:hint="eastAsia" w:hAnsi="宋体"/>
          <w:color w:val="auto"/>
          <w:sz w:val="21"/>
          <w:szCs w:val="21"/>
          <w:highlight w:val="none"/>
        </w:rPr>
      </w:pPr>
      <w:r>
        <w:rPr>
          <w:rFonts w:hint="eastAsia" w:hAnsi="宋体"/>
          <w:color w:val="auto"/>
          <w:sz w:val="21"/>
          <w:szCs w:val="21"/>
          <w:highlight w:val="none"/>
        </w:rPr>
        <w:t>①项目负责人（1人）：具备中华人民共和国住房和城乡建设部颁发的建筑工程专业或安装工程专业的注册一级造价工程师执业资格且具备工程类中级（含）以上工程师职称。</w:t>
      </w:r>
    </w:p>
    <w:p w14:paraId="560ED692">
      <w:pPr>
        <w:spacing w:before="0" w:beforeLines="0" w:line="360" w:lineRule="auto"/>
        <w:ind w:firstLine="420"/>
        <w:rPr>
          <w:rFonts w:hint="eastAsia" w:hAnsi="宋体"/>
          <w:color w:val="auto"/>
          <w:sz w:val="21"/>
          <w:szCs w:val="21"/>
          <w:highlight w:val="none"/>
        </w:rPr>
      </w:pPr>
      <w:r>
        <w:rPr>
          <w:rFonts w:hint="eastAsia" w:hAnsi="宋体"/>
          <w:color w:val="auto"/>
          <w:sz w:val="21"/>
          <w:szCs w:val="21"/>
          <w:highlight w:val="none"/>
        </w:rPr>
        <w:t>②技术总负责人（1人）：具备中华人民共和国住房和城乡建设部颁发的注册一级造价工程师执业资格且具备工程类中级（含）以上工程师职称。</w:t>
      </w:r>
    </w:p>
    <w:p w14:paraId="608AF5EF">
      <w:pPr>
        <w:spacing w:before="0" w:beforeLines="0" w:line="360" w:lineRule="auto"/>
        <w:ind w:firstLine="420"/>
        <w:rPr>
          <w:rFonts w:hint="eastAsia" w:hAnsi="宋体"/>
          <w:color w:val="auto"/>
          <w:sz w:val="21"/>
          <w:szCs w:val="21"/>
          <w:highlight w:val="none"/>
        </w:rPr>
      </w:pPr>
      <w:r>
        <w:rPr>
          <w:rFonts w:hint="eastAsia" w:hAnsi="宋体"/>
          <w:color w:val="auto"/>
          <w:sz w:val="21"/>
          <w:szCs w:val="21"/>
          <w:highlight w:val="none"/>
        </w:rPr>
        <w:t>③其他造价人员要求（土建专业组组长1人、土建专业造价人员5人以上（含5人）、安装专业组组长1人、安装专业造价人员1人以上（含1人））：①建筑工程专业造价人员均须具备注册二级（含）以上造价工程师（如尚未获得证书的，须提供通过考试的合格证明材料）执业资格；②安装工程专业造价人员均须具备注册二级（含）以上造价工程师（如尚未获得证书的，须提供通过考试的合格证明材料）执业资格。土建专业组长和安装专业组长不得为同一个人，且组长从事工程造价年限不得少于8年，其他人员从事工程造价年限不得少于5年。</w:t>
      </w:r>
    </w:p>
    <w:p w14:paraId="38761548">
      <w:pPr>
        <w:spacing w:before="0" w:beforeLines="0" w:line="360" w:lineRule="auto"/>
        <w:ind w:firstLine="420"/>
        <w:rPr>
          <w:rFonts w:hint="eastAsia" w:hAnsi="宋体"/>
          <w:color w:val="auto"/>
          <w:sz w:val="21"/>
          <w:szCs w:val="21"/>
          <w:highlight w:val="none"/>
        </w:rPr>
      </w:pPr>
      <w:r>
        <w:rPr>
          <w:rFonts w:hint="eastAsia" w:hAnsi="宋体"/>
          <w:color w:val="auto"/>
          <w:sz w:val="21"/>
          <w:szCs w:val="21"/>
          <w:highlight w:val="none"/>
        </w:rPr>
        <w:t>3.5本次招标不接受联合体投标。</w:t>
      </w:r>
      <w:bookmarkEnd w:id="30"/>
      <w:bookmarkEnd w:id="31"/>
    </w:p>
    <w:p w14:paraId="071C9E62">
      <w:pPr>
        <w:numPr>
          <w:ilvl w:val="0"/>
          <w:numId w:val="0"/>
        </w:numPr>
        <w:spacing w:before="0" w:beforeLines="0" w:line="360" w:lineRule="auto"/>
        <w:ind w:firstLine="0" w:firstLineChars="0"/>
        <w:outlineLvl w:val="1"/>
        <w:rPr>
          <w:rFonts w:ascii="Times New Roman" w:hAnsi="Times New Roman" w:eastAsia="宋体" w:cs="Times New Roman"/>
          <w:b/>
          <w:bCs/>
          <w:color w:val="auto"/>
          <w:sz w:val="21"/>
          <w:szCs w:val="21"/>
          <w:highlight w:val="none"/>
        </w:rPr>
      </w:pPr>
      <w:bookmarkStart w:id="33" w:name="_Toc46135638"/>
      <w:bookmarkStart w:id="34" w:name="_Toc193981249"/>
      <w:bookmarkStart w:id="35" w:name="_Toc389065126"/>
      <w:bookmarkStart w:id="36" w:name="_Toc375230783"/>
      <w:bookmarkStart w:id="37" w:name="_Toc365701767"/>
      <w:bookmarkStart w:id="38" w:name="_Toc367268264"/>
      <w:bookmarkStart w:id="39" w:name="_Toc375212218"/>
      <w:r>
        <w:rPr>
          <w:rFonts w:hint="eastAsia" w:ascii="Times New Roman" w:hAnsi="Times New Roman" w:eastAsia="宋体" w:cs="Times New Roman"/>
          <w:b/>
          <w:bCs/>
          <w:color w:val="auto"/>
          <w:sz w:val="21"/>
          <w:szCs w:val="21"/>
          <w:highlight w:val="none"/>
          <w:lang w:val="en-US" w:eastAsia="zh-CN"/>
        </w:rPr>
        <w:t>4.</w:t>
      </w:r>
      <w:r>
        <w:rPr>
          <w:rFonts w:ascii="Times New Roman" w:hAnsi="Times New Roman" w:eastAsia="宋体" w:cs="Times New Roman"/>
          <w:b/>
          <w:bCs/>
          <w:color w:val="auto"/>
          <w:sz w:val="21"/>
          <w:szCs w:val="21"/>
          <w:highlight w:val="none"/>
        </w:rPr>
        <w:t>招标文件的获取</w:t>
      </w:r>
      <w:bookmarkEnd w:id="33"/>
      <w:bookmarkEnd w:id="34"/>
      <w:bookmarkEnd w:id="35"/>
    </w:p>
    <w:p w14:paraId="52912290">
      <w:pPr>
        <w:spacing w:before="0" w:beforeLines="0" w:line="360" w:lineRule="auto"/>
        <w:ind w:firstLine="42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潜在投标人可登录南宁轨道地产集团有限责任公司官网（http：//www.nngddc.com）免费下载招标文件。</w:t>
      </w:r>
    </w:p>
    <w:p w14:paraId="35CFCDB1">
      <w:pPr>
        <w:spacing w:before="0" w:beforeLines="0" w:line="360" w:lineRule="auto"/>
        <w:ind w:firstLine="42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注：投标人如未按要求或未完整下载相关文件，或由于未及时关注招标文件补充通知（补遗）、答疑等相关项目信息而影响投标的，其责任由投标人自行承担。</w:t>
      </w:r>
    </w:p>
    <w:p w14:paraId="1B7FF017">
      <w:pPr>
        <w:numPr>
          <w:ilvl w:val="0"/>
          <w:numId w:val="0"/>
        </w:numPr>
        <w:spacing w:before="0" w:beforeLines="0" w:line="360" w:lineRule="auto"/>
        <w:ind w:firstLine="0" w:firstLineChars="0"/>
        <w:outlineLvl w:val="1"/>
        <w:rPr>
          <w:rFonts w:ascii="Times New Roman" w:hAnsi="Times New Roman" w:eastAsia="宋体" w:cs="Times New Roman"/>
          <w:b/>
          <w:bCs/>
          <w:color w:val="auto"/>
          <w:sz w:val="21"/>
          <w:szCs w:val="21"/>
          <w:highlight w:val="none"/>
        </w:rPr>
      </w:pPr>
      <w:r>
        <w:rPr>
          <w:rFonts w:ascii="Times New Roman" w:hAnsi="Times New Roman" w:eastAsia="宋体" w:cs="Times New Roman"/>
          <w:b/>
          <w:bCs/>
          <w:color w:val="auto"/>
          <w:sz w:val="21"/>
          <w:szCs w:val="21"/>
          <w:highlight w:val="none"/>
        </w:rPr>
        <w:t>5.投标文件的递交</w:t>
      </w:r>
    </w:p>
    <w:p w14:paraId="112D9158">
      <w:pPr>
        <w:spacing w:before="0" w:beforeLines="0" w:line="360" w:lineRule="auto"/>
        <w:ind w:firstLine="42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5.1 投标文件须密封后于2026年05月29日09时30分（北京时间）前递交，逾期送达的或者未送达指定地点的投标文件，招标人不予受理。</w:t>
      </w:r>
    </w:p>
    <w:p w14:paraId="6D0BBA71">
      <w:pPr>
        <w:spacing w:before="0" w:beforeLines="0" w:line="360" w:lineRule="auto"/>
        <w:ind w:firstLine="420"/>
        <w:rPr>
          <w:rFonts w:hint="eastAsia" w:ascii="宋体" w:hAnsi="宋体" w:eastAsia="宋体" w:cs="Times New Roman"/>
          <w:color w:val="auto"/>
          <w:sz w:val="21"/>
          <w:szCs w:val="21"/>
          <w:highlight w:val="none"/>
          <w:lang w:val="en-US" w:eastAsia="zh-CN"/>
        </w:rPr>
      </w:pPr>
      <w:bookmarkStart w:id="40" w:name="_Toc450657244"/>
      <w:bookmarkEnd w:id="40"/>
      <w:bookmarkStart w:id="41" w:name="_Toc441059944"/>
      <w:bookmarkEnd w:id="41"/>
      <w:bookmarkStart w:id="42" w:name="_Toc10626"/>
      <w:bookmarkEnd w:id="42"/>
      <w:bookmarkStart w:id="43" w:name="_Toc441064055"/>
      <w:bookmarkEnd w:id="43"/>
      <w:bookmarkStart w:id="44" w:name="_Toc530736525"/>
      <w:bookmarkEnd w:id="44"/>
      <w:bookmarkStart w:id="45" w:name="_Toc19265"/>
      <w:bookmarkEnd w:id="45"/>
      <w:bookmarkStart w:id="46" w:name="_Toc450314172"/>
      <w:bookmarkEnd w:id="46"/>
      <w:bookmarkStart w:id="47" w:name="_Toc9663"/>
      <w:bookmarkEnd w:id="47"/>
      <w:bookmarkStart w:id="48" w:name="_Toc32545"/>
      <w:r>
        <w:rPr>
          <w:rFonts w:hint="eastAsia" w:ascii="宋体" w:hAnsi="宋体" w:eastAsia="宋体" w:cs="Times New Roman"/>
          <w:color w:val="auto"/>
          <w:sz w:val="21"/>
          <w:szCs w:val="21"/>
          <w:highlight w:val="none"/>
          <w:lang w:val="en-US" w:eastAsia="zh-CN"/>
        </w:rPr>
        <w:t>5.2投标文件递交地点：南宁市青秀区枫林路18号广西国资交易中心二楼开标室（具体详见二楼开标区电子显示屏安排）。</w:t>
      </w:r>
      <w:bookmarkEnd w:id="48"/>
    </w:p>
    <w:p w14:paraId="59770B54">
      <w:pPr>
        <w:spacing w:before="0" w:beforeLines="0" w:line="360" w:lineRule="auto"/>
        <w:ind w:firstLine="420"/>
        <w:rPr>
          <w:rFonts w:hint="eastAsia" w:ascii="宋体" w:hAnsi="宋体" w:eastAsia="宋体" w:cs="Times New Roman"/>
          <w:color w:val="auto"/>
          <w:sz w:val="21"/>
          <w:szCs w:val="21"/>
          <w:highlight w:val="none"/>
          <w:lang w:val="en-US" w:eastAsia="zh-CN"/>
        </w:rPr>
      </w:pPr>
      <w:bookmarkStart w:id="49" w:name="_Toc8063"/>
      <w:bookmarkEnd w:id="49"/>
      <w:bookmarkStart w:id="50" w:name="_Toc1068"/>
      <w:bookmarkEnd w:id="50"/>
      <w:bookmarkStart w:id="51" w:name="_Toc25040"/>
      <w:bookmarkEnd w:id="51"/>
      <w:bookmarkStart w:id="52" w:name="_Toc27974"/>
      <w:bookmarkEnd w:id="52"/>
      <w:bookmarkStart w:id="53" w:name="_Toc104823744"/>
      <w:bookmarkEnd w:id="53"/>
      <w:bookmarkStart w:id="54" w:name="_Toc18484"/>
      <w:bookmarkEnd w:id="54"/>
      <w:bookmarkStart w:id="55" w:name="_Toc16239"/>
      <w:bookmarkEnd w:id="55"/>
      <w:bookmarkStart w:id="56" w:name="_Toc13044"/>
      <w:bookmarkEnd w:id="56"/>
      <w:bookmarkStart w:id="57" w:name="_Toc26664"/>
      <w:bookmarkEnd w:id="57"/>
      <w:bookmarkStart w:id="58" w:name="_Toc105721238"/>
      <w:bookmarkEnd w:id="58"/>
      <w:bookmarkStart w:id="59" w:name="_Toc21247"/>
      <w:bookmarkEnd w:id="59"/>
      <w:bookmarkStart w:id="60" w:name="_Toc22750"/>
      <w:bookmarkEnd w:id="60"/>
      <w:bookmarkStart w:id="61" w:name="_Toc22797"/>
      <w:bookmarkEnd w:id="61"/>
      <w:bookmarkStart w:id="62" w:name="_Toc9092"/>
      <w:bookmarkEnd w:id="62"/>
      <w:bookmarkStart w:id="63" w:name="_Toc108048184"/>
      <w:bookmarkEnd w:id="63"/>
      <w:bookmarkStart w:id="64" w:name="_Toc105721668"/>
      <w:bookmarkEnd w:id="64"/>
      <w:bookmarkStart w:id="65" w:name="_Toc23137"/>
      <w:bookmarkEnd w:id="65"/>
      <w:bookmarkStart w:id="66" w:name="_Toc8638"/>
      <w:r>
        <w:rPr>
          <w:rFonts w:hint="eastAsia" w:ascii="宋体" w:hAnsi="宋体" w:eastAsia="宋体" w:cs="Times New Roman"/>
          <w:color w:val="auto"/>
          <w:sz w:val="21"/>
          <w:szCs w:val="21"/>
          <w:highlight w:val="none"/>
          <w:lang w:val="en-US" w:eastAsia="zh-CN"/>
        </w:rPr>
        <w:t>5.3本次招标开标将于上述投标文件递交截止的同一时间地点公开进行。投标人法定代表人（负责人）或其委托的代理人携法人委托书原件应准时参加。</w:t>
      </w:r>
      <w:r>
        <w:rPr>
          <w:rFonts w:hint="eastAsia" w:ascii="宋体" w:hAnsi="宋体" w:eastAsia="宋体" w:cs="Times New Roman"/>
          <w:color w:val="auto"/>
          <w:sz w:val="21"/>
          <w:szCs w:val="21"/>
          <w:highlight w:val="none"/>
          <w:lang w:val="en-US" w:eastAsia="zh-CN"/>
        </w:rPr>
        <w:br w:type="textWrapping"/>
      </w:r>
      <w:r>
        <w:rPr>
          <w:rFonts w:hint="eastAsia" w:ascii="宋体" w:hAnsi="宋体" w:eastAsia="宋体" w:cs="Times New Roman"/>
          <w:color w:val="auto"/>
          <w:sz w:val="21"/>
          <w:szCs w:val="21"/>
          <w:highlight w:val="none"/>
          <w:lang w:val="en-US" w:eastAsia="zh-CN"/>
        </w:rPr>
        <w:t>  注：参加现场开标的投标人代表必须是法定代表人或其开标会的授权代表人，必须携带授权代表人本人身份证原件及身份证正、反面复印件【授权代表人参加开标会时，需提供法定代表人授权委托书原件；法定代表人参加现场开标会时，只需提供法定代表人身份证明及法定代表人身份证原件】。</w:t>
      </w:r>
      <w:bookmarkEnd w:id="66"/>
    </w:p>
    <w:p w14:paraId="51385296">
      <w:pPr>
        <w:spacing w:before="0" w:beforeLines="0" w:line="360" w:lineRule="auto"/>
        <w:ind w:firstLine="42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5.4.出现以下情形时，招标人/招标代理机构不予接收投标文件。</w:t>
      </w:r>
    </w:p>
    <w:p w14:paraId="78E2911D">
      <w:pPr>
        <w:spacing w:before="0" w:beforeLines="0" w:line="360" w:lineRule="auto"/>
        <w:ind w:firstLine="420"/>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5.4.1逾期送达的、未送达指定地点的或者不按照招标文件要求密封的投标文件。</w:t>
      </w:r>
    </w:p>
    <w:p w14:paraId="089F4E73">
      <w:pPr>
        <w:spacing w:before="0" w:beforeLines="0" w:line="360" w:lineRule="auto"/>
        <w:ind w:firstLine="0" w:firstLineChars="0"/>
        <w:outlineLvl w:val="1"/>
        <w:rPr>
          <w:rFonts w:ascii="Times New Roman"/>
          <w:b/>
          <w:bCs/>
          <w:color w:val="auto"/>
          <w:sz w:val="21"/>
          <w:szCs w:val="21"/>
          <w:highlight w:val="none"/>
        </w:rPr>
      </w:pPr>
      <w:bookmarkStart w:id="67" w:name="_Toc193981251"/>
      <w:bookmarkStart w:id="68" w:name="_Toc46135640"/>
      <w:bookmarkStart w:id="69" w:name="_Toc389065128"/>
      <w:r>
        <w:rPr>
          <w:rFonts w:ascii="Times New Roman"/>
          <w:b/>
          <w:bCs/>
          <w:color w:val="auto"/>
          <w:sz w:val="21"/>
          <w:szCs w:val="21"/>
          <w:highlight w:val="none"/>
        </w:rPr>
        <w:t>6.评标方式</w:t>
      </w:r>
      <w:bookmarkEnd w:id="67"/>
      <w:bookmarkEnd w:id="68"/>
      <w:bookmarkEnd w:id="69"/>
    </w:p>
    <w:p w14:paraId="42A06158">
      <w:pPr>
        <w:spacing w:before="0" w:beforeLines="0" w:line="360" w:lineRule="auto"/>
        <w:ind w:firstLine="420"/>
        <w:rPr>
          <w:rFonts w:hAnsi="宋体"/>
          <w:color w:val="auto"/>
          <w:sz w:val="21"/>
          <w:szCs w:val="21"/>
          <w:highlight w:val="none"/>
        </w:rPr>
      </w:pPr>
      <w:bookmarkStart w:id="70" w:name="_Hlk31364737"/>
      <w:r>
        <w:rPr>
          <w:rFonts w:hAnsi="宋体"/>
          <w:color w:val="auto"/>
          <w:sz w:val="21"/>
          <w:szCs w:val="21"/>
          <w:highlight w:val="none"/>
        </w:rPr>
        <w:t>本项目采用综合评估法</w:t>
      </w:r>
      <w:bookmarkEnd w:id="70"/>
      <w:r>
        <w:rPr>
          <w:rFonts w:hint="eastAsia" w:hAnsi="宋体"/>
          <w:color w:val="auto"/>
          <w:sz w:val="21"/>
          <w:szCs w:val="21"/>
          <w:highlight w:val="none"/>
        </w:rPr>
        <w:t>。</w:t>
      </w:r>
    </w:p>
    <w:p w14:paraId="39A5C07B">
      <w:pPr>
        <w:spacing w:before="0" w:beforeLines="0" w:line="360" w:lineRule="auto"/>
        <w:ind w:firstLine="0" w:firstLineChars="0"/>
        <w:outlineLvl w:val="1"/>
        <w:rPr>
          <w:rFonts w:ascii="Times New Roman"/>
          <w:b/>
          <w:bCs/>
          <w:color w:val="auto"/>
          <w:sz w:val="21"/>
          <w:szCs w:val="21"/>
          <w:highlight w:val="none"/>
        </w:rPr>
      </w:pPr>
      <w:bookmarkStart w:id="71" w:name="_Toc46135643"/>
      <w:bookmarkStart w:id="72" w:name="_Toc389065130"/>
      <w:bookmarkStart w:id="73" w:name="_Toc193981252"/>
      <w:r>
        <w:rPr>
          <w:rFonts w:ascii="Times New Roman"/>
          <w:b/>
          <w:bCs/>
          <w:color w:val="auto"/>
          <w:sz w:val="21"/>
          <w:szCs w:val="21"/>
          <w:highlight w:val="none"/>
        </w:rPr>
        <w:t>7.发布公告的媒介</w:t>
      </w:r>
      <w:bookmarkEnd w:id="71"/>
      <w:bookmarkEnd w:id="72"/>
      <w:bookmarkEnd w:id="73"/>
    </w:p>
    <w:p w14:paraId="0CDDFFED">
      <w:pPr>
        <w:spacing w:before="0" w:beforeLines="0" w:line="360" w:lineRule="auto"/>
        <w:ind w:firstLine="42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本次招标公告同时在中国招标投标公共服务平台（</w:t>
      </w:r>
      <w:r>
        <w:rPr>
          <w:rFonts w:hint="eastAsia" w:ascii="宋体" w:hAnsi="宋体" w:eastAsia="宋体" w:cs="Times New Roman"/>
          <w:color w:val="auto"/>
          <w:sz w:val="21"/>
          <w:szCs w:val="21"/>
          <w:highlight w:val="none"/>
        </w:rPr>
        <w:fldChar w:fldCharType="begin"/>
      </w:r>
      <w:r>
        <w:rPr>
          <w:rFonts w:hint="eastAsia" w:ascii="宋体" w:hAnsi="宋体" w:eastAsia="宋体" w:cs="Times New Roman"/>
          <w:color w:val="auto"/>
          <w:sz w:val="21"/>
          <w:szCs w:val="21"/>
          <w:highlight w:val="none"/>
        </w:rPr>
        <w:instrText xml:space="preserve"> HYPERLINK "http://www.cebpubservice.com/" </w:instrText>
      </w:r>
      <w:r>
        <w:rPr>
          <w:rFonts w:hint="eastAsia" w:ascii="宋体" w:hAnsi="宋体" w:eastAsia="宋体" w:cs="Times New Roman"/>
          <w:color w:val="auto"/>
          <w:sz w:val="21"/>
          <w:szCs w:val="21"/>
          <w:highlight w:val="none"/>
        </w:rPr>
        <w:fldChar w:fldCharType="separate"/>
      </w:r>
      <w:r>
        <w:rPr>
          <w:rFonts w:hint="eastAsia" w:ascii="宋体" w:hAnsi="宋体" w:eastAsia="宋体" w:cs="Times New Roman"/>
          <w:color w:val="auto"/>
          <w:sz w:val="21"/>
          <w:szCs w:val="21"/>
          <w:highlight w:val="none"/>
        </w:rPr>
        <w:t>http://www.cebpubservice.com</w:t>
      </w:r>
      <w:r>
        <w:rPr>
          <w:rFonts w:hint="eastAsia" w:ascii="宋体" w:hAnsi="宋体" w:eastAsia="宋体" w:cs="Times New Roman"/>
          <w:color w:val="auto"/>
          <w:sz w:val="21"/>
          <w:szCs w:val="21"/>
          <w:highlight w:val="none"/>
        </w:rPr>
        <w:fldChar w:fldCharType="end"/>
      </w:r>
      <w:r>
        <w:rPr>
          <w:rFonts w:hint="eastAsia" w:ascii="宋体" w:hAnsi="宋体" w:eastAsia="宋体" w:cs="Times New Roman"/>
          <w:color w:val="auto"/>
          <w:sz w:val="21"/>
          <w:szCs w:val="21"/>
          <w:highlight w:val="none"/>
        </w:rPr>
        <w:t>）</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广西壮族自治区招标投标公共服务平台（http://zbtb.gxi.gov.cn:9000/）</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国有企业阳光采购平台（https://mh.gxcq.com.cn/#/）</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lang w:val="en-US" w:eastAsia="zh-CN"/>
        </w:rPr>
        <w:t>中</w:t>
      </w:r>
      <w:r>
        <w:rPr>
          <w:rFonts w:hint="eastAsia" w:ascii="宋体" w:hAnsi="宋体" w:eastAsia="宋体" w:cs="Times New Roman"/>
          <w:color w:val="auto"/>
          <w:sz w:val="21"/>
          <w:szCs w:val="21"/>
          <w:highlight w:val="none"/>
        </w:rPr>
        <w:t>国采购与招标网（http://www.chinabidding.</w:t>
      </w:r>
    </w:p>
    <w:p w14:paraId="1978EB5A">
      <w:pPr>
        <w:spacing w:before="0" w:beforeLines="0" w:line="360" w:lineRule="auto"/>
        <w:ind w:left="0" w:leftChars="0" w:firstLine="0" w:firstLineChars="0"/>
        <w:jc w:val="lef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com.cn）</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南宁轨道地产集团有限责任公司官网（http：//www.nngddc.com）上发布。</w:t>
      </w:r>
    </w:p>
    <w:p w14:paraId="6FB93ECF">
      <w:pPr>
        <w:spacing w:before="0" w:beforeLines="0" w:line="360" w:lineRule="auto"/>
        <w:ind w:firstLine="0" w:firstLineChars="0"/>
        <w:outlineLvl w:val="1"/>
        <w:rPr>
          <w:rFonts w:hint="eastAsia"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8.其他补充事宜</w:t>
      </w:r>
    </w:p>
    <w:p w14:paraId="38B37084">
      <w:pPr>
        <w:spacing w:before="0" w:beforeLines="0" w:line="360" w:lineRule="auto"/>
        <w:ind w:firstLine="420"/>
        <w:rPr>
          <w:rFonts w:hint="eastAsia"/>
        </w:rPr>
      </w:pPr>
      <w:r>
        <w:rPr>
          <w:rFonts w:hint="default" w:ascii="宋体" w:hAnsi="宋体" w:eastAsia="宋体" w:cs="Times New Roman"/>
          <w:color w:val="auto"/>
          <w:sz w:val="21"/>
          <w:szCs w:val="21"/>
          <w:highlight w:val="none"/>
          <w:lang w:val="en-US" w:eastAsia="zh-CN"/>
        </w:rPr>
        <w:t>未进行</w:t>
      </w:r>
      <w:r>
        <w:rPr>
          <w:rFonts w:hint="eastAsia" w:ascii="宋体" w:hAnsi="宋体" w:eastAsia="宋体" w:cs="Times New Roman"/>
          <w:color w:val="auto"/>
          <w:sz w:val="21"/>
          <w:szCs w:val="21"/>
          <w:highlight w:val="none"/>
        </w:rPr>
        <w:t>国有企业阳光采购平台</w:t>
      </w:r>
      <w:r>
        <w:rPr>
          <w:rFonts w:hint="default" w:ascii="宋体" w:hAnsi="宋体" w:eastAsia="宋体" w:cs="Times New Roman"/>
          <w:color w:val="auto"/>
          <w:sz w:val="21"/>
          <w:szCs w:val="21"/>
          <w:highlight w:val="none"/>
          <w:lang w:val="en-US" w:eastAsia="zh-CN"/>
        </w:rPr>
        <w:t>注册的</w:t>
      </w:r>
      <w:r>
        <w:rPr>
          <w:rFonts w:hint="eastAsia" w:ascii="宋体" w:hAnsi="宋体" w:eastAsia="宋体" w:cs="Times New Roman"/>
          <w:color w:val="auto"/>
          <w:sz w:val="21"/>
          <w:szCs w:val="21"/>
          <w:highlight w:val="none"/>
          <w:lang w:val="en-US" w:eastAsia="zh-CN"/>
        </w:rPr>
        <w:t>投标人</w:t>
      </w:r>
      <w:r>
        <w:rPr>
          <w:rFonts w:hint="default" w:ascii="宋体" w:hAnsi="宋体" w:eastAsia="宋体" w:cs="Times New Roman"/>
          <w:color w:val="auto"/>
          <w:sz w:val="21"/>
          <w:szCs w:val="21"/>
          <w:highlight w:val="none"/>
          <w:lang w:val="en-US" w:eastAsia="zh-CN"/>
        </w:rPr>
        <w:t>将</w:t>
      </w:r>
      <w:r>
        <w:rPr>
          <w:rFonts w:hint="eastAsia" w:ascii="宋体" w:hAnsi="宋体" w:eastAsia="宋体" w:cs="Times New Roman"/>
          <w:color w:val="auto"/>
          <w:sz w:val="21"/>
          <w:szCs w:val="21"/>
          <w:highlight w:val="none"/>
          <w:lang w:val="en-US" w:eastAsia="zh-CN"/>
        </w:rPr>
        <w:t>影响</w:t>
      </w:r>
      <w:r>
        <w:rPr>
          <w:rFonts w:hint="default" w:ascii="宋体" w:hAnsi="宋体" w:eastAsia="宋体" w:cs="Times New Roman"/>
          <w:color w:val="auto"/>
          <w:sz w:val="21"/>
          <w:szCs w:val="21"/>
          <w:highlight w:val="none"/>
          <w:lang w:val="en-US" w:eastAsia="zh-CN"/>
        </w:rPr>
        <w:t>本项目</w:t>
      </w:r>
      <w:r>
        <w:rPr>
          <w:rFonts w:hint="eastAsia" w:ascii="宋体" w:hAnsi="宋体" w:eastAsia="宋体" w:cs="Times New Roman"/>
          <w:color w:val="auto"/>
          <w:sz w:val="21"/>
          <w:szCs w:val="21"/>
          <w:highlight w:val="none"/>
          <w:lang w:val="en-US" w:eastAsia="zh-CN"/>
        </w:rPr>
        <w:t>招标</w:t>
      </w:r>
      <w:r>
        <w:rPr>
          <w:rFonts w:hint="default" w:ascii="宋体" w:hAnsi="宋体" w:eastAsia="宋体" w:cs="Times New Roman"/>
          <w:color w:val="auto"/>
          <w:sz w:val="21"/>
          <w:szCs w:val="21"/>
          <w:highlight w:val="none"/>
          <w:lang w:val="en-US" w:eastAsia="zh-CN"/>
        </w:rPr>
        <w:t>活动，潜在</w:t>
      </w:r>
      <w:r>
        <w:rPr>
          <w:rFonts w:hint="eastAsia" w:ascii="宋体" w:hAnsi="宋体" w:eastAsia="宋体" w:cs="Times New Roman"/>
          <w:color w:val="auto"/>
          <w:sz w:val="21"/>
          <w:szCs w:val="21"/>
          <w:highlight w:val="none"/>
          <w:lang w:val="en-US" w:eastAsia="zh-CN"/>
        </w:rPr>
        <w:t>投标人</w:t>
      </w:r>
      <w:r>
        <w:rPr>
          <w:rFonts w:hint="default" w:ascii="宋体" w:hAnsi="宋体" w:eastAsia="宋体" w:cs="Times New Roman"/>
          <w:color w:val="auto"/>
          <w:sz w:val="21"/>
          <w:szCs w:val="21"/>
          <w:highlight w:val="none"/>
          <w:lang w:val="en-US" w:eastAsia="zh-CN"/>
        </w:rPr>
        <w:t>应当在投标截止时间前，完成</w:t>
      </w:r>
      <w:r>
        <w:rPr>
          <w:rFonts w:hint="eastAsia" w:ascii="宋体" w:hAnsi="宋体" w:eastAsia="宋体" w:cs="Times New Roman"/>
          <w:color w:val="auto"/>
          <w:sz w:val="21"/>
          <w:szCs w:val="21"/>
          <w:highlight w:val="none"/>
        </w:rPr>
        <w:t>国有企业阳光采购平台</w:t>
      </w:r>
      <w:r>
        <w:rPr>
          <w:rFonts w:hint="eastAsia" w:ascii="宋体" w:hAnsi="宋体" w:eastAsia="宋体" w:cs="Times New Roman"/>
          <w:color w:val="auto"/>
          <w:sz w:val="21"/>
          <w:szCs w:val="21"/>
          <w:highlight w:val="none"/>
          <w:lang w:val="en-US" w:eastAsia="zh-CN"/>
        </w:rPr>
        <w:t>注册。</w:t>
      </w:r>
    </w:p>
    <w:bookmarkEnd w:id="9"/>
    <w:bookmarkEnd w:id="10"/>
    <w:p w14:paraId="02FD20BF">
      <w:pPr>
        <w:spacing w:before="0" w:beforeLines="0" w:line="360" w:lineRule="auto"/>
        <w:ind w:firstLine="0" w:firstLineChars="0"/>
        <w:outlineLvl w:val="1"/>
        <w:rPr>
          <w:rFonts w:hint="eastAsia" w:ascii="Times New Roman"/>
          <w:b/>
          <w:bCs/>
          <w:color w:val="auto"/>
          <w:sz w:val="21"/>
          <w:szCs w:val="21"/>
          <w:highlight w:val="none"/>
        </w:rPr>
      </w:pPr>
      <w:bookmarkStart w:id="74" w:name="_Toc389065131"/>
      <w:bookmarkStart w:id="75" w:name="_Toc46135646"/>
      <w:bookmarkStart w:id="76" w:name="_Toc193981254"/>
      <w:r>
        <w:rPr>
          <w:rFonts w:hint="eastAsia" w:ascii="Times New Roman"/>
          <w:b/>
          <w:bCs/>
          <w:color w:val="auto"/>
          <w:sz w:val="21"/>
          <w:szCs w:val="21"/>
          <w:highlight w:val="none"/>
          <w:lang w:val="en-US" w:eastAsia="zh-CN"/>
        </w:rPr>
        <w:t>9</w:t>
      </w:r>
      <w:r>
        <w:rPr>
          <w:rFonts w:ascii="Times New Roman"/>
          <w:b/>
          <w:bCs/>
          <w:color w:val="auto"/>
          <w:sz w:val="21"/>
          <w:szCs w:val="21"/>
          <w:highlight w:val="none"/>
        </w:rPr>
        <w:t>.联系方式</w:t>
      </w:r>
      <w:bookmarkEnd w:id="74"/>
      <w:bookmarkEnd w:id="75"/>
      <w:bookmarkEnd w:id="76"/>
    </w:p>
    <w:p w14:paraId="6B2C8BB3">
      <w:pPr>
        <w:pStyle w:val="2"/>
        <w:ind w:left="0" w:leftChars="0" w:firstLine="0" w:firstLineChars="0"/>
        <w:rPr>
          <w:rFonts w:hint="eastAsia" w:hAnsi="宋体" w:eastAsia="宋体" w:cs="Times New Roman"/>
          <w:color w:val="auto"/>
          <w:sz w:val="21"/>
          <w:szCs w:val="21"/>
          <w:highlight w:val="none"/>
        </w:rPr>
      </w:pPr>
      <w:r>
        <w:rPr>
          <w:rFonts w:hint="eastAsia" w:hAnsi="宋体" w:eastAsia="宋体" w:cs="Times New Roman"/>
          <w:color w:val="auto"/>
          <w:sz w:val="21"/>
          <w:szCs w:val="21"/>
          <w:highlight w:val="none"/>
          <w:lang w:val="en-US" w:eastAsia="zh-CN"/>
        </w:rPr>
        <w:t>招标人：</w:t>
      </w:r>
      <w:r>
        <w:rPr>
          <w:rFonts w:hint="eastAsia" w:hAnsi="宋体" w:eastAsia="宋体" w:cs="Times New Roman"/>
          <w:color w:val="auto"/>
          <w:sz w:val="21"/>
          <w:szCs w:val="21"/>
          <w:highlight w:val="none"/>
        </w:rPr>
        <w:t>南宁轨道地产集团有限责任公司</w:t>
      </w:r>
      <w:r>
        <w:rPr>
          <w:rFonts w:hint="eastAsia" w:hAnsi="宋体" w:eastAsia="宋体" w:cs="Times New Roman"/>
          <w:color w:val="auto"/>
          <w:sz w:val="21"/>
          <w:szCs w:val="21"/>
          <w:highlight w:val="none"/>
          <w:lang w:val="en-US" w:eastAsia="zh-CN"/>
        </w:rPr>
        <w:t xml:space="preserve">   </w:t>
      </w:r>
      <w:r>
        <w:rPr>
          <w:rFonts w:hint="eastAsia" w:hAnsi="宋体" w:cs="Times New Roman"/>
          <w:color w:val="auto"/>
          <w:sz w:val="21"/>
          <w:szCs w:val="21"/>
          <w:highlight w:val="none"/>
          <w:lang w:val="en-US" w:eastAsia="zh-CN"/>
        </w:rPr>
        <w:t xml:space="preserve">  </w:t>
      </w:r>
      <w:r>
        <w:rPr>
          <w:rFonts w:hint="eastAsia" w:hAnsi="宋体" w:eastAsia="宋体" w:cs="Times New Roman"/>
          <w:color w:val="auto"/>
          <w:sz w:val="21"/>
          <w:szCs w:val="21"/>
          <w:highlight w:val="none"/>
        </w:rPr>
        <w:t>招标代理机构</w:t>
      </w:r>
      <w:r>
        <w:rPr>
          <w:rFonts w:hint="eastAsia" w:hAnsi="宋体" w:eastAsia="宋体" w:cs="Times New Roman"/>
          <w:color w:val="auto"/>
          <w:sz w:val="21"/>
          <w:szCs w:val="21"/>
          <w:highlight w:val="none"/>
          <w:lang w:eastAsia="zh-CN"/>
        </w:rPr>
        <w:t>：</w:t>
      </w:r>
      <w:r>
        <w:rPr>
          <w:rFonts w:hint="eastAsia" w:hAnsi="宋体" w:eastAsia="宋体" w:cs="Times New Roman"/>
          <w:color w:val="auto"/>
          <w:sz w:val="21"/>
          <w:szCs w:val="21"/>
          <w:highlight w:val="none"/>
        </w:rPr>
        <w:t>广西中信恒泰工程顾问有限公司</w:t>
      </w:r>
    </w:p>
    <w:p w14:paraId="136FEF5D">
      <w:pPr>
        <w:pStyle w:val="2"/>
        <w:ind w:left="5040" w:leftChars="0" w:hanging="5040" w:hangingChars="2400"/>
        <w:rPr>
          <w:rFonts w:hint="eastAsia" w:hAnsi="宋体" w:eastAsia="宋体" w:cs="宋体"/>
          <w:color w:val="auto"/>
          <w:kern w:val="0"/>
          <w:sz w:val="21"/>
          <w:szCs w:val="21"/>
          <w:highlight w:val="none"/>
        </w:rPr>
      </w:pPr>
      <w:r>
        <w:rPr>
          <w:rFonts w:hAnsi="宋体" w:eastAsia="宋体" w:cs="宋体"/>
          <w:color w:val="auto"/>
          <w:kern w:val="0"/>
          <w:sz w:val="21"/>
          <w:szCs w:val="21"/>
          <w:highlight w:val="none"/>
        </w:rPr>
        <w:t>地址</w:t>
      </w:r>
      <w:r>
        <w:rPr>
          <w:rFonts w:hint="eastAsia" w:hAnsi="宋体" w:eastAsia="宋体" w:cs="宋体"/>
          <w:color w:val="auto"/>
          <w:kern w:val="0"/>
          <w:sz w:val="21"/>
          <w:szCs w:val="21"/>
          <w:highlight w:val="none"/>
          <w:lang w:eastAsia="zh-CN"/>
        </w:rPr>
        <w:t>：</w:t>
      </w:r>
      <w:r>
        <w:rPr>
          <w:rFonts w:hAnsi="宋体" w:eastAsia="宋体" w:cs="宋体"/>
          <w:color w:val="auto"/>
          <w:kern w:val="0"/>
          <w:sz w:val="21"/>
          <w:szCs w:val="21"/>
          <w:highlight w:val="none"/>
        </w:rPr>
        <w:t>广西南宁市青秀区</w:t>
      </w:r>
      <w:r>
        <w:rPr>
          <w:rFonts w:hint="eastAsia" w:hAnsi="宋体" w:eastAsia="宋体" w:cs="宋体"/>
          <w:color w:val="auto"/>
          <w:kern w:val="0"/>
          <w:sz w:val="21"/>
          <w:szCs w:val="21"/>
          <w:highlight w:val="none"/>
        </w:rPr>
        <w:t>凤岭北111号</w:t>
      </w:r>
      <w:r>
        <w:rPr>
          <w:rFonts w:hint="eastAsia" w:hAnsi="宋体" w:cs="宋体"/>
          <w:color w:val="auto"/>
          <w:kern w:val="0"/>
          <w:sz w:val="21"/>
          <w:szCs w:val="21"/>
          <w:highlight w:val="none"/>
          <w:lang w:val="en-US" w:eastAsia="zh-CN"/>
        </w:rPr>
        <w:t xml:space="preserve">       </w:t>
      </w:r>
      <w:r>
        <w:rPr>
          <w:rFonts w:hAnsi="宋体" w:eastAsia="宋体" w:cs="宋体"/>
          <w:color w:val="auto"/>
          <w:kern w:val="0"/>
          <w:sz w:val="21"/>
          <w:szCs w:val="21"/>
          <w:highlight w:val="none"/>
        </w:rPr>
        <w:t>地址</w:t>
      </w:r>
      <w:r>
        <w:rPr>
          <w:rFonts w:hint="eastAsia" w:hAnsi="宋体" w:eastAsia="宋体" w:cs="宋体"/>
          <w:color w:val="auto"/>
          <w:kern w:val="0"/>
          <w:sz w:val="21"/>
          <w:szCs w:val="21"/>
          <w:highlight w:val="none"/>
          <w:lang w:eastAsia="zh-CN"/>
        </w:rPr>
        <w:t>：</w:t>
      </w:r>
      <w:r>
        <w:rPr>
          <w:rFonts w:hint="eastAsia" w:hAnsi="宋体" w:eastAsia="宋体" w:cs="宋体"/>
          <w:color w:val="auto"/>
          <w:kern w:val="0"/>
          <w:sz w:val="21"/>
          <w:szCs w:val="21"/>
          <w:highlight w:val="none"/>
        </w:rPr>
        <w:t xml:space="preserve">南宁市青秀区云景路69号南宁轨道交通运营控制中心B楼8层 </w:t>
      </w:r>
    </w:p>
    <w:p w14:paraId="6A3DB904">
      <w:pPr>
        <w:pStyle w:val="2"/>
        <w:ind w:left="5040" w:leftChars="0" w:hanging="5040" w:hangingChars="2400"/>
        <w:rPr>
          <w:rFonts w:hint="eastAsia" w:hAnsi="宋体" w:cs="宋体"/>
          <w:color w:val="auto"/>
          <w:kern w:val="0"/>
          <w:sz w:val="21"/>
          <w:szCs w:val="21"/>
          <w:highlight w:val="none"/>
          <w:lang w:val="en-US" w:eastAsia="zh-CN"/>
        </w:rPr>
      </w:pPr>
      <w:r>
        <w:rPr>
          <w:rFonts w:hAnsi="宋体" w:eastAsia="宋体" w:cs="宋体"/>
          <w:color w:val="auto"/>
          <w:kern w:val="0"/>
          <w:sz w:val="21"/>
          <w:szCs w:val="21"/>
          <w:highlight w:val="none"/>
        </w:rPr>
        <w:t>邮编</w:t>
      </w:r>
      <w:r>
        <w:rPr>
          <w:rFonts w:hint="eastAsia" w:hAnsi="宋体" w:cs="宋体"/>
          <w:color w:val="auto"/>
          <w:kern w:val="0"/>
          <w:sz w:val="21"/>
          <w:szCs w:val="21"/>
          <w:highlight w:val="none"/>
          <w:lang w:eastAsia="zh-CN"/>
        </w:rPr>
        <w:t>：</w:t>
      </w:r>
      <w:r>
        <w:rPr>
          <w:rFonts w:hint="eastAsia" w:hAnsi="宋体" w:cs="宋体"/>
          <w:color w:val="auto"/>
          <w:kern w:val="0"/>
          <w:sz w:val="21"/>
          <w:szCs w:val="21"/>
          <w:highlight w:val="none"/>
          <w:lang w:val="en-US" w:eastAsia="zh-CN"/>
        </w:rPr>
        <w:t xml:space="preserve">530000                              </w:t>
      </w:r>
      <w:r>
        <w:rPr>
          <w:rFonts w:hAnsi="宋体" w:eastAsia="宋体" w:cs="宋体"/>
          <w:color w:val="auto"/>
          <w:kern w:val="0"/>
          <w:sz w:val="21"/>
          <w:szCs w:val="21"/>
          <w:highlight w:val="none"/>
        </w:rPr>
        <w:t>邮编</w:t>
      </w:r>
      <w:r>
        <w:rPr>
          <w:rFonts w:hint="eastAsia" w:hAnsi="宋体" w:cs="宋体"/>
          <w:color w:val="auto"/>
          <w:kern w:val="0"/>
          <w:sz w:val="21"/>
          <w:szCs w:val="21"/>
          <w:highlight w:val="none"/>
          <w:lang w:eastAsia="zh-CN"/>
        </w:rPr>
        <w:t>：</w:t>
      </w:r>
      <w:r>
        <w:rPr>
          <w:rFonts w:hint="eastAsia" w:hAnsi="宋体" w:cs="宋体"/>
          <w:color w:val="auto"/>
          <w:kern w:val="0"/>
          <w:sz w:val="21"/>
          <w:szCs w:val="21"/>
          <w:highlight w:val="none"/>
          <w:lang w:val="en-US" w:eastAsia="zh-CN"/>
        </w:rPr>
        <w:t>530029</w:t>
      </w:r>
    </w:p>
    <w:p w14:paraId="02BBA3D8">
      <w:pPr>
        <w:pStyle w:val="2"/>
        <w:ind w:left="5040" w:leftChars="0" w:hanging="5040" w:hangingChars="2400"/>
        <w:rPr>
          <w:rFonts w:hint="eastAsia" w:hAnsi="宋体" w:eastAsia="宋体" w:cs="宋体"/>
          <w:color w:val="auto"/>
          <w:kern w:val="0"/>
          <w:sz w:val="21"/>
          <w:szCs w:val="21"/>
          <w:highlight w:val="none"/>
        </w:rPr>
      </w:pPr>
      <w:r>
        <w:rPr>
          <w:rFonts w:hAnsi="宋体" w:eastAsia="宋体" w:cs="宋体"/>
          <w:color w:val="auto"/>
          <w:kern w:val="0"/>
          <w:sz w:val="21"/>
          <w:szCs w:val="21"/>
          <w:highlight w:val="none"/>
        </w:rPr>
        <w:t>联系人</w:t>
      </w:r>
      <w:r>
        <w:rPr>
          <w:rFonts w:hint="eastAsia" w:hAnsi="宋体" w:eastAsia="宋体" w:cs="宋体"/>
          <w:color w:val="auto"/>
          <w:kern w:val="0"/>
          <w:sz w:val="21"/>
          <w:szCs w:val="21"/>
          <w:highlight w:val="none"/>
          <w:lang w:eastAsia="zh-CN"/>
        </w:rPr>
        <w:t>：</w:t>
      </w:r>
      <w:r>
        <w:rPr>
          <w:rFonts w:hint="eastAsia" w:hAnsi="宋体" w:eastAsia="宋体" w:cs="宋体"/>
          <w:color w:val="auto"/>
          <w:kern w:val="0"/>
          <w:sz w:val="21"/>
          <w:szCs w:val="21"/>
          <w:highlight w:val="none"/>
        </w:rPr>
        <w:t>黄凯文</w:t>
      </w:r>
      <w:r>
        <w:rPr>
          <w:rFonts w:hint="eastAsia" w:hAnsi="宋体" w:cs="宋体"/>
          <w:color w:val="auto"/>
          <w:kern w:val="0"/>
          <w:sz w:val="21"/>
          <w:szCs w:val="21"/>
          <w:highlight w:val="none"/>
          <w:lang w:val="en-US" w:eastAsia="zh-CN"/>
        </w:rPr>
        <w:t xml:space="preserve">                            </w:t>
      </w:r>
      <w:r>
        <w:rPr>
          <w:rFonts w:hAnsi="宋体" w:eastAsia="宋体" w:cs="宋体"/>
          <w:color w:val="auto"/>
          <w:kern w:val="0"/>
          <w:sz w:val="21"/>
          <w:szCs w:val="21"/>
          <w:highlight w:val="none"/>
        </w:rPr>
        <w:t>联系人</w:t>
      </w:r>
      <w:r>
        <w:rPr>
          <w:rFonts w:hint="eastAsia" w:hAnsi="宋体" w:eastAsia="宋体" w:cs="宋体"/>
          <w:color w:val="auto"/>
          <w:kern w:val="0"/>
          <w:sz w:val="21"/>
          <w:szCs w:val="21"/>
          <w:highlight w:val="none"/>
          <w:lang w:eastAsia="zh-CN"/>
        </w:rPr>
        <w:t>：</w:t>
      </w:r>
      <w:r>
        <w:rPr>
          <w:rFonts w:hint="eastAsia" w:hAnsi="宋体" w:eastAsia="宋体" w:cs="宋体"/>
          <w:color w:val="auto"/>
          <w:kern w:val="0"/>
          <w:sz w:val="21"/>
          <w:szCs w:val="21"/>
          <w:highlight w:val="none"/>
        </w:rPr>
        <w:t>叶振华、陈力力、杨月娇</w:t>
      </w:r>
    </w:p>
    <w:p w14:paraId="7C3DE911">
      <w:pPr>
        <w:pStyle w:val="2"/>
        <w:ind w:left="5040" w:leftChars="0" w:hanging="5040" w:hangingChars="2400"/>
        <w:rPr>
          <w:rFonts w:hint="eastAsia" w:hAnsi="宋体" w:eastAsia="宋体" w:cs="宋体"/>
          <w:color w:val="auto"/>
          <w:kern w:val="0"/>
          <w:sz w:val="21"/>
          <w:szCs w:val="21"/>
          <w:highlight w:val="none"/>
        </w:rPr>
      </w:pPr>
      <w:r>
        <w:rPr>
          <w:rFonts w:hAnsi="宋体" w:eastAsia="宋体" w:cs="宋体"/>
          <w:color w:val="auto"/>
          <w:kern w:val="0"/>
          <w:sz w:val="21"/>
          <w:szCs w:val="21"/>
          <w:highlight w:val="none"/>
        </w:rPr>
        <w:t>电话</w:t>
      </w:r>
      <w:r>
        <w:rPr>
          <w:rFonts w:hint="eastAsia" w:hAnsi="宋体" w:eastAsia="宋体" w:cs="宋体"/>
          <w:color w:val="auto"/>
          <w:kern w:val="0"/>
          <w:sz w:val="21"/>
          <w:szCs w:val="21"/>
          <w:highlight w:val="none"/>
          <w:lang w:eastAsia="zh-CN"/>
        </w:rPr>
        <w:t>：</w:t>
      </w:r>
      <w:r>
        <w:rPr>
          <w:rFonts w:hint="eastAsia" w:hAnsi="宋体" w:eastAsia="宋体" w:cs="宋体"/>
          <w:color w:val="auto"/>
          <w:kern w:val="0"/>
          <w:sz w:val="21"/>
          <w:szCs w:val="21"/>
          <w:highlight w:val="none"/>
          <w:lang w:val="en-US" w:eastAsia="zh-CN"/>
        </w:rPr>
        <w:t>0771-</w:t>
      </w:r>
      <w:r>
        <w:rPr>
          <w:rFonts w:hint="eastAsia" w:hAnsi="宋体" w:eastAsia="宋体" w:cs="宋体"/>
          <w:color w:val="auto"/>
          <w:kern w:val="0"/>
          <w:sz w:val="21"/>
          <w:szCs w:val="21"/>
          <w:highlight w:val="none"/>
        </w:rPr>
        <w:t>5522035</w:t>
      </w:r>
      <w:r>
        <w:rPr>
          <w:rFonts w:hint="eastAsia" w:hAnsi="宋体" w:cs="宋体"/>
          <w:color w:val="auto"/>
          <w:kern w:val="0"/>
          <w:sz w:val="21"/>
          <w:szCs w:val="21"/>
          <w:highlight w:val="none"/>
          <w:lang w:val="en-US" w:eastAsia="zh-CN"/>
        </w:rPr>
        <w:t xml:space="preserve">                        </w:t>
      </w:r>
      <w:r>
        <w:rPr>
          <w:rFonts w:hAnsi="宋体" w:eastAsia="宋体" w:cs="宋体"/>
          <w:color w:val="auto"/>
          <w:kern w:val="0"/>
          <w:sz w:val="21"/>
          <w:szCs w:val="21"/>
          <w:highlight w:val="none"/>
        </w:rPr>
        <w:t>电话</w:t>
      </w:r>
      <w:r>
        <w:rPr>
          <w:rFonts w:hint="eastAsia" w:hAnsi="宋体" w:eastAsia="宋体" w:cs="宋体"/>
          <w:color w:val="auto"/>
          <w:kern w:val="0"/>
          <w:sz w:val="21"/>
          <w:szCs w:val="21"/>
          <w:highlight w:val="none"/>
          <w:lang w:eastAsia="zh-CN"/>
        </w:rPr>
        <w:t>：</w:t>
      </w:r>
      <w:r>
        <w:rPr>
          <w:rFonts w:hAnsi="宋体" w:eastAsia="宋体" w:cs="宋体"/>
          <w:color w:val="auto"/>
          <w:kern w:val="0"/>
          <w:sz w:val="21"/>
          <w:szCs w:val="21"/>
          <w:highlight w:val="none"/>
        </w:rPr>
        <w:t>0771-</w:t>
      </w:r>
      <w:r>
        <w:rPr>
          <w:rFonts w:hint="eastAsia" w:hAnsi="宋体" w:eastAsia="宋体" w:cs="宋体"/>
          <w:color w:val="auto"/>
          <w:kern w:val="0"/>
          <w:sz w:val="21"/>
          <w:szCs w:val="21"/>
          <w:highlight w:val="none"/>
        </w:rPr>
        <w:t>4131685</w:t>
      </w:r>
    </w:p>
    <w:p w14:paraId="70510F44">
      <w:pPr>
        <w:pStyle w:val="2"/>
        <w:ind w:left="5040" w:leftChars="0" w:hanging="5040" w:hangingChars="2400"/>
        <w:rPr>
          <w:rFonts w:hint="default" w:hAnsi="宋体" w:eastAsia="宋体" w:cs="宋体"/>
          <w:color w:val="auto"/>
          <w:kern w:val="0"/>
          <w:sz w:val="21"/>
          <w:szCs w:val="21"/>
          <w:highlight w:val="none"/>
          <w:lang w:val="en-US"/>
        </w:rPr>
      </w:pPr>
      <w:r>
        <w:rPr>
          <w:rFonts w:hAnsi="宋体" w:eastAsia="宋体" w:cs="宋体"/>
          <w:color w:val="auto"/>
          <w:kern w:val="0"/>
          <w:sz w:val="21"/>
          <w:szCs w:val="21"/>
          <w:highlight w:val="none"/>
        </w:rPr>
        <w:t>传真</w:t>
      </w:r>
      <w:r>
        <w:rPr>
          <w:rFonts w:hint="eastAsia" w:hAnsi="宋体" w:eastAsia="宋体" w:cs="宋体"/>
          <w:color w:val="auto"/>
          <w:kern w:val="0"/>
          <w:sz w:val="21"/>
          <w:szCs w:val="21"/>
          <w:highlight w:val="none"/>
          <w:lang w:eastAsia="zh-CN"/>
        </w:rPr>
        <w:t>：</w:t>
      </w:r>
      <w:r>
        <w:rPr>
          <w:rFonts w:hint="eastAsia" w:hAnsi="宋体" w:cs="宋体"/>
          <w:color w:val="auto"/>
          <w:kern w:val="0"/>
          <w:sz w:val="21"/>
          <w:szCs w:val="21"/>
          <w:highlight w:val="none"/>
          <w:lang w:val="en-US" w:eastAsia="zh-CN"/>
        </w:rPr>
        <w:t xml:space="preserve">/                                   </w:t>
      </w:r>
      <w:r>
        <w:rPr>
          <w:rFonts w:hAnsi="宋体" w:eastAsia="宋体" w:cs="宋体"/>
          <w:color w:val="auto"/>
          <w:kern w:val="0"/>
          <w:sz w:val="21"/>
          <w:szCs w:val="21"/>
          <w:highlight w:val="none"/>
        </w:rPr>
        <w:t>传真</w:t>
      </w:r>
      <w:r>
        <w:rPr>
          <w:rFonts w:hint="eastAsia" w:hAnsi="宋体" w:eastAsia="宋体" w:cs="宋体"/>
          <w:color w:val="auto"/>
          <w:kern w:val="0"/>
          <w:sz w:val="21"/>
          <w:szCs w:val="21"/>
          <w:highlight w:val="none"/>
          <w:lang w:eastAsia="zh-CN"/>
        </w:rPr>
        <w:t>：</w:t>
      </w:r>
      <w:r>
        <w:rPr>
          <w:rFonts w:hint="eastAsia" w:hAnsi="宋体" w:cs="宋体"/>
          <w:color w:val="auto"/>
          <w:kern w:val="0"/>
          <w:sz w:val="21"/>
          <w:szCs w:val="21"/>
          <w:highlight w:val="none"/>
          <w:lang w:val="en-US" w:eastAsia="zh-CN"/>
        </w:rPr>
        <w:t>/</w:t>
      </w:r>
    </w:p>
    <w:p w14:paraId="3DDC4678">
      <w:pPr>
        <w:pStyle w:val="2"/>
        <w:ind w:left="5040" w:leftChars="0" w:hanging="5040" w:hangingChars="2400"/>
        <w:rPr>
          <w:rFonts w:hint="eastAsia" w:hAnsi="宋体" w:eastAsia="宋体" w:cs="宋体"/>
          <w:color w:val="auto"/>
          <w:kern w:val="0"/>
          <w:sz w:val="21"/>
          <w:szCs w:val="21"/>
          <w:highlight w:val="none"/>
          <w:lang w:val="en-US" w:eastAsia="zh-CN"/>
        </w:rPr>
      </w:pPr>
      <w:r>
        <w:rPr>
          <w:rFonts w:hAnsi="宋体" w:eastAsia="宋体" w:cs="宋体"/>
          <w:color w:val="auto"/>
          <w:kern w:val="0"/>
          <w:sz w:val="21"/>
          <w:szCs w:val="21"/>
          <w:highlight w:val="none"/>
        </w:rPr>
        <w:t>电子邮箱</w:t>
      </w:r>
      <w:r>
        <w:rPr>
          <w:rFonts w:hint="eastAsia" w:hAnsi="宋体" w:eastAsia="宋体" w:cs="宋体"/>
          <w:color w:val="auto"/>
          <w:kern w:val="0"/>
          <w:sz w:val="21"/>
          <w:szCs w:val="21"/>
          <w:highlight w:val="none"/>
          <w:lang w:eastAsia="zh-CN"/>
        </w:rPr>
        <w:t>：</w:t>
      </w:r>
      <w:r>
        <w:rPr>
          <w:rFonts w:hint="eastAsia" w:hAnsi="宋体" w:eastAsia="宋体" w:cs="宋体"/>
          <w:color w:val="auto"/>
          <w:kern w:val="0"/>
          <w:sz w:val="21"/>
          <w:szCs w:val="21"/>
          <w:highlight w:val="none"/>
          <w:lang w:val="en-US" w:eastAsia="zh-CN"/>
        </w:rPr>
        <w:t xml:space="preserve">/                               </w:t>
      </w:r>
      <w:r>
        <w:rPr>
          <w:rFonts w:hAnsi="宋体" w:eastAsia="宋体" w:cs="宋体"/>
          <w:color w:val="auto"/>
          <w:kern w:val="0"/>
          <w:sz w:val="21"/>
          <w:szCs w:val="21"/>
          <w:highlight w:val="none"/>
        </w:rPr>
        <w:t>电子邮箱</w:t>
      </w:r>
      <w:r>
        <w:rPr>
          <w:rFonts w:hint="eastAsia" w:hAnsi="宋体" w:eastAsia="宋体" w:cs="宋体"/>
          <w:color w:val="auto"/>
          <w:kern w:val="0"/>
          <w:sz w:val="21"/>
          <w:szCs w:val="21"/>
          <w:highlight w:val="none"/>
          <w:lang w:eastAsia="zh-CN"/>
        </w:rPr>
        <w:t>：</w:t>
      </w:r>
      <w:r>
        <w:rPr>
          <w:rFonts w:hint="eastAsia" w:hAnsi="宋体" w:eastAsia="宋体" w:cs="宋体"/>
          <w:color w:val="auto"/>
          <w:kern w:val="0"/>
          <w:sz w:val="21"/>
          <w:szCs w:val="21"/>
          <w:highlight w:val="none"/>
          <w:lang w:val="en-US" w:eastAsia="zh-CN"/>
        </w:rPr>
        <w:t>/</w:t>
      </w:r>
    </w:p>
    <w:p w14:paraId="526FB2CD">
      <w:pPr>
        <w:pStyle w:val="2"/>
        <w:ind w:left="5040" w:leftChars="0" w:hanging="5040" w:hangingChars="2400"/>
        <w:rPr>
          <w:rFonts w:hint="default" w:hAnsi="宋体" w:eastAsia="宋体" w:cs="宋体"/>
          <w:color w:val="auto"/>
          <w:kern w:val="0"/>
          <w:sz w:val="21"/>
          <w:szCs w:val="21"/>
          <w:highlight w:val="none"/>
          <w:lang w:val="en-US" w:eastAsia="zh-CN"/>
        </w:rPr>
      </w:pPr>
      <w:r>
        <w:rPr>
          <w:rFonts w:hAnsi="宋体" w:eastAsia="宋体" w:cs="宋体"/>
          <w:color w:val="auto"/>
          <w:kern w:val="0"/>
          <w:sz w:val="21"/>
          <w:szCs w:val="21"/>
          <w:highlight w:val="none"/>
        </w:rPr>
        <w:t>网址</w:t>
      </w:r>
      <w:r>
        <w:rPr>
          <w:rFonts w:hint="eastAsia" w:hAnsi="宋体" w:eastAsia="宋体" w:cs="宋体"/>
          <w:color w:val="auto"/>
          <w:kern w:val="0"/>
          <w:sz w:val="21"/>
          <w:szCs w:val="21"/>
          <w:highlight w:val="none"/>
          <w:lang w:eastAsia="zh-CN"/>
        </w:rPr>
        <w:t>：</w:t>
      </w:r>
      <w:r>
        <w:rPr>
          <w:rFonts w:hAnsi="宋体" w:eastAsia="宋体" w:cs="宋体"/>
          <w:color w:val="auto"/>
          <w:kern w:val="0"/>
          <w:sz w:val="21"/>
          <w:szCs w:val="21"/>
          <w:highlight w:val="none"/>
        </w:rPr>
        <w:fldChar w:fldCharType="begin"/>
      </w:r>
      <w:r>
        <w:rPr>
          <w:rFonts w:hAnsi="宋体" w:eastAsia="宋体" w:cs="宋体"/>
          <w:color w:val="auto"/>
          <w:kern w:val="0"/>
          <w:sz w:val="21"/>
          <w:szCs w:val="21"/>
          <w:highlight w:val="none"/>
        </w:rPr>
        <w:instrText xml:space="preserve"> HYPERLINK "http://www.nngddc.com/" </w:instrText>
      </w:r>
      <w:r>
        <w:rPr>
          <w:rFonts w:hAnsi="宋体" w:eastAsia="宋体" w:cs="宋体"/>
          <w:color w:val="auto"/>
          <w:kern w:val="0"/>
          <w:sz w:val="21"/>
          <w:szCs w:val="21"/>
          <w:highlight w:val="none"/>
        </w:rPr>
        <w:fldChar w:fldCharType="separate"/>
      </w:r>
      <w:r>
        <w:rPr>
          <w:rFonts w:hAnsi="宋体" w:eastAsia="宋体" w:cs="宋体"/>
          <w:color w:val="auto"/>
          <w:kern w:val="0"/>
          <w:sz w:val="21"/>
          <w:szCs w:val="21"/>
          <w:highlight w:val="none"/>
        </w:rPr>
        <w:t>http://www.nngd</w:t>
      </w:r>
      <w:r>
        <w:rPr>
          <w:rFonts w:hint="eastAsia" w:hAnsi="宋体" w:eastAsia="宋体" w:cs="宋体"/>
          <w:color w:val="auto"/>
          <w:kern w:val="0"/>
          <w:sz w:val="21"/>
          <w:szCs w:val="21"/>
          <w:highlight w:val="none"/>
        </w:rPr>
        <w:t>dc</w:t>
      </w:r>
      <w:r>
        <w:rPr>
          <w:rFonts w:hAnsi="宋体" w:eastAsia="宋体" w:cs="宋体"/>
          <w:color w:val="auto"/>
          <w:kern w:val="0"/>
          <w:sz w:val="21"/>
          <w:szCs w:val="21"/>
          <w:highlight w:val="none"/>
        </w:rPr>
        <w:t>.com/</w:t>
      </w:r>
      <w:r>
        <w:rPr>
          <w:rFonts w:hAnsi="宋体" w:eastAsia="宋体" w:cs="宋体"/>
          <w:color w:val="auto"/>
          <w:kern w:val="0"/>
          <w:sz w:val="21"/>
          <w:szCs w:val="21"/>
          <w:highlight w:val="none"/>
        </w:rPr>
        <w:fldChar w:fldCharType="end"/>
      </w:r>
      <w:r>
        <w:rPr>
          <w:rFonts w:hint="eastAsia" w:hAnsi="宋体" w:eastAsia="宋体" w:cs="宋体"/>
          <w:color w:val="auto"/>
          <w:kern w:val="0"/>
          <w:sz w:val="21"/>
          <w:szCs w:val="21"/>
          <w:highlight w:val="none"/>
          <w:lang w:val="en-US" w:eastAsia="zh-CN"/>
        </w:rPr>
        <w:t xml:space="preserve">              </w:t>
      </w:r>
      <w:r>
        <w:rPr>
          <w:rFonts w:hAnsi="宋体" w:eastAsia="宋体" w:cs="宋体"/>
          <w:color w:val="auto"/>
          <w:kern w:val="0"/>
          <w:sz w:val="21"/>
          <w:szCs w:val="21"/>
          <w:highlight w:val="none"/>
        </w:rPr>
        <w:t>网址</w:t>
      </w:r>
      <w:r>
        <w:rPr>
          <w:rFonts w:hint="eastAsia" w:hAnsi="宋体" w:eastAsia="宋体" w:cs="宋体"/>
          <w:color w:val="auto"/>
          <w:kern w:val="0"/>
          <w:sz w:val="21"/>
          <w:szCs w:val="21"/>
          <w:highlight w:val="none"/>
          <w:lang w:eastAsia="zh-CN"/>
        </w:rPr>
        <w:t>：</w:t>
      </w:r>
      <w:r>
        <w:rPr>
          <w:rFonts w:hint="eastAsia" w:hAnsi="宋体" w:eastAsia="宋体" w:cs="宋体"/>
          <w:color w:val="auto"/>
          <w:kern w:val="0"/>
          <w:sz w:val="21"/>
          <w:szCs w:val="21"/>
          <w:highlight w:val="none"/>
        </w:rPr>
        <w:t>https://www.gxzxht.com/</w:t>
      </w:r>
    </w:p>
    <w:p w14:paraId="11F56E24">
      <w:pPr>
        <w:pStyle w:val="2"/>
        <w:ind w:left="0" w:leftChars="0" w:firstLine="0" w:firstLineChars="0"/>
        <w:rPr>
          <w:color w:val="auto"/>
          <w:highlight w:val="none"/>
        </w:rPr>
      </w:pPr>
    </w:p>
    <w:p w14:paraId="1DB0F141">
      <w:pPr>
        <w:pStyle w:val="2"/>
        <w:ind w:left="0" w:leftChars="0" w:firstLine="0" w:firstLineChars="0"/>
        <w:jc w:val="right"/>
        <w:rPr>
          <w:rFonts w:ascii="Times New Roman"/>
          <w:color w:val="auto"/>
          <w:sz w:val="21"/>
          <w:szCs w:val="21"/>
          <w:highlight w:val="none"/>
        </w:rPr>
      </w:pPr>
      <w:bookmarkStart w:id="77" w:name="_Hlk41635991"/>
      <w:r>
        <w:rPr>
          <w:rFonts w:hint="eastAsia" w:ascii="Times New Roman"/>
          <w:color w:val="auto"/>
          <w:sz w:val="21"/>
          <w:szCs w:val="21"/>
          <w:highlight w:val="none"/>
        </w:rPr>
        <w:t xml:space="preserve"> 202</w:t>
      </w:r>
      <w:r>
        <w:rPr>
          <w:rFonts w:hint="eastAsia" w:ascii="Times New Roman"/>
          <w:color w:val="auto"/>
          <w:sz w:val="21"/>
          <w:szCs w:val="21"/>
          <w:highlight w:val="none"/>
          <w:lang w:val="en-US" w:eastAsia="zh-CN"/>
        </w:rPr>
        <w:t>6</w:t>
      </w:r>
      <w:r>
        <w:rPr>
          <w:rFonts w:ascii="Times New Roman"/>
          <w:color w:val="auto"/>
          <w:sz w:val="21"/>
          <w:szCs w:val="21"/>
          <w:highlight w:val="none"/>
        </w:rPr>
        <w:t>年</w:t>
      </w:r>
      <w:r>
        <w:rPr>
          <w:rFonts w:hint="eastAsia" w:ascii="Times New Roman"/>
          <w:color w:val="auto"/>
          <w:sz w:val="21"/>
          <w:szCs w:val="21"/>
          <w:highlight w:val="none"/>
          <w:lang w:val="en-US" w:eastAsia="zh-CN"/>
        </w:rPr>
        <w:t>05</w:t>
      </w:r>
      <w:r>
        <w:rPr>
          <w:rFonts w:ascii="Times New Roman"/>
          <w:color w:val="auto"/>
          <w:sz w:val="21"/>
          <w:szCs w:val="21"/>
          <w:highlight w:val="none"/>
        </w:rPr>
        <w:t>月</w:t>
      </w:r>
      <w:r>
        <w:rPr>
          <w:rFonts w:hint="eastAsia" w:ascii="Times New Roman"/>
          <w:color w:val="auto"/>
          <w:sz w:val="21"/>
          <w:szCs w:val="21"/>
          <w:highlight w:val="none"/>
          <w:lang w:val="en-US" w:eastAsia="zh-CN"/>
        </w:rPr>
        <w:t>08</w:t>
      </w:r>
      <w:r>
        <w:rPr>
          <w:rFonts w:ascii="Times New Roman"/>
          <w:color w:val="auto"/>
          <w:sz w:val="21"/>
          <w:szCs w:val="21"/>
          <w:highlight w:val="none"/>
        </w:rPr>
        <w:t>日</w:t>
      </w:r>
      <w:bookmarkEnd w:id="77"/>
    </w:p>
    <w:bookmarkEnd w:id="8"/>
    <w:bookmarkEnd w:id="11"/>
    <w:bookmarkEnd w:id="12"/>
    <w:bookmarkEnd w:id="36"/>
    <w:bookmarkEnd w:id="37"/>
    <w:bookmarkEnd w:id="38"/>
    <w:bookmarkEnd w:id="39"/>
    <w:p w14:paraId="6FB81969">
      <w:pPr>
        <w:pStyle w:val="4"/>
        <w:spacing w:before="120" w:beforeLines="0"/>
        <w:ind w:firstLine="0" w:firstLineChars="0"/>
        <w:rPr>
          <w:rFonts w:ascii="Times New Roman"/>
        </w:rPr>
      </w:pPr>
      <w:r>
        <w:rPr>
          <w:rFonts w:ascii="Times New Roman"/>
        </w:rPr>
        <w:br w:type="page"/>
      </w:r>
      <w:bookmarkStart w:id="78" w:name="_Toc193981255"/>
      <w:r>
        <w:rPr>
          <w:rFonts w:ascii="Times New Roman"/>
        </w:rPr>
        <w:t>第二章 投标</w:t>
      </w:r>
      <w:r>
        <w:rPr>
          <w:rFonts w:hint="eastAsia" w:ascii="Times New Roman"/>
        </w:rPr>
        <w:t>人</w:t>
      </w:r>
      <w:r>
        <w:rPr>
          <w:rFonts w:ascii="Times New Roman"/>
        </w:rPr>
        <w:t>须知</w:t>
      </w:r>
      <w:bookmarkEnd w:id="78"/>
    </w:p>
    <w:p w14:paraId="7E7FE73E">
      <w:pPr>
        <w:adjustRightInd/>
        <w:snapToGrid/>
        <w:spacing w:before="0" w:beforeLines="0" w:line="400" w:lineRule="exact"/>
        <w:ind w:firstLine="0" w:firstLineChars="0"/>
        <w:jc w:val="center"/>
        <w:outlineLvl w:val="1"/>
        <w:rPr>
          <w:rFonts w:ascii="Times New Roman"/>
          <w:b/>
          <w:bCs/>
          <w:sz w:val="32"/>
          <w:szCs w:val="32"/>
        </w:rPr>
      </w:pPr>
      <w:r>
        <w:rPr>
          <w:rFonts w:ascii="Times New Roman"/>
          <w:b/>
          <w:bCs/>
          <w:sz w:val="32"/>
          <w:szCs w:val="32"/>
        </w:rPr>
        <w:t>投标人须知前附</w:t>
      </w:r>
      <w:r>
        <w:rPr>
          <w:rFonts w:hint="eastAsia" w:ascii="Times New Roman"/>
          <w:b/>
          <w:bCs/>
          <w:sz w:val="32"/>
          <w:szCs w:val="32"/>
        </w:rPr>
        <w:t>表</w:t>
      </w:r>
    </w:p>
    <w:tbl>
      <w:tblPr>
        <w:tblStyle w:val="48"/>
        <w:tblpPr w:leftFromText="180" w:rightFromText="180" w:vertAnchor="text" w:horzAnchor="page" w:tblpX="1373" w:tblpY="550"/>
        <w:tblOverlap w:val="never"/>
        <w:tblW w:w="9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947"/>
        <w:gridCol w:w="1840"/>
        <w:gridCol w:w="6182"/>
      </w:tblGrid>
      <w:tr w14:paraId="0F325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2F6C0C87">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b/>
                <w:sz w:val="21"/>
                <w:szCs w:val="21"/>
              </w:rPr>
            </w:pPr>
            <w:r>
              <w:rPr>
                <w:rFonts w:hAnsi="宋体" w:eastAsia="宋体" w:cs="Times New Roman"/>
                <w:b/>
                <w:sz w:val="21"/>
                <w:szCs w:val="21"/>
              </w:rPr>
              <w:t>序号</w:t>
            </w:r>
          </w:p>
        </w:tc>
        <w:tc>
          <w:tcPr>
            <w:tcW w:w="947" w:type="dxa"/>
            <w:noWrap w:val="0"/>
            <w:vAlign w:val="center"/>
          </w:tcPr>
          <w:p w14:paraId="435F9429">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b/>
                <w:sz w:val="21"/>
                <w:szCs w:val="21"/>
              </w:rPr>
            </w:pPr>
            <w:r>
              <w:rPr>
                <w:rFonts w:hAnsi="宋体" w:eastAsia="宋体" w:cs="Times New Roman"/>
                <w:b/>
                <w:sz w:val="21"/>
                <w:szCs w:val="21"/>
              </w:rPr>
              <w:t>条款号</w:t>
            </w:r>
          </w:p>
        </w:tc>
        <w:tc>
          <w:tcPr>
            <w:tcW w:w="1840" w:type="dxa"/>
            <w:noWrap w:val="0"/>
            <w:vAlign w:val="center"/>
          </w:tcPr>
          <w:p w14:paraId="192FA988">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b/>
                <w:sz w:val="21"/>
                <w:szCs w:val="21"/>
              </w:rPr>
            </w:pPr>
            <w:r>
              <w:rPr>
                <w:rFonts w:hAnsi="宋体" w:eastAsia="宋体" w:cs="Times New Roman"/>
                <w:b/>
                <w:sz w:val="21"/>
                <w:szCs w:val="21"/>
              </w:rPr>
              <w:t>条款名称</w:t>
            </w:r>
          </w:p>
        </w:tc>
        <w:tc>
          <w:tcPr>
            <w:tcW w:w="6182" w:type="dxa"/>
            <w:noWrap w:val="0"/>
            <w:vAlign w:val="center"/>
          </w:tcPr>
          <w:p w14:paraId="6489D7EA">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b/>
                <w:sz w:val="21"/>
                <w:szCs w:val="21"/>
              </w:rPr>
            </w:pPr>
            <w:r>
              <w:rPr>
                <w:rFonts w:hAnsi="宋体" w:eastAsia="宋体" w:cs="Times New Roman"/>
                <w:b/>
                <w:sz w:val="21"/>
                <w:szCs w:val="21"/>
              </w:rPr>
              <w:t>内        容</w:t>
            </w:r>
          </w:p>
        </w:tc>
      </w:tr>
      <w:tr w14:paraId="3F7A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42252AAB">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w:t>
            </w:r>
          </w:p>
        </w:tc>
        <w:tc>
          <w:tcPr>
            <w:tcW w:w="947" w:type="dxa"/>
            <w:noWrap w:val="0"/>
            <w:vAlign w:val="center"/>
          </w:tcPr>
          <w:p w14:paraId="076CD95C">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1.1</w:t>
            </w:r>
          </w:p>
        </w:tc>
        <w:tc>
          <w:tcPr>
            <w:tcW w:w="1840" w:type="dxa"/>
            <w:noWrap w:val="0"/>
            <w:vAlign w:val="center"/>
          </w:tcPr>
          <w:p w14:paraId="7B5DC7F7">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项目名称</w:t>
            </w:r>
          </w:p>
        </w:tc>
        <w:tc>
          <w:tcPr>
            <w:tcW w:w="6182" w:type="dxa"/>
            <w:noWrap w:val="0"/>
            <w:vAlign w:val="center"/>
          </w:tcPr>
          <w:p w14:paraId="494E388F">
            <w:pPr>
              <w:keepNext w:val="0"/>
              <w:keepLines w:val="0"/>
              <w:suppressLineNumbers w:val="0"/>
              <w:spacing w:before="0" w:beforeLines="0" w:beforeAutospacing="0" w:after="0" w:afterAutospacing="0" w:line="360" w:lineRule="exact"/>
              <w:ind w:left="0" w:right="0" w:firstLine="0" w:firstLineChars="0"/>
              <w:rPr>
                <w:rFonts w:hint="eastAsia" w:hAnsi="宋体" w:eastAsia="宋体" w:cs="Times New Roman"/>
                <w:sz w:val="21"/>
                <w:szCs w:val="21"/>
                <w:lang w:eastAsia="zh-CN"/>
              </w:rPr>
            </w:pPr>
            <w:r>
              <w:rPr>
                <w:rFonts w:hint="eastAsia" w:hAnsi="宋体" w:eastAsia="宋体" w:cs="Times New Roman"/>
                <w:sz w:val="21"/>
                <w:szCs w:val="21"/>
                <w:lang w:eastAsia="zh-CN"/>
              </w:rPr>
              <w:t>轨道御玺君临湾项目结算阶段造价服务</w:t>
            </w:r>
          </w:p>
        </w:tc>
      </w:tr>
      <w:tr w14:paraId="3F00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5230D4D4">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2</w:t>
            </w:r>
          </w:p>
        </w:tc>
        <w:tc>
          <w:tcPr>
            <w:tcW w:w="947" w:type="dxa"/>
            <w:noWrap w:val="0"/>
            <w:vAlign w:val="center"/>
          </w:tcPr>
          <w:p w14:paraId="32604296">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1.2</w:t>
            </w:r>
          </w:p>
        </w:tc>
        <w:tc>
          <w:tcPr>
            <w:tcW w:w="1840" w:type="dxa"/>
            <w:noWrap w:val="0"/>
            <w:vAlign w:val="center"/>
          </w:tcPr>
          <w:p w14:paraId="5B70101A">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建设地点</w:t>
            </w:r>
          </w:p>
        </w:tc>
        <w:tc>
          <w:tcPr>
            <w:tcW w:w="6182" w:type="dxa"/>
            <w:noWrap w:val="0"/>
            <w:vAlign w:val="center"/>
          </w:tcPr>
          <w:p w14:paraId="0A86D286">
            <w:pPr>
              <w:keepNext w:val="0"/>
              <w:keepLines w:val="0"/>
              <w:suppressLineNumbers w:val="0"/>
              <w:spacing w:before="0" w:beforeLines="0" w:beforeAutospacing="0" w:after="0" w:afterAutospacing="0" w:line="360" w:lineRule="exact"/>
              <w:ind w:left="0" w:right="0" w:firstLine="0" w:firstLineChars="0"/>
              <w:rPr>
                <w:rFonts w:hint="eastAsia" w:hAnsi="宋体" w:eastAsia="宋体" w:cs="Times New Roman"/>
                <w:sz w:val="21"/>
                <w:szCs w:val="21"/>
              </w:rPr>
            </w:pPr>
            <w:r>
              <w:rPr>
                <w:rFonts w:hint="eastAsia" w:hAnsi="宋体" w:eastAsia="宋体" w:cs="Times New Roman"/>
                <w:sz w:val="21"/>
                <w:szCs w:val="21"/>
              </w:rPr>
              <w:t>南宁市良庆区良庆大桥南</w:t>
            </w:r>
          </w:p>
        </w:tc>
      </w:tr>
      <w:tr w14:paraId="444B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385C5773">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3</w:t>
            </w:r>
          </w:p>
        </w:tc>
        <w:tc>
          <w:tcPr>
            <w:tcW w:w="947" w:type="dxa"/>
            <w:noWrap w:val="0"/>
            <w:vAlign w:val="center"/>
          </w:tcPr>
          <w:p w14:paraId="09C7D0D5">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1.3</w:t>
            </w:r>
          </w:p>
        </w:tc>
        <w:tc>
          <w:tcPr>
            <w:tcW w:w="1840" w:type="dxa"/>
            <w:noWrap w:val="0"/>
            <w:vAlign w:val="center"/>
          </w:tcPr>
          <w:p w14:paraId="7CA569ED">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bookmarkStart w:id="79" w:name="夏5"/>
            <w:r>
              <w:rPr>
                <w:rFonts w:hAnsi="宋体" w:eastAsia="宋体" w:cs="Times New Roman"/>
                <w:sz w:val="21"/>
                <w:szCs w:val="21"/>
              </w:rPr>
              <w:t>招标范围</w:t>
            </w:r>
          </w:p>
          <w:bookmarkEnd w:id="79"/>
        </w:tc>
        <w:tc>
          <w:tcPr>
            <w:tcW w:w="6182" w:type="dxa"/>
            <w:noWrap w:val="0"/>
            <w:vAlign w:val="center"/>
          </w:tcPr>
          <w:p w14:paraId="3C3F3223">
            <w:pPr>
              <w:keepNext w:val="0"/>
              <w:keepLines w:val="0"/>
              <w:suppressLineNumbers w:val="0"/>
              <w:spacing w:before="0" w:beforeLines="0" w:beforeAutospacing="0" w:after="0" w:afterAutospacing="0" w:line="360" w:lineRule="exact"/>
              <w:ind w:left="0" w:right="0" w:firstLine="0" w:firstLineChars="0"/>
              <w:rPr>
                <w:rFonts w:hint="eastAsia" w:hAnsi="宋体" w:eastAsia="宋体" w:cs="Times New Roman"/>
                <w:sz w:val="21"/>
                <w:szCs w:val="21"/>
              </w:rPr>
            </w:pPr>
            <w:r>
              <w:rPr>
                <w:rFonts w:hint="eastAsia" w:hAnsi="宋体" w:eastAsia="宋体" w:cs="Times New Roman"/>
                <w:sz w:val="21"/>
                <w:szCs w:val="21"/>
              </w:rPr>
              <w:t>本次招标为</w:t>
            </w:r>
            <w:r>
              <w:rPr>
                <w:rFonts w:hint="eastAsia" w:hAnsi="宋体" w:eastAsia="宋体" w:cs="Times New Roman"/>
                <w:sz w:val="21"/>
                <w:szCs w:val="21"/>
                <w:lang w:eastAsia="zh-CN"/>
              </w:rPr>
              <w:t>轨道御玺君临湾项目结算阶段造价服务</w:t>
            </w:r>
            <w:r>
              <w:rPr>
                <w:rFonts w:hint="eastAsia" w:hAnsi="宋体" w:eastAsia="宋体" w:cs="Times New Roman"/>
                <w:sz w:val="21"/>
                <w:szCs w:val="21"/>
              </w:rPr>
              <w:t>，签证变更测算及核对、进度款审核、预结算编制及审核等业主需要完成的过程造价服务内容。具体详见招标文件第五章发包人要求。</w:t>
            </w:r>
          </w:p>
        </w:tc>
      </w:tr>
      <w:tr w14:paraId="2BFCB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6BC0D3AA">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4</w:t>
            </w:r>
          </w:p>
        </w:tc>
        <w:tc>
          <w:tcPr>
            <w:tcW w:w="947" w:type="dxa"/>
            <w:noWrap w:val="0"/>
            <w:vAlign w:val="center"/>
          </w:tcPr>
          <w:p w14:paraId="2CFFDA82">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1.4</w:t>
            </w:r>
          </w:p>
        </w:tc>
        <w:tc>
          <w:tcPr>
            <w:tcW w:w="1840" w:type="dxa"/>
            <w:noWrap w:val="0"/>
            <w:vAlign w:val="center"/>
          </w:tcPr>
          <w:p w14:paraId="2C17D6C6">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kern w:val="0"/>
                <w:sz w:val="21"/>
                <w:szCs w:val="21"/>
              </w:rPr>
              <w:t>项目</w:t>
            </w:r>
            <w:r>
              <w:rPr>
                <w:rFonts w:hint="eastAsia" w:hAnsi="宋体" w:eastAsia="宋体" w:cs="Times New Roman"/>
                <w:kern w:val="0"/>
                <w:sz w:val="21"/>
                <w:szCs w:val="21"/>
              </w:rPr>
              <w:t>规模</w:t>
            </w:r>
          </w:p>
        </w:tc>
        <w:tc>
          <w:tcPr>
            <w:tcW w:w="6182" w:type="dxa"/>
            <w:noWrap w:val="0"/>
            <w:vAlign w:val="center"/>
          </w:tcPr>
          <w:p w14:paraId="315D0D28">
            <w:pPr>
              <w:keepNext w:val="0"/>
              <w:keepLines w:val="0"/>
              <w:suppressLineNumbers w:val="0"/>
              <w:spacing w:before="0" w:beforeLines="0" w:beforeAutospacing="0" w:after="0" w:afterAutospacing="0" w:line="360" w:lineRule="exact"/>
              <w:ind w:left="0" w:right="0" w:firstLine="0" w:firstLineChars="0"/>
              <w:rPr>
                <w:rFonts w:hint="eastAsia" w:ascii="宋体" w:hAnsi="宋体" w:eastAsia="宋体" w:cs="Times New Roman"/>
                <w:sz w:val="21"/>
                <w:szCs w:val="21"/>
              </w:rPr>
            </w:pPr>
            <w:r>
              <w:rPr>
                <w:rFonts w:hint="eastAsia" w:ascii="宋体" w:hAnsi="宋体" w:eastAsia="宋体" w:cs="Times New Roman"/>
                <w:sz w:val="21"/>
                <w:szCs w:val="21"/>
              </w:rPr>
              <w:t>总建筑面积386720.49 m²</w:t>
            </w:r>
            <w:r>
              <w:rPr>
                <w:rFonts w:hint="eastAsia" w:ascii="宋体" w:hAnsi="宋体" w:eastAsia="宋体" w:cs="Times New Roman"/>
                <w:sz w:val="21"/>
                <w:szCs w:val="21"/>
                <w:lang w:eastAsia="zh-CN"/>
              </w:rPr>
              <w:t>，</w:t>
            </w:r>
            <w:r>
              <w:rPr>
                <w:rFonts w:hint="eastAsia" w:hAnsi="宋体" w:eastAsia="宋体" w:cs="Times New Roman"/>
                <w:color w:val="auto"/>
                <w:sz w:val="21"/>
                <w:szCs w:val="21"/>
                <w:highlight w:val="none"/>
              </w:rPr>
              <w:t>预计于2026年7月30日整体竣工</w:t>
            </w:r>
            <w:r>
              <w:rPr>
                <w:rFonts w:hint="eastAsia" w:ascii="宋体" w:hAnsi="宋体" w:eastAsia="宋体" w:cs="Times New Roman"/>
                <w:sz w:val="21"/>
                <w:szCs w:val="21"/>
              </w:rPr>
              <w:t>，项目分为6个总包标段，当前已完成4个总包标段的结算，剩余未结算合同造价约11亿元。</w:t>
            </w:r>
          </w:p>
        </w:tc>
      </w:tr>
      <w:tr w14:paraId="56A4F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0F69745C">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5</w:t>
            </w:r>
          </w:p>
        </w:tc>
        <w:tc>
          <w:tcPr>
            <w:tcW w:w="947" w:type="dxa"/>
            <w:noWrap w:val="0"/>
            <w:vAlign w:val="center"/>
          </w:tcPr>
          <w:p w14:paraId="4494AE26">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1.5</w:t>
            </w:r>
          </w:p>
        </w:tc>
        <w:tc>
          <w:tcPr>
            <w:tcW w:w="1840" w:type="dxa"/>
            <w:noWrap w:val="0"/>
            <w:vAlign w:val="center"/>
          </w:tcPr>
          <w:p w14:paraId="4EBFE29E">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服务周期</w:t>
            </w:r>
          </w:p>
        </w:tc>
        <w:tc>
          <w:tcPr>
            <w:tcW w:w="6182" w:type="dxa"/>
            <w:noWrap w:val="0"/>
            <w:vAlign w:val="center"/>
          </w:tcPr>
          <w:p w14:paraId="0AD4CE16">
            <w:pPr>
              <w:keepNext w:val="0"/>
              <w:keepLines w:val="0"/>
              <w:suppressLineNumbers w:val="0"/>
              <w:spacing w:before="0" w:beforeLines="0" w:beforeAutospacing="0" w:after="0" w:afterAutospacing="0" w:line="360" w:lineRule="exact"/>
              <w:ind w:left="0" w:right="0" w:firstLine="0" w:firstLineChars="0"/>
              <w:jc w:val="left"/>
              <w:rPr>
                <w:rFonts w:hAnsi="宋体" w:eastAsia="宋体" w:cs="Times New Roman"/>
                <w:sz w:val="21"/>
                <w:szCs w:val="21"/>
              </w:rPr>
            </w:pPr>
            <w:r>
              <w:rPr>
                <w:rFonts w:hint="eastAsia" w:hAnsi="宋体" w:eastAsia="宋体" w:cs="Times New Roman"/>
                <w:sz w:val="21"/>
                <w:szCs w:val="21"/>
              </w:rPr>
              <w:t>签订合同之日起至项目所有合同结算完成。</w:t>
            </w:r>
          </w:p>
        </w:tc>
      </w:tr>
      <w:tr w14:paraId="10384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0967E58C">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6</w:t>
            </w:r>
          </w:p>
        </w:tc>
        <w:tc>
          <w:tcPr>
            <w:tcW w:w="947" w:type="dxa"/>
            <w:noWrap w:val="0"/>
            <w:vAlign w:val="center"/>
          </w:tcPr>
          <w:p w14:paraId="171EF845">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1.6</w:t>
            </w:r>
          </w:p>
        </w:tc>
        <w:tc>
          <w:tcPr>
            <w:tcW w:w="1840" w:type="dxa"/>
            <w:noWrap w:val="0"/>
            <w:vAlign w:val="center"/>
          </w:tcPr>
          <w:p w14:paraId="1567C6C7">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资金来源</w:t>
            </w:r>
          </w:p>
        </w:tc>
        <w:tc>
          <w:tcPr>
            <w:tcW w:w="6182" w:type="dxa"/>
            <w:noWrap w:val="0"/>
            <w:vAlign w:val="center"/>
          </w:tcPr>
          <w:p w14:paraId="2E43B477">
            <w:pPr>
              <w:keepNext w:val="0"/>
              <w:keepLines w:val="0"/>
              <w:widowControl/>
              <w:suppressLineNumbers w:val="0"/>
              <w:spacing w:before="0" w:beforeLines="0" w:beforeAutospacing="0" w:after="0" w:afterAutospacing="0" w:line="360" w:lineRule="exact"/>
              <w:ind w:left="0" w:right="0" w:firstLine="0" w:firstLineChars="0"/>
              <w:rPr>
                <w:rFonts w:hAnsi="宋体" w:eastAsia="宋体" w:cs="Times New Roman"/>
                <w:bCs/>
                <w:sz w:val="21"/>
                <w:szCs w:val="21"/>
              </w:rPr>
            </w:pPr>
            <w:r>
              <w:rPr>
                <w:rFonts w:hAnsi="宋体" w:eastAsia="宋体" w:cs="Times New Roman"/>
                <w:sz w:val="21"/>
                <w:szCs w:val="21"/>
              </w:rPr>
              <w:t>企业</w:t>
            </w:r>
            <w:r>
              <w:rPr>
                <w:rFonts w:hint="eastAsia" w:hAnsi="宋体" w:eastAsia="宋体" w:cs="Times New Roman"/>
                <w:sz w:val="21"/>
                <w:szCs w:val="21"/>
              </w:rPr>
              <w:t>自筹</w:t>
            </w:r>
            <w:r>
              <w:rPr>
                <w:rFonts w:hAnsi="宋体" w:eastAsia="宋体" w:cs="Times New Roman"/>
                <w:sz w:val="21"/>
                <w:szCs w:val="21"/>
              </w:rPr>
              <w:t>，已落实。</w:t>
            </w:r>
          </w:p>
        </w:tc>
      </w:tr>
      <w:tr w14:paraId="421DF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4D1C1AC7">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7</w:t>
            </w:r>
          </w:p>
        </w:tc>
        <w:tc>
          <w:tcPr>
            <w:tcW w:w="947" w:type="dxa"/>
            <w:noWrap w:val="0"/>
            <w:vAlign w:val="center"/>
          </w:tcPr>
          <w:p w14:paraId="5F4BB804">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3</w:t>
            </w:r>
          </w:p>
        </w:tc>
        <w:tc>
          <w:tcPr>
            <w:tcW w:w="1840" w:type="dxa"/>
            <w:noWrap w:val="0"/>
            <w:vAlign w:val="center"/>
          </w:tcPr>
          <w:p w14:paraId="4E58CB07">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投标人资格要求</w:t>
            </w:r>
          </w:p>
        </w:tc>
        <w:tc>
          <w:tcPr>
            <w:tcW w:w="6182" w:type="dxa"/>
            <w:noWrap w:val="0"/>
            <w:vAlign w:val="center"/>
          </w:tcPr>
          <w:p w14:paraId="6E79FF35">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Ansi="宋体" w:eastAsia="宋体" w:cs="Times New Roman"/>
                <w:sz w:val="21"/>
                <w:szCs w:val="21"/>
              </w:rPr>
              <w:t>详见招标公告</w:t>
            </w:r>
            <w:bookmarkStart w:id="1384" w:name="_GoBack"/>
            <w:bookmarkEnd w:id="1384"/>
          </w:p>
        </w:tc>
      </w:tr>
      <w:tr w14:paraId="1CBD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676AD43A">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8</w:t>
            </w:r>
          </w:p>
        </w:tc>
        <w:tc>
          <w:tcPr>
            <w:tcW w:w="947" w:type="dxa"/>
            <w:noWrap w:val="0"/>
            <w:vAlign w:val="center"/>
          </w:tcPr>
          <w:p w14:paraId="52EBF4F9">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6.1</w:t>
            </w:r>
          </w:p>
        </w:tc>
        <w:tc>
          <w:tcPr>
            <w:tcW w:w="1840" w:type="dxa"/>
            <w:noWrap w:val="0"/>
            <w:vAlign w:val="center"/>
          </w:tcPr>
          <w:p w14:paraId="1585DA7A">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招标文件的澄清</w:t>
            </w:r>
          </w:p>
        </w:tc>
        <w:tc>
          <w:tcPr>
            <w:tcW w:w="6182" w:type="dxa"/>
            <w:noWrap w:val="0"/>
            <w:vAlign w:val="center"/>
          </w:tcPr>
          <w:p w14:paraId="41C64C32">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Ansi="宋体" w:eastAsia="宋体" w:cs="Times New Roman"/>
                <w:sz w:val="21"/>
                <w:szCs w:val="21"/>
              </w:rPr>
              <w:t>潜在投标人对招标文件如需要求澄清，请在投标截止之日前15日以书面形式一次性发给招标代理机构；</w:t>
            </w:r>
          </w:p>
          <w:p w14:paraId="79CDA94A">
            <w:pPr>
              <w:keepNext w:val="0"/>
              <w:keepLines w:val="0"/>
              <w:suppressLineNumbers w:val="0"/>
              <w:spacing w:before="0" w:beforeLines="0" w:beforeAutospacing="0" w:after="0" w:afterAutospacing="0" w:line="360" w:lineRule="exact"/>
              <w:ind w:left="0" w:right="0" w:firstLine="0" w:firstLineChars="0"/>
              <w:rPr>
                <w:rFonts w:hint="eastAsia" w:hAnsi="宋体" w:eastAsia="宋体" w:cs="宋体"/>
                <w:kern w:val="0"/>
                <w:sz w:val="21"/>
                <w:szCs w:val="21"/>
              </w:rPr>
            </w:pPr>
            <w:r>
              <w:rPr>
                <w:rFonts w:hAnsi="宋体" w:eastAsia="宋体" w:cs="Times New Roman"/>
                <w:sz w:val="21"/>
                <w:szCs w:val="21"/>
              </w:rPr>
              <w:t>接收人：</w:t>
            </w:r>
            <w:r>
              <w:rPr>
                <w:rFonts w:hint="eastAsia" w:hAnsi="宋体" w:eastAsia="宋体" w:cs="宋体"/>
                <w:kern w:val="0"/>
                <w:sz w:val="21"/>
                <w:szCs w:val="21"/>
              </w:rPr>
              <w:t>叶振华、陈力力、杨月娇</w:t>
            </w:r>
          </w:p>
          <w:p w14:paraId="3E67A6B2">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Ansi="宋体" w:eastAsia="宋体" w:cs="Times New Roman"/>
                <w:sz w:val="21"/>
                <w:szCs w:val="21"/>
              </w:rPr>
              <w:t>电话：</w:t>
            </w:r>
            <w:r>
              <w:rPr>
                <w:rFonts w:hAnsi="宋体" w:eastAsia="宋体" w:cs="宋体"/>
                <w:kern w:val="0"/>
                <w:sz w:val="21"/>
                <w:szCs w:val="21"/>
              </w:rPr>
              <w:t>0771-</w:t>
            </w:r>
            <w:r>
              <w:rPr>
                <w:rFonts w:hint="eastAsia" w:hAnsi="宋体" w:eastAsia="宋体" w:cs="宋体"/>
                <w:kern w:val="0"/>
                <w:sz w:val="21"/>
                <w:szCs w:val="21"/>
              </w:rPr>
              <w:t>4131685</w:t>
            </w:r>
          </w:p>
          <w:p w14:paraId="640C6740">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Ansi="宋体" w:eastAsia="宋体" w:cs="Times New Roman"/>
                <w:sz w:val="21"/>
                <w:szCs w:val="21"/>
              </w:rPr>
              <w:t>并同时将质疑资料发至邮箱：</w:t>
            </w:r>
            <w:r>
              <w:rPr>
                <w:rFonts w:hint="eastAsia" w:hAnsi="宋体" w:eastAsia="宋体" w:cs="宋体"/>
                <w:kern w:val="0"/>
                <w:sz w:val="21"/>
                <w:szCs w:val="21"/>
              </w:rPr>
              <w:t>269329147@qq.com</w:t>
            </w:r>
          </w:p>
        </w:tc>
      </w:tr>
      <w:tr w14:paraId="1CA5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581EB3EE">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9</w:t>
            </w:r>
          </w:p>
        </w:tc>
        <w:tc>
          <w:tcPr>
            <w:tcW w:w="947" w:type="dxa"/>
            <w:noWrap w:val="0"/>
            <w:vAlign w:val="center"/>
          </w:tcPr>
          <w:p w14:paraId="6D6E4EB3">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int="eastAsia" w:hAnsi="宋体" w:eastAsia="宋体" w:cs="Times New Roman"/>
                <w:sz w:val="21"/>
                <w:szCs w:val="21"/>
              </w:rPr>
              <w:t>12.4</w:t>
            </w:r>
          </w:p>
        </w:tc>
        <w:tc>
          <w:tcPr>
            <w:tcW w:w="1840" w:type="dxa"/>
            <w:noWrap w:val="0"/>
            <w:vAlign w:val="center"/>
          </w:tcPr>
          <w:p w14:paraId="03ACDBF8">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b/>
                <w:sz w:val="21"/>
                <w:szCs w:val="21"/>
              </w:rPr>
            </w:pPr>
            <w:r>
              <w:rPr>
                <w:rFonts w:hint="eastAsia" w:hAnsi="宋体" w:eastAsia="宋体" w:cs="Times New Roman"/>
                <w:b/>
                <w:sz w:val="21"/>
                <w:szCs w:val="21"/>
              </w:rPr>
              <w:t>招标控制价</w:t>
            </w:r>
          </w:p>
        </w:tc>
        <w:tc>
          <w:tcPr>
            <w:tcW w:w="6182" w:type="dxa"/>
            <w:noWrap w:val="0"/>
            <w:vAlign w:val="center"/>
          </w:tcPr>
          <w:p w14:paraId="440DEFEC">
            <w:pPr>
              <w:keepNext w:val="0"/>
              <w:keepLines w:val="0"/>
              <w:suppressLineNumbers w:val="0"/>
              <w:spacing w:before="0" w:beforeLines="0" w:beforeAutospacing="0" w:after="0" w:afterAutospacing="0" w:line="360" w:lineRule="exact"/>
              <w:ind w:left="0" w:right="0" w:firstLine="0" w:firstLineChars="0"/>
              <w:rPr>
                <w:rFonts w:hint="eastAsia" w:hAnsi="宋体" w:eastAsia="宋体" w:cs="Times New Roman"/>
                <w:b/>
                <w:sz w:val="21"/>
                <w:szCs w:val="21"/>
              </w:rPr>
            </w:pPr>
            <w:r>
              <w:rPr>
                <w:rFonts w:hint="eastAsia" w:hAnsi="宋体" w:eastAsia="宋体" w:cs="Times New Roman"/>
                <w:b/>
                <w:sz w:val="21"/>
                <w:szCs w:val="21"/>
              </w:rPr>
              <w:t>本项目招标控制价总额为2300000</w:t>
            </w:r>
            <w:r>
              <w:rPr>
                <w:rFonts w:hAnsi="宋体" w:eastAsia="宋体" w:cs="Times New Roman"/>
                <w:b/>
                <w:sz w:val="21"/>
                <w:szCs w:val="21"/>
              </w:rPr>
              <w:t xml:space="preserve">.00 </w:t>
            </w:r>
            <w:r>
              <w:rPr>
                <w:rFonts w:hint="eastAsia" w:hAnsi="宋体" w:eastAsia="宋体" w:cs="Times New Roman"/>
                <w:b/>
                <w:sz w:val="21"/>
                <w:szCs w:val="21"/>
              </w:rPr>
              <w:t>元。</w:t>
            </w:r>
          </w:p>
          <w:p w14:paraId="167D994E">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b/>
                <w:sz w:val="21"/>
                <w:szCs w:val="21"/>
              </w:rPr>
            </w:pPr>
            <w:r>
              <w:rPr>
                <w:rFonts w:hint="eastAsia" w:hAnsi="宋体" w:eastAsia="宋体" w:cs="Times New Roman"/>
                <w:b/>
                <w:sz w:val="21"/>
                <w:szCs w:val="21"/>
              </w:rPr>
              <w:t>投标人投标报价超过本项目招标控制价的，其投标将被否决。</w:t>
            </w:r>
          </w:p>
        </w:tc>
      </w:tr>
      <w:tr w14:paraId="1EA5C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7F9EE7EB">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10</w:t>
            </w:r>
          </w:p>
        </w:tc>
        <w:tc>
          <w:tcPr>
            <w:tcW w:w="947" w:type="dxa"/>
            <w:noWrap w:val="0"/>
            <w:vAlign w:val="center"/>
          </w:tcPr>
          <w:p w14:paraId="78465398">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14</w:t>
            </w:r>
          </w:p>
        </w:tc>
        <w:tc>
          <w:tcPr>
            <w:tcW w:w="1840" w:type="dxa"/>
            <w:noWrap w:val="0"/>
            <w:vAlign w:val="center"/>
          </w:tcPr>
          <w:p w14:paraId="7077C161">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投标保证金</w:t>
            </w:r>
          </w:p>
        </w:tc>
        <w:tc>
          <w:tcPr>
            <w:tcW w:w="6182" w:type="dxa"/>
            <w:noWrap w:val="0"/>
            <w:vAlign w:val="center"/>
          </w:tcPr>
          <w:p w14:paraId="1319A10D">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Ansi="宋体" w:eastAsia="宋体" w:cs="Times New Roman"/>
                <w:sz w:val="21"/>
                <w:szCs w:val="21"/>
              </w:rPr>
              <w:t>本项目不收取投标保证金</w:t>
            </w:r>
          </w:p>
        </w:tc>
      </w:tr>
      <w:tr w14:paraId="681D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778322B2">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11</w:t>
            </w:r>
          </w:p>
        </w:tc>
        <w:tc>
          <w:tcPr>
            <w:tcW w:w="947" w:type="dxa"/>
            <w:noWrap w:val="0"/>
            <w:vAlign w:val="center"/>
          </w:tcPr>
          <w:p w14:paraId="3161DBAA">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15.1</w:t>
            </w:r>
          </w:p>
        </w:tc>
        <w:tc>
          <w:tcPr>
            <w:tcW w:w="1840" w:type="dxa"/>
            <w:noWrap w:val="0"/>
            <w:vAlign w:val="center"/>
          </w:tcPr>
          <w:p w14:paraId="76C4E9F4">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投标有效期</w:t>
            </w:r>
          </w:p>
        </w:tc>
        <w:tc>
          <w:tcPr>
            <w:tcW w:w="6182" w:type="dxa"/>
            <w:noWrap w:val="0"/>
            <w:vAlign w:val="center"/>
          </w:tcPr>
          <w:p w14:paraId="7E5C9018">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Ansi="宋体" w:eastAsia="宋体" w:cs="Times New Roman"/>
                <w:sz w:val="21"/>
                <w:szCs w:val="21"/>
              </w:rPr>
              <w:t>投标截止日起1</w:t>
            </w:r>
            <w:r>
              <w:rPr>
                <w:rFonts w:hint="eastAsia" w:hAnsi="宋体" w:eastAsia="宋体" w:cs="Times New Roman"/>
                <w:sz w:val="21"/>
                <w:szCs w:val="21"/>
              </w:rPr>
              <w:t>2</w:t>
            </w:r>
            <w:r>
              <w:rPr>
                <w:rFonts w:hAnsi="宋体" w:eastAsia="宋体" w:cs="Times New Roman"/>
                <w:sz w:val="21"/>
                <w:szCs w:val="21"/>
              </w:rPr>
              <w:t>0日历天</w:t>
            </w:r>
          </w:p>
        </w:tc>
      </w:tr>
      <w:tr w14:paraId="5B1CA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0E40EE9D">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12</w:t>
            </w:r>
          </w:p>
        </w:tc>
        <w:tc>
          <w:tcPr>
            <w:tcW w:w="947" w:type="dxa"/>
            <w:noWrap w:val="0"/>
            <w:vAlign w:val="center"/>
          </w:tcPr>
          <w:p w14:paraId="2E415D3D">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16.1</w:t>
            </w:r>
          </w:p>
        </w:tc>
        <w:tc>
          <w:tcPr>
            <w:tcW w:w="1840" w:type="dxa"/>
            <w:noWrap w:val="0"/>
            <w:vAlign w:val="center"/>
          </w:tcPr>
          <w:p w14:paraId="6D161C28">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bookmarkStart w:id="80" w:name="_Toc176662325"/>
            <w:r>
              <w:rPr>
                <w:rFonts w:hAnsi="宋体" w:eastAsia="宋体" w:cs="Times New Roman"/>
                <w:caps/>
                <w:sz w:val="21"/>
                <w:szCs w:val="21"/>
              </w:rPr>
              <w:t>投标文件</w:t>
            </w:r>
            <w:r>
              <w:rPr>
                <w:rFonts w:hint="eastAsia" w:hAnsi="宋体" w:eastAsia="宋体" w:cs="Times New Roman"/>
                <w:caps/>
                <w:sz w:val="21"/>
                <w:szCs w:val="21"/>
              </w:rPr>
              <w:t>套数</w:t>
            </w:r>
          </w:p>
          <w:bookmarkEnd w:id="80"/>
        </w:tc>
        <w:tc>
          <w:tcPr>
            <w:tcW w:w="6182" w:type="dxa"/>
            <w:noWrap w:val="0"/>
            <w:vAlign w:val="center"/>
          </w:tcPr>
          <w:p w14:paraId="0E5126AF">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int="eastAsia" w:hAnsi="宋体" w:eastAsia="宋体" w:cs="Times New Roman"/>
                <w:sz w:val="21"/>
                <w:szCs w:val="21"/>
              </w:rPr>
              <w:t>正本一套，副本四套，并应随投标文件提交包含投标文件全部内容的电子文件一套（U盘，不留密码，不压缩，应包括全套完整投标文件的MICROSOFT的WORD、EXCEL、PROJECT等可编辑版本和PDF扫描版本）</w:t>
            </w:r>
          </w:p>
        </w:tc>
      </w:tr>
      <w:tr w14:paraId="7F71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blHeader/>
        </w:trPr>
        <w:tc>
          <w:tcPr>
            <w:tcW w:w="743" w:type="dxa"/>
            <w:noWrap w:val="0"/>
            <w:vAlign w:val="center"/>
          </w:tcPr>
          <w:p w14:paraId="1CB0A0C6">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13</w:t>
            </w:r>
          </w:p>
        </w:tc>
        <w:tc>
          <w:tcPr>
            <w:tcW w:w="947" w:type="dxa"/>
            <w:noWrap w:val="0"/>
            <w:vAlign w:val="center"/>
          </w:tcPr>
          <w:p w14:paraId="696EB357">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18.1</w:t>
            </w:r>
          </w:p>
        </w:tc>
        <w:tc>
          <w:tcPr>
            <w:tcW w:w="1840" w:type="dxa"/>
            <w:noWrap w:val="0"/>
            <w:vAlign w:val="center"/>
          </w:tcPr>
          <w:p w14:paraId="4C541771">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投标截止时间及投标文件递交地点</w:t>
            </w:r>
          </w:p>
        </w:tc>
        <w:tc>
          <w:tcPr>
            <w:tcW w:w="6182" w:type="dxa"/>
            <w:noWrap w:val="0"/>
            <w:vAlign w:val="center"/>
          </w:tcPr>
          <w:p w14:paraId="2446D456">
            <w:pPr>
              <w:keepNext w:val="0"/>
              <w:keepLines w:val="0"/>
              <w:suppressLineNumbers w:val="0"/>
              <w:spacing w:before="0" w:beforeLines="0" w:beforeAutospacing="0" w:after="0" w:afterAutospacing="0" w:line="360" w:lineRule="auto"/>
              <w:ind w:left="0" w:right="0" w:firstLine="0" w:firstLineChars="0"/>
              <w:rPr>
                <w:rFonts w:hint="eastAsia" w:hAnsi="宋体" w:eastAsia="宋体" w:cs="Times New Roman"/>
                <w:sz w:val="21"/>
                <w:szCs w:val="21"/>
              </w:rPr>
            </w:pPr>
            <w:r>
              <w:rPr>
                <w:rFonts w:hAnsi="宋体" w:eastAsia="宋体" w:cs="Times New Roman"/>
                <w:sz w:val="21"/>
                <w:szCs w:val="21"/>
              </w:rPr>
              <w:t>投</w:t>
            </w:r>
            <w:r>
              <w:rPr>
                <w:rFonts w:hint="eastAsia" w:hAnsi="宋体" w:eastAsia="宋体" w:cs="Times New Roman"/>
                <w:sz w:val="21"/>
                <w:szCs w:val="21"/>
              </w:rPr>
              <w:t>标截止时间：详见招标公告。</w:t>
            </w:r>
          </w:p>
          <w:p w14:paraId="2E0F6F02">
            <w:pPr>
              <w:keepNext w:val="0"/>
              <w:keepLines w:val="0"/>
              <w:suppressLineNumbers w:val="0"/>
              <w:spacing w:before="0" w:beforeLines="0" w:beforeAutospacing="0" w:after="0" w:afterAutospacing="0" w:line="360" w:lineRule="auto"/>
              <w:ind w:left="0" w:right="0" w:firstLine="0" w:firstLineChars="0"/>
              <w:rPr>
                <w:rFonts w:hAnsi="宋体" w:eastAsia="宋体" w:cs="Times New Roman"/>
                <w:sz w:val="21"/>
                <w:szCs w:val="21"/>
              </w:rPr>
            </w:pPr>
            <w:r>
              <w:rPr>
                <w:rFonts w:hint="eastAsia" w:hAnsi="宋体" w:eastAsia="宋体" w:cs="Times New Roman"/>
                <w:sz w:val="21"/>
                <w:szCs w:val="21"/>
              </w:rPr>
              <w:t>投标文件递交地点：</w:t>
            </w:r>
            <w:r>
              <w:rPr>
                <w:rFonts w:hint="eastAsia" w:ascii="宋体" w:hAnsi="宋体" w:eastAsia="宋体" w:cs="Times New Roman"/>
                <w:sz w:val="21"/>
                <w:szCs w:val="21"/>
                <w:lang w:val="en-US" w:eastAsia="zh-CN"/>
              </w:rPr>
              <w:t>南宁市青秀区枫林路18号广西国资交易中心二楼开标室（具体详见二楼开标区电子显示屏安排）。</w:t>
            </w:r>
          </w:p>
        </w:tc>
      </w:tr>
      <w:tr w14:paraId="749F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blHeader/>
        </w:trPr>
        <w:tc>
          <w:tcPr>
            <w:tcW w:w="743" w:type="dxa"/>
            <w:noWrap w:val="0"/>
            <w:vAlign w:val="center"/>
          </w:tcPr>
          <w:p w14:paraId="28EA17F3">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14</w:t>
            </w:r>
          </w:p>
        </w:tc>
        <w:tc>
          <w:tcPr>
            <w:tcW w:w="947" w:type="dxa"/>
            <w:noWrap w:val="0"/>
            <w:vAlign w:val="center"/>
          </w:tcPr>
          <w:p w14:paraId="6C1DB383">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21</w:t>
            </w:r>
          </w:p>
        </w:tc>
        <w:tc>
          <w:tcPr>
            <w:tcW w:w="1840" w:type="dxa"/>
            <w:noWrap w:val="0"/>
            <w:vAlign w:val="center"/>
          </w:tcPr>
          <w:p w14:paraId="218E4513">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开标</w:t>
            </w:r>
          </w:p>
        </w:tc>
        <w:tc>
          <w:tcPr>
            <w:tcW w:w="6182" w:type="dxa"/>
            <w:noWrap w:val="0"/>
            <w:vAlign w:val="center"/>
          </w:tcPr>
          <w:p w14:paraId="43D97105">
            <w:pPr>
              <w:keepNext w:val="0"/>
              <w:keepLines w:val="0"/>
              <w:suppressLineNumbers w:val="0"/>
              <w:spacing w:before="0" w:beforeLines="0" w:beforeAutospacing="0" w:after="0" w:afterAutospacing="0" w:line="360" w:lineRule="exact"/>
              <w:ind w:left="0" w:right="0" w:firstLine="0" w:firstLineChars="0"/>
              <w:rPr>
                <w:rFonts w:ascii="宋体" w:hAnsi="宋体" w:eastAsia="宋体" w:cs="Times New Roman"/>
                <w:sz w:val="21"/>
                <w:szCs w:val="21"/>
              </w:rPr>
            </w:pPr>
            <w:r>
              <w:rPr>
                <w:rFonts w:hint="default" w:ascii="宋体" w:hAnsi="宋体" w:eastAsia="宋体" w:cs="Times New Roman"/>
                <w:sz w:val="21"/>
                <w:szCs w:val="21"/>
              </w:rPr>
              <w:t>1.</w:t>
            </w:r>
            <w:r>
              <w:rPr>
                <w:rFonts w:ascii="宋体" w:hAnsi="宋体" w:eastAsia="宋体" w:cs="Times New Roman"/>
                <w:sz w:val="21"/>
                <w:szCs w:val="21"/>
              </w:rPr>
              <w:t>开标时间：同投标截止时间。</w:t>
            </w:r>
          </w:p>
          <w:p w14:paraId="31C1836E">
            <w:pPr>
              <w:keepNext w:val="0"/>
              <w:keepLines w:val="0"/>
              <w:suppressLineNumbers w:val="0"/>
              <w:spacing w:before="0" w:beforeLines="0" w:beforeAutospacing="0" w:after="0" w:afterAutospacing="0" w:line="360" w:lineRule="exact"/>
              <w:ind w:left="0" w:right="0" w:firstLine="0" w:firstLineChars="0"/>
              <w:rPr>
                <w:rFonts w:hint="default" w:ascii="宋体" w:hAnsi="宋体" w:eastAsia="宋体" w:cs="Times New Roman"/>
                <w:sz w:val="21"/>
                <w:szCs w:val="21"/>
                <w:lang w:val="en-US" w:eastAsia="zh-CN"/>
              </w:rPr>
            </w:pPr>
            <w:r>
              <w:rPr>
                <w:rFonts w:hint="default" w:ascii="宋体" w:hAnsi="宋体" w:eastAsia="宋体" w:cs="Times New Roman"/>
                <w:sz w:val="21"/>
                <w:szCs w:val="21"/>
              </w:rPr>
              <w:t>2.</w:t>
            </w:r>
            <w:r>
              <w:rPr>
                <w:rFonts w:ascii="宋体" w:hAnsi="宋体" w:eastAsia="宋体" w:cs="Times New Roman"/>
                <w:sz w:val="21"/>
                <w:szCs w:val="21"/>
              </w:rPr>
              <w:t>开标地点：</w:t>
            </w:r>
            <w:r>
              <w:rPr>
                <w:rFonts w:hint="default" w:ascii="宋体" w:hAnsi="宋体" w:eastAsia="宋体" w:cs="Times New Roman"/>
                <w:sz w:val="21"/>
                <w:szCs w:val="21"/>
                <w:lang w:val="en-US" w:eastAsia="zh-CN"/>
              </w:rPr>
              <w:t>南宁市青秀区枫林路18号广西国资交易中心二楼开标室（具体详见二楼开标区电子显示屏安排）。</w:t>
            </w:r>
          </w:p>
          <w:p w14:paraId="6FB23280">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int="default" w:ascii="宋体" w:hAnsi="宋体" w:eastAsia="宋体" w:cs="Times New Roman"/>
                <w:sz w:val="21"/>
                <w:szCs w:val="21"/>
              </w:rPr>
              <w:t>3.开标检查</w:t>
            </w:r>
            <w:r>
              <w:rPr>
                <w:rFonts w:ascii="宋体" w:hAnsi="宋体" w:eastAsia="宋体" w:cs="Times New Roman"/>
                <w:sz w:val="21"/>
                <w:szCs w:val="21"/>
              </w:rPr>
              <w:t>：投标人可自行决定是否安</w:t>
            </w:r>
            <w:r>
              <w:rPr>
                <w:rFonts w:hAnsi="宋体" w:eastAsia="宋体" w:cs="Times New Roman"/>
                <w:sz w:val="21"/>
                <w:szCs w:val="21"/>
              </w:rPr>
              <w:t>排投标人代表现场参加开标活动。如投标人参加开标会，投标人的法定代表人或其授权代表（以下统称投标人代表）必须在投标截止前到开标地点招标代理机构处签到确认参加开标会，开标前须出示本人有效身份证（限中国公民居民身份证、外籍有效护照，下同）的原件，投标人授权代表还必须同时出示投标授权书原件，以证明授权代表的身份和被授权范围，并由招标人或其委托的公证机构代表验证确认。未参加开标会的投标人视同已认可本次开标会全过程。</w:t>
            </w:r>
          </w:p>
          <w:p w14:paraId="51467C87">
            <w:pPr>
              <w:keepNext w:val="0"/>
              <w:keepLines w:val="0"/>
              <w:suppressLineNumbers w:val="0"/>
              <w:spacing w:before="0" w:beforeLines="0" w:beforeAutospacing="0" w:after="0" w:afterAutospacing="0" w:line="360" w:lineRule="exact"/>
              <w:ind w:left="0" w:right="0" w:firstLine="0" w:firstLineChars="0"/>
              <w:rPr>
                <w:rFonts w:hint="eastAsia" w:hAnsi="宋体" w:eastAsia="宋体" w:cs="Times New Roman"/>
                <w:sz w:val="21"/>
                <w:szCs w:val="21"/>
                <w:u w:val="single"/>
              </w:rPr>
            </w:pPr>
            <w:r>
              <w:rPr>
                <w:rFonts w:hint="eastAsia" w:hAnsi="宋体" w:eastAsia="宋体" w:cs="Times New Roman"/>
                <w:sz w:val="21"/>
                <w:szCs w:val="21"/>
              </w:rPr>
              <w:t>4.</w:t>
            </w:r>
            <w:r>
              <w:rPr>
                <w:rFonts w:hAnsi="宋体" w:eastAsia="宋体" w:cs="Times New Roman"/>
                <w:sz w:val="21"/>
                <w:szCs w:val="21"/>
              </w:rPr>
              <w:t>开标</w:t>
            </w:r>
            <w:r>
              <w:rPr>
                <w:rFonts w:hint="eastAsia" w:hAnsi="宋体" w:eastAsia="宋体" w:cs="Times New Roman"/>
                <w:sz w:val="21"/>
                <w:szCs w:val="21"/>
              </w:rPr>
              <w:t>顺序：随机。</w:t>
            </w:r>
          </w:p>
        </w:tc>
      </w:tr>
      <w:tr w14:paraId="6ACB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6B4C93D5">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15</w:t>
            </w:r>
          </w:p>
        </w:tc>
        <w:tc>
          <w:tcPr>
            <w:tcW w:w="947" w:type="dxa"/>
            <w:noWrap w:val="0"/>
            <w:vAlign w:val="center"/>
          </w:tcPr>
          <w:p w14:paraId="67356CA6">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22</w:t>
            </w:r>
          </w:p>
        </w:tc>
        <w:tc>
          <w:tcPr>
            <w:tcW w:w="1840" w:type="dxa"/>
            <w:noWrap w:val="0"/>
            <w:vAlign w:val="center"/>
          </w:tcPr>
          <w:p w14:paraId="702C0E24">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评标</w:t>
            </w:r>
          </w:p>
        </w:tc>
        <w:tc>
          <w:tcPr>
            <w:tcW w:w="6182" w:type="dxa"/>
            <w:noWrap w:val="0"/>
            <w:vAlign w:val="center"/>
          </w:tcPr>
          <w:p w14:paraId="24678ABC">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Ansi="宋体" w:eastAsia="宋体" w:cs="Times New Roman"/>
                <w:sz w:val="21"/>
                <w:szCs w:val="21"/>
              </w:rPr>
              <w:t>详见第三章《评标办法》</w:t>
            </w:r>
          </w:p>
        </w:tc>
      </w:tr>
      <w:tr w14:paraId="7BE5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6221C8C7">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1</w:t>
            </w:r>
            <w:r>
              <w:rPr>
                <w:rFonts w:hint="eastAsia" w:hAnsi="宋体" w:eastAsia="宋体" w:cs="Times New Roman"/>
                <w:sz w:val="21"/>
                <w:szCs w:val="21"/>
              </w:rPr>
              <w:t>7</w:t>
            </w:r>
          </w:p>
        </w:tc>
        <w:tc>
          <w:tcPr>
            <w:tcW w:w="947" w:type="dxa"/>
            <w:noWrap w:val="0"/>
            <w:vAlign w:val="center"/>
          </w:tcPr>
          <w:p w14:paraId="38759C28">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29.1</w:t>
            </w:r>
          </w:p>
        </w:tc>
        <w:tc>
          <w:tcPr>
            <w:tcW w:w="1840" w:type="dxa"/>
            <w:noWrap w:val="0"/>
            <w:vAlign w:val="center"/>
          </w:tcPr>
          <w:p w14:paraId="18778203">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kern w:val="0"/>
                <w:sz w:val="21"/>
                <w:szCs w:val="21"/>
              </w:rPr>
              <w:t>是否授权评标委员会确定中标人</w:t>
            </w:r>
          </w:p>
        </w:tc>
        <w:tc>
          <w:tcPr>
            <w:tcW w:w="6182" w:type="dxa"/>
            <w:noWrap w:val="0"/>
            <w:vAlign w:val="center"/>
          </w:tcPr>
          <w:p w14:paraId="06948E86">
            <w:pPr>
              <w:pStyle w:val="98"/>
              <w:keepNext w:val="0"/>
              <w:keepLines w:val="0"/>
              <w:widowControl/>
              <w:suppressLineNumbers w:val="0"/>
              <w:adjustRightInd w:val="0"/>
              <w:snapToGrid w:val="0"/>
              <w:spacing w:before="0" w:beforeAutospacing="0" w:after="0" w:afterAutospacing="0" w:line="360" w:lineRule="exact"/>
              <w:ind w:left="0" w:right="0"/>
              <w:jc w:val="both"/>
              <w:rPr>
                <w:rFonts w:eastAsia="宋体" w:cs="Times New Roman"/>
              </w:rPr>
            </w:pPr>
            <w:r>
              <w:rPr>
                <w:rFonts w:eastAsia="宋体" w:cs="Times New Roman"/>
              </w:rPr>
              <w:t>否</w:t>
            </w:r>
          </w:p>
          <w:p w14:paraId="7549F8AE">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Ansi="宋体" w:eastAsia="宋体" w:cs="Times New Roman"/>
                <w:kern w:val="0"/>
                <w:sz w:val="21"/>
                <w:szCs w:val="21"/>
              </w:rPr>
              <w:t>推荐的中标候选人数：评标委员会按照综合评分由高到低的顺序，推荐中标候选人3名（当中标候选人不足3个时按实际数量推荐）。</w:t>
            </w:r>
          </w:p>
        </w:tc>
      </w:tr>
      <w:tr w14:paraId="4A98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43" w:type="dxa"/>
            <w:noWrap w:val="0"/>
            <w:vAlign w:val="center"/>
          </w:tcPr>
          <w:p w14:paraId="05305204">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int="eastAsia" w:hAnsi="宋体" w:eastAsia="宋体" w:cs="Times New Roman"/>
                <w:sz w:val="21"/>
                <w:szCs w:val="21"/>
              </w:rPr>
              <w:t>18</w:t>
            </w:r>
          </w:p>
        </w:tc>
        <w:tc>
          <w:tcPr>
            <w:tcW w:w="947" w:type="dxa"/>
            <w:noWrap w:val="0"/>
            <w:vAlign w:val="center"/>
          </w:tcPr>
          <w:p w14:paraId="2D1F1022">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36.1</w:t>
            </w:r>
          </w:p>
        </w:tc>
        <w:tc>
          <w:tcPr>
            <w:tcW w:w="1840" w:type="dxa"/>
            <w:noWrap w:val="0"/>
            <w:vAlign w:val="center"/>
          </w:tcPr>
          <w:p w14:paraId="461011E6">
            <w:pPr>
              <w:keepNext w:val="0"/>
              <w:keepLines w:val="0"/>
              <w:suppressLineNumbers w:val="0"/>
              <w:spacing w:before="0" w:beforeLines="0" w:beforeAutospacing="0" w:after="0" w:afterAutospacing="0" w:line="360" w:lineRule="exact"/>
              <w:ind w:left="0" w:right="0" w:firstLine="0" w:firstLineChars="0"/>
              <w:jc w:val="center"/>
              <w:rPr>
                <w:rFonts w:hAnsi="宋体" w:eastAsia="宋体" w:cs="Times New Roman"/>
                <w:sz w:val="21"/>
                <w:szCs w:val="21"/>
              </w:rPr>
            </w:pPr>
            <w:r>
              <w:rPr>
                <w:rFonts w:hAnsi="宋体" w:eastAsia="宋体" w:cs="Times New Roman"/>
                <w:sz w:val="21"/>
                <w:szCs w:val="21"/>
              </w:rPr>
              <w:t>履约担保</w:t>
            </w:r>
          </w:p>
        </w:tc>
        <w:tc>
          <w:tcPr>
            <w:tcW w:w="6182" w:type="dxa"/>
            <w:noWrap w:val="0"/>
            <w:vAlign w:val="center"/>
          </w:tcPr>
          <w:p w14:paraId="5B8752C0">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Ansi="宋体" w:eastAsia="宋体" w:cs="Times New Roman"/>
                <w:sz w:val="21"/>
                <w:szCs w:val="21"/>
              </w:rPr>
              <w:t>履约担保：</w:t>
            </w:r>
            <w:r>
              <w:rPr>
                <w:rFonts w:hint="eastAsia" w:hAnsi="宋体" w:eastAsia="宋体" w:cs="Times New Roman"/>
                <w:sz w:val="21"/>
                <w:szCs w:val="21"/>
              </w:rPr>
              <w:t>本项目不收取履约担保。</w:t>
            </w:r>
          </w:p>
          <w:p w14:paraId="2E62B934">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Ansi="宋体" w:eastAsia="宋体" w:cs="Times New Roman"/>
                <w:sz w:val="21"/>
                <w:szCs w:val="21"/>
              </w:rPr>
              <w:t>履约担保的形式：现金、转账汇款或银行保函。</w:t>
            </w:r>
          </w:p>
          <w:p w14:paraId="64F422BD">
            <w:pPr>
              <w:keepNext w:val="0"/>
              <w:keepLines w:val="0"/>
              <w:suppressLineNumbers w:val="0"/>
              <w:spacing w:before="0" w:beforeLines="0" w:beforeAutospacing="0" w:after="0" w:afterAutospacing="0" w:line="360" w:lineRule="exact"/>
              <w:ind w:left="0" w:right="0" w:firstLine="0" w:firstLineChars="0"/>
              <w:rPr>
                <w:rFonts w:hint="eastAsia" w:hAnsi="宋体" w:eastAsia="宋体" w:cs="Times New Roman"/>
                <w:sz w:val="21"/>
                <w:szCs w:val="21"/>
              </w:rPr>
            </w:pPr>
            <w:r>
              <w:rPr>
                <w:rFonts w:hAnsi="宋体" w:eastAsia="宋体" w:cs="Times New Roman"/>
                <w:sz w:val="21"/>
                <w:szCs w:val="21"/>
              </w:rPr>
              <w:t>履约担保的金额：签约合同价的</w:t>
            </w:r>
            <w:r>
              <w:rPr>
                <w:rFonts w:hint="eastAsia" w:hAnsi="宋体" w:eastAsia="宋体" w:cs="Times New Roman"/>
                <w:sz w:val="21"/>
                <w:szCs w:val="21"/>
              </w:rPr>
              <w:t>0</w:t>
            </w:r>
            <w:r>
              <w:rPr>
                <w:rFonts w:hAnsi="宋体" w:eastAsia="宋体" w:cs="Times New Roman"/>
                <w:sz w:val="21"/>
                <w:szCs w:val="21"/>
              </w:rPr>
              <w:t>%。</w:t>
            </w:r>
          </w:p>
          <w:p w14:paraId="5C9A1C55">
            <w:pPr>
              <w:keepNext w:val="0"/>
              <w:keepLines w:val="0"/>
              <w:suppressLineNumbers w:val="0"/>
              <w:spacing w:before="0" w:beforeLines="0" w:beforeAutospacing="0" w:after="0" w:afterAutospacing="0" w:line="360" w:lineRule="exact"/>
              <w:ind w:left="0" w:right="0" w:firstLine="0" w:firstLineChars="0"/>
              <w:rPr>
                <w:rFonts w:hAnsi="宋体" w:eastAsia="宋体" w:cs="Times New Roman"/>
                <w:sz w:val="21"/>
                <w:szCs w:val="21"/>
              </w:rPr>
            </w:pPr>
            <w:r>
              <w:rPr>
                <w:rFonts w:hAnsi="宋体" w:eastAsia="宋体" w:cs="Times New Roman"/>
                <w:sz w:val="21"/>
                <w:szCs w:val="21"/>
              </w:rPr>
              <w:t>提交履约担保的时间：应在合同签订前，且最迟应在自中标通知书发出之日后30天内。</w:t>
            </w:r>
          </w:p>
        </w:tc>
      </w:tr>
    </w:tbl>
    <w:p w14:paraId="489415D8">
      <w:pPr>
        <w:spacing w:after="156" w:afterLines="50" w:line="360" w:lineRule="auto"/>
        <w:ind w:firstLine="0" w:firstLineChars="0"/>
        <w:rPr>
          <w:rFonts w:ascii="Times New Roman"/>
          <w:sz w:val="21"/>
          <w:szCs w:val="21"/>
        </w:rPr>
      </w:pPr>
      <w:r>
        <w:rPr>
          <w:rFonts w:ascii="Times New Roman"/>
          <w:sz w:val="21"/>
          <w:szCs w:val="21"/>
        </w:rPr>
        <w:t>本表关于招标项目的具体要求是对投标人须知的具体补充和修改，如有矛盾，应以本表为准。</w:t>
      </w:r>
    </w:p>
    <w:p w14:paraId="48F7A693">
      <w:pPr>
        <w:spacing w:line="360" w:lineRule="auto"/>
        <w:ind w:firstLine="643"/>
        <w:rPr>
          <w:rFonts w:ascii="Times New Roman"/>
          <w:b/>
          <w:sz w:val="32"/>
          <w:szCs w:val="32"/>
        </w:rPr>
        <w:sectPr>
          <w:footerReference r:id="rId11" w:type="first"/>
          <w:headerReference r:id="rId9" w:type="default"/>
          <w:footerReference r:id="rId10" w:type="default"/>
          <w:type w:val="nextColumn"/>
          <w:pgSz w:w="11907" w:h="16840"/>
          <w:pgMar w:top="1440" w:right="1800" w:bottom="1440" w:left="1800" w:header="737" w:footer="737" w:gutter="0"/>
          <w:pgNumType w:start="1"/>
          <w:cols w:space="720" w:num="1"/>
          <w:titlePg/>
          <w:docGrid w:type="lines" w:linePitch="312" w:charSpace="0"/>
        </w:sectPr>
      </w:pPr>
      <w:bookmarkStart w:id="81" w:name="_Toc65846684"/>
      <w:bookmarkStart w:id="82" w:name="_Toc213049000"/>
      <w:bookmarkStart w:id="83" w:name="_Toc65498354"/>
      <w:bookmarkStart w:id="84" w:name="_Toc121830567"/>
      <w:bookmarkStart w:id="85" w:name="_Toc65597733"/>
      <w:bookmarkStart w:id="86" w:name="_Toc223786500"/>
      <w:bookmarkStart w:id="87" w:name="_Toc65641108"/>
      <w:bookmarkStart w:id="88" w:name="_Toc68417325"/>
      <w:bookmarkStart w:id="89" w:name="_Toc118890502"/>
      <w:bookmarkStart w:id="90" w:name="_Toc119786462"/>
      <w:bookmarkStart w:id="91" w:name="_Toc70094669"/>
      <w:bookmarkStart w:id="92" w:name="_Toc121308024"/>
      <w:bookmarkStart w:id="93" w:name="_Toc121182294"/>
      <w:bookmarkStart w:id="94" w:name="_Toc65420082"/>
      <w:bookmarkStart w:id="95" w:name="_Toc118061507"/>
      <w:bookmarkStart w:id="96" w:name="_Toc68407732"/>
      <w:bookmarkStart w:id="97" w:name="_Toc55500015"/>
      <w:bookmarkStart w:id="98" w:name="_Toc72583476"/>
    </w:p>
    <w:p w14:paraId="4947EDC7">
      <w:pPr>
        <w:adjustRightInd/>
        <w:snapToGrid/>
        <w:spacing w:before="0" w:beforeLines="0" w:after="240" w:afterLines="100" w:line="400" w:lineRule="exact"/>
        <w:ind w:firstLine="0" w:firstLineChars="0"/>
        <w:jc w:val="center"/>
        <w:outlineLvl w:val="1"/>
        <w:rPr>
          <w:rFonts w:ascii="Times New Roman"/>
          <w:b/>
          <w:bCs/>
          <w:sz w:val="32"/>
          <w:szCs w:val="32"/>
        </w:rPr>
      </w:pPr>
      <w:bookmarkStart w:id="99" w:name="_Toc491534412"/>
      <w:bookmarkStart w:id="100" w:name="_Toc193981257"/>
      <w:r>
        <w:rPr>
          <w:rFonts w:ascii="Times New Roman"/>
          <w:b/>
          <w:bCs/>
          <w:sz w:val="32"/>
          <w:szCs w:val="32"/>
        </w:rPr>
        <w:t>投标人须知</w:t>
      </w:r>
      <w:bookmarkEnd w:id="99"/>
      <w:r>
        <w:rPr>
          <w:rFonts w:ascii="Times New Roman"/>
          <w:b/>
          <w:bCs/>
          <w:sz w:val="32"/>
          <w:szCs w:val="32"/>
        </w:rPr>
        <w:t>正文</w:t>
      </w:r>
      <w:bookmarkEnd w:id="100"/>
    </w:p>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7002ED92">
      <w:pPr>
        <w:pStyle w:val="5"/>
        <w:numPr>
          <w:ilvl w:val="0"/>
          <w:numId w:val="1"/>
        </w:numPr>
        <w:tabs>
          <w:tab w:val="left" w:pos="851"/>
          <w:tab w:val="clear" w:pos="1134"/>
        </w:tabs>
        <w:spacing w:before="0" w:beforeLines="0" w:line="360" w:lineRule="auto"/>
        <w:ind w:left="0" w:firstLine="482"/>
        <w:rPr>
          <w:rFonts w:ascii="Times New Roman" w:hAnsi="Times New Roman" w:eastAsia="宋体"/>
          <w:b/>
          <w:bCs w:val="0"/>
          <w:sz w:val="24"/>
          <w:szCs w:val="24"/>
        </w:rPr>
      </w:pPr>
      <w:bookmarkStart w:id="101" w:name="_Toc27147"/>
      <w:bookmarkStart w:id="102" w:name="_Toc375564260"/>
      <w:bookmarkStart w:id="103" w:name="_Toc193981258"/>
      <w:bookmarkStart w:id="104" w:name="_Toc68417327"/>
      <w:bookmarkStart w:id="105" w:name="_Toc65597735"/>
      <w:bookmarkStart w:id="106" w:name="_Toc70094671"/>
      <w:bookmarkStart w:id="107" w:name="_Toc72583478"/>
      <w:bookmarkStart w:id="108" w:name="_Toc65498356"/>
      <w:bookmarkStart w:id="109" w:name="_Toc68407734"/>
      <w:bookmarkStart w:id="110" w:name="_Toc65846686"/>
      <w:bookmarkStart w:id="111" w:name="_Toc65641110"/>
      <w:bookmarkStart w:id="112" w:name="_Toc65420084"/>
      <w:bookmarkStart w:id="113" w:name="_Toc118890504"/>
      <w:bookmarkStart w:id="114" w:name="_Toc121830569"/>
      <w:bookmarkStart w:id="115" w:name="_Toc121308026"/>
      <w:bookmarkStart w:id="116" w:name="_Toc213049002"/>
      <w:bookmarkStart w:id="117" w:name="_Toc119786464"/>
      <w:bookmarkStart w:id="118" w:name="_Toc121182296"/>
      <w:bookmarkStart w:id="119" w:name="_Toc118061509"/>
      <w:bookmarkStart w:id="120" w:name="_Toc223786502"/>
      <w:r>
        <w:rPr>
          <w:rFonts w:ascii="Times New Roman" w:hAnsi="Times New Roman" w:eastAsia="宋体"/>
          <w:b/>
          <w:bCs w:val="0"/>
          <w:sz w:val="24"/>
          <w:szCs w:val="24"/>
        </w:rPr>
        <w:t>总则</w:t>
      </w:r>
      <w:bookmarkEnd w:id="101"/>
      <w:bookmarkEnd w:id="102"/>
      <w:bookmarkEnd w:id="103"/>
    </w:p>
    <w:p w14:paraId="2D4B5C3A">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bCs w:val="0"/>
          <w:sz w:val="21"/>
          <w:szCs w:val="21"/>
        </w:rPr>
      </w:pPr>
      <w:bookmarkStart w:id="121" w:name="_Toc12599"/>
      <w:bookmarkStart w:id="122" w:name="_Toc32503"/>
      <w:bookmarkStart w:id="123" w:name="_Toc28792"/>
      <w:bookmarkStart w:id="124" w:name="_Toc29111"/>
      <w:bookmarkStart w:id="125" w:name="_Toc491534414"/>
      <w:bookmarkStart w:id="126" w:name="_Toc375564261"/>
      <w:bookmarkStart w:id="127" w:name="_Toc20355"/>
      <w:bookmarkStart w:id="128" w:name="_Toc193981259"/>
      <w:r>
        <w:rPr>
          <w:rFonts w:ascii="Times New Roman" w:hAnsi="Times New Roman" w:eastAsia="宋体" w:cs="Times New Roman"/>
          <w:b/>
          <w:bCs w:val="0"/>
          <w:sz w:val="21"/>
          <w:szCs w:val="21"/>
        </w:rPr>
        <w:t>项目</w:t>
      </w:r>
      <w:bookmarkEnd w:id="104"/>
      <w:bookmarkEnd w:id="105"/>
      <w:bookmarkEnd w:id="106"/>
      <w:bookmarkEnd w:id="107"/>
      <w:bookmarkEnd w:id="108"/>
      <w:bookmarkEnd w:id="109"/>
      <w:bookmarkEnd w:id="110"/>
      <w:bookmarkEnd w:id="111"/>
      <w:bookmarkEnd w:id="112"/>
      <w:r>
        <w:rPr>
          <w:rFonts w:ascii="Times New Roman" w:hAnsi="Times New Roman" w:eastAsia="宋体" w:cs="Times New Roman"/>
          <w:b/>
          <w:bCs w:val="0"/>
          <w:sz w:val="21"/>
          <w:szCs w:val="21"/>
        </w:rPr>
        <w:t>说明</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31DD532">
      <w:pPr>
        <w:numPr>
          <w:ilvl w:val="0"/>
          <w:numId w:val="3"/>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项目名称：详见投标人须知前附表。</w:t>
      </w:r>
    </w:p>
    <w:p w14:paraId="504A61EB">
      <w:pPr>
        <w:numPr>
          <w:ilvl w:val="0"/>
          <w:numId w:val="3"/>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建设地点：详见投标人须知前附表。</w:t>
      </w:r>
    </w:p>
    <w:p w14:paraId="405F3397">
      <w:pPr>
        <w:numPr>
          <w:ilvl w:val="0"/>
          <w:numId w:val="3"/>
        </w:numPr>
        <w:tabs>
          <w:tab w:val="left" w:pos="851"/>
          <w:tab w:val="clear" w:pos="1134"/>
        </w:tabs>
        <w:spacing w:before="0" w:beforeLines="0" w:line="360" w:lineRule="auto"/>
        <w:ind w:left="0" w:firstLine="420"/>
        <w:rPr>
          <w:rFonts w:ascii="Times New Roman"/>
          <w:sz w:val="21"/>
          <w:szCs w:val="21"/>
        </w:rPr>
      </w:pPr>
      <w:r>
        <w:rPr>
          <w:rFonts w:ascii="Times New Roman"/>
          <w:bCs/>
          <w:sz w:val="21"/>
          <w:szCs w:val="21"/>
        </w:rPr>
        <w:t>招标范围：</w:t>
      </w:r>
      <w:r>
        <w:rPr>
          <w:rFonts w:ascii="Times New Roman"/>
          <w:sz w:val="21"/>
          <w:szCs w:val="21"/>
        </w:rPr>
        <w:t>详见投标人须知前附表。</w:t>
      </w:r>
    </w:p>
    <w:p w14:paraId="3194328C">
      <w:pPr>
        <w:numPr>
          <w:ilvl w:val="0"/>
          <w:numId w:val="3"/>
        </w:numPr>
        <w:tabs>
          <w:tab w:val="left" w:pos="851"/>
          <w:tab w:val="clear" w:pos="1134"/>
        </w:tabs>
        <w:spacing w:before="0" w:beforeLines="0" w:line="360" w:lineRule="auto"/>
        <w:ind w:left="0" w:firstLine="420"/>
        <w:rPr>
          <w:rFonts w:ascii="Times New Roman"/>
          <w:sz w:val="21"/>
          <w:szCs w:val="21"/>
        </w:rPr>
      </w:pPr>
      <w:r>
        <w:rPr>
          <w:rFonts w:ascii="Times New Roman"/>
          <w:bCs/>
          <w:sz w:val="21"/>
          <w:szCs w:val="21"/>
        </w:rPr>
        <w:t>项目</w:t>
      </w:r>
      <w:r>
        <w:rPr>
          <w:rFonts w:hint="eastAsia" w:ascii="Times New Roman"/>
          <w:bCs/>
          <w:sz w:val="21"/>
          <w:szCs w:val="21"/>
        </w:rPr>
        <w:t>规模</w:t>
      </w:r>
      <w:r>
        <w:rPr>
          <w:rFonts w:ascii="Times New Roman"/>
          <w:bCs/>
          <w:sz w:val="21"/>
          <w:szCs w:val="21"/>
        </w:rPr>
        <w:t>：</w:t>
      </w:r>
      <w:r>
        <w:rPr>
          <w:rFonts w:ascii="Times New Roman"/>
          <w:sz w:val="21"/>
          <w:szCs w:val="21"/>
        </w:rPr>
        <w:t>详见投标人须知前附表。</w:t>
      </w:r>
    </w:p>
    <w:p w14:paraId="361DE30E">
      <w:pPr>
        <w:numPr>
          <w:ilvl w:val="0"/>
          <w:numId w:val="3"/>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服务周期：详见投标人须知前附表。</w:t>
      </w:r>
    </w:p>
    <w:p w14:paraId="0B176E25">
      <w:pPr>
        <w:numPr>
          <w:ilvl w:val="0"/>
          <w:numId w:val="3"/>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资金来源：详见投标人须知前附表。</w:t>
      </w:r>
    </w:p>
    <w:p w14:paraId="5C53CF4F">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129" w:name="_Toc965"/>
      <w:bookmarkStart w:id="130" w:name="_Toc491534415"/>
      <w:bookmarkStart w:id="131" w:name="_Toc28970"/>
      <w:bookmarkStart w:id="132" w:name="_Toc3262"/>
      <w:bookmarkStart w:id="133" w:name="_Toc223786503"/>
      <w:bookmarkStart w:id="134" w:name="_Toc213049003"/>
      <w:bookmarkStart w:id="135" w:name="_Toc2923"/>
      <w:bookmarkStart w:id="136" w:name="_Toc375564262"/>
      <w:bookmarkStart w:id="137" w:name="_Toc193981260"/>
      <w:bookmarkStart w:id="138" w:name="_Toc17984"/>
      <w:bookmarkStart w:id="139" w:name="_Toc65846687"/>
      <w:bookmarkStart w:id="140" w:name="_Toc121182297"/>
      <w:bookmarkStart w:id="141" w:name="_Toc118061510"/>
      <w:bookmarkStart w:id="142" w:name="_Toc121830570"/>
      <w:bookmarkStart w:id="143" w:name="_Toc118890505"/>
      <w:bookmarkStart w:id="144" w:name="_Toc65597736"/>
      <w:bookmarkStart w:id="145" w:name="_Toc119786465"/>
      <w:bookmarkStart w:id="146" w:name="_Toc65420085"/>
      <w:bookmarkStart w:id="147" w:name="_Toc70094672"/>
      <w:bookmarkStart w:id="148" w:name="_Toc68407735"/>
      <w:bookmarkStart w:id="149" w:name="_Toc65498357"/>
      <w:bookmarkStart w:id="150" w:name="_Toc68417328"/>
      <w:bookmarkStart w:id="151" w:name="_Toc72583479"/>
      <w:bookmarkStart w:id="152" w:name="_Toc65641111"/>
      <w:bookmarkStart w:id="153" w:name="_Toc121308027"/>
      <w:r>
        <w:rPr>
          <w:rFonts w:ascii="Times New Roman" w:hAnsi="Times New Roman" w:eastAsia="宋体" w:cs="Times New Roman"/>
          <w:b/>
          <w:sz w:val="21"/>
          <w:szCs w:val="21"/>
        </w:rPr>
        <w:t>定义</w:t>
      </w:r>
      <w:bookmarkEnd w:id="129"/>
      <w:bookmarkEnd w:id="130"/>
      <w:bookmarkEnd w:id="131"/>
      <w:bookmarkEnd w:id="132"/>
      <w:bookmarkEnd w:id="133"/>
      <w:bookmarkEnd w:id="134"/>
      <w:bookmarkEnd w:id="135"/>
      <w:bookmarkEnd w:id="136"/>
      <w:bookmarkEnd w:id="137"/>
      <w:bookmarkEnd w:id="138"/>
    </w:p>
    <w:p w14:paraId="49BC2410">
      <w:pPr>
        <w:tabs>
          <w:tab w:val="left" w:pos="851"/>
        </w:tabs>
        <w:spacing w:before="0" w:beforeLines="0" w:line="360" w:lineRule="auto"/>
        <w:ind w:firstLine="420"/>
        <w:rPr>
          <w:rFonts w:hAnsi="宋体"/>
          <w:sz w:val="21"/>
          <w:szCs w:val="21"/>
        </w:rPr>
      </w:pPr>
      <w:r>
        <w:rPr>
          <w:rFonts w:hAnsi="宋体"/>
          <w:sz w:val="21"/>
          <w:szCs w:val="21"/>
        </w:rPr>
        <w:t>本招标文件使用的下列词汇具有如下规定的意义。</w:t>
      </w:r>
    </w:p>
    <w:p w14:paraId="58BF1649">
      <w:pPr>
        <w:numPr>
          <w:ilvl w:val="1"/>
          <w:numId w:val="4"/>
        </w:numPr>
        <w:tabs>
          <w:tab w:val="left" w:pos="851"/>
          <w:tab w:val="left" w:pos="8364"/>
          <w:tab w:val="clear" w:pos="1134"/>
        </w:tabs>
        <w:spacing w:before="0" w:beforeLines="0" w:line="360" w:lineRule="auto"/>
        <w:ind w:left="0" w:firstLine="420"/>
        <w:rPr>
          <w:rFonts w:hAnsi="宋体"/>
          <w:sz w:val="21"/>
          <w:szCs w:val="21"/>
        </w:rPr>
      </w:pPr>
      <w:r>
        <w:rPr>
          <w:rFonts w:hAnsi="宋体"/>
          <w:sz w:val="21"/>
          <w:szCs w:val="21"/>
        </w:rPr>
        <w:t>“招标人”系指提出招标采购货物的国家机关、企业、事业单位或其它组织。本招标文件中招标人是指</w:t>
      </w:r>
      <w:r>
        <w:rPr>
          <w:rFonts w:hint="eastAsia" w:hAnsi="宋体"/>
          <w:sz w:val="21"/>
          <w:szCs w:val="21"/>
        </w:rPr>
        <w:t>南宁轨道地产集团有限责任公司</w:t>
      </w:r>
      <w:r>
        <w:rPr>
          <w:rFonts w:hAnsi="宋体"/>
          <w:sz w:val="21"/>
          <w:szCs w:val="21"/>
        </w:rPr>
        <w:t>。</w:t>
      </w:r>
    </w:p>
    <w:p w14:paraId="7B3AFED5">
      <w:pPr>
        <w:numPr>
          <w:ilvl w:val="1"/>
          <w:numId w:val="4"/>
        </w:numPr>
        <w:tabs>
          <w:tab w:val="left" w:pos="851"/>
          <w:tab w:val="left" w:pos="8364"/>
          <w:tab w:val="clear" w:pos="1134"/>
        </w:tabs>
        <w:spacing w:before="0" w:beforeLines="0" w:line="360" w:lineRule="auto"/>
        <w:ind w:left="0" w:firstLine="420"/>
        <w:rPr>
          <w:rFonts w:hAnsi="宋体"/>
          <w:sz w:val="21"/>
          <w:szCs w:val="21"/>
        </w:rPr>
      </w:pPr>
      <w:r>
        <w:rPr>
          <w:rFonts w:hAnsi="宋体"/>
          <w:sz w:val="21"/>
          <w:szCs w:val="21"/>
        </w:rPr>
        <w:t>“招标代理机构”系指依照国家有关部门的管理规定，依法设立并取得招标资格证书、从事招标代理业务的中介组织。本招标文件中招标代理机构是指受招标人委托组织招标的</w:t>
      </w:r>
      <w:r>
        <w:rPr>
          <w:rFonts w:hint="eastAsia" w:hAnsi="宋体"/>
          <w:sz w:val="21"/>
          <w:szCs w:val="21"/>
        </w:rPr>
        <w:t>广西中信恒泰工程顾问有限公司</w:t>
      </w:r>
      <w:r>
        <w:rPr>
          <w:rFonts w:hAnsi="宋体"/>
          <w:sz w:val="21"/>
          <w:szCs w:val="21"/>
        </w:rPr>
        <w:t>。</w:t>
      </w:r>
    </w:p>
    <w:p w14:paraId="75EAAD67">
      <w:pPr>
        <w:numPr>
          <w:ilvl w:val="1"/>
          <w:numId w:val="4"/>
        </w:numPr>
        <w:tabs>
          <w:tab w:val="left" w:pos="851"/>
          <w:tab w:val="left" w:pos="8364"/>
          <w:tab w:val="clear" w:pos="1134"/>
        </w:tabs>
        <w:spacing w:before="0" w:beforeLines="0" w:line="360" w:lineRule="auto"/>
        <w:ind w:left="0" w:firstLine="420"/>
        <w:rPr>
          <w:rFonts w:hAnsi="宋体"/>
          <w:sz w:val="21"/>
          <w:szCs w:val="21"/>
        </w:rPr>
      </w:pPr>
      <w:r>
        <w:rPr>
          <w:rFonts w:hAnsi="宋体"/>
          <w:sz w:val="21"/>
          <w:szCs w:val="21"/>
        </w:rPr>
        <w:t>“投标人”系指购买了本招标文件并且与本“投标人须知”第3条规定的要求一致的、响应招标、参加投标竞争的法人或其他组织。</w:t>
      </w:r>
    </w:p>
    <w:p w14:paraId="476A52DB">
      <w:pPr>
        <w:numPr>
          <w:ilvl w:val="1"/>
          <w:numId w:val="4"/>
        </w:numPr>
        <w:tabs>
          <w:tab w:val="left" w:pos="851"/>
          <w:tab w:val="left" w:pos="8364"/>
          <w:tab w:val="clear" w:pos="1134"/>
        </w:tabs>
        <w:spacing w:before="0" w:beforeLines="0" w:line="360" w:lineRule="auto"/>
        <w:ind w:left="0" w:firstLine="420"/>
        <w:rPr>
          <w:rFonts w:hAnsi="宋体"/>
          <w:sz w:val="21"/>
          <w:szCs w:val="21"/>
        </w:rPr>
      </w:pPr>
      <w:r>
        <w:rPr>
          <w:rFonts w:hint="eastAsia" w:hAnsi="宋体"/>
          <w:sz w:val="21"/>
          <w:szCs w:val="21"/>
        </w:rPr>
        <w:t>“电子文件”系指将投标文件全部内容以MICROSOFT的WORD、PROJECT、EXCEL等格式书写的可读电子介质及PDF扫描版本。</w:t>
      </w:r>
    </w:p>
    <w:p w14:paraId="302586A5">
      <w:pPr>
        <w:numPr>
          <w:ilvl w:val="1"/>
          <w:numId w:val="4"/>
        </w:numPr>
        <w:tabs>
          <w:tab w:val="left" w:pos="851"/>
          <w:tab w:val="left" w:pos="8364"/>
          <w:tab w:val="clear" w:pos="1134"/>
        </w:tabs>
        <w:spacing w:before="0" w:beforeLines="0" w:line="360" w:lineRule="auto"/>
        <w:ind w:left="0" w:firstLine="420"/>
        <w:rPr>
          <w:rFonts w:hAnsi="宋体"/>
          <w:sz w:val="21"/>
          <w:szCs w:val="21"/>
        </w:rPr>
      </w:pPr>
      <w:bookmarkStart w:id="154" w:name="_Toc179790143"/>
      <w:r>
        <w:rPr>
          <w:rFonts w:hAnsi="宋体"/>
          <w:sz w:val="21"/>
          <w:szCs w:val="21"/>
        </w:rPr>
        <w:t>“书面形式”系指打字或印刷的函件，包括传真、电报等。</w:t>
      </w:r>
    </w:p>
    <w:p w14:paraId="2D9AA3DA">
      <w:pPr>
        <w:numPr>
          <w:ilvl w:val="1"/>
          <w:numId w:val="4"/>
        </w:numPr>
        <w:tabs>
          <w:tab w:val="left" w:pos="851"/>
          <w:tab w:val="left" w:pos="8364"/>
          <w:tab w:val="clear" w:pos="1134"/>
        </w:tabs>
        <w:spacing w:before="0" w:beforeLines="0" w:line="360" w:lineRule="auto"/>
        <w:ind w:left="0" w:firstLine="420"/>
        <w:rPr>
          <w:rFonts w:hAnsi="宋体"/>
          <w:sz w:val="21"/>
          <w:szCs w:val="21"/>
        </w:rPr>
      </w:pPr>
      <w:r>
        <w:rPr>
          <w:rFonts w:hAnsi="宋体"/>
          <w:sz w:val="21"/>
          <w:szCs w:val="21"/>
        </w:rPr>
        <w:t>“日”、“天”系指日历天。</w:t>
      </w:r>
      <w:bookmarkEnd w:id="154"/>
    </w:p>
    <w:p w14:paraId="3ABFF195">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155" w:name="_Toc375564263"/>
      <w:bookmarkStart w:id="156" w:name="_Toc213049004"/>
      <w:bookmarkStart w:id="157" w:name="_Toc223786504"/>
      <w:bookmarkStart w:id="158" w:name="_Toc31825"/>
      <w:bookmarkStart w:id="159" w:name="_Toc7177"/>
      <w:bookmarkStart w:id="160" w:name="_Toc4770"/>
      <w:bookmarkStart w:id="161" w:name="_Toc30649"/>
      <w:bookmarkStart w:id="162" w:name="_Toc193981261"/>
      <w:bookmarkStart w:id="163" w:name="_Toc305"/>
      <w:bookmarkStart w:id="164" w:name="_Toc491534416"/>
      <w:r>
        <w:rPr>
          <w:rFonts w:ascii="Times New Roman" w:hAnsi="Times New Roman" w:eastAsia="宋体" w:cs="Times New Roman"/>
          <w:b/>
          <w:sz w:val="21"/>
          <w:szCs w:val="21"/>
        </w:rPr>
        <w:t>投标人</w:t>
      </w:r>
      <w:bookmarkEnd w:id="155"/>
      <w:bookmarkEnd w:id="156"/>
      <w:bookmarkEnd w:id="157"/>
      <w:r>
        <w:rPr>
          <w:rFonts w:ascii="Times New Roman" w:hAnsi="Times New Roman" w:eastAsia="宋体" w:cs="Times New Roman"/>
          <w:b/>
          <w:sz w:val="21"/>
          <w:szCs w:val="21"/>
        </w:rPr>
        <w:t>资格要求</w:t>
      </w:r>
      <w:bookmarkEnd w:id="158"/>
      <w:bookmarkEnd w:id="159"/>
      <w:bookmarkEnd w:id="160"/>
      <w:bookmarkEnd w:id="161"/>
      <w:bookmarkEnd w:id="162"/>
      <w:bookmarkEnd w:id="163"/>
      <w:bookmarkEnd w:id="164"/>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14:paraId="2AE1C513">
      <w:pPr>
        <w:tabs>
          <w:tab w:val="left" w:pos="851"/>
        </w:tabs>
        <w:spacing w:before="0" w:beforeLines="0" w:line="360" w:lineRule="auto"/>
        <w:ind w:firstLine="420"/>
        <w:rPr>
          <w:rFonts w:hAnsi="宋体"/>
          <w:sz w:val="21"/>
          <w:szCs w:val="21"/>
        </w:rPr>
      </w:pPr>
      <w:r>
        <w:rPr>
          <w:rFonts w:hAnsi="宋体"/>
          <w:sz w:val="21"/>
          <w:szCs w:val="21"/>
        </w:rPr>
        <w:t>详见投标人须知前附表。</w:t>
      </w:r>
    </w:p>
    <w:p w14:paraId="6712723F">
      <w:pPr>
        <w:tabs>
          <w:tab w:val="left" w:pos="851"/>
          <w:tab w:val="left" w:pos="8364"/>
        </w:tabs>
        <w:spacing w:before="0" w:beforeLines="0" w:line="360" w:lineRule="auto"/>
        <w:ind w:firstLine="420"/>
        <w:rPr>
          <w:rFonts w:hAnsi="宋体"/>
          <w:bCs/>
          <w:sz w:val="21"/>
          <w:szCs w:val="21"/>
        </w:rPr>
      </w:pPr>
      <w:r>
        <w:rPr>
          <w:rFonts w:hAnsi="宋体"/>
          <w:bCs/>
          <w:sz w:val="21"/>
          <w:szCs w:val="21"/>
        </w:rPr>
        <w:t>投标人须知前附表规定接受联合体投标的，除应符合本章投标人须知前附表的要求外，还应遵守以下规定：</w:t>
      </w:r>
    </w:p>
    <w:p w14:paraId="586EE647">
      <w:pPr>
        <w:tabs>
          <w:tab w:val="left" w:pos="851"/>
          <w:tab w:val="left" w:pos="8364"/>
        </w:tabs>
        <w:spacing w:before="0" w:beforeLines="0" w:line="360" w:lineRule="auto"/>
        <w:ind w:firstLine="420"/>
        <w:rPr>
          <w:rFonts w:hAnsi="宋体"/>
          <w:bCs/>
          <w:sz w:val="21"/>
          <w:szCs w:val="21"/>
        </w:rPr>
      </w:pPr>
      <w:r>
        <w:rPr>
          <w:rFonts w:hAnsi="宋体"/>
          <w:bCs/>
          <w:sz w:val="21"/>
          <w:szCs w:val="21"/>
        </w:rPr>
        <w:t>（1）联合体各方应按招标文件提供的格式签订联合体协议书，明确联合体牵头人和各方权利义务；</w:t>
      </w:r>
    </w:p>
    <w:p w14:paraId="61A5080C">
      <w:pPr>
        <w:tabs>
          <w:tab w:val="left" w:pos="851"/>
          <w:tab w:val="left" w:pos="8364"/>
        </w:tabs>
        <w:spacing w:before="0" w:beforeLines="0" w:line="360" w:lineRule="auto"/>
        <w:ind w:firstLine="420"/>
        <w:rPr>
          <w:rFonts w:hAnsi="宋体"/>
          <w:sz w:val="21"/>
          <w:szCs w:val="21"/>
        </w:rPr>
      </w:pPr>
      <w:r>
        <w:rPr>
          <w:rFonts w:hAnsi="宋体"/>
          <w:bCs/>
          <w:sz w:val="21"/>
          <w:szCs w:val="21"/>
        </w:rPr>
        <w:t>（2）联合体各方不得再以自己名义单独或参加其他联合体在同一标段中投标。</w:t>
      </w:r>
    </w:p>
    <w:p w14:paraId="055BC48F">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165" w:name="_Toc634"/>
      <w:bookmarkStart w:id="166" w:name="_Toc65498359"/>
      <w:bookmarkStart w:id="167" w:name="_Toc65597738"/>
      <w:bookmarkStart w:id="168" w:name="_Toc118061512"/>
      <w:bookmarkStart w:id="169" w:name="_Toc65420087"/>
      <w:bookmarkStart w:id="170" w:name="_Toc68407737"/>
      <w:bookmarkStart w:id="171" w:name="_Toc72583481"/>
      <w:bookmarkStart w:id="172" w:name="_Toc121308029"/>
      <w:bookmarkStart w:id="173" w:name="_Toc30354"/>
      <w:bookmarkStart w:id="174" w:name="_Toc223786506"/>
      <w:bookmarkStart w:id="175" w:name="_Toc193981262"/>
      <w:bookmarkStart w:id="176" w:name="_Toc6707"/>
      <w:bookmarkStart w:id="177" w:name="_Toc121182299"/>
      <w:bookmarkStart w:id="178" w:name="_Toc375564264"/>
      <w:bookmarkStart w:id="179" w:name="_Toc70094674"/>
      <w:bookmarkStart w:id="180" w:name="_Toc119786467"/>
      <w:bookmarkStart w:id="181" w:name="_Toc65641113"/>
      <w:bookmarkStart w:id="182" w:name="_Toc68417330"/>
      <w:bookmarkStart w:id="183" w:name="_Toc491534417"/>
      <w:bookmarkStart w:id="184" w:name="_Toc7773"/>
      <w:bookmarkStart w:id="185" w:name="_Toc213049006"/>
      <w:bookmarkStart w:id="186" w:name="_Toc11752"/>
      <w:bookmarkStart w:id="187" w:name="_Toc118890507"/>
      <w:bookmarkStart w:id="188" w:name="_Toc121830572"/>
      <w:bookmarkStart w:id="189" w:name="_Toc65846689"/>
      <w:r>
        <w:rPr>
          <w:rFonts w:ascii="Times New Roman" w:hAnsi="Times New Roman" w:eastAsia="宋体" w:cs="Times New Roman"/>
          <w:b/>
          <w:sz w:val="21"/>
          <w:szCs w:val="21"/>
        </w:rPr>
        <w:t>投标费用</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CFC6EFD">
      <w:pPr>
        <w:tabs>
          <w:tab w:val="left" w:pos="851"/>
          <w:tab w:val="left" w:pos="8364"/>
        </w:tabs>
        <w:spacing w:before="0" w:beforeLines="0" w:line="360" w:lineRule="auto"/>
        <w:ind w:firstLine="420"/>
        <w:rPr>
          <w:rFonts w:hAnsi="宋体"/>
          <w:bCs/>
          <w:sz w:val="21"/>
          <w:szCs w:val="21"/>
        </w:rPr>
      </w:pPr>
      <w:r>
        <w:rPr>
          <w:rFonts w:hAnsi="宋体"/>
          <w:bCs/>
          <w:sz w:val="21"/>
          <w:szCs w:val="21"/>
        </w:rPr>
        <w:t>投标人应承担所有与准备和参加投标有关的费用。不论招标结果如何，“投标人须知”中所述的招标代理机构和招标人均无义务和责任承担这些费用。</w:t>
      </w:r>
    </w:p>
    <w:p w14:paraId="69BF9082">
      <w:pPr>
        <w:pStyle w:val="5"/>
        <w:numPr>
          <w:ilvl w:val="0"/>
          <w:numId w:val="1"/>
        </w:numPr>
        <w:tabs>
          <w:tab w:val="left" w:pos="993"/>
          <w:tab w:val="clear" w:pos="1134"/>
        </w:tabs>
        <w:spacing w:before="0" w:beforeLines="0" w:line="360" w:lineRule="auto"/>
        <w:ind w:left="0" w:firstLine="482"/>
        <w:rPr>
          <w:rFonts w:ascii="Times New Roman" w:hAnsi="Times New Roman" w:eastAsia="宋体"/>
          <w:b/>
          <w:bCs w:val="0"/>
          <w:sz w:val="24"/>
          <w:szCs w:val="24"/>
        </w:rPr>
      </w:pPr>
      <w:bookmarkStart w:id="190" w:name="_Toc65846690"/>
      <w:bookmarkStart w:id="191" w:name="_Toc65597739"/>
      <w:bookmarkStart w:id="192" w:name="_Toc193981263"/>
      <w:bookmarkStart w:id="193" w:name="_Toc65420088"/>
      <w:bookmarkStart w:id="194" w:name="_Toc118061513"/>
      <w:bookmarkStart w:id="195" w:name="_Toc72583482"/>
      <w:bookmarkStart w:id="196" w:name="_Toc65498360"/>
      <w:bookmarkStart w:id="197" w:name="_Toc121308030"/>
      <w:bookmarkStart w:id="198" w:name="_Toc375564265"/>
      <w:bookmarkStart w:id="199" w:name="_Toc213049007"/>
      <w:bookmarkStart w:id="200" w:name="_Toc121830573"/>
      <w:bookmarkStart w:id="201" w:name="_Toc68407738"/>
      <w:bookmarkStart w:id="202" w:name="_Toc70094675"/>
      <w:bookmarkStart w:id="203" w:name="_Toc55500017"/>
      <w:bookmarkStart w:id="204" w:name="_Toc119786468"/>
      <w:bookmarkStart w:id="205" w:name="_Toc65641114"/>
      <w:bookmarkStart w:id="206" w:name="_Toc223786507"/>
      <w:bookmarkStart w:id="207" w:name="_Toc14152"/>
      <w:bookmarkStart w:id="208" w:name="_Toc118890508"/>
      <w:bookmarkStart w:id="209" w:name="_Toc121182300"/>
      <w:bookmarkStart w:id="210" w:name="_Toc68417331"/>
      <w:r>
        <w:rPr>
          <w:rFonts w:ascii="Times New Roman" w:hAnsi="Times New Roman" w:eastAsia="宋体"/>
          <w:b/>
          <w:bCs w:val="0"/>
          <w:sz w:val="24"/>
          <w:szCs w:val="24"/>
        </w:rPr>
        <w:t>招标文件</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2EF037D">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211" w:name="_Toc19169"/>
      <w:bookmarkStart w:id="212" w:name="_Toc70094676"/>
      <w:bookmarkStart w:id="213" w:name="_Toc119786469"/>
      <w:bookmarkStart w:id="214" w:name="_Toc118890509"/>
      <w:bookmarkStart w:id="215" w:name="_Toc193981264"/>
      <w:bookmarkStart w:id="216" w:name="_Toc10406"/>
      <w:bookmarkStart w:id="217" w:name="_Toc121308031"/>
      <w:bookmarkStart w:id="218" w:name="_Toc118061514"/>
      <w:bookmarkStart w:id="219" w:name="_Toc223786508"/>
      <w:bookmarkStart w:id="220" w:name="_Toc68407739"/>
      <w:bookmarkStart w:id="221" w:name="_Toc19461"/>
      <w:bookmarkStart w:id="222" w:name="_Toc11392"/>
      <w:bookmarkStart w:id="223" w:name="_Toc72583483"/>
      <w:bookmarkStart w:id="224" w:name="_Toc65420089"/>
      <w:bookmarkStart w:id="225" w:name="_Toc213049008"/>
      <w:bookmarkStart w:id="226" w:name="_Toc491534419"/>
      <w:bookmarkStart w:id="227" w:name="_Toc25764"/>
      <w:bookmarkStart w:id="228" w:name="_Toc375564266"/>
      <w:bookmarkStart w:id="229" w:name="_Toc65846691"/>
      <w:bookmarkStart w:id="230" w:name="_Toc65498361"/>
      <w:bookmarkStart w:id="231" w:name="_Toc121830574"/>
      <w:bookmarkStart w:id="232" w:name="_Toc65641115"/>
      <w:bookmarkStart w:id="233" w:name="_Toc65597740"/>
      <w:bookmarkStart w:id="234" w:name="_Toc121182301"/>
      <w:bookmarkStart w:id="235" w:name="_Toc68417332"/>
      <w:r>
        <w:rPr>
          <w:rFonts w:ascii="Times New Roman" w:hAnsi="Times New Roman" w:eastAsia="宋体" w:cs="Times New Roman"/>
          <w:b/>
          <w:sz w:val="21"/>
          <w:szCs w:val="21"/>
        </w:rPr>
        <w:t>招标文件构成</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E881277">
      <w:pPr>
        <w:numPr>
          <w:ilvl w:val="1"/>
          <w:numId w:val="5"/>
        </w:numPr>
        <w:tabs>
          <w:tab w:val="left" w:pos="851"/>
        </w:tabs>
        <w:spacing w:before="0" w:beforeLines="0" w:line="360" w:lineRule="auto"/>
        <w:ind w:left="0" w:firstLine="420"/>
        <w:rPr>
          <w:rFonts w:ascii="Times New Roman"/>
          <w:sz w:val="21"/>
          <w:szCs w:val="21"/>
        </w:rPr>
      </w:pPr>
      <w:r>
        <w:rPr>
          <w:rFonts w:ascii="Times New Roman"/>
          <w:sz w:val="21"/>
          <w:szCs w:val="21"/>
        </w:rPr>
        <w:t>招标文件包括下列内容：</w:t>
      </w:r>
    </w:p>
    <w:p w14:paraId="35F3E57A">
      <w:pPr>
        <w:numPr>
          <w:ilvl w:val="0"/>
          <w:numId w:val="6"/>
        </w:numPr>
        <w:spacing w:before="0" w:beforeLines="0" w:line="360" w:lineRule="auto"/>
        <w:ind w:left="0" w:firstLine="420"/>
        <w:rPr>
          <w:rFonts w:ascii="Times New Roman"/>
          <w:sz w:val="21"/>
          <w:szCs w:val="21"/>
        </w:rPr>
      </w:pPr>
      <w:r>
        <w:rPr>
          <w:rFonts w:ascii="Times New Roman"/>
          <w:sz w:val="21"/>
          <w:szCs w:val="21"/>
        </w:rPr>
        <w:t>招标公告</w:t>
      </w:r>
    </w:p>
    <w:p w14:paraId="674E7739">
      <w:pPr>
        <w:numPr>
          <w:ilvl w:val="0"/>
          <w:numId w:val="6"/>
        </w:numPr>
        <w:spacing w:before="0" w:beforeLines="0" w:line="360" w:lineRule="auto"/>
        <w:ind w:left="0" w:firstLine="420"/>
        <w:rPr>
          <w:rFonts w:ascii="Times New Roman"/>
          <w:sz w:val="21"/>
          <w:szCs w:val="21"/>
        </w:rPr>
      </w:pPr>
      <w:r>
        <w:rPr>
          <w:rFonts w:ascii="Times New Roman"/>
          <w:sz w:val="21"/>
          <w:szCs w:val="21"/>
        </w:rPr>
        <w:t>投标人须知</w:t>
      </w:r>
    </w:p>
    <w:p w14:paraId="285AD4EE">
      <w:pPr>
        <w:numPr>
          <w:ilvl w:val="0"/>
          <w:numId w:val="6"/>
        </w:numPr>
        <w:spacing w:before="0" w:beforeLines="0" w:line="360" w:lineRule="auto"/>
        <w:ind w:left="0" w:firstLine="420"/>
        <w:rPr>
          <w:rFonts w:ascii="Times New Roman"/>
          <w:sz w:val="21"/>
          <w:szCs w:val="21"/>
        </w:rPr>
      </w:pPr>
      <w:r>
        <w:rPr>
          <w:rFonts w:ascii="Times New Roman"/>
          <w:sz w:val="21"/>
          <w:szCs w:val="21"/>
        </w:rPr>
        <w:t>评标办法</w:t>
      </w:r>
    </w:p>
    <w:p w14:paraId="79C7CCE4">
      <w:pPr>
        <w:numPr>
          <w:ilvl w:val="0"/>
          <w:numId w:val="6"/>
        </w:numPr>
        <w:spacing w:before="0" w:beforeLines="0" w:line="360" w:lineRule="auto"/>
        <w:ind w:left="0" w:firstLine="420"/>
        <w:rPr>
          <w:rFonts w:ascii="Times New Roman"/>
          <w:sz w:val="21"/>
          <w:szCs w:val="21"/>
        </w:rPr>
      </w:pPr>
      <w:r>
        <w:rPr>
          <w:rFonts w:ascii="Times New Roman"/>
          <w:sz w:val="21"/>
          <w:szCs w:val="21"/>
        </w:rPr>
        <w:t>合同条款及格式</w:t>
      </w:r>
    </w:p>
    <w:p w14:paraId="7D3EE78D">
      <w:pPr>
        <w:numPr>
          <w:ilvl w:val="0"/>
          <w:numId w:val="6"/>
        </w:numPr>
        <w:spacing w:before="0" w:beforeLines="0" w:line="360" w:lineRule="auto"/>
        <w:ind w:left="0" w:firstLine="420"/>
        <w:rPr>
          <w:rFonts w:ascii="Times New Roman"/>
          <w:sz w:val="21"/>
          <w:szCs w:val="21"/>
        </w:rPr>
      </w:pPr>
      <w:r>
        <w:rPr>
          <w:rFonts w:ascii="Times New Roman"/>
          <w:sz w:val="21"/>
          <w:szCs w:val="21"/>
        </w:rPr>
        <w:t>发包人要求</w:t>
      </w:r>
    </w:p>
    <w:p w14:paraId="4B4A3D0E">
      <w:pPr>
        <w:numPr>
          <w:ilvl w:val="0"/>
          <w:numId w:val="6"/>
        </w:numPr>
        <w:spacing w:before="0" w:beforeLines="0" w:line="360" w:lineRule="auto"/>
        <w:ind w:left="0" w:firstLine="420"/>
        <w:rPr>
          <w:rFonts w:ascii="Times New Roman"/>
          <w:sz w:val="21"/>
          <w:szCs w:val="21"/>
        </w:rPr>
      </w:pPr>
      <w:r>
        <w:rPr>
          <w:rFonts w:ascii="Times New Roman"/>
          <w:sz w:val="21"/>
          <w:szCs w:val="21"/>
        </w:rPr>
        <w:t>投标文件格式</w:t>
      </w:r>
    </w:p>
    <w:p w14:paraId="4DC6C059">
      <w:pPr>
        <w:numPr>
          <w:ilvl w:val="1"/>
          <w:numId w:val="5"/>
        </w:numPr>
        <w:tabs>
          <w:tab w:val="left" w:pos="851"/>
        </w:tabs>
        <w:spacing w:before="0" w:beforeLines="0" w:line="360" w:lineRule="auto"/>
        <w:ind w:left="0" w:firstLine="420"/>
        <w:rPr>
          <w:rFonts w:ascii="Times New Roman"/>
          <w:sz w:val="21"/>
          <w:szCs w:val="21"/>
        </w:rPr>
      </w:pPr>
      <w:r>
        <w:rPr>
          <w:rFonts w:ascii="Times New Roman"/>
          <w:sz w:val="21"/>
          <w:szCs w:val="21"/>
        </w:rPr>
        <w:t>投标人应认真检阅招标文件中所有的章节、条款、格式、图纸、附表和附件等。如果在收到招标文件后发现有缺页、印刷不清楚或对其中内容不理解而未向招标方提出，由此导致的投标失误，其责任由投标人自负。</w:t>
      </w:r>
    </w:p>
    <w:p w14:paraId="22440AA4">
      <w:pPr>
        <w:numPr>
          <w:ilvl w:val="1"/>
          <w:numId w:val="5"/>
        </w:numPr>
        <w:tabs>
          <w:tab w:val="left" w:pos="851"/>
        </w:tabs>
        <w:spacing w:before="0" w:beforeLines="0" w:line="360" w:lineRule="auto"/>
        <w:ind w:left="0" w:firstLine="420"/>
        <w:rPr>
          <w:rFonts w:ascii="Times New Roman"/>
          <w:sz w:val="21"/>
          <w:szCs w:val="21"/>
        </w:rPr>
      </w:pPr>
      <w:r>
        <w:rPr>
          <w:rFonts w:ascii="Times New Roman"/>
          <w:sz w:val="21"/>
          <w:szCs w:val="21"/>
        </w:rPr>
        <w:t>投标人没有按照招标文件要求提交全部资料，或者投标没有对招标文件在各方面都作出实质性响应是投标人的风险，并可能导致其投标被否决。投标人在投标文件中提出的对招标文件的要求带有限制性的理解或注释将被视为没有全面响应招标文件的要求。</w:t>
      </w:r>
    </w:p>
    <w:p w14:paraId="3DA45661">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236" w:name="_Toc3814"/>
      <w:bookmarkStart w:id="237" w:name="_Toc468512313"/>
      <w:bookmarkStart w:id="238" w:name="_Toc192127007"/>
      <w:bookmarkStart w:id="239" w:name="_Toc167685202"/>
      <w:bookmarkStart w:id="240" w:name="_Toc179089583"/>
      <w:bookmarkStart w:id="241" w:name="_Toc167767439"/>
      <w:bookmarkStart w:id="242" w:name="_Toc193981265"/>
      <w:bookmarkStart w:id="243" w:name="_Toc463840332"/>
      <w:bookmarkStart w:id="244" w:name="_Toc29122"/>
      <w:bookmarkStart w:id="245" w:name="_Toc118208089"/>
      <w:bookmarkStart w:id="246" w:name="_Toc620"/>
      <w:bookmarkStart w:id="247" w:name="_Toc463842012"/>
      <w:bookmarkStart w:id="248" w:name="_Toc468509328"/>
      <w:bookmarkStart w:id="249" w:name="_Toc463840076"/>
      <w:bookmarkStart w:id="250" w:name="_Toc468781064"/>
      <w:bookmarkStart w:id="251" w:name="_Toc176663477"/>
      <w:bookmarkStart w:id="252" w:name="_Toc224010177"/>
      <w:bookmarkStart w:id="253" w:name="_Toc468518920"/>
      <w:bookmarkStart w:id="254" w:name="_Toc465683854"/>
      <w:bookmarkStart w:id="255" w:name="_Toc179087228"/>
      <w:bookmarkStart w:id="256" w:name="_Toc15810998"/>
      <w:bookmarkStart w:id="257" w:name="_Toc375564267"/>
      <w:bookmarkStart w:id="258" w:name="_Toc468512126"/>
      <w:bookmarkStart w:id="259" w:name="_Toc2694"/>
      <w:bookmarkStart w:id="260" w:name="_Toc463840857"/>
      <w:bookmarkStart w:id="261" w:name="_Toc466081561"/>
      <w:bookmarkStart w:id="262" w:name="_Toc20624"/>
      <w:bookmarkStart w:id="263" w:name="_Toc491534420"/>
      <w:bookmarkStart w:id="264" w:name="_Toc68407740"/>
      <w:bookmarkStart w:id="265" w:name="_Toc223786509"/>
      <w:bookmarkStart w:id="266" w:name="_Toc118061515"/>
      <w:bookmarkStart w:id="267" w:name="_Toc119786470"/>
      <w:bookmarkStart w:id="268" w:name="_Toc65597741"/>
      <w:bookmarkStart w:id="269" w:name="_Toc72583484"/>
      <w:bookmarkStart w:id="270" w:name="_Toc213049009"/>
      <w:bookmarkStart w:id="271" w:name="_Toc68417333"/>
      <w:bookmarkStart w:id="272" w:name="_Toc65498362"/>
      <w:bookmarkStart w:id="273" w:name="_Toc65846692"/>
      <w:bookmarkStart w:id="274" w:name="_Toc121308032"/>
      <w:bookmarkStart w:id="275" w:name="_Toc70094677"/>
      <w:bookmarkStart w:id="276" w:name="_Toc121830575"/>
      <w:bookmarkStart w:id="277" w:name="_Toc121182302"/>
      <w:bookmarkStart w:id="278" w:name="_Toc65420090"/>
      <w:bookmarkStart w:id="279" w:name="_Toc118890510"/>
      <w:bookmarkStart w:id="280" w:name="_Toc65641116"/>
      <w:r>
        <w:rPr>
          <w:rFonts w:ascii="Times New Roman" w:hAnsi="Times New Roman" w:eastAsia="宋体" w:cs="Times New Roman"/>
          <w:b/>
          <w:sz w:val="21"/>
          <w:szCs w:val="21"/>
        </w:rPr>
        <w:t>招标文件的澄清</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C2B9373">
      <w:pPr>
        <w:numPr>
          <w:ilvl w:val="1"/>
          <w:numId w:val="7"/>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任何要求对招标文件进行澄清的投标人，应在投标人须知前附表所规定的时间之前，以书面形式通知招标代理机构，同时以发电子邮件的形式提供电子版本文件。</w:t>
      </w:r>
    </w:p>
    <w:p w14:paraId="4AEEA990">
      <w:pPr>
        <w:numPr>
          <w:ilvl w:val="1"/>
          <w:numId w:val="7"/>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招标方将根据投标人的书面澄清要求进行澄清答复，招标方只答复与招标文件内容有关的问题，并有权对任何与招标文件无关的问题不作回答。</w:t>
      </w:r>
    </w:p>
    <w:p w14:paraId="63B571CD">
      <w:pPr>
        <w:numPr>
          <w:ilvl w:val="1"/>
          <w:numId w:val="7"/>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招标人将澄清的答复内容（答复中包括问题但不包括问题的来源）进行整理，并以补充招标文件的形式在</w:t>
      </w:r>
      <w:r>
        <w:rPr>
          <w:rFonts w:ascii="瀹嬩綋" w:hAnsi="瀹嬩綋" w:eastAsia="瀹嬩綋" w:cs="瀹嬩綋"/>
          <w:color w:val="000000"/>
          <w:kern w:val="0"/>
          <w:sz w:val="21"/>
          <w:szCs w:val="21"/>
          <w:lang w:val="en-US" w:eastAsia="zh-CN" w:bidi="ar"/>
        </w:rPr>
        <w:t>在发布招标公告媒介上发布</w:t>
      </w:r>
      <w:r>
        <w:rPr>
          <w:rFonts w:ascii="Times New Roman"/>
          <w:sz w:val="21"/>
          <w:szCs w:val="21"/>
        </w:rPr>
        <w:t>的形式通知所有潜在投标人，发布之日起，视为投标人已收到该补充招标文件；投标人未及时关注</w:t>
      </w:r>
      <w:r>
        <w:rPr>
          <w:rFonts w:ascii="瀹嬩綋" w:hAnsi="瀹嬩綋" w:eastAsia="瀹嬩綋" w:cs="瀹嬩綋"/>
          <w:color w:val="000000"/>
          <w:kern w:val="0"/>
          <w:sz w:val="21"/>
          <w:szCs w:val="21"/>
          <w:lang w:val="en-US" w:eastAsia="zh-CN" w:bidi="ar"/>
        </w:rPr>
        <w:t>发布招标公告媒介</w:t>
      </w:r>
      <w:r>
        <w:rPr>
          <w:rFonts w:hint="eastAsia" w:ascii="瀹嬩綋" w:hAnsi="瀹嬩綋" w:eastAsia="瀹嬩綋" w:cs="瀹嬩綋"/>
          <w:color w:val="000000"/>
          <w:kern w:val="0"/>
          <w:sz w:val="21"/>
          <w:szCs w:val="21"/>
          <w:lang w:val="en-US" w:eastAsia="zh-CN" w:bidi="ar"/>
        </w:rPr>
        <w:t>网站上</w:t>
      </w:r>
      <w:r>
        <w:rPr>
          <w:rFonts w:ascii="Times New Roman"/>
          <w:sz w:val="21"/>
          <w:szCs w:val="21"/>
        </w:rPr>
        <w:t>发布的补充招标文件造成的损失，由投标人自行负责。该答复的内容为招标文件的组成部分。</w:t>
      </w:r>
    </w:p>
    <w:p w14:paraId="49F0BA0E">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281" w:name="_招标文件的修改"/>
      <w:bookmarkEnd w:id="281"/>
      <w:bookmarkStart w:id="282" w:name="_Toc24017"/>
      <w:bookmarkStart w:id="283" w:name="_Toc193981266"/>
      <w:bookmarkStart w:id="284" w:name="_Toc23530"/>
      <w:bookmarkStart w:id="285" w:name="_Toc491534421"/>
      <w:bookmarkStart w:id="286" w:name="_Toc3416"/>
      <w:bookmarkStart w:id="287" w:name="_Toc375564268"/>
      <w:bookmarkStart w:id="288" w:name="_Toc10603"/>
      <w:bookmarkStart w:id="289" w:name="_Toc17547"/>
      <w:bookmarkStart w:id="290" w:name="_Toc466081562"/>
      <w:bookmarkStart w:id="291" w:name="_Toc167685203"/>
      <w:bookmarkStart w:id="292" w:name="_Toc468518921"/>
      <w:bookmarkStart w:id="293" w:name="_Toc463840333"/>
      <w:bookmarkStart w:id="294" w:name="_Toc468512127"/>
      <w:bookmarkStart w:id="295" w:name="_Toc468781065"/>
      <w:bookmarkStart w:id="296" w:name="_Toc176663478"/>
      <w:bookmarkStart w:id="297" w:name="_Toc463840077"/>
      <w:bookmarkStart w:id="298" w:name="_Toc463842013"/>
      <w:bookmarkStart w:id="299" w:name="_Toc468509329"/>
      <w:bookmarkStart w:id="300" w:name="_Toc179089584"/>
      <w:bookmarkStart w:id="301" w:name="_Toc15810999"/>
      <w:bookmarkStart w:id="302" w:name="_Toc465683855"/>
      <w:bookmarkStart w:id="303" w:name="_Toc463840858"/>
      <w:bookmarkStart w:id="304" w:name="夏9"/>
      <w:bookmarkStart w:id="305" w:name="_Toc179087229"/>
      <w:bookmarkStart w:id="306" w:name="_Toc192127008"/>
      <w:bookmarkStart w:id="307" w:name="_Toc167767440"/>
      <w:bookmarkStart w:id="308" w:name="_Toc224010178"/>
      <w:bookmarkStart w:id="309" w:name="_Toc118208090"/>
      <w:bookmarkStart w:id="310" w:name="_Toc468512314"/>
      <w:r>
        <w:rPr>
          <w:rFonts w:ascii="Times New Roman" w:hAnsi="Times New Roman" w:eastAsia="宋体" w:cs="Times New Roman"/>
          <w:b/>
          <w:sz w:val="21"/>
          <w:szCs w:val="21"/>
        </w:rPr>
        <w:t>招标文件的补遗或修改</w:t>
      </w:r>
      <w:bookmarkEnd w:id="282"/>
      <w:bookmarkEnd w:id="283"/>
      <w:bookmarkEnd w:id="284"/>
      <w:bookmarkEnd w:id="285"/>
      <w:bookmarkEnd w:id="286"/>
      <w:bookmarkEnd w:id="287"/>
      <w:bookmarkEnd w:id="288"/>
      <w:bookmarkEnd w:id="289"/>
    </w:p>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0A40A174">
      <w:pPr>
        <w:numPr>
          <w:ilvl w:val="0"/>
          <w:numId w:val="8"/>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在投标截止期前，无论出于何种原因，招标方可以主动或应投标人澄清要求对招标文件进行必要的补遗或修改。</w:t>
      </w:r>
    </w:p>
    <w:p w14:paraId="49762373">
      <w:pPr>
        <w:numPr>
          <w:ilvl w:val="0"/>
          <w:numId w:val="8"/>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招标文件的补遗或修改通知是招标文件的组成部分，将以补充招标文件的形式在</w:t>
      </w:r>
      <w:r>
        <w:rPr>
          <w:rFonts w:ascii="瀹嬩綋" w:hAnsi="瀹嬩綋" w:eastAsia="瀹嬩綋" w:cs="瀹嬩綋"/>
          <w:color w:val="000000"/>
          <w:kern w:val="0"/>
          <w:sz w:val="21"/>
          <w:szCs w:val="21"/>
          <w:lang w:val="en-US" w:eastAsia="zh-CN" w:bidi="ar"/>
        </w:rPr>
        <w:t>在发布招标公告媒介上发布</w:t>
      </w:r>
      <w:r>
        <w:rPr>
          <w:rFonts w:ascii="Times New Roman"/>
          <w:sz w:val="21"/>
          <w:szCs w:val="21"/>
        </w:rPr>
        <w:t>的形式通知所有潜在投标人，发布之日起，视为投标人已收到该补充招标文件，并对投标人具有约束力；投标人未及时关注</w:t>
      </w:r>
      <w:r>
        <w:rPr>
          <w:rFonts w:ascii="瀹嬩綋" w:hAnsi="瀹嬩綋" w:eastAsia="瀹嬩綋" w:cs="瀹嬩綋"/>
          <w:color w:val="000000"/>
          <w:kern w:val="0"/>
          <w:sz w:val="21"/>
          <w:szCs w:val="21"/>
          <w:lang w:val="en-US" w:eastAsia="zh-CN" w:bidi="ar"/>
        </w:rPr>
        <w:t>发布招标公告媒介</w:t>
      </w:r>
      <w:r>
        <w:rPr>
          <w:rFonts w:ascii="Times New Roman"/>
          <w:sz w:val="21"/>
          <w:szCs w:val="21"/>
        </w:rPr>
        <w:t>网站上发布的补充招标文件造成的损失，由投标人自行负责。</w:t>
      </w:r>
    </w:p>
    <w:p w14:paraId="7A95FBCB">
      <w:pPr>
        <w:numPr>
          <w:ilvl w:val="0"/>
          <w:numId w:val="8"/>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当后发的补遗或修改通知与原招标文件或此前发出的补遗或修改通知之间存有不一致时，应以后发的补遗或修改通知为准。</w:t>
      </w:r>
    </w:p>
    <w:p w14:paraId="4EAD3BFB">
      <w:pPr>
        <w:numPr>
          <w:ilvl w:val="0"/>
          <w:numId w:val="8"/>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为使投标人准备投标时有充分时间对招标文件的补遗或修改部分进行研究，招标方可适当推迟投标截止期。</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Pr>
          <w:rFonts w:ascii="Times New Roman"/>
          <w:sz w:val="21"/>
          <w:szCs w:val="21"/>
        </w:rPr>
        <w:t>投标截止期距最后发出招标文件的答疑文件、补充文件、修改文件的日期不少于15天。</w:t>
      </w:r>
    </w:p>
    <w:p w14:paraId="0CBC2605">
      <w:pPr>
        <w:pStyle w:val="5"/>
        <w:numPr>
          <w:ilvl w:val="0"/>
          <w:numId w:val="1"/>
        </w:numPr>
        <w:tabs>
          <w:tab w:val="left" w:pos="851"/>
          <w:tab w:val="clear" w:pos="1134"/>
        </w:tabs>
        <w:spacing w:before="0" w:beforeLines="0" w:line="360" w:lineRule="auto"/>
        <w:ind w:left="0" w:firstLine="482"/>
        <w:rPr>
          <w:rFonts w:ascii="Times New Roman" w:hAnsi="Times New Roman" w:eastAsia="宋体"/>
          <w:b/>
          <w:bCs w:val="0"/>
          <w:sz w:val="24"/>
          <w:szCs w:val="24"/>
        </w:rPr>
      </w:pPr>
      <w:bookmarkStart w:id="311" w:name="_Toc121308034"/>
      <w:bookmarkStart w:id="312" w:name="_Toc375564269"/>
      <w:bookmarkStart w:id="313" w:name="_Toc70094679"/>
      <w:bookmarkStart w:id="314" w:name="_Toc118890512"/>
      <w:bookmarkStart w:id="315" w:name="_Toc65420092"/>
      <w:bookmarkStart w:id="316" w:name="_Toc65597743"/>
      <w:bookmarkStart w:id="317" w:name="_Toc223786511"/>
      <w:bookmarkStart w:id="318" w:name="_Toc68417335"/>
      <w:bookmarkStart w:id="319" w:name="_Toc10784"/>
      <w:bookmarkStart w:id="320" w:name="_Toc193981267"/>
      <w:bookmarkStart w:id="321" w:name="_Toc121830577"/>
      <w:bookmarkStart w:id="322" w:name="_Toc68407742"/>
      <w:bookmarkStart w:id="323" w:name="_Toc213049011"/>
      <w:bookmarkStart w:id="324" w:name="_Toc119786472"/>
      <w:bookmarkStart w:id="325" w:name="_Toc118061517"/>
      <w:bookmarkStart w:id="326" w:name="_Toc65846694"/>
      <w:bookmarkStart w:id="327" w:name="_Toc121182304"/>
      <w:bookmarkStart w:id="328" w:name="_Toc65498364"/>
      <w:bookmarkStart w:id="329" w:name="_Toc65641118"/>
      <w:bookmarkStart w:id="330" w:name="_Toc72583486"/>
      <w:bookmarkStart w:id="331" w:name="_Toc55500018"/>
      <w:r>
        <w:rPr>
          <w:rFonts w:ascii="Times New Roman" w:hAnsi="Times New Roman" w:eastAsia="宋体"/>
          <w:b/>
          <w:bCs w:val="0"/>
          <w:sz w:val="24"/>
          <w:szCs w:val="24"/>
        </w:rPr>
        <w:t>投标文件的编制</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1387A00">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332" w:name="_Toc121830578"/>
      <w:bookmarkStart w:id="333" w:name="_Toc65641119"/>
      <w:bookmarkStart w:id="334" w:name="_Toc68417336"/>
      <w:bookmarkStart w:id="335" w:name="_Toc193981268"/>
      <w:bookmarkStart w:id="336" w:name="_Toc1010"/>
      <w:bookmarkStart w:id="337" w:name="_Toc65846695"/>
      <w:bookmarkStart w:id="338" w:name="_Toc3959"/>
      <w:bookmarkStart w:id="339" w:name="_Toc121182305"/>
      <w:bookmarkStart w:id="340" w:name="_Toc223786512"/>
      <w:bookmarkStart w:id="341" w:name="_Toc65597744"/>
      <w:bookmarkStart w:id="342" w:name="_Toc72583487"/>
      <w:bookmarkStart w:id="343" w:name="_Toc119786473"/>
      <w:bookmarkStart w:id="344" w:name="_Toc859"/>
      <w:bookmarkStart w:id="345" w:name="_Toc213049012"/>
      <w:bookmarkStart w:id="346" w:name="_Toc68407743"/>
      <w:bookmarkStart w:id="347" w:name="_Toc121308035"/>
      <w:bookmarkStart w:id="348" w:name="_Toc491534423"/>
      <w:bookmarkStart w:id="349" w:name="_Toc70094680"/>
      <w:bookmarkStart w:id="350" w:name="_Toc65498365"/>
      <w:bookmarkStart w:id="351" w:name="_Toc16054"/>
      <w:bookmarkStart w:id="352" w:name="_Toc375564270"/>
      <w:bookmarkStart w:id="353" w:name="_Toc118890513"/>
      <w:bookmarkStart w:id="354" w:name="_Toc118061518"/>
      <w:bookmarkStart w:id="355" w:name="_Toc65420093"/>
      <w:bookmarkStart w:id="356" w:name="_Toc10947"/>
      <w:r>
        <w:rPr>
          <w:rFonts w:ascii="Times New Roman" w:hAnsi="Times New Roman" w:eastAsia="宋体" w:cs="Times New Roman"/>
          <w:b/>
          <w:sz w:val="21"/>
          <w:szCs w:val="21"/>
        </w:rPr>
        <w:t>编制要求</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E82CEE3">
      <w:pPr>
        <w:tabs>
          <w:tab w:val="left" w:pos="851"/>
        </w:tabs>
        <w:spacing w:before="0" w:beforeLines="0" w:line="360" w:lineRule="auto"/>
        <w:ind w:firstLine="420"/>
        <w:rPr>
          <w:rFonts w:ascii="Times New Roman"/>
          <w:sz w:val="21"/>
          <w:szCs w:val="21"/>
        </w:rPr>
      </w:pPr>
      <w:r>
        <w:rPr>
          <w:rFonts w:ascii="Times New Roman"/>
          <w:sz w:val="21"/>
          <w:szCs w:val="21"/>
        </w:rPr>
        <w:t xml:space="preserve"> 投标人应认真阅读招标文件的所有内容，按招标文件的要求提供投标文件，并保证提供的全部资料的真实性，以使其投标对招标文件作出实质性响应，否则，其投标将被否决。</w:t>
      </w:r>
    </w:p>
    <w:p w14:paraId="22EED9FE">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357" w:name="_Toc463840861"/>
      <w:bookmarkStart w:id="358" w:name="_Toc3086"/>
      <w:bookmarkStart w:id="359" w:name="_Toc179087232"/>
      <w:bookmarkStart w:id="360" w:name="_Toc11876"/>
      <w:bookmarkStart w:id="361" w:name="_Toc24181"/>
      <w:bookmarkStart w:id="362" w:name="_Toc15811003"/>
      <w:bookmarkStart w:id="363" w:name="_Toc465683858"/>
      <w:bookmarkStart w:id="364" w:name="_Toc468512130"/>
      <w:bookmarkStart w:id="365" w:name="_Toc375564271"/>
      <w:bookmarkStart w:id="366" w:name="_Toc463840336"/>
      <w:bookmarkStart w:id="367" w:name="_Toc468509332"/>
      <w:bookmarkStart w:id="368" w:name="_Toc118208094"/>
      <w:bookmarkStart w:id="369" w:name="_Toc192127012"/>
      <w:bookmarkStart w:id="370" w:name="_Toc7903"/>
      <w:bookmarkStart w:id="371" w:name="_Toc224010181"/>
      <w:bookmarkStart w:id="372" w:name="_Toc468781068"/>
      <w:bookmarkStart w:id="373" w:name="_Toc167767444"/>
      <w:bookmarkStart w:id="374" w:name="_Toc468518924"/>
      <w:bookmarkStart w:id="375" w:name="_Toc463840080"/>
      <w:bookmarkStart w:id="376" w:name="_Toc193981269"/>
      <w:bookmarkStart w:id="377" w:name="_Toc179089587"/>
      <w:bookmarkStart w:id="378" w:name="_Toc466081565"/>
      <w:bookmarkStart w:id="379" w:name="_Toc468512317"/>
      <w:bookmarkStart w:id="380" w:name="_Toc176663482"/>
      <w:bookmarkStart w:id="381" w:name="_Toc167685206"/>
      <w:bookmarkStart w:id="382" w:name="_Toc463842016"/>
      <w:bookmarkStart w:id="383" w:name="_Toc862"/>
      <w:bookmarkStart w:id="384" w:name="_Toc491534424"/>
      <w:r>
        <w:rPr>
          <w:rFonts w:ascii="Times New Roman" w:hAnsi="Times New Roman" w:eastAsia="宋体" w:cs="Times New Roman"/>
          <w:b/>
          <w:sz w:val="21"/>
          <w:szCs w:val="21"/>
        </w:rPr>
        <w:t>投标语言及计量单位</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464701A">
      <w:pPr>
        <w:numPr>
          <w:ilvl w:val="1"/>
          <w:numId w:val="9"/>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投标人提交的投标文件以及投标人与招标人、招标代理机构就投标交换的文件和来往信件应以简体中文书写，同时允许投标文件附有英文版作为参考。如中文版本与英文版本有不同的解释时，以中文版本的解释为准。投标人提交的支持文件和印制的文献可以使用英文，但相应内容应附有中文翻译。</w:t>
      </w:r>
    </w:p>
    <w:p w14:paraId="39F97107">
      <w:pPr>
        <w:numPr>
          <w:ilvl w:val="1"/>
          <w:numId w:val="9"/>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除在招标文件另有规定外，计量单位应使用中华人民共和国法定计量单位。</w:t>
      </w:r>
    </w:p>
    <w:p w14:paraId="6E20335A">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385" w:name="_Toc118061519"/>
      <w:bookmarkStart w:id="386" w:name="_Toc121308036"/>
      <w:bookmarkStart w:id="387" w:name="_Toc68407744"/>
      <w:bookmarkStart w:id="388" w:name="_Toc65420094"/>
      <w:bookmarkStart w:id="389" w:name="_Toc121830579"/>
      <w:bookmarkStart w:id="390" w:name="_Toc65846696"/>
      <w:bookmarkStart w:id="391" w:name="_Toc30926"/>
      <w:bookmarkStart w:id="392" w:name="_Toc213049013"/>
      <w:bookmarkStart w:id="393" w:name="_Toc498"/>
      <w:bookmarkStart w:id="394" w:name="_Toc193981270"/>
      <w:bookmarkStart w:id="395" w:name="_Toc65641120"/>
      <w:bookmarkStart w:id="396" w:name="_Toc65597745"/>
      <w:bookmarkStart w:id="397" w:name="_Toc121182306"/>
      <w:bookmarkStart w:id="398" w:name="_Toc6918"/>
      <w:bookmarkStart w:id="399" w:name="_Toc70094681"/>
      <w:bookmarkStart w:id="400" w:name="_Toc21752"/>
      <w:bookmarkStart w:id="401" w:name="_Toc65498366"/>
      <w:bookmarkStart w:id="402" w:name="_Toc118890514"/>
      <w:bookmarkStart w:id="403" w:name="_Toc4032"/>
      <w:bookmarkStart w:id="404" w:name="_Toc68417337"/>
      <w:bookmarkStart w:id="405" w:name="_Toc72583488"/>
      <w:bookmarkStart w:id="406" w:name="_Toc119786474"/>
      <w:bookmarkStart w:id="407" w:name="_Toc375564272"/>
      <w:bookmarkStart w:id="408" w:name="_Toc223786513"/>
      <w:bookmarkStart w:id="409" w:name="_Toc491534425"/>
      <w:r>
        <w:rPr>
          <w:rFonts w:ascii="Times New Roman" w:hAnsi="Times New Roman" w:eastAsia="宋体" w:cs="Times New Roman"/>
          <w:b/>
          <w:sz w:val="21"/>
          <w:szCs w:val="21"/>
        </w:rPr>
        <w:t>投标文件组成</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E8CB99A">
      <w:pPr>
        <w:tabs>
          <w:tab w:val="left" w:pos="851"/>
        </w:tabs>
        <w:spacing w:before="0" w:beforeLines="0" w:line="360" w:lineRule="auto"/>
        <w:ind w:firstLine="420"/>
        <w:rPr>
          <w:rFonts w:ascii="Times New Roman"/>
          <w:sz w:val="21"/>
          <w:szCs w:val="21"/>
        </w:rPr>
      </w:pPr>
      <w:r>
        <w:rPr>
          <w:rFonts w:ascii="Times New Roman"/>
          <w:sz w:val="21"/>
          <w:szCs w:val="21"/>
        </w:rPr>
        <w:t xml:space="preserve"> 投标文件应提供足够、准确和真实的信息，以供评标委员会判断投标人是否具备承担本项目的能力。投标人递交的投标文件应包括（但不限于）下列部分（格式见第六章投标文件格式）：</w:t>
      </w:r>
    </w:p>
    <w:p w14:paraId="341DAD04">
      <w:pPr>
        <w:numPr>
          <w:ilvl w:val="1"/>
          <w:numId w:val="10"/>
        </w:numPr>
        <w:tabs>
          <w:tab w:val="left" w:pos="993"/>
          <w:tab w:val="left" w:pos="8364"/>
          <w:tab w:val="clear" w:pos="1134"/>
        </w:tabs>
        <w:spacing w:before="0" w:beforeLines="0" w:line="360" w:lineRule="auto"/>
        <w:ind w:left="0" w:firstLine="422"/>
        <w:rPr>
          <w:rFonts w:ascii="Times New Roman"/>
          <w:b/>
          <w:bCs/>
          <w:sz w:val="21"/>
          <w:szCs w:val="21"/>
        </w:rPr>
      </w:pPr>
      <w:r>
        <w:rPr>
          <w:rFonts w:ascii="Times New Roman"/>
          <w:b/>
          <w:bCs/>
          <w:sz w:val="21"/>
          <w:szCs w:val="21"/>
        </w:rPr>
        <w:t>资格审查部分</w:t>
      </w:r>
    </w:p>
    <w:p w14:paraId="380B1D26">
      <w:pPr>
        <w:numPr>
          <w:ilvl w:val="1"/>
          <w:numId w:val="10"/>
        </w:numPr>
        <w:tabs>
          <w:tab w:val="left" w:pos="993"/>
          <w:tab w:val="left" w:pos="8364"/>
          <w:tab w:val="clear" w:pos="1134"/>
        </w:tabs>
        <w:spacing w:before="0" w:beforeLines="0" w:line="360" w:lineRule="auto"/>
        <w:ind w:left="0" w:firstLine="422"/>
        <w:rPr>
          <w:rFonts w:ascii="Times New Roman"/>
          <w:b/>
          <w:bCs/>
          <w:sz w:val="21"/>
          <w:szCs w:val="21"/>
        </w:rPr>
      </w:pPr>
      <w:r>
        <w:rPr>
          <w:rFonts w:ascii="Times New Roman"/>
          <w:b/>
          <w:bCs/>
          <w:sz w:val="21"/>
          <w:szCs w:val="21"/>
        </w:rPr>
        <w:t>资信部分</w:t>
      </w:r>
    </w:p>
    <w:p w14:paraId="62626141">
      <w:pPr>
        <w:numPr>
          <w:ilvl w:val="1"/>
          <w:numId w:val="10"/>
        </w:numPr>
        <w:tabs>
          <w:tab w:val="left" w:pos="993"/>
          <w:tab w:val="left" w:pos="1060"/>
          <w:tab w:val="left" w:pos="8364"/>
          <w:tab w:val="clear" w:pos="1134"/>
        </w:tabs>
        <w:spacing w:before="0" w:beforeLines="0" w:line="360" w:lineRule="auto"/>
        <w:ind w:left="0" w:firstLine="422"/>
        <w:rPr>
          <w:rFonts w:ascii="Times New Roman"/>
          <w:b/>
          <w:bCs/>
          <w:sz w:val="21"/>
          <w:szCs w:val="21"/>
        </w:rPr>
      </w:pPr>
      <w:r>
        <w:rPr>
          <w:rFonts w:ascii="Times New Roman"/>
          <w:b/>
          <w:bCs/>
          <w:sz w:val="21"/>
          <w:szCs w:val="21"/>
        </w:rPr>
        <w:t>技术部分</w:t>
      </w:r>
    </w:p>
    <w:p w14:paraId="11FE4889">
      <w:pPr>
        <w:numPr>
          <w:ilvl w:val="1"/>
          <w:numId w:val="10"/>
        </w:numPr>
        <w:tabs>
          <w:tab w:val="left" w:pos="993"/>
          <w:tab w:val="left" w:pos="8364"/>
          <w:tab w:val="clear" w:pos="1134"/>
        </w:tabs>
        <w:spacing w:before="0" w:beforeLines="0" w:line="360" w:lineRule="auto"/>
        <w:ind w:left="0" w:firstLine="422"/>
        <w:rPr>
          <w:rFonts w:ascii="Times New Roman"/>
          <w:b/>
          <w:bCs/>
          <w:sz w:val="21"/>
          <w:szCs w:val="21"/>
        </w:rPr>
      </w:pPr>
      <w:r>
        <w:rPr>
          <w:rFonts w:ascii="Times New Roman"/>
          <w:b/>
          <w:bCs/>
          <w:sz w:val="21"/>
          <w:szCs w:val="21"/>
        </w:rPr>
        <w:t>报价部分</w:t>
      </w:r>
    </w:p>
    <w:p w14:paraId="11A69D3D">
      <w:pPr>
        <w:numPr>
          <w:ilvl w:val="1"/>
          <w:numId w:val="10"/>
        </w:numPr>
        <w:tabs>
          <w:tab w:val="left" w:pos="993"/>
          <w:tab w:val="left" w:pos="8364"/>
          <w:tab w:val="clear" w:pos="1134"/>
        </w:tabs>
        <w:spacing w:before="0" w:beforeLines="0" w:line="360" w:lineRule="auto"/>
        <w:ind w:left="0" w:firstLine="422"/>
        <w:rPr>
          <w:rFonts w:ascii="Times New Roman"/>
          <w:b/>
          <w:bCs/>
          <w:sz w:val="21"/>
          <w:szCs w:val="21"/>
        </w:rPr>
      </w:pPr>
      <w:r>
        <w:rPr>
          <w:rFonts w:ascii="Times New Roman"/>
          <w:b/>
          <w:bCs/>
          <w:sz w:val="21"/>
          <w:szCs w:val="21"/>
        </w:rPr>
        <w:t>电子文件</w:t>
      </w:r>
    </w:p>
    <w:p w14:paraId="1AD75C20">
      <w:pPr>
        <w:numPr>
          <w:ilvl w:val="0"/>
          <w:numId w:val="11"/>
        </w:numPr>
        <w:tabs>
          <w:tab w:val="left" w:pos="851"/>
          <w:tab w:val="left" w:pos="960"/>
          <w:tab w:val="left" w:pos="8364"/>
          <w:tab w:val="clear" w:pos="1814"/>
        </w:tabs>
        <w:spacing w:before="0" w:beforeLines="0" w:line="360" w:lineRule="auto"/>
        <w:ind w:left="0" w:firstLine="420"/>
        <w:rPr>
          <w:rFonts w:ascii="Times New Roman"/>
          <w:sz w:val="21"/>
          <w:szCs w:val="21"/>
        </w:rPr>
      </w:pPr>
      <w:r>
        <w:rPr>
          <w:rFonts w:hint="eastAsia" w:ascii="Times New Roman"/>
          <w:sz w:val="21"/>
          <w:szCs w:val="21"/>
        </w:rPr>
        <w:t>包含全部投标文件内容的电子文件1套（U盘）</w:t>
      </w:r>
      <w:r>
        <w:rPr>
          <w:rFonts w:ascii="Times New Roman"/>
          <w:sz w:val="21"/>
          <w:szCs w:val="21"/>
        </w:rPr>
        <w:t>。</w:t>
      </w:r>
    </w:p>
    <w:p w14:paraId="59DD259B">
      <w:pPr>
        <w:numPr>
          <w:ilvl w:val="0"/>
          <w:numId w:val="11"/>
        </w:numPr>
        <w:tabs>
          <w:tab w:val="left" w:pos="851"/>
          <w:tab w:val="left" w:pos="960"/>
          <w:tab w:val="left" w:pos="8364"/>
          <w:tab w:val="clear" w:pos="1814"/>
        </w:tabs>
        <w:spacing w:before="0" w:beforeLines="0" w:line="360" w:lineRule="auto"/>
        <w:ind w:left="0" w:firstLine="420"/>
        <w:rPr>
          <w:rFonts w:ascii="Times New Roman"/>
          <w:sz w:val="21"/>
          <w:szCs w:val="21"/>
        </w:rPr>
      </w:pPr>
      <w:r>
        <w:rPr>
          <w:rFonts w:ascii="Times New Roman"/>
          <w:sz w:val="21"/>
          <w:szCs w:val="21"/>
        </w:rPr>
        <w:t>电子文件与文本文件应完全一致。所有电子文档不允许压缩、设置密码。</w:t>
      </w:r>
    </w:p>
    <w:p w14:paraId="4859A885">
      <w:pPr>
        <w:numPr>
          <w:ilvl w:val="1"/>
          <w:numId w:val="10"/>
        </w:numPr>
        <w:tabs>
          <w:tab w:val="left" w:pos="993"/>
          <w:tab w:val="left" w:pos="8364"/>
          <w:tab w:val="clear" w:pos="1134"/>
        </w:tabs>
        <w:spacing w:before="0" w:beforeLines="0" w:line="360" w:lineRule="auto"/>
        <w:ind w:left="0" w:firstLine="422"/>
        <w:jc w:val="left"/>
        <w:rPr>
          <w:rFonts w:ascii="Times New Roman"/>
          <w:b/>
          <w:sz w:val="21"/>
          <w:szCs w:val="21"/>
        </w:rPr>
      </w:pPr>
      <w:r>
        <w:rPr>
          <w:rFonts w:ascii="Times New Roman"/>
          <w:b/>
          <w:sz w:val="21"/>
          <w:szCs w:val="21"/>
        </w:rPr>
        <w:t>资格审查部分、资信部分和技术部分中不得透露有关报价的任何信息，否则导致其投标被否决。</w:t>
      </w:r>
    </w:p>
    <w:p w14:paraId="57B0148F">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410" w:name="_Toc118208096"/>
      <w:bookmarkStart w:id="411" w:name="_Toc468512319"/>
      <w:bookmarkStart w:id="412" w:name="_Toc465683860"/>
      <w:bookmarkStart w:id="413" w:name="_Toc21268"/>
      <w:bookmarkStart w:id="414" w:name="_Toc193981271"/>
      <w:bookmarkStart w:id="415" w:name="_Toc10218"/>
      <w:bookmarkStart w:id="416" w:name="_Toc224010183"/>
      <w:bookmarkStart w:id="417" w:name="_Toc167685208"/>
      <w:bookmarkStart w:id="418" w:name="_Toc468509334"/>
      <w:bookmarkStart w:id="419" w:name="_Toc6950"/>
      <w:bookmarkStart w:id="420" w:name="_Toc463842018"/>
      <w:bookmarkStart w:id="421" w:name="_Toc468512132"/>
      <w:bookmarkStart w:id="422" w:name="_Toc463840082"/>
      <w:bookmarkStart w:id="423" w:name="_Toc192127014"/>
      <w:bookmarkStart w:id="424" w:name="_Toc468781070"/>
      <w:bookmarkStart w:id="425" w:name="_Toc463840338"/>
      <w:bookmarkStart w:id="426" w:name="_Toc179089589"/>
      <w:bookmarkStart w:id="427" w:name="_Toc179087234"/>
      <w:bookmarkStart w:id="428" w:name="_Toc466081567"/>
      <w:bookmarkStart w:id="429" w:name="_Toc4274"/>
      <w:bookmarkStart w:id="430" w:name="_Toc15811005"/>
      <w:bookmarkStart w:id="431" w:name="_Toc491534426"/>
      <w:bookmarkStart w:id="432" w:name="_Toc468518926"/>
      <w:bookmarkStart w:id="433" w:name="_Toc463840863"/>
      <w:bookmarkStart w:id="434" w:name="_Toc167767446"/>
      <w:bookmarkStart w:id="435" w:name="_Toc18136"/>
      <w:bookmarkStart w:id="436" w:name="_Toc176663484"/>
      <w:bookmarkStart w:id="437" w:name="_Toc375564273"/>
      <w:bookmarkStart w:id="438" w:name="_Toc213049014"/>
      <w:bookmarkStart w:id="439" w:name="_Toc121830580"/>
      <w:bookmarkStart w:id="440" w:name="_Toc119786475"/>
      <w:bookmarkStart w:id="441" w:name="_Toc68407745"/>
      <w:bookmarkStart w:id="442" w:name="_Toc68417338"/>
      <w:bookmarkStart w:id="443" w:name="_Toc65597746"/>
      <w:bookmarkStart w:id="444" w:name="_Toc65641121"/>
      <w:bookmarkStart w:id="445" w:name="_Toc65846697"/>
      <w:bookmarkStart w:id="446" w:name="_Toc118890515"/>
      <w:bookmarkStart w:id="447" w:name="_Toc65498367"/>
      <w:bookmarkStart w:id="448" w:name="_Toc223786514"/>
      <w:bookmarkStart w:id="449" w:name="_Toc65420095"/>
      <w:bookmarkStart w:id="450" w:name="_Toc121182307"/>
      <w:bookmarkStart w:id="451" w:name="_Toc121308037"/>
      <w:bookmarkStart w:id="452" w:name="_Toc72583489"/>
      <w:bookmarkStart w:id="453" w:name="_Toc118061520"/>
      <w:bookmarkStart w:id="454" w:name="_Toc70094682"/>
      <w:r>
        <w:rPr>
          <w:rFonts w:ascii="Times New Roman" w:hAnsi="Times New Roman" w:eastAsia="宋体" w:cs="Times New Roman"/>
          <w:b/>
          <w:sz w:val="21"/>
          <w:szCs w:val="21"/>
        </w:rPr>
        <w:t>投标文件格式</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4A0AC85">
      <w:pPr>
        <w:numPr>
          <w:ilvl w:val="1"/>
          <w:numId w:val="12"/>
        </w:numPr>
        <w:tabs>
          <w:tab w:val="left" w:pos="851"/>
          <w:tab w:val="left" w:pos="8364"/>
          <w:tab w:val="clear" w:pos="1134"/>
        </w:tabs>
        <w:spacing w:before="0" w:beforeLines="0" w:line="360" w:lineRule="auto"/>
        <w:ind w:left="0" w:firstLine="420"/>
        <w:rPr>
          <w:rFonts w:ascii="Times New Roman"/>
          <w:sz w:val="21"/>
          <w:szCs w:val="21"/>
        </w:rPr>
      </w:pPr>
      <w:r>
        <w:rPr>
          <w:rFonts w:ascii="Times New Roman"/>
          <w:sz w:val="21"/>
          <w:szCs w:val="21"/>
        </w:rPr>
        <w:t>投标人应按本投标人须知第10条的内容与要求和提供的格式编写其投标文件，投标人不得缺少或留空任何招标文件要求填写的表格或提交的资料。</w:t>
      </w:r>
    </w:p>
    <w:p w14:paraId="2C71D134">
      <w:pPr>
        <w:numPr>
          <w:ilvl w:val="1"/>
          <w:numId w:val="12"/>
        </w:numPr>
        <w:tabs>
          <w:tab w:val="left" w:pos="851"/>
          <w:tab w:val="left" w:pos="8364"/>
          <w:tab w:val="clear" w:pos="1134"/>
        </w:tabs>
        <w:spacing w:before="0" w:beforeLines="0" w:line="360" w:lineRule="auto"/>
        <w:ind w:left="0" w:firstLine="420"/>
        <w:rPr>
          <w:rFonts w:ascii="Times New Roman"/>
          <w:sz w:val="21"/>
          <w:szCs w:val="21"/>
        </w:rPr>
      </w:pPr>
      <w:r>
        <w:rPr>
          <w:rFonts w:ascii="Times New Roman"/>
          <w:sz w:val="21"/>
          <w:szCs w:val="21"/>
        </w:rPr>
        <w:t>投标人应将投标文件按本投标人须知第10条规定的顺序编排、编制目录、逐页标注连续页码、并装订成册，各分册前须有分册目录。</w:t>
      </w:r>
    </w:p>
    <w:p w14:paraId="2801352D">
      <w:pPr>
        <w:numPr>
          <w:ilvl w:val="1"/>
          <w:numId w:val="12"/>
        </w:numPr>
        <w:tabs>
          <w:tab w:val="left" w:pos="851"/>
          <w:tab w:val="left" w:pos="8364"/>
          <w:tab w:val="clear" w:pos="1134"/>
        </w:tabs>
        <w:spacing w:before="0" w:beforeLines="0" w:line="360" w:lineRule="auto"/>
        <w:ind w:left="0" w:firstLine="420"/>
        <w:rPr>
          <w:rFonts w:ascii="Times New Roman"/>
          <w:sz w:val="21"/>
          <w:szCs w:val="21"/>
        </w:rPr>
      </w:pPr>
      <w:r>
        <w:rPr>
          <w:rFonts w:ascii="Times New Roman"/>
          <w:sz w:val="21"/>
          <w:szCs w:val="21"/>
        </w:rPr>
        <w:t>投标文件的规格：统一为A4印刷本，纸质封面。封面标明文件题名、招标编号、投标人名称、投标时间，右上角打上正本（或副本）。采用无线胶装，不能使用塑料面或塑料胶条装订。</w:t>
      </w:r>
    </w:p>
    <w:p w14:paraId="3F0594CF">
      <w:pPr>
        <w:numPr>
          <w:ilvl w:val="1"/>
          <w:numId w:val="12"/>
        </w:numPr>
        <w:tabs>
          <w:tab w:val="left" w:pos="851"/>
          <w:tab w:val="left" w:pos="8364"/>
          <w:tab w:val="clear" w:pos="1134"/>
        </w:tabs>
        <w:spacing w:before="0" w:beforeLines="0" w:line="360" w:lineRule="auto"/>
        <w:ind w:left="0" w:firstLine="420"/>
        <w:rPr>
          <w:rFonts w:ascii="Times New Roman"/>
          <w:sz w:val="21"/>
          <w:szCs w:val="21"/>
        </w:rPr>
      </w:pPr>
      <w:r>
        <w:rPr>
          <w:rFonts w:ascii="Times New Roman"/>
          <w:sz w:val="21"/>
          <w:szCs w:val="21"/>
        </w:rPr>
        <w:t>投标文件的页码：按每本从正文（不含目录）逐页从1开始，按照流水号编号（包括附图、证件、图片），页号正面在右下角，反面在左下角（空白页面不编号）。</w:t>
      </w:r>
    </w:p>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14:paraId="2C40A71F">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455" w:name="_Toc30300"/>
      <w:bookmarkStart w:id="456" w:name="_Toc65498368"/>
      <w:bookmarkStart w:id="457" w:name="_Toc213049015"/>
      <w:bookmarkStart w:id="458" w:name="_Toc65641122"/>
      <w:bookmarkStart w:id="459" w:name="_Toc121182308"/>
      <w:bookmarkStart w:id="460" w:name="_Toc68417339"/>
      <w:bookmarkStart w:id="461" w:name="_Toc223786515"/>
      <w:bookmarkStart w:id="462" w:name="_Toc375564274"/>
      <w:bookmarkStart w:id="463" w:name="_Toc70094683"/>
      <w:bookmarkStart w:id="464" w:name="_Toc118061521"/>
      <w:bookmarkStart w:id="465" w:name="_Toc121308038"/>
      <w:bookmarkStart w:id="466" w:name="_Toc72583490"/>
      <w:bookmarkStart w:id="467" w:name="_Toc8701"/>
      <w:bookmarkStart w:id="468" w:name="_Toc118890516"/>
      <w:bookmarkStart w:id="469" w:name="_Toc65846698"/>
      <w:bookmarkStart w:id="470" w:name="_Toc193981272"/>
      <w:bookmarkStart w:id="471" w:name="_Toc65420096"/>
      <w:bookmarkStart w:id="472" w:name="_Toc121830581"/>
      <w:bookmarkStart w:id="473" w:name="_Toc23737"/>
      <w:bookmarkStart w:id="474" w:name="_Toc65597747"/>
      <w:bookmarkStart w:id="475" w:name="_Toc491534427"/>
      <w:bookmarkStart w:id="476" w:name="_Toc11536"/>
      <w:bookmarkStart w:id="477" w:name="_Toc119786476"/>
      <w:bookmarkStart w:id="478" w:name="_Toc68407746"/>
      <w:bookmarkStart w:id="479" w:name="_Toc6649"/>
      <w:r>
        <w:rPr>
          <w:rFonts w:ascii="Times New Roman" w:hAnsi="Times New Roman" w:eastAsia="宋体" w:cs="Times New Roman"/>
          <w:b/>
          <w:sz w:val="21"/>
          <w:szCs w:val="21"/>
        </w:rPr>
        <w:t>投标报价</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23681D3">
      <w:pPr>
        <w:numPr>
          <w:ilvl w:val="0"/>
          <w:numId w:val="13"/>
        </w:numPr>
        <w:tabs>
          <w:tab w:val="left" w:pos="851"/>
          <w:tab w:val="left" w:pos="8364"/>
        </w:tabs>
        <w:spacing w:before="0" w:beforeLines="0" w:line="360" w:lineRule="auto"/>
        <w:ind w:left="0" w:firstLine="420"/>
        <w:rPr>
          <w:rFonts w:hAnsi="宋体"/>
          <w:sz w:val="21"/>
          <w:szCs w:val="21"/>
        </w:rPr>
      </w:pPr>
      <w:r>
        <w:rPr>
          <w:rFonts w:hAnsi="宋体"/>
          <w:sz w:val="21"/>
          <w:szCs w:val="21"/>
        </w:rPr>
        <w:t>投标人应完整地填写招标文件中提供的“投标函”及“投标函附录”。按“投标函”和“投标函附录”的要求报价。如“投标函”与“投标函附录”所填报的价格不一致，则以“投标函”中的</w:t>
      </w:r>
      <w:r>
        <w:rPr>
          <w:rFonts w:hint="eastAsia" w:hAnsi="宋体"/>
          <w:sz w:val="21"/>
          <w:szCs w:val="21"/>
        </w:rPr>
        <w:t>价格</w:t>
      </w:r>
      <w:r>
        <w:rPr>
          <w:rFonts w:hAnsi="宋体"/>
          <w:sz w:val="21"/>
          <w:szCs w:val="21"/>
        </w:rPr>
        <w:t>为准，如“投标函”中大写金额与小写金额不一致，以大写金额为准。</w:t>
      </w:r>
    </w:p>
    <w:p w14:paraId="2B0B7F80">
      <w:pPr>
        <w:numPr>
          <w:ilvl w:val="0"/>
          <w:numId w:val="13"/>
        </w:numPr>
        <w:tabs>
          <w:tab w:val="left" w:pos="851"/>
          <w:tab w:val="left" w:pos="8364"/>
        </w:tabs>
        <w:spacing w:before="0" w:beforeLines="0" w:line="360" w:lineRule="auto"/>
        <w:ind w:left="0" w:firstLine="420"/>
        <w:rPr>
          <w:rFonts w:hAnsi="宋体"/>
          <w:sz w:val="21"/>
          <w:szCs w:val="21"/>
        </w:rPr>
      </w:pPr>
      <w:r>
        <w:rPr>
          <w:rFonts w:hAnsi="宋体"/>
          <w:sz w:val="21"/>
          <w:szCs w:val="21"/>
        </w:rPr>
        <w:t>投标人的</w:t>
      </w:r>
      <w:r>
        <w:rPr>
          <w:rFonts w:hint="eastAsia" w:hAnsi="宋体"/>
          <w:sz w:val="21"/>
          <w:szCs w:val="21"/>
        </w:rPr>
        <w:t>投标报价应包括完成本项目的所有工作量和全套文件及后续服务的全部费用，包括但不限于：驻场、设备、劳务、管理、材料、维护、差旅费、交通费、保险、利润、税金、政策性文件规定及合同包含的应有风险、责任等各项应有费用。</w:t>
      </w:r>
    </w:p>
    <w:p w14:paraId="60C6B3FF">
      <w:pPr>
        <w:numPr>
          <w:ilvl w:val="0"/>
          <w:numId w:val="13"/>
        </w:numPr>
        <w:tabs>
          <w:tab w:val="left" w:pos="851"/>
          <w:tab w:val="left" w:pos="8364"/>
        </w:tabs>
        <w:spacing w:before="0" w:beforeLines="0" w:line="360" w:lineRule="auto"/>
        <w:ind w:left="0" w:firstLine="420"/>
        <w:rPr>
          <w:rFonts w:hAnsi="宋体"/>
          <w:sz w:val="21"/>
          <w:szCs w:val="21"/>
        </w:rPr>
      </w:pPr>
      <w:r>
        <w:rPr>
          <w:rFonts w:hint="eastAsia" w:hAnsi="宋体"/>
          <w:sz w:val="21"/>
          <w:szCs w:val="21"/>
        </w:rPr>
        <w:t>本项目投标报价方式：本项目报价方式为含税总价报价。超出控制价总价有效报价范围的投标报价做无效标处理，投标人根据本企业的承受能力以及市场价格自行进行报价。</w:t>
      </w:r>
    </w:p>
    <w:p w14:paraId="22CE7C4A">
      <w:pPr>
        <w:numPr>
          <w:ilvl w:val="0"/>
          <w:numId w:val="13"/>
        </w:numPr>
        <w:tabs>
          <w:tab w:val="left" w:pos="851"/>
        </w:tabs>
        <w:spacing w:before="0" w:beforeLines="0" w:line="360" w:lineRule="auto"/>
        <w:ind w:left="0" w:firstLine="422"/>
        <w:rPr>
          <w:rFonts w:hAnsi="宋体"/>
        </w:rPr>
      </w:pPr>
      <w:r>
        <w:rPr>
          <w:rFonts w:hAnsi="宋体"/>
          <w:b/>
          <w:sz w:val="21"/>
          <w:szCs w:val="21"/>
        </w:rPr>
        <w:t>本项目</w:t>
      </w:r>
      <w:r>
        <w:rPr>
          <w:rFonts w:hint="eastAsia" w:hAnsi="宋体"/>
          <w:b/>
          <w:sz w:val="21"/>
          <w:szCs w:val="21"/>
        </w:rPr>
        <w:t>投标报价</w:t>
      </w:r>
      <w:r>
        <w:rPr>
          <w:rFonts w:hAnsi="宋体"/>
          <w:b/>
          <w:sz w:val="21"/>
          <w:szCs w:val="21"/>
        </w:rPr>
        <w:t>设招标控制价，</w:t>
      </w:r>
      <w:r>
        <w:rPr>
          <w:rFonts w:hint="eastAsia" w:hAnsi="宋体"/>
          <w:b/>
          <w:bCs/>
          <w:sz w:val="21"/>
          <w:szCs w:val="21"/>
        </w:rPr>
        <w:t>具体</w:t>
      </w:r>
      <w:r>
        <w:rPr>
          <w:rFonts w:hAnsi="宋体"/>
          <w:b/>
          <w:bCs/>
          <w:sz w:val="21"/>
          <w:szCs w:val="21"/>
        </w:rPr>
        <w:t>详见投标人须知前附表</w:t>
      </w:r>
      <w:r>
        <w:rPr>
          <w:rFonts w:hAnsi="宋体"/>
          <w:b/>
          <w:sz w:val="21"/>
          <w:szCs w:val="21"/>
        </w:rPr>
        <w:t>。</w:t>
      </w:r>
    </w:p>
    <w:p w14:paraId="3F490C5C">
      <w:pPr>
        <w:numPr>
          <w:ilvl w:val="0"/>
          <w:numId w:val="13"/>
        </w:numPr>
        <w:tabs>
          <w:tab w:val="left" w:pos="851"/>
        </w:tabs>
        <w:spacing w:before="0" w:beforeLines="0" w:line="360" w:lineRule="auto"/>
        <w:ind w:left="0" w:firstLine="420"/>
        <w:rPr>
          <w:rFonts w:hAnsi="宋体"/>
          <w:bCs/>
          <w:sz w:val="21"/>
          <w:szCs w:val="21"/>
        </w:rPr>
      </w:pPr>
      <w:r>
        <w:rPr>
          <w:rFonts w:hAnsi="宋体"/>
          <w:bCs/>
          <w:sz w:val="21"/>
          <w:szCs w:val="21"/>
        </w:rPr>
        <w:t>投标人不得以低于成本的报价竞标，否则，经评标委员会评审认定为低于成本的否决投标处理。</w:t>
      </w:r>
    </w:p>
    <w:p w14:paraId="767C3C51">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480" w:name="_Toc68407747"/>
      <w:bookmarkStart w:id="481" w:name="_Toc68417340"/>
      <w:bookmarkStart w:id="482" w:name="_Toc121308039"/>
      <w:bookmarkStart w:id="483" w:name="_Toc72583491"/>
      <w:bookmarkStart w:id="484" w:name="_Toc121830582"/>
      <w:bookmarkStart w:id="485" w:name="_Toc193981273"/>
      <w:bookmarkStart w:id="486" w:name="_Toc65597748"/>
      <w:bookmarkStart w:id="487" w:name="_Toc4270"/>
      <w:bookmarkStart w:id="488" w:name="_Toc223786516"/>
      <w:bookmarkStart w:id="489" w:name="_Toc65420097"/>
      <w:bookmarkStart w:id="490" w:name="_Toc8652"/>
      <w:bookmarkStart w:id="491" w:name="_Toc118061522"/>
      <w:bookmarkStart w:id="492" w:name="_Toc121182309"/>
      <w:bookmarkStart w:id="493" w:name="_Toc1344"/>
      <w:bookmarkStart w:id="494" w:name="_Toc15806"/>
      <w:bookmarkStart w:id="495" w:name="_Toc65641123"/>
      <w:bookmarkStart w:id="496" w:name="_Toc375564275"/>
      <w:bookmarkStart w:id="497" w:name="_Toc28754"/>
      <w:bookmarkStart w:id="498" w:name="_Toc70094684"/>
      <w:bookmarkStart w:id="499" w:name="_Toc65846699"/>
      <w:bookmarkStart w:id="500" w:name="_Toc213049016"/>
      <w:bookmarkStart w:id="501" w:name="_Toc491534428"/>
      <w:bookmarkStart w:id="502" w:name="_Toc65498369"/>
      <w:bookmarkStart w:id="503" w:name="_Toc118890517"/>
      <w:bookmarkStart w:id="504" w:name="_Toc119786477"/>
      <w:r>
        <w:rPr>
          <w:rFonts w:ascii="Times New Roman" w:hAnsi="Times New Roman" w:eastAsia="宋体" w:cs="Times New Roman"/>
          <w:b/>
          <w:sz w:val="21"/>
          <w:szCs w:val="21"/>
        </w:rPr>
        <w:t>投标货币</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59AD6BF1">
      <w:pPr>
        <w:numPr>
          <w:ilvl w:val="1"/>
          <w:numId w:val="14"/>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投标人提供的服务用人民币报价。在投标文件中的报价一律用人民币币种填报，招标人不接受任何非人民币币种的投标报价。</w:t>
      </w:r>
    </w:p>
    <w:p w14:paraId="48CF687B">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505" w:name="_Toc72583494"/>
      <w:bookmarkStart w:id="506" w:name="_Toc193981274"/>
      <w:bookmarkStart w:id="507" w:name="_Toc491534429"/>
      <w:bookmarkStart w:id="508" w:name="_Toc65498372"/>
      <w:bookmarkStart w:id="509" w:name="_Toc30246"/>
      <w:bookmarkStart w:id="510" w:name="_Toc119786480"/>
      <w:bookmarkStart w:id="511" w:name="_Toc121182312"/>
      <w:bookmarkStart w:id="512" w:name="_Toc121308042"/>
      <w:bookmarkStart w:id="513" w:name="_Toc65846702"/>
      <w:bookmarkStart w:id="514" w:name="_Toc223786519"/>
      <w:bookmarkStart w:id="515" w:name="_Toc15879"/>
      <w:bookmarkStart w:id="516" w:name="_Toc4458"/>
      <w:bookmarkStart w:id="517" w:name="_Toc121830585"/>
      <w:bookmarkStart w:id="518" w:name="_Toc118061525"/>
      <w:bookmarkStart w:id="519" w:name="_Toc31907"/>
      <w:bookmarkStart w:id="520" w:name="_Toc18393"/>
      <w:bookmarkStart w:id="521" w:name="_Toc213049019"/>
      <w:bookmarkStart w:id="522" w:name="_Toc118890520"/>
      <w:bookmarkStart w:id="523" w:name="_Toc70094687"/>
      <w:bookmarkStart w:id="524" w:name="_Toc65597751"/>
      <w:bookmarkStart w:id="525" w:name="_Toc68417343"/>
      <w:bookmarkStart w:id="526" w:name="_Toc68407750"/>
      <w:bookmarkStart w:id="527" w:name="_Toc375564278"/>
      <w:bookmarkStart w:id="528" w:name="_Toc65420100"/>
      <w:bookmarkStart w:id="529" w:name="_Toc65641126"/>
      <w:r>
        <w:rPr>
          <w:rFonts w:ascii="Times New Roman" w:hAnsi="Times New Roman" w:eastAsia="宋体" w:cs="Times New Roman"/>
          <w:b/>
          <w:sz w:val="21"/>
          <w:szCs w:val="21"/>
        </w:rPr>
        <w:t>投标保证金</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B80E7F8">
      <w:pPr>
        <w:numPr>
          <w:ilvl w:val="1"/>
          <w:numId w:val="15"/>
        </w:numPr>
        <w:tabs>
          <w:tab w:val="left" w:pos="851"/>
          <w:tab w:val="clear" w:pos="1134"/>
        </w:tabs>
        <w:spacing w:before="0" w:beforeLines="0" w:line="360" w:lineRule="auto"/>
        <w:ind w:left="0" w:firstLine="420"/>
        <w:rPr>
          <w:rFonts w:ascii="Times New Roman"/>
          <w:sz w:val="21"/>
          <w:szCs w:val="21"/>
        </w:rPr>
      </w:pPr>
      <w:r>
        <w:rPr>
          <w:kern w:val="0"/>
          <w:sz w:val="21"/>
          <w:szCs w:val="18"/>
        </w:rPr>
        <w:t>本项目无需递交投标保证金</w:t>
      </w:r>
      <w:r>
        <w:rPr>
          <w:rFonts w:ascii="Times New Roman"/>
          <w:sz w:val="21"/>
          <w:szCs w:val="21"/>
        </w:rPr>
        <w:t>。</w:t>
      </w:r>
    </w:p>
    <w:p w14:paraId="7F233F17">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530" w:name="_Toc121182313"/>
      <w:bookmarkStart w:id="531" w:name="_Toc213049020"/>
      <w:bookmarkStart w:id="532" w:name="_Toc65846703"/>
      <w:bookmarkStart w:id="533" w:name="_Toc65641127"/>
      <w:bookmarkStart w:id="534" w:name="_Toc193981275"/>
      <w:bookmarkStart w:id="535" w:name="_Toc1756"/>
      <w:bookmarkStart w:id="536" w:name="_Toc65597752"/>
      <w:bookmarkStart w:id="537" w:name="_Toc70094688"/>
      <w:bookmarkStart w:id="538" w:name="_Toc121830586"/>
      <w:bookmarkStart w:id="539" w:name="_Toc375564279"/>
      <w:bookmarkStart w:id="540" w:name="_Toc68417344"/>
      <w:bookmarkStart w:id="541" w:name="_Toc19338"/>
      <w:bookmarkStart w:id="542" w:name="_Toc121308043"/>
      <w:bookmarkStart w:id="543" w:name="_Toc68407751"/>
      <w:bookmarkStart w:id="544" w:name="_Toc118890521"/>
      <w:bookmarkStart w:id="545" w:name="_Toc17248"/>
      <w:bookmarkStart w:id="546" w:name="_Toc65420101"/>
      <w:bookmarkStart w:id="547" w:name="_Toc118061526"/>
      <w:bookmarkStart w:id="548" w:name="_Toc72583495"/>
      <w:bookmarkStart w:id="549" w:name="_Toc223786520"/>
      <w:bookmarkStart w:id="550" w:name="_Toc65498373"/>
      <w:bookmarkStart w:id="551" w:name="_Toc119786481"/>
      <w:bookmarkStart w:id="552" w:name="_Toc491534430"/>
      <w:bookmarkStart w:id="553" w:name="_Toc29552"/>
      <w:bookmarkStart w:id="554" w:name="_Toc24255"/>
      <w:r>
        <w:rPr>
          <w:rFonts w:ascii="Times New Roman" w:hAnsi="Times New Roman" w:eastAsia="宋体" w:cs="Times New Roman"/>
          <w:b/>
          <w:sz w:val="21"/>
          <w:szCs w:val="21"/>
        </w:rPr>
        <w:t>投标有效期</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CE35D35">
      <w:pPr>
        <w:numPr>
          <w:ilvl w:val="0"/>
          <w:numId w:val="16"/>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根据本须知前附表规定，投标应在投标人须知前附表中规定的时间内保持有效。投标有效期不满足要求的投标将被视为非实质性响应投标而予以否决。</w:t>
      </w:r>
    </w:p>
    <w:p w14:paraId="1B40C54A">
      <w:pPr>
        <w:numPr>
          <w:ilvl w:val="0"/>
          <w:numId w:val="16"/>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特殊情况下，招标代理机构可于投标有效期满之前要求投标人同意延长有效期，要求与答复均应为书面形式。投标人可以拒绝上述要求而其投标保证金不被没收，但其投标将被否决。对于同意该要求的投标人，既不要求也不允许其修改投标文件，但将要求其相应延长投标保证金的有效期，有关退还和没收投标保证金的规定在投标有效期的延长期内继续有效。</w:t>
      </w:r>
    </w:p>
    <w:p w14:paraId="0AAC9F22">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555" w:name="_Toc121830587"/>
      <w:bookmarkStart w:id="556" w:name="_Toc9694"/>
      <w:bookmarkStart w:id="557" w:name="_Toc65846704"/>
      <w:bookmarkStart w:id="558" w:name="_Toc8640"/>
      <w:bookmarkStart w:id="559" w:name="_Toc213049021"/>
      <w:bookmarkStart w:id="560" w:name="_Toc121182314"/>
      <w:bookmarkStart w:id="561" w:name="_Toc119786482"/>
      <w:bookmarkStart w:id="562" w:name="_Toc22023"/>
      <w:bookmarkStart w:id="563" w:name="_Toc17124"/>
      <w:bookmarkStart w:id="564" w:name="_Toc68417345"/>
      <w:bookmarkStart w:id="565" w:name="_Toc193981276"/>
      <w:bookmarkStart w:id="566" w:name="_Toc118890522"/>
      <w:bookmarkStart w:id="567" w:name="_Toc65498374"/>
      <w:bookmarkStart w:id="568" w:name="_Toc491534431"/>
      <w:bookmarkStart w:id="569" w:name="_Toc65641128"/>
      <w:bookmarkStart w:id="570" w:name="_Toc121308044"/>
      <w:bookmarkStart w:id="571" w:name="_Toc4487"/>
      <w:bookmarkStart w:id="572" w:name="_Toc65420102"/>
      <w:bookmarkStart w:id="573" w:name="_Toc72583496"/>
      <w:bookmarkStart w:id="574" w:name="_Toc375564280"/>
      <w:bookmarkStart w:id="575" w:name="_Toc65597753"/>
      <w:bookmarkStart w:id="576" w:name="_Toc223786521"/>
      <w:bookmarkStart w:id="577" w:name="_Toc70094689"/>
      <w:bookmarkStart w:id="578" w:name="_Toc118061527"/>
      <w:bookmarkStart w:id="579" w:name="_Toc68407752"/>
      <w:r>
        <w:rPr>
          <w:rFonts w:ascii="Times New Roman" w:hAnsi="Times New Roman" w:eastAsia="宋体" w:cs="Times New Roman"/>
          <w:b/>
          <w:sz w:val="21"/>
          <w:szCs w:val="21"/>
        </w:rPr>
        <w:t>投标文件的制作和签署</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4E78A72">
      <w:pPr>
        <w:numPr>
          <w:ilvl w:val="1"/>
          <w:numId w:val="17"/>
        </w:numPr>
        <w:tabs>
          <w:tab w:val="left" w:pos="851"/>
          <w:tab w:val="clear" w:pos="1134"/>
        </w:tabs>
        <w:spacing w:before="0" w:beforeLines="0" w:line="360" w:lineRule="auto"/>
        <w:ind w:left="0" w:firstLine="420"/>
        <w:rPr>
          <w:rFonts w:hAnsi="宋体"/>
          <w:sz w:val="21"/>
          <w:szCs w:val="21"/>
        </w:rPr>
      </w:pPr>
      <w:r>
        <w:rPr>
          <w:rFonts w:hAnsi="宋体"/>
          <w:sz w:val="21"/>
          <w:szCs w:val="21"/>
        </w:rPr>
        <w:t>投标人应按投标人须知前附表所示套数准备投标文件。每套投标文件封面上应清楚地注明招标项目名称、招标编号及投标人名称，同时加盖公章并由法定代表人或其授权代表签字或盖章，且须清楚地标明“正本”、“副本”或“电子文件”。若正本和副本不符，以正本为准，电子版与纸制文件不符以纸制文件为准。投标文件要按照资格审查、资信、技术、报价四部分单独装订成册。并按照投标人须知规定的式样、密封和标记、时间和地点递交。</w:t>
      </w:r>
    </w:p>
    <w:p w14:paraId="394C483D">
      <w:pPr>
        <w:numPr>
          <w:ilvl w:val="1"/>
          <w:numId w:val="17"/>
        </w:numPr>
        <w:tabs>
          <w:tab w:val="left" w:pos="851"/>
          <w:tab w:val="clear" w:pos="1134"/>
        </w:tabs>
        <w:spacing w:before="0" w:beforeLines="0" w:line="360" w:lineRule="auto"/>
        <w:ind w:left="0" w:firstLine="420"/>
        <w:rPr>
          <w:rFonts w:hAnsi="宋体"/>
          <w:sz w:val="21"/>
          <w:szCs w:val="21"/>
        </w:rPr>
      </w:pPr>
      <w:r>
        <w:rPr>
          <w:rFonts w:hAnsi="宋体"/>
          <w:sz w:val="21"/>
          <w:szCs w:val="21"/>
        </w:rPr>
        <w:t>投标文件的正本需打印，并由投标人法定代表人或其授权委托人在招标文件规定的相关位置签字并加盖公章。授权委托人应将以书面形式出具的“法定代表人授权书”附在投标文件中。投标文件正本需骑缝加盖投标人单位公章，投标文件的副本可采用正本的复印件。</w:t>
      </w:r>
    </w:p>
    <w:p w14:paraId="63AD49A8">
      <w:pPr>
        <w:numPr>
          <w:ilvl w:val="1"/>
          <w:numId w:val="17"/>
        </w:numPr>
        <w:tabs>
          <w:tab w:val="left" w:pos="851"/>
          <w:tab w:val="clear" w:pos="1134"/>
        </w:tabs>
        <w:spacing w:before="0" w:beforeLines="0" w:line="360" w:lineRule="auto"/>
        <w:ind w:left="0" w:firstLine="420"/>
        <w:rPr>
          <w:rFonts w:hAnsi="宋体"/>
          <w:sz w:val="21"/>
          <w:szCs w:val="21"/>
        </w:rPr>
      </w:pPr>
      <w:r>
        <w:rPr>
          <w:rFonts w:hAnsi="宋体"/>
          <w:sz w:val="21"/>
          <w:szCs w:val="21"/>
        </w:rPr>
        <w:t>投标文件应无涂改和行间插字，除非是投标人造成的必须修改的错误，任何行间插字、涂改和增删，必须由投标人法定代表人或其授权代表在旁边签字或盖章确认才有效。</w:t>
      </w:r>
    </w:p>
    <w:p w14:paraId="614D7698">
      <w:pPr>
        <w:numPr>
          <w:ilvl w:val="1"/>
          <w:numId w:val="17"/>
        </w:numPr>
        <w:tabs>
          <w:tab w:val="left" w:pos="851"/>
          <w:tab w:val="clear" w:pos="1134"/>
        </w:tabs>
        <w:spacing w:before="0" w:beforeLines="0" w:line="360" w:lineRule="auto"/>
        <w:ind w:left="0" w:firstLine="420"/>
        <w:rPr>
          <w:rFonts w:hAnsi="宋体"/>
          <w:sz w:val="21"/>
          <w:szCs w:val="21"/>
        </w:rPr>
      </w:pPr>
      <w:r>
        <w:rPr>
          <w:rFonts w:hAnsi="宋体"/>
          <w:sz w:val="21"/>
          <w:szCs w:val="21"/>
        </w:rPr>
        <w:t>招标人及招标代理机构拒绝接受以电报、电话、传真、电子邮件形式的投标。</w:t>
      </w:r>
    </w:p>
    <w:p w14:paraId="5575EF8E">
      <w:pPr>
        <w:numPr>
          <w:ilvl w:val="1"/>
          <w:numId w:val="17"/>
        </w:numPr>
        <w:tabs>
          <w:tab w:val="left" w:pos="851"/>
          <w:tab w:val="clear" w:pos="1134"/>
        </w:tabs>
        <w:spacing w:before="0" w:beforeLines="0" w:line="360" w:lineRule="auto"/>
        <w:ind w:left="0" w:firstLine="420"/>
        <w:rPr>
          <w:rFonts w:hAnsi="宋体"/>
          <w:sz w:val="21"/>
          <w:szCs w:val="21"/>
        </w:rPr>
      </w:pPr>
      <w:r>
        <w:rPr>
          <w:rFonts w:hAnsi="宋体"/>
          <w:sz w:val="21"/>
          <w:szCs w:val="21"/>
        </w:rPr>
        <w:t>如为联合体投标，投标文件中除要求联合体各方均须提供的文件资料外，其他文件资料落款处的投标人名称应为联合体名称，盖章可为牵头方一方公章。</w:t>
      </w:r>
    </w:p>
    <w:p w14:paraId="5A240959">
      <w:pPr>
        <w:pStyle w:val="5"/>
        <w:numPr>
          <w:ilvl w:val="0"/>
          <w:numId w:val="1"/>
        </w:numPr>
        <w:tabs>
          <w:tab w:val="left" w:pos="851"/>
          <w:tab w:val="clear" w:pos="1134"/>
        </w:tabs>
        <w:spacing w:before="0" w:beforeLines="0" w:line="360" w:lineRule="auto"/>
        <w:ind w:left="0" w:firstLine="482"/>
        <w:rPr>
          <w:rFonts w:ascii="Times New Roman" w:hAnsi="Times New Roman" w:eastAsia="宋体"/>
          <w:b/>
          <w:bCs w:val="0"/>
          <w:sz w:val="24"/>
          <w:szCs w:val="24"/>
        </w:rPr>
      </w:pPr>
      <w:bookmarkStart w:id="580" w:name="_Toc47418923"/>
      <w:bookmarkStart w:id="581" w:name="_Toc119786483"/>
      <w:bookmarkStart w:id="582" w:name="_Toc47261870"/>
      <w:bookmarkStart w:id="583" w:name="_Toc118061528"/>
      <w:bookmarkStart w:id="584" w:name="_Toc48995836"/>
      <w:bookmarkStart w:id="585" w:name="_Toc65641129"/>
      <w:bookmarkStart w:id="586" w:name="_Toc55500019"/>
      <w:bookmarkStart w:id="587" w:name="_Toc375564281"/>
      <w:bookmarkStart w:id="588" w:name="_Toc49019482"/>
      <w:bookmarkStart w:id="589" w:name="_Toc68417346"/>
      <w:bookmarkStart w:id="590" w:name="_Toc47261055"/>
      <w:bookmarkStart w:id="591" w:name="_Toc47418240"/>
      <w:bookmarkStart w:id="592" w:name="_Toc72583497"/>
      <w:bookmarkStart w:id="593" w:name="_Toc65420103"/>
      <w:bookmarkStart w:id="594" w:name="_Toc121182315"/>
      <w:bookmarkStart w:id="595" w:name="_Toc48791220"/>
      <w:bookmarkStart w:id="596" w:name="_Toc193981277"/>
      <w:bookmarkStart w:id="597" w:name="_Toc65597754"/>
      <w:bookmarkStart w:id="598" w:name="_Toc118890523"/>
      <w:bookmarkStart w:id="599" w:name="_Toc49019221"/>
      <w:bookmarkStart w:id="600" w:name="_Toc47418716"/>
      <w:bookmarkStart w:id="601" w:name="_Toc65498375"/>
      <w:bookmarkStart w:id="602" w:name="_Toc47261675"/>
      <w:bookmarkStart w:id="603" w:name="_Toc65846705"/>
      <w:bookmarkStart w:id="604" w:name="_Toc22550"/>
      <w:bookmarkStart w:id="605" w:name="_Toc213049022"/>
      <w:bookmarkStart w:id="606" w:name="_Toc47262054"/>
      <w:bookmarkStart w:id="607" w:name="_Toc70094690"/>
      <w:bookmarkStart w:id="608" w:name="_Toc121308045"/>
      <w:bookmarkStart w:id="609" w:name="_Toc121830588"/>
      <w:bookmarkStart w:id="610" w:name="_Toc68407753"/>
      <w:bookmarkStart w:id="611" w:name="_Toc223786522"/>
      <w:r>
        <w:rPr>
          <w:rFonts w:ascii="Times New Roman" w:hAnsi="Times New Roman" w:eastAsia="宋体"/>
          <w:b/>
          <w:bCs w:val="0"/>
          <w:sz w:val="24"/>
          <w:szCs w:val="24"/>
        </w:rPr>
        <w:t>投标文件的密封和递交</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A560837">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612" w:name="_Toc68407754"/>
      <w:bookmarkStart w:id="613" w:name="_Toc27887"/>
      <w:bookmarkStart w:id="614" w:name="_Toc72583498"/>
      <w:bookmarkStart w:id="615" w:name="_Toc20209"/>
      <w:bookmarkStart w:id="616" w:name="_Toc65420104"/>
      <w:bookmarkStart w:id="617" w:name="_Toc70094691"/>
      <w:bookmarkStart w:id="618" w:name="_Toc24821"/>
      <w:bookmarkStart w:id="619" w:name="_Toc15754"/>
      <w:bookmarkStart w:id="620" w:name="_Toc65641130"/>
      <w:bookmarkStart w:id="621" w:name="_Toc118890524"/>
      <w:bookmarkStart w:id="622" w:name="_Toc375564282"/>
      <w:bookmarkStart w:id="623" w:name="_Toc65846706"/>
      <w:bookmarkStart w:id="624" w:name="_Toc121308046"/>
      <w:bookmarkStart w:id="625" w:name="_Toc119786484"/>
      <w:bookmarkStart w:id="626" w:name="_Toc68417347"/>
      <w:bookmarkStart w:id="627" w:name="_Toc121830589"/>
      <w:bookmarkStart w:id="628" w:name="_Toc65498376"/>
      <w:bookmarkStart w:id="629" w:name="_Toc223786523"/>
      <w:bookmarkStart w:id="630" w:name="_Toc65597755"/>
      <w:bookmarkStart w:id="631" w:name="_Toc213049023"/>
      <w:bookmarkStart w:id="632" w:name="_Toc121182316"/>
      <w:bookmarkStart w:id="633" w:name="_Toc16722"/>
      <w:bookmarkStart w:id="634" w:name="_Toc193981278"/>
      <w:bookmarkStart w:id="635" w:name="_Toc118061529"/>
      <w:bookmarkStart w:id="636" w:name="_Toc491534433"/>
      <w:r>
        <w:rPr>
          <w:rFonts w:ascii="Times New Roman" w:hAnsi="Times New Roman" w:eastAsia="宋体" w:cs="Times New Roman"/>
          <w:b/>
          <w:sz w:val="21"/>
          <w:szCs w:val="21"/>
        </w:rPr>
        <w:t>投标文件的密封和标记</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2F16668">
      <w:pPr>
        <w:numPr>
          <w:ilvl w:val="1"/>
          <w:numId w:val="18"/>
        </w:numPr>
        <w:tabs>
          <w:tab w:val="left" w:pos="851"/>
          <w:tab w:val="clear" w:pos="1134"/>
        </w:tabs>
        <w:spacing w:before="0" w:beforeLines="0" w:line="360" w:lineRule="auto"/>
        <w:ind w:left="0" w:firstLine="420"/>
        <w:rPr>
          <w:rFonts w:hAnsi="宋体"/>
          <w:sz w:val="21"/>
          <w:szCs w:val="21"/>
        </w:rPr>
      </w:pPr>
      <w:r>
        <w:rPr>
          <w:rFonts w:hAnsi="宋体"/>
          <w:sz w:val="21"/>
          <w:szCs w:val="21"/>
        </w:rPr>
        <w:t>封装方式</w:t>
      </w:r>
    </w:p>
    <w:p w14:paraId="7B4F0E3B">
      <w:pPr>
        <w:numPr>
          <w:ilvl w:val="1"/>
          <w:numId w:val="19"/>
        </w:numPr>
        <w:tabs>
          <w:tab w:val="left" w:pos="420"/>
          <w:tab w:val="left" w:pos="960"/>
          <w:tab w:val="left" w:pos="1134"/>
        </w:tabs>
        <w:spacing w:before="0" w:beforeLines="0" w:line="360" w:lineRule="auto"/>
        <w:ind w:left="0" w:firstLine="420"/>
        <w:rPr>
          <w:rFonts w:hAnsi="宋体"/>
          <w:sz w:val="21"/>
          <w:szCs w:val="21"/>
        </w:rPr>
      </w:pPr>
      <w:r>
        <w:rPr>
          <w:rFonts w:hAnsi="宋体"/>
          <w:sz w:val="21"/>
          <w:szCs w:val="21"/>
        </w:rPr>
        <w:t>投标文件正本与副本应分别装订成册，采用无线胶装，不得采用活页方式，封面上应分别标明“正本”和“副本”字样。</w:t>
      </w:r>
    </w:p>
    <w:p w14:paraId="62DEBDF0">
      <w:pPr>
        <w:numPr>
          <w:ilvl w:val="1"/>
          <w:numId w:val="19"/>
        </w:numPr>
        <w:tabs>
          <w:tab w:val="left" w:pos="420"/>
          <w:tab w:val="left" w:pos="960"/>
          <w:tab w:val="left" w:pos="1134"/>
        </w:tabs>
        <w:spacing w:before="0" w:beforeLines="0" w:line="360" w:lineRule="auto"/>
        <w:ind w:left="0" w:firstLine="420"/>
        <w:rPr>
          <w:rFonts w:hAnsi="宋体"/>
          <w:sz w:val="21"/>
          <w:szCs w:val="21"/>
        </w:rPr>
      </w:pPr>
      <w:r>
        <w:rPr>
          <w:rFonts w:hAnsi="宋体"/>
          <w:sz w:val="21"/>
          <w:szCs w:val="21"/>
        </w:rPr>
        <w:t>投标人应将投标文件封装为四个包，分别密封在投标文件密封箱/袋里，四个包装中分别是：资格审查部分正本和副本、资信部分正本和副本、技术部分正本和副本、报价部分正本和副本（电子版文件封入此包装内）。密封箱/袋上应清楚的标明“资格审查部分”、“资信部分”、“技术部分”、“报价部分”。最后，投标人应将上述四个密封箱/袋统一封装在一个大的密封箱/袋内。</w:t>
      </w:r>
    </w:p>
    <w:p w14:paraId="3DF2DD3C">
      <w:pPr>
        <w:numPr>
          <w:ilvl w:val="1"/>
          <w:numId w:val="19"/>
        </w:numPr>
        <w:tabs>
          <w:tab w:val="left" w:pos="420"/>
          <w:tab w:val="left" w:pos="960"/>
          <w:tab w:val="left" w:pos="1134"/>
        </w:tabs>
        <w:spacing w:before="0" w:beforeLines="0" w:line="360" w:lineRule="auto"/>
        <w:ind w:left="0" w:firstLine="420"/>
        <w:rPr>
          <w:rFonts w:hAnsi="宋体"/>
          <w:sz w:val="21"/>
          <w:szCs w:val="21"/>
        </w:rPr>
      </w:pPr>
      <w:r>
        <w:rPr>
          <w:rFonts w:hAnsi="宋体"/>
          <w:sz w:val="21"/>
          <w:szCs w:val="21"/>
        </w:rPr>
        <w:t>所有密封箱/袋应保证其密封性，并骑缝加盖投标人单位公章。</w:t>
      </w:r>
    </w:p>
    <w:p w14:paraId="2354867E">
      <w:pPr>
        <w:numPr>
          <w:ilvl w:val="1"/>
          <w:numId w:val="18"/>
        </w:numPr>
        <w:tabs>
          <w:tab w:val="left" w:pos="851"/>
          <w:tab w:val="clear" w:pos="1134"/>
        </w:tabs>
        <w:spacing w:before="0" w:beforeLines="0" w:line="360" w:lineRule="auto"/>
        <w:ind w:left="0" w:firstLine="420"/>
        <w:rPr>
          <w:rFonts w:hAnsi="宋体"/>
          <w:sz w:val="21"/>
          <w:szCs w:val="21"/>
        </w:rPr>
      </w:pPr>
      <w:r>
        <w:rPr>
          <w:rFonts w:hAnsi="宋体"/>
          <w:sz w:val="21"/>
          <w:szCs w:val="21"/>
        </w:rPr>
        <w:t>所有密封箱/袋都应具有下列识别标志：</w:t>
      </w:r>
    </w:p>
    <w:p w14:paraId="59514781">
      <w:pPr>
        <w:numPr>
          <w:ilvl w:val="0"/>
          <w:numId w:val="0"/>
        </w:numPr>
        <w:tabs>
          <w:tab w:val="left" w:pos="851"/>
        </w:tabs>
        <w:spacing w:before="0" w:beforeLines="0" w:line="360" w:lineRule="auto"/>
        <w:ind w:leftChars="200"/>
        <w:rPr>
          <w:rFonts w:hAnsi="宋体"/>
          <w:sz w:val="21"/>
          <w:szCs w:val="21"/>
        </w:rPr>
      </w:pPr>
      <w:r>
        <w:rPr>
          <w:rFonts w:hint="eastAsia" w:hAnsi="宋体"/>
          <w:sz w:val="21"/>
          <w:szCs w:val="21"/>
          <w:lang w:eastAsia="zh-CN"/>
        </w:rPr>
        <w:t>（</w:t>
      </w:r>
      <w:r>
        <w:rPr>
          <w:rFonts w:hint="eastAsia" w:hAnsi="宋体"/>
          <w:sz w:val="21"/>
          <w:szCs w:val="21"/>
          <w:lang w:val="en-US" w:eastAsia="zh-CN"/>
        </w:rPr>
        <w:t>1</w:t>
      </w:r>
      <w:r>
        <w:rPr>
          <w:rFonts w:hint="eastAsia" w:hAnsi="宋体"/>
          <w:sz w:val="21"/>
          <w:szCs w:val="21"/>
          <w:lang w:eastAsia="zh-CN"/>
        </w:rPr>
        <w:t>）</w:t>
      </w:r>
      <w:r>
        <w:rPr>
          <w:rFonts w:hAnsi="宋体"/>
          <w:sz w:val="21"/>
          <w:szCs w:val="21"/>
        </w:rPr>
        <w:t>项目名称：</w:t>
      </w:r>
      <w:r>
        <w:rPr>
          <w:rFonts w:hAnsi="宋体"/>
          <w:sz w:val="21"/>
          <w:szCs w:val="21"/>
          <w:u w:val="single"/>
        </w:rPr>
        <w:t xml:space="preserve">                       </w:t>
      </w:r>
      <w:r>
        <w:rPr>
          <w:rFonts w:hAnsi="宋体"/>
          <w:sz w:val="21"/>
          <w:szCs w:val="21"/>
        </w:rPr>
        <w:t>（填入项目名称）；</w:t>
      </w:r>
    </w:p>
    <w:p w14:paraId="5651B532">
      <w:pPr>
        <w:numPr>
          <w:ilvl w:val="0"/>
          <w:numId w:val="0"/>
        </w:numPr>
        <w:tabs>
          <w:tab w:val="left" w:pos="420"/>
          <w:tab w:val="left" w:pos="851"/>
        </w:tabs>
        <w:spacing w:before="0" w:beforeLines="0" w:line="360" w:lineRule="auto"/>
        <w:ind w:left="480" w:leftChars="200" w:firstLine="0" w:firstLineChars="0"/>
        <w:jc w:val="left"/>
        <w:rPr>
          <w:rFonts w:hAnsi="宋体"/>
          <w:sz w:val="21"/>
          <w:szCs w:val="21"/>
        </w:rPr>
      </w:pPr>
      <w:r>
        <w:rPr>
          <w:rFonts w:hint="eastAsia" w:hAnsi="宋体"/>
          <w:sz w:val="21"/>
          <w:szCs w:val="21"/>
          <w:lang w:eastAsia="zh-CN"/>
        </w:rPr>
        <w:t>（</w:t>
      </w:r>
      <w:r>
        <w:rPr>
          <w:rFonts w:hint="eastAsia" w:hAnsi="宋体"/>
          <w:sz w:val="21"/>
          <w:szCs w:val="21"/>
          <w:lang w:val="en-US" w:eastAsia="zh-CN"/>
        </w:rPr>
        <w:t>2</w:t>
      </w:r>
      <w:r>
        <w:rPr>
          <w:rFonts w:hint="eastAsia" w:hAnsi="宋体"/>
          <w:sz w:val="21"/>
          <w:szCs w:val="21"/>
          <w:lang w:eastAsia="zh-CN"/>
        </w:rPr>
        <w:t>）</w:t>
      </w:r>
      <w:r>
        <w:rPr>
          <w:rFonts w:hAnsi="宋体"/>
          <w:sz w:val="21"/>
          <w:szCs w:val="21"/>
        </w:rPr>
        <w:t>招标编号：</w:t>
      </w:r>
      <w:r>
        <w:rPr>
          <w:rFonts w:hAnsi="宋体"/>
          <w:sz w:val="21"/>
          <w:szCs w:val="21"/>
          <w:u w:val="single"/>
        </w:rPr>
        <w:t xml:space="preserve">                       </w:t>
      </w:r>
      <w:r>
        <w:rPr>
          <w:rFonts w:hAnsi="宋体"/>
          <w:sz w:val="21"/>
          <w:szCs w:val="21"/>
        </w:rPr>
        <w:t>（填入招标编号）；</w:t>
      </w:r>
    </w:p>
    <w:p w14:paraId="566263CF">
      <w:pPr>
        <w:numPr>
          <w:ilvl w:val="0"/>
          <w:numId w:val="0"/>
        </w:numPr>
        <w:tabs>
          <w:tab w:val="left" w:pos="420"/>
          <w:tab w:val="left" w:pos="720"/>
          <w:tab w:val="left" w:pos="851"/>
        </w:tabs>
        <w:spacing w:before="0" w:beforeLines="0" w:line="360" w:lineRule="auto"/>
        <w:ind w:left="480" w:leftChars="200" w:firstLine="0" w:firstLineChars="0"/>
        <w:rPr>
          <w:rFonts w:hAnsi="宋体"/>
          <w:sz w:val="21"/>
          <w:szCs w:val="21"/>
        </w:rPr>
      </w:pPr>
      <w:r>
        <w:rPr>
          <w:rFonts w:hint="eastAsia" w:hAnsi="宋体"/>
          <w:sz w:val="21"/>
          <w:szCs w:val="21"/>
          <w:lang w:eastAsia="zh-CN"/>
        </w:rPr>
        <w:t>（</w:t>
      </w:r>
      <w:r>
        <w:rPr>
          <w:rFonts w:hint="eastAsia" w:hAnsi="宋体"/>
          <w:sz w:val="21"/>
          <w:szCs w:val="21"/>
          <w:lang w:val="en-US" w:eastAsia="zh-CN"/>
        </w:rPr>
        <w:t>3</w:t>
      </w:r>
      <w:r>
        <w:rPr>
          <w:rFonts w:hint="eastAsia" w:hAnsi="宋体"/>
          <w:sz w:val="21"/>
          <w:szCs w:val="21"/>
          <w:lang w:eastAsia="zh-CN"/>
        </w:rPr>
        <w:t>）</w:t>
      </w:r>
      <w:r>
        <w:rPr>
          <w:rFonts w:hAnsi="宋体"/>
          <w:sz w:val="21"/>
          <w:szCs w:val="21"/>
        </w:rPr>
        <w:t xml:space="preserve">“ </w:t>
      </w:r>
      <w:r>
        <w:rPr>
          <w:rFonts w:hAnsi="宋体"/>
          <w:sz w:val="21"/>
          <w:szCs w:val="21"/>
          <w:u w:val="single"/>
        </w:rPr>
        <w:t xml:space="preserve">       </w:t>
      </w:r>
      <w:r>
        <w:rPr>
          <w:rFonts w:hAnsi="宋体"/>
          <w:sz w:val="21"/>
          <w:szCs w:val="21"/>
        </w:rPr>
        <w:t>年</w:t>
      </w:r>
      <w:r>
        <w:rPr>
          <w:rFonts w:hAnsi="宋体"/>
          <w:sz w:val="21"/>
          <w:szCs w:val="21"/>
          <w:u w:val="single"/>
        </w:rPr>
        <w:t xml:space="preserve"> </w:t>
      </w:r>
      <w:r>
        <w:rPr>
          <w:rFonts w:hint="eastAsia" w:hAnsi="宋体"/>
          <w:sz w:val="21"/>
          <w:szCs w:val="21"/>
          <w:u w:val="single"/>
          <w:lang w:val="en-US" w:eastAsia="zh-CN"/>
        </w:rPr>
        <w:t xml:space="preserve"> </w:t>
      </w:r>
      <w:r>
        <w:rPr>
          <w:rFonts w:hAnsi="宋体"/>
          <w:sz w:val="21"/>
          <w:szCs w:val="21"/>
          <w:u w:val="single"/>
        </w:rPr>
        <w:t xml:space="preserve"> </w:t>
      </w:r>
      <w:r>
        <w:rPr>
          <w:rFonts w:hAnsi="宋体"/>
          <w:sz w:val="21"/>
          <w:szCs w:val="21"/>
        </w:rPr>
        <w:t>月</w:t>
      </w:r>
      <w:r>
        <w:rPr>
          <w:rFonts w:hAnsi="宋体"/>
          <w:sz w:val="21"/>
          <w:szCs w:val="21"/>
          <w:u w:val="single"/>
        </w:rPr>
        <w:t xml:space="preserve">   </w:t>
      </w:r>
      <w:r>
        <w:rPr>
          <w:rFonts w:hAnsi="宋体"/>
          <w:sz w:val="21"/>
          <w:szCs w:val="21"/>
        </w:rPr>
        <w:t>日</w:t>
      </w:r>
      <w:r>
        <w:rPr>
          <w:rFonts w:hAnsi="宋体"/>
          <w:sz w:val="21"/>
          <w:szCs w:val="21"/>
          <w:u w:val="single"/>
        </w:rPr>
        <w:t xml:space="preserve">   </w:t>
      </w:r>
      <w:r>
        <w:rPr>
          <w:rFonts w:hAnsi="宋体"/>
          <w:sz w:val="21"/>
          <w:szCs w:val="21"/>
        </w:rPr>
        <w:t>时</w:t>
      </w:r>
      <w:r>
        <w:rPr>
          <w:rFonts w:hAnsi="宋体"/>
          <w:sz w:val="21"/>
          <w:szCs w:val="21"/>
          <w:u w:val="single"/>
        </w:rPr>
        <w:t xml:space="preserve">   </w:t>
      </w:r>
      <w:r>
        <w:rPr>
          <w:rFonts w:hAnsi="宋体"/>
          <w:sz w:val="21"/>
          <w:szCs w:val="21"/>
        </w:rPr>
        <w:t>分开标，此时间前不得开封”（填入投标人须知前附表第13条所述开标日期及时间）字样。</w:t>
      </w:r>
    </w:p>
    <w:p w14:paraId="7F9C90E3">
      <w:pPr>
        <w:numPr>
          <w:ilvl w:val="1"/>
          <w:numId w:val="18"/>
        </w:numPr>
        <w:tabs>
          <w:tab w:val="left" w:pos="851"/>
          <w:tab w:val="clear" w:pos="1134"/>
        </w:tabs>
        <w:spacing w:before="0" w:beforeLines="0" w:line="360" w:lineRule="auto"/>
        <w:ind w:left="0" w:firstLine="420"/>
        <w:rPr>
          <w:rFonts w:hAnsi="宋体"/>
          <w:sz w:val="21"/>
          <w:szCs w:val="21"/>
        </w:rPr>
      </w:pPr>
      <w:r>
        <w:rPr>
          <w:rFonts w:hAnsi="宋体"/>
          <w:sz w:val="21"/>
          <w:szCs w:val="21"/>
        </w:rPr>
        <w:t>所有密封箱和密封袋上均应写明投标人的名称与地址，以便投标被宣布迟到时，能原封退回。</w:t>
      </w:r>
    </w:p>
    <w:p w14:paraId="1241C108">
      <w:pPr>
        <w:numPr>
          <w:ilvl w:val="1"/>
          <w:numId w:val="18"/>
        </w:numPr>
        <w:tabs>
          <w:tab w:val="left" w:pos="851"/>
          <w:tab w:val="clear" w:pos="1134"/>
        </w:tabs>
        <w:spacing w:before="0" w:beforeLines="0" w:line="360" w:lineRule="auto"/>
        <w:ind w:left="0" w:firstLine="420"/>
        <w:rPr>
          <w:rFonts w:hAnsi="宋体"/>
          <w:sz w:val="21"/>
          <w:szCs w:val="21"/>
        </w:rPr>
      </w:pPr>
      <w:r>
        <w:rPr>
          <w:rFonts w:hAnsi="宋体"/>
          <w:sz w:val="21"/>
          <w:szCs w:val="21"/>
        </w:rPr>
        <w:t>如果密封箱和密封袋上没有按上述规定密封并加写标志，招标人将不承担投标文件错放或提前开封的责任，由此造成的提前开封的投标文件，招标人将予以拒绝，并退还给投标人。</w:t>
      </w:r>
    </w:p>
    <w:p w14:paraId="155B2293">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637" w:name="_Toc216783509"/>
      <w:bookmarkEnd w:id="637"/>
      <w:bookmarkStart w:id="638" w:name="_Toc216784702"/>
      <w:bookmarkEnd w:id="638"/>
      <w:bookmarkStart w:id="639" w:name="_Toc65597756"/>
      <w:bookmarkStart w:id="640" w:name="_Toc539"/>
      <w:bookmarkStart w:id="641" w:name="_Toc65641131"/>
      <w:bookmarkStart w:id="642" w:name="_Toc65846707"/>
      <w:bookmarkStart w:id="643" w:name="_Toc65498377"/>
      <w:bookmarkStart w:id="644" w:name="_Toc193981279"/>
      <w:bookmarkStart w:id="645" w:name="_Toc223786524"/>
      <w:bookmarkStart w:id="646" w:name="_Toc121830590"/>
      <w:bookmarkStart w:id="647" w:name="_Toc119786485"/>
      <w:bookmarkStart w:id="648" w:name="_Toc68407755"/>
      <w:bookmarkStart w:id="649" w:name="_Toc375564283"/>
      <w:bookmarkStart w:id="650" w:name="_Toc213049024"/>
      <w:bookmarkStart w:id="651" w:name="_Toc68417348"/>
      <w:bookmarkStart w:id="652" w:name="_Toc32113"/>
      <w:bookmarkStart w:id="653" w:name="_Toc72583499"/>
      <w:bookmarkStart w:id="654" w:name="_Toc118061530"/>
      <w:bookmarkStart w:id="655" w:name="_Toc65420105"/>
      <w:bookmarkStart w:id="656" w:name="_Toc118890525"/>
      <w:bookmarkStart w:id="657" w:name="_Toc23750"/>
      <w:bookmarkStart w:id="658" w:name="_Toc121182317"/>
      <w:bookmarkStart w:id="659" w:name="_Toc70094692"/>
      <w:bookmarkStart w:id="660" w:name="_Toc491534434"/>
      <w:bookmarkStart w:id="661" w:name="_Toc21163"/>
      <w:bookmarkStart w:id="662" w:name="_Toc24677"/>
      <w:bookmarkStart w:id="663" w:name="_Toc121308047"/>
      <w:r>
        <w:rPr>
          <w:rFonts w:ascii="Times New Roman" w:hAnsi="Times New Roman" w:eastAsia="宋体" w:cs="Times New Roman"/>
          <w:b/>
          <w:sz w:val="21"/>
          <w:szCs w:val="21"/>
        </w:rPr>
        <w:t>投标截止期</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F677572">
      <w:pPr>
        <w:numPr>
          <w:ilvl w:val="0"/>
          <w:numId w:val="20"/>
        </w:numPr>
        <w:tabs>
          <w:tab w:val="left" w:pos="851"/>
          <w:tab w:val="clear" w:pos="1134"/>
        </w:tabs>
        <w:spacing w:before="0" w:beforeLines="0" w:line="360" w:lineRule="auto"/>
        <w:ind w:left="0" w:firstLine="420"/>
        <w:rPr>
          <w:rFonts w:hAnsi="宋体"/>
          <w:sz w:val="21"/>
          <w:szCs w:val="21"/>
        </w:rPr>
      </w:pPr>
      <w:r>
        <w:rPr>
          <w:rFonts w:hAnsi="宋体"/>
          <w:kern w:val="0"/>
          <w:sz w:val="21"/>
          <w:szCs w:val="18"/>
        </w:rPr>
        <w:t>投标人应在“投标人须知前附表”规定的投标截止时间前递交投标文件</w:t>
      </w:r>
      <w:r>
        <w:rPr>
          <w:rFonts w:hAnsi="宋体"/>
          <w:sz w:val="21"/>
          <w:szCs w:val="21"/>
        </w:rPr>
        <w:t>。</w:t>
      </w:r>
    </w:p>
    <w:p w14:paraId="6D50C7F7">
      <w:pPr>
        <w:numPr>
          <w:ilvl w:val="0"/>
          <w:numId w:val="20"/>
        </w:numPr>
        <w:tabs>
          <w:tab w:val="left" w:pos="851"/>
          <w:tab w:val="clear" w:pos="1134"/>
        </w:tabs>
        <w:spacing w:before="0" w:beforeLines="0" w:line="360" w:lineRule="auto"/>
        <w:ind w:left="0" w:firstLine="420"/>
        <w:rPr>
          <w:rFonts w:hAnsi="宋体"/>
          <w:b/>
          <w:sz w:val="21"/>
          <w:szCs w:val="21"/>
        </w:rPr>
      </w:pPr>
      <w:r>
        <w:rPr>
          <w:rFonts w:hAnsi="宋体"/>
          <w:kern w:val="0"/>
          <w:sz w:val="21"/>
          <w:szCs w:val="18"/>
        </w:rPr>
        <w:t>投标人递交投标文件的地点：见“投标人须知前附表”。</w:t>
      </w:r>
    </w:p>
    <w:p w14:paraId="63939257">
      <w:pPr>
        <w:numPr>
          <w:ilvl w:val="0"/>
          <w:numId w:val="20"/>
        </w:numPr>
        <w:tabs>
          <w:tab w:val="left" w:pos="851"/>
          <w:tab w:val="clear" w:pos="1134"/>
        </w:tabs>
        <w:spacing w:before="0" w:beforeLines="0" w:line="360" w:lineRule="auto"/>
        <w:ind w:left="0" w:firstLine="420"/>
        <w:rPr>
          <w:rFonts w:hAnsi="宋体"/>
          <w:sz w:val="21"/>
          <w:szCs w:val="21"/>
        </w:rPr>
      </w:pPr>
      <w:r>
        <w:rPr>
          <w:rFonts w:hAnsi="宋体"/>
          <w:sz w:val="21"/>
          <w:szCs w:val="21"/>
        </w:rPr>
        <w:t>出现投标人须知第7条因招标文件的修改推迟投标截止时间时，则按招标代理机构和招标人修改通知规定的时间递交。在此情况下，招标人和投标人受投标截止时间制约的所有权利和义务均应延长至新的投标截止时间。</w:t>
      </w:r>
    </w:p>
    <w:p w14:paraId="24F1F717">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664" w:name="_Toc119786486"/>
      <w:bookmarkStart w:id="665" w:name="_Toc121308048"/>
      <w:bookmarkStart w:id="666" w:name="_Toc16992"/>
      <w:bookmarkStart w:id="667" w:name="_Toc26813"/>
      <w:bookmarkStart w:id="668" w:name="_Toc72583500"/>
      <w:bookmarkStart w:id="669" w:name="_Toc65420106"/>
      <w:bookmarkStart w:id="670" w:name="_Toc193981280"/>
      <w:bookmarkStart w:id="671" w:name="_Toc65846708"/>
      <w:bookmarkStart w:id="672" w:name="_Toc491534435"/>
      <w:bookmarkStart w:id="673" w:name="_Toc9593"/>
      <w:bookmarkStart w:id="674" w:name="_Toc65498378"/>
      <w:bookmarkStart w:id="675" w:name="_Toc65597757"/>
      <w:bookmarkStart w:id="676" w:name="_Toc65641132"/>
      <w:bookmarkStart w:id="677" w:name="_Toc375564284"/>
      <w:bookmarkStart w:id="678" w:name="_Toc70094693"/>
      <w:bookmarkStart w:id="679" w:name="_Toc121182318"/>
      <w:bookmarkStart w:id="680" w:name="_Toc68407756"/>
      <w:bookmarkStart w:id="681" w:name="_Toc17341"/>
      <w:bookmarkStart w:id="682" w:name="_Toc118061531"/>
      <w:bookmarkStart w:id="683" w:name="_Toc118890526"/>
      <w:bookmarkStart w:id="684" w:name="_Toc68417349"/>
      <w:bookmarkStart w:id="685" w:name="_Toc17910"/>
      <w:bookmarkStart w:id="686" w:name="_Toc121830591"/>
      <w:bookmarkStart w:id="687" w:name="_Toc213049025"/>
      <w:bookmarkStart w:id="688" w:name="_Toc223786525"/>
      <w:r>
        <w:rPr>
          <w:rFonts w:ascii="Times New Roman" w:hAnsi="Times New Roman" w:eastAsia="宋体" w:cs="Times New Roman"/>
          <w:b/>
          <w:sz w:val="21"/>
          <w:szCs w:val="21"/>
        </w:rPr>
        <w:t>迟交的投标文件</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0435B471">
      <w:pPr>
        <w:numPr>
          <w:ilvl w:val="0"/>
          <w:numId w:val="21"/>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招标人将拒绝并原封退回在“投标人须知”第18条规定的投标截止时间后收到的任何投标文件。</w:t>
      </w:r>
    </w:p>
    <w:p w14:paraId="74844A6C">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689" w:name="_Toc468512332"/>
      <w:bookmarkStart w:id="690" w:name="_Toc15811022"/>
      <w:bookmarkStart w:id="691" w:name="_Toc463840350"/>
      <w:bookmarkStart w:id="692" w:name="_Toc468509347"/>
      <w:bookmarkStart w:id="693" w:name="_Toc179087250"/>
      <w:bookmarkStart w:id="694" w:name="_Toc118208113"/>
      <w:bookmarkStart w:id="695" w:name="_Toc14500"/>
      <w:bookmarkStart w:id="696" w:name="_Toc167685224"/>
      <w:bookmarkStart w:id="697" w:name="_Toc463840094"/>
      <w:bookmarkStart w:id="698" w:name="_Toc463840875"/>
      <w:bookmarkStart w:id="699" w:name="_Toc224010195"/>
      <w:bookmarkStart w:id="700" w:name="_Toc193981281"/>
      <w:bookmarkStart w:id="701" w:name="_Toc10431"/>
      <w:bookmarkStart w:id="702" w:name="_Toc468518939"/>
      <w:bookmarkStart w:id="703" w:name="_Toc468781083"/>
      <w:bookmarkStart w:id="704" w:name="_Toc468512145"/>
      <w:bookmarkStart w:id="705" w:name="_Toc167767463"/>
      <w:bookmarkStart w:id="706" w:name="_Toc8778"/>
      <w:bookmarkStart w:id="707" w:name="_Toc463842030"/>
      <w:bookmarkStart w:id="708" w:name="_Toc192127032"/>
      <w:bookmarkStart w:id="709" w:name="_Toc465683872"/>
      <w:bookmarkStart w:id="710" w:name="_Toc179089605"/>
      <w:bookmarkStart w:id="711" w:name="_Toc375564285"/>
      <w:bookmarkStart w:id="712" w:name="_Toc466081579"/>
      <w:bookmarkStart w:id="713" w:name="_Toc1500"/>
      <w:bookmarkStart w:id="714" w:name="_Toc176663501"/>
      <w:bookmarkStart w:id="715" w:name="_Toc16021"/>
      <w:bookmarkStart w:id="716" w:name="_Toc491534436"/>
      <w:bookmarkStart w:id="717" w:name="_Toc72583501"/>
      <w:bookmarkStart w:id="718" w:name="_Toc213049026"/>
      <w:bookmarkStart w:id="719" w:name="_Toc70094694"/>
      <w:bookmarkStart w:id="720" w:name="_Toc223786526"/>
      <w:bookmarkStart w:id="721" w:name="_Toc118890527"/>
      <w:bookmarkStart w:id="722" w:name="_Toc65846709"/>
      <w:bookmarkStart w:id="723" w:name="_Toc68407757"/>
      <w:bookmarkStart w:id="724" w:name="_Toc121830592"/>
      <w:bookmarkStart w:id="725" w:name="_Toc65420107"/>
      <w:bookmarkStart w:id="726" w:name="_Toc119786487"/>
      <w:bookmarkStart w:id="727" w:name="_Toc65498379"/>
      <w:bookmarkStart w:id="728" w:name="_Toc65641133"/>
      <w:bookmarkStart w:id="729" w:name="_Toc121182319"/>
      <w:bookmarkStart w:id="730" w:name="_Toc68417350"/>
      <w:bookmarkStart w:id="731" w:name="_Toc118061532"/>
      <w:bookmarkStart w:id="732" w:name="_Toc65597758"/>
      <w:bookmarkStart w:id="733" w:name="_Toc121308049"/>
      <w:r>
        <w:rPr>
          <w:rFonts w:ascii="Times New Roman" w:hAnsi="Times New Roman" w:eastAsia="宋体" w:cs="Times New Roman"/>
          <w:b/>
          <w:sz w:val="21"/>
          <w:szCs w:val="21"/>
        </w:rPr>
        <w:t>投标文件的修改和撤回</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00D2685">
      <w:pPr>
        <w:numPr>
          <w:ilvl w:val="0"/>
          <w:numId w:val="22"/>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投标人在提交投标文件后可对其投标文件进行修改或撤回，但该修改或撤回的书面通知须在投标截止时间之前送达招标代理机构；且该通知需经正式授权的投标人代表签字方为有效。</w:t>
      </w:r>
    </w:p>
    <w:p w14:paraId="0FB3DBE2">
      <w:pPr>
        <w:numPr>
          <w:ilvl w:val="0"/>
          <w:numId w:val="22"/>
        </w:numPr>
        <w:tabs>
          <w:tab w:val="left" w:pos="851"/>
          <w:tab w:val="left" w:pos="1060"/>
          <w:tab w:val="clear" w:pos="1134"/>
        </w:tabs>
        <w:spacing w:before="0" w:beforeLines="0" w:line="360" w:lineRule="auto"/>
        <w:ind w:left="0" w:firstLine="420"/>
        <w:rPr>
          <w:rFonts w:hAnsi="宋体"/>
          <w:sz w:val="21"/>
          <w:szCs w:val="21"/>
        </w:rPr>
      </w:pPr>
      <w:r>
        <w:rPr>
          <w:rFonts w:hAnsi="宋体"/>
          <w:sz w:val="21"/>
          <w:szCs w:val="21"/>
        </w:rPr>
        <w:t>投标人对投标文件修改的书面材料或撤回的通知应按本投标人须知16和</w:t>
      </w:r>
      <w:r>
        <w:rPr>
          <w:rFonts w:hAnsi="宋体"/>
          <w:sz w:val="21"/>
          <w:szCs w:val="21"/>
        </w:rPr>
        <w:fldChar w:fldCharType="begin"/>
      </w:r>
      <w:r>
        <w:rPr>
          <w:rFonts w:hAnsi="宋体"/>
          <w:sz w:val="21"/>
          <w:szCs w:val="21"/>
        </w:rPr>
        <w:instrText xml:space="preserve"> HYPERLINK  \l "_投标文件的密封和标记" </w:instrText>
      </w:r>
      <w:r>
        <w:rPr>
          <w:rFonts w:hAnsi="宋体"/>
          <w:sz w:val="21"/>
          <w:szCs w:val="21"/>
        </w:rPr>
        <w:fldChar w:fldCharType="separate"/>
      </w:r>
      <w:r>
        <w:rPr>
          <w:rFonts w:hAnsi="宋体"/>
          <w:sz w:val="21"/>
          <w:szCs w:val="21"/>
        </w:rPr>
        <w:t>17条</w:t>
      </w:r>
      <w:r>
        <w:rPr>
          <w:rFonts w:hAnsi="宋体"/>
          <w:sz w:val="21"/>
          <w:szCs w:val="21"/>
        </w:rPr>
        <w:fldChar w:fldCharType="end"/>
      </w:r>
      <w:r>
        <w:rPr>
          <w:rFonts w:hAnsi="宋体"/>
          <w:sz w:val="21"/>
          <w:szCs w:val="21"/>
        </w:rPr>
        <w:t>规定进行编写、密封、标注和递送，并注明“修改投标文件”或“撤回投标书面通知”字样。</w:t>
      </w:r>
    </w:p>
    <w:p w14:paraId="55FEDA7D">
      <w:pPr>
        <w:numPr>
          <w:ilvl w:val="0"/>
          <w:numId w:val="22"/>
        </w:numPr>
        <w:tabs>
          <w:tab w:val="left" w:pos="851"/>
          <w:tab w:val="clear" w:pos="1134"/>
        </w:tabs>
        <w:spacing w:before="0" w:beforeLines="0" w:line="360" w:lineRule="auto"/>
        <w:ind w:left="0" w:firstLine="420"/>
        <w:rPr>
          <w:rFonts w:hAnsi="宋体"/>
          <w:sz w:val="21"/>
          <w:szCs w:val="21"/>
        </w:rPr>
      </w:pPr>
      <w:r>
        <w:rPr>
          <w:rFonts w:hAnsi="宋体"/>
          <w:sz w:val="21"/>
          <w:szCs w:val="21"/>
        </w:rPr>
        <w:t>投标截止时间以后投标人不得修改投标文件。</w:t>
      </w:r>
    </w:p>
    <w:p w14:paraId="37145796">
      <w:pPr>
        <w:numPr>
          <w:ilvl w:val="0"/>
          <w:numId w:val="22"/>
        </w:numPr>
        <w:tabs>
          <w:tab w:val="left" w:pos="851"/>
          <w:tab w:val="clear" w:pos="1134"/>
        </w:tabs>
        <w:spacing w:before="0" w:beforeLines="0" w:line="360" w:lineRule="auto"/>
        <w:ind w:left="0" w:firstLine="420"/>
        <w:rPr>
          <w:rFonts w:hAnsi="宋体"/>
          <w:sz w:val="21"/>
          <w:szCs w:val="21"/>
        </w:rPr>
      </w:pPr>
      <w:r>
        <w:rPr>
          <w:rFonts w:hAnsi="宋体"/>
          <w:sz w:val="21"/>
          <w:szCs w:val="21"/>
        </w:rPr>
        <w:t>投标人不得在投标截止时间至投标有效期期满前撤销投标文件。</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E512117">
      <w:pPr>
        <w:pStyle w:val="5"/>
        <w:numPr>
          <w:ilvl w:val="0"/>
          <w:numId w:val="1"/>
        </w:numPr>
        <w:tabs>
          <w:tab w:val="left" w:pos="851"/>
          <w:tab w:val="clear" w:pos="1134"/>
        </w:tabs>
        <w:spacing w:before="0" w:beforeLines="0" w:line="360" w:lineRule="auto"/>
        <w:ind w:left="0" w:firstLine="482"/>
        <w:jc w:val="both"/>
        <w:rPr>
          <w:rFonts w:ascii="Times New Roman" w:hAnsi="Times New Roman" w:eastAsia="宋体"/>
          <w:b/>
          <w:bCs w:val="0"/>
          <w:sz w:val="24"/>
          <w:szCs w:val="24"/>
        </w:rPr>
      </w:pPr>
      <w:bookmarkStart w:id="734" w:name="_Toc47418717"/>
      <w:bookmarkStart w:id="735" w:name="_Toc121182320"/>
      <w:bookmarkStart w:id="736" w:name="_Toc48791221"/>
      <w:bookmarkStart w:id="737" w:name="_Toc47261871"/>
      <w:bookmarkStart w:id="738" w:name="_Toc118061533"/>
      <w:bookmarkStart w:id="739" w:name="_Toc47418241"/>
      <w:bookmarkStart w:id="740" w:name="_Toc47261676"/>
      <w:bookmarkStart w:id="741" w:name="_Toc48995837"/>
      <w:bookmarkStart w:id="742" w:name="_Toc49019222"/>
      <w:bookmarkStart w:id="743" w:name="_Toc121308050"/>
      <w:bookmarkStart w:id="744" w:name="_Toc47261056"/>
      <w:bookmarkStart w:id="745" w:name="_Toc65597759"/>
      <w:bookmarkStart w:id="746" w:name="_Toc119786488"/>
      <w:bookmarkStart w:id="747" w:name="_Toc65641134"/>
      <w:bookmarkStart w:id="748" w:name="_Toc65498380"/>
      <w:bookmarkStart w:id="749" w:name="_Toc65420108"/>
      <w:bookmarkStart w:id="750" w:name="_Toc49019483"/>
      <w:bookmarkStart w:id="751" w:name="_Toc193981282"/>
      <w:bookmarkStart w:id="752" w:name="_Toc70094695"/>
      <w:bookmarkStart w:id="753" w:name="_Toc223786527"/>
      <w:bookmarkStart w:id="754" w:name="_Toc121830593"/>
      <w:bookmarkStart w:id="755" w:name="_Toc118890528"/>
      <w:bookmarkStart w:id="756" w:name="_Toc68417351"/>
      <w:bookmarkStart w:id="757" w:name="_Toc72583502"/>
      <w:bookmarkStart w:id="758" w:name="_Toc65846710"/>
      <w:bookmarkStart w:id="759" w:name="_Toc68407758"/>
      <w:bookmarkStart w:id="760" w:name="_Toc375564286"/>
      <w:bookmarkStart w:id="761" w:name="_Toc47262055"/>
      <w:bookmarkStart w:id="762" w:name="_Toc55500020"/>
      <w:bookmarkStart w:id="763" w:name="_Toc213049027"/>
      <w:bookmarkStart w:id="764" w:name="_Toc47418924"/>
      <w:bookmarkStart w:id="765" w:name="_Toc15361"/>
      <w:r>
        <w:rPr>
          <w:rFonts w:ascii="Times New Roman" w:hAnsi="Times New Roman" w:eastAsia="宋体"/>
          <w:b/>
          <w:bCs w:val="0"/>
          <w:sz w:val="24"/>
          <w:szCs w:val="24"/>
        </w:rPr>
        <w:t>开标与评标</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3BCFB989">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766" w:name="_Toc375564287"/>
      <w:bookmarkStart w:id="767" w:name="_Toc65597760"/>
      <w:bookmarkStart w:id="768" w:name="_Toc65641135"/>
      <w:bookmarkStart w:id="769" w:name="_Toc9789"/>
      <w:bookmarkStart w:id="770" w:name="_Toc70094696"/>
      <w:bookmarkStart w:id="771" w:name="_Toc25384"/>
      <w:bookmarkStart w:id="772" w:name="_Toc118890529"/>
      <w:bookmarkStart w:id="773" w:name="_Toc121830594"/>
      <w:bookmarkStart w:id="774" w:name="_Toc121182321"/>
      <w:bookmarkStart w:id="775" w:name="_Toc65420109"/>
      <w:bookmarkStart w:id="776" w:name="_Toc68417352"/>
      <w:bookmarkStart w:id="777" w:name="_Toc72583503"/>
      <w:bookmarkStart w:id="778" w:name="_Toc30801"/>
      <w:bookmarkStart w:id="779" w:name="_Toc193981283"/>
      <w:bookmarkStart w:id="780" w:name="_Toc119786489"/>
      <w:bookmarkStart w:id="781" w:name="_Toc7485"/>
      <w:bookmarkStart w:id="782" w:name="_Toc118061534"/>
      <w:bookmarkStart w:id="783" w:name="_Toc223786528"/>
      <w:bookmarkStart w:id="784" w:name="_Toc213049028"/>
      <w:bookmarkStart w:id="785" w:name="_Toc121308051"/>
      <w:bookmarkStart w:id="786" w:name="_Toc65846711"/>
      <w:bookmarkStart w:id="787" w:name="_Toc8479"/>
      <w:bookmarkStart w:id="788" w:name="_Toc491534438"/>
      <w:bookmarkStart w:id="789" w:name="_Toc65498381"/>
      <w:bookmarkStart w:id="790" w:name="_Toc68407759"/>
      <w:r>
        <w:rPr>
          <w:rFonts w:ascii="Times New Roman" w:hAnsi="Times New Roman" w:eastAsia="宋体" w:cs="Times New Roman"/>
          <w:b/>
          <w:sz w:val="21"/>
          <w:szCs w:val="21"/>
        </w:rPr>
        <w:t>开标</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CEF2285">
      <w:pPr>
        <w:numPr>
          <w:ilvl w:val="1"/>
          <w:numId w:val="23"/>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招标人将按《投标人须知前附表》中第13项规定的时间和地址，对所有按时递交并已签收达三个或以上投标人的投标文件进行开标，否则招标人重新组织招标。</w:t>
      </w:r>
    </w:p>
    <w:p w14:paraId="5B0F13D2">
      <w:pPr>
        <w:tabs>
          <w:tab w:val="left" w:pos="851"/>
        </w:tabs>
        <w:spacing w:before="0" w:beforeLines="0" w:line="360" w:lineRule="auto"/>
        <w:ind w:firstLine="422"/>
        <w:rPr>
          <w:rFonts w:ascii="Times New Roman"/>
          <w:b/>
          <w:sz w:val="21"/>
          <w:szCs w:val="21"/>
        </w:rPr>
      </w:pPr>
      <w:r>
        <w:rPr>
          <w:rFonts w:ascii="Times New Roman"/>
          <w:b/>
          <w:sz w:val="21"/>
          <w:szCs w:val="21"/>
        </w:rPr>
        <w:t>投标文件有下列情形之一的，招标人应当拒收：</w:t>
      </w:r>
    </w:p>
    <w:p w14:paraId="1FE210B3">
      <w:pPr>
        <w:tabs>
          <w:tab w:val="left" w:pos="851"/>
        </w:tabs>
        <w:spacing w:before="0" w:beforeLines="0" w:line="360" w:lineRule="auto"/>
        <w:ind w:left="422" w:firstLine="0" w:firstLineChars="0"/>
        <w:rPr>
          <w:rFonts w:ascii="Times New Roman"/>
          <w:b/>
          <w:sz w:val="21"/>
          <w:szCs w:val="21"/>
        </w:rPr>
      </w:pPr>
      <w:r>
        <w:rPr>
          <w:rFonts w:hint="eastAsia" w:ascii="Times New Roman"/>
          <w:b/>
          <w:sz w:val="21"/>
          <w:szCs w:val="21"/>
        </w:rPr>
        <w:t>（1）</w:t>
      </w:r>
      <w:r>
        <w:rPr>
          <w:rFonts w:ascii="Times New Roman"/>
          <w:b/>
          <w:sz w:val="21"/>
          <w:szCs w:val="21"/>
        </w:rPr>
        <w:t>逾期送达的或者未送达指定地点的投标文件；</w:t>
      </w:r>
    </w:p>
    <w:p w14:paraId="21E8BCF8">
      <w:pPr>
        <w:tabs>
          <w:tab w:val="left" w:pos="851"/>
        </w:tabs>
        <w:spacing w:before="0" w:beforeLines="0" w:line="360" w:lineRule="auto"/>
        <w:ind w:left="422" w:firstLine="0" w:firstLineChars="0"/>
        <w:rPr>
          <w:rFonts w:ascii="Times New Roman"/>
          <w:b/>
          <w:sz w:val="21"/>
          <w:szCs w:val="21"/>
        </w:rPr>
      </w:pPr>
      <w:r>
        <w:rPr>
          <w:rFonts w:hint="eastAsia" w:ascii="Times New Roman"/>
          <w:b/>
          <w:sz w:val="21"/>
          <w:szCs w:val="21"/>
        </w:rPr>
        <w:t>（2）</w:t>
      </w:r>
      <w:r>
        <w:rPr>
          <w:rFonts w:ascii="Times New Roman"/>
          <w:b/>
          <w:sz w:val="21"/>
          <w:szCs w:val="21"/>
        </w:rPr>
        <w:t>投标文件外包封未按招标文件要求密封的</w:t>
      </w:r>
      <w:r>
        <w:rPr>
          <w:rFonts w:hint="eastAsia" w:ascii="Times New Roman"/>
          <w:b/>
          <w:sz w:val="21"/>
          <w:szCs w:val="21"/>
        </w:rPr>
        <w:t>。</w:t>
      </w:r>
    </w:p>
    <w:p w14:paraId="0F92ABAF">
      <w:pPr>
        <w:numPr>
          <w:ilvl w:val="1"/>
          <w:numId w:val="23"/>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投标人可自行决定是否安排投标人代表现场参加开标活动。</w:t>
      </w:r>
      <w:r>
        <w:rPr>
          <w:rFonts w:ascii="Times New Roman"/>
          <w:b/>
          <w:sz w:val="21"/>
          <w:szCs w:val="21"/>
        </w:rPr>
        <w:t>如投标人参加开标会，投标人的法定代表人或其授权代表（以下统称投标人代表）必须在投标截止前到开标地点招标代理机构处签到确认参加开标会，开标前须出示本人有效身份证（限中国公民居民身份证、外籍有效护照，下同）的原件，投标人授权代表还必须同时出示投标授权书原件，以证明授权代表的身份和被授权范围，并由招标人或其委托的公证机构代表验证确认。</w:t>
      </w:r>
      <w:r>
        <w:rPr>
          <w:rFonts w:ascii="Times New Roman"/>
          <w:sz w:val="21"/>
          <w:szCs w:val="21"/>
        </w:rPr>
        <w:t>未参加开标会的投标人视同已认可本次开标会全过程。</w:t>
      </w:r>
    </w:p>
    <w:p w14:paraId="2135C809">
      <w:pPr>
        <w:numPr>
          <w:ilvl w:val="1"/>
          <w:numId w:val="23"/>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开标会议由招标代理机构组织并主持。</w:t>
      </w:r>
    </w:p>
    <w:p w14:paraId="3976D5F0">
      <w:pPr>
        <w:numPr>
          <w:ilvl w:val="1"/>
          <w:numId w:val="23"/>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在开标会上，首先由</w:t>
      </w:r>
      <w:r>
        <w:rPr>
          <w:rFonts w:hint="eastAsia" w:ascii="Times New Roman"/>
          <w:sz w:val="21"/>
          <w:szCs w:val="21"/>
        </w:rPr>
        <w:t>招标人代表或</w:t>
      </w:r>
      <w:r>
        <w:rPr>
          <w:rFonts w:ascii="Times New Roman"/>
          <w:sz w:val="21"/>
          <w:szCs w:val="21"/>
        </w:rPr>
        <w:t>投标人代表</w:t>
      </w:r>
      <w:r>
        <w:rPr>
          <w:rFonts w:hint="eastAsia" w:ascii="Times New Roman"/>
          <w:sz w:val="21"/>
          <w:szCs w:val="21"/>
        </w:rPr>
        <w:t>（如有）</w:t>
      </w:r>
      <w:r>
        <w:rPr>
          <w:rFonts w:ascii="Times New Roman"/>
          <w:sz w:val="21"/>
          <w:szCs w:val="21"/>
        </w:rPr>
        <w:t>检查投标文件的密封情况。</w:t>
      </w:r>
    </w:p>
    <w:p w14:paraId="0DBE794E">
      <w:pPr>
        <w:numPr>
          <w:ilvl w:val="1"/>
          <w:numId w:val="23"/>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在进行上述检查后，将宣布投标人是否通过检查</w:t>
      </w:r>
      <w:r>
        <w:rPr>
          <w:rFonts w:hint="eastAsia" w:ascii="Times New Roman"/>
          <w:sz w:val="21"/>
          <w:szCs w:val="21"/>
        </w:rPr>
        <w:t>并进行唱标报价</w:t>
      </w:r>
      <w:r>
        <w:rPr>
          <w:rFonts w:ascii="Times New Roman"/>
          <w:sz w:val="21"/>
          <w:szCs w:val="21"/>
        </w:rPr>
        <w:t>。</w:t>
      </w:r>
    </w:p>
    <w:p w14:paraId="73BC0A73">
      <w:pPr>
        <w:numPr>
          <w:ilvl w:val="1"/>
          <w:numId w:val="23"/>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如宣读的唱价结果与投标文件不符时，投标人有权在开标现场提出异议，经核查确认后，</w:t>
      </w:r>
      <w:r>
        <w:rPr>
          <w:rFonts w:hint="eastAsia" w:ascii="Times New Roman"/>
          <w:sz w:val="21"/>
          <w:szCs w:val="21"/>
        </w:rPr>
        <w:t>主持人</w:t>
      </w:r>
      <w:r>
        <w:rPr>
          <w:rFonts w:ascii="Times New Roman"/>
          <w:sz w:val="21"/>
          <w:szCs w:val="21"/>
        </w:rPr>
        <w:t>应重新宣读其投标</w:t>
      </w:r>
      <w:r>
        <w:rPr>
          <w:rFonts w:hint="eastAsia" w:ascii="Times New Roman"/>
          <w:sz w:val="21"/>
          <w:szCs w:val="21"/>
        </w:rPr>
        <w:t>报价</w:t>
      </w:r>
      <w:r>
        <w:rPr>
          <w:rFonts w:ascii="Times New Roman"/>
          <w:sz w:val="21"/>
          <w:szCs w:val="21"/>
        </w:rPr>
        <w:t>等内容；如投标人现场未提出异议，则认为投标人已确认支持人宣读的结果，投标人法定代表人或其授权代理人应在开标记录上签字。</w:t>
      </w:r>
    </w:p>
    <w:p w14:paraId="5B64E906">
      <w:pPr>
        <w:numPr>
          <w:ilvl w:val="1"/>
          <w:numId w:val="23"/>
        </w:numPr>
        <w:tabs>
          <w:tab w:val="left" w:pos="851"/>
          <w:tab w:val="clear" w:pos="1134"/>
        </w:tabs>
        <w:spacing w:before="0" w:beforeLines="0" w:line="360" w:lineRule="auto"/>
        <w:ind w:left="0" w:firstLine="420"/>
        <w:rPr>
          <w:rFonts w:ascii="Times New Roman"/>
          <w:sz w:val="21"/>
          <w:szCs w:val="21"/>
        </w:rPr>
      </w:pPr>
      <w:r>
        <w:rPr>
          <w:rFonts w:hint="eastAsia" w:ascii="Times New Roman"/>
          <w:sz w:val="21"/>
          <w:szCs w:val="21"/>
        </w:rPr>
        <w:t>招标</w:t>
      </w:r>
      <w:r>
        <w:rPr>
          <w:rFonts w:ascii="Times New Roman"/>
          <w:sz w:val="21"/>
          <w:szCs w:val="21"/>
        </w:rPr>
        <w:t>代理机构应做好开标会议的记录并经核查人签字后存档备查。</w:t>
      </w:r>
    </w:p>
    <w:p w14:paraId="7B7B463B">
      <w:pPr>
        <w:numPr>
          <w:ilvl w:val="1"/>
          <w:numId w:val="23"/>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投标人扰乱会场秩序，经招标人或监管工作人员劝阻无效的，做否决投标处理</w:t>
      </w:r>
      <w:r>
        <w:rPr>
          <w:rFonts w:hint="eastAsia" w:ascii="Times New Roman"/>
          <w:sz w:val="21"/>
          <w:szCs w:val="21"/>
        </w:rPr>
        <w:t>。</w:t>
      </w:r>
    </w:p>
    <w:p w14:paraId="2E97C446">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791" w:name="_Toc32530"/>
      <w:bookmarkStart w:id="792" w:name="_Toc4549"/>
      <w:bookmarkStart w:id="793" w:name="_Toc17363"/>
      <w:bookmarkStart w:id="794" w:name="_Toc193981284"/>
      <w:bookmarkStart w:id="795" w:name="_Toc3280"/>
      <w:bookmarkStart w:id="796" w:name="_Toc375564288"/>
      <w:bookmarkStart w:id="797" w:name="_Toc491534439"/>
      <w:bookmarkStart w:id="798" w:name="_Toc9886"/>
      <w:bookmarkStart w:id="799" w:name="_Toc72583504"/>
      <w:bookmarkStart w:id="800" w:name="_Toc65641136"/>
      <w:bookmarkStart w:id="801" w:name="_Toc179089607"/>
      <w:bookmarkStart w:id="802" w:name="_Toc70094697"/>
      <w:bookmarkStart w:id="803" w:name="_Toc68417353"/>
      <w:bookmarkStart w:id="804" w:name="_Toc119786490"/>
      <w:bookmarkStart w:id="805" w:name="_Toc118061535"/>
      <w:bookmarkStart w:id="806" w:name="_Toc167767466"/>
      <w:bookmarkStart w:id="807" w:name="_Toc121830595"/>
      <w:bookmarkStart w:id="808" w:name="_Toc118890530"/>
      <w:bookmarkStart w:id="809" w:name="_Toc65597761"/>
      <w:bookmarkStart w:id="810" w:name="_Toc65498382"/>
      <w:bookmarkStart w:id="811" w:name="_Toc224010198"/>
      <w:bookmarkStart w:id="812" w:name="_Toc121182322"/>
      <w:bookmarkStart w:id="813" w:name="_Toc213049029"/>
      <w:bookmarkStart w:id="814" w:name="_Toc179087252"/>
      <w:bookmarkStart w:id="815" w:name="_Toc167685226"/>
      <w:bookmarkStart w:id="816" w:name="_Toc118208116"/>
      <w:bookmarkStart w:id="817" w:name="_Toc192127035"/>
      <w:bookmarkStart w:id="818" w:name="_Toc121308052"/>
      <w:bookmarkStart w:id="819" w:name="_Toc223786529"/>
      <w:bookmarkStart w:id="820" w:name="_Toc176663504"/>
      <w:bookmarkStart w:id="821" w:name="_Toc15811025"/>
      <w:bookmarkStart w:id="822" w:name="_Toc65846712"/>
      <w:bookmarkStart w:id="823" w:name="_Toc68407760"/>
      <w:bookmarkStart w:id="824" w:name="_Toc65420110"/>
      <w:r>
        <w:rPr>
          <w:rFonts w:ascii="Times New Roman" w:hAnsi="Times New Roman" w:eastAsia="宋体" w:cs="Times New Roman"/>
          <w:b/>
          <w:sz w:val="21"/>
          <w:szCs w:val="21"/>
        </w:rPr>
        <w:t>评标</w:t>
      </w:r>
      <w:bookmarkEnd w:id="791"/>
      <w:bookmarkEnd w:id="792"/>
      <w:bookmarkEnd w:id="793"/>
      <w:bookmarkEnd w:id="794"/>
      <w:bookmarkEnd w:id="795"/>
      <w:bookmarkEnd w:id="796"/>
      <w:bookmarkEnd w:id="797"/>
      <w:bookmarkEnd w:id="798"/>
    </w:p>
    <w:p w14:paraId="4338FE6D">
      <w:pPr>
        <w:tabs>
          <w:tab w:val="left" w:pos="851"/>
        </w:tabs>
        <w:spacing w:before="0" w:beforeLines="0" w:line="360" w:lineRule="auto"/>
        <w:ind w:firstLine="420"/>
        <w:rPr>
          <w:rFonts w:ascii="Times New Roman"/>
          <w:sz w:val="21"/>
          <w:szCs w:val="21"/>
        </w:rPr>
      </w:pPr>
      <w:bookmarkStart w:id="825" w:name="_Toc375564289"/>
      <w:r>
        <w:rPr>
          <w:rFonts w:ascii="Times New Roman"/>
          <w:sz w:val="21"/>
          <w:szCs w:val="21"/>
        </w:rPr>
        <w:t>详见投标人须知前附表。</w:t>
      </w:r>
      <w:bookmarkEnd w:id="825"/>
    </w:p>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14:paraId="38C0AB56">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826" w:name="_Toc119786491"/>
      <w:bookmarkStart w:id="827" w:name="_Toc491534440"/>
      <w:bookmarkStart w:id="828" w:name="_Toc121308053"/>
      <w:bookmarkStart w:id="829" w:name="_Toc68407761"/>
      <w:bookmarkStart w:id="830" w:name="_Toc121830596"/>
      <w:bookmarkStart w:id="831" w:name="_Toc72583505"/>
      <w:bookmarkStart w:id="832" w:name="_Toc118890531"/>
      <w:bookmarkStart w:id="833" w:name="_Toc17776"/>
      <w:bookmarkStart w:id="834" w:name="_Toc65498383"/>
      <w:bookmarkStart w:id="835" w:name="_Toc70094698"/>
      <w:bookmarkStart w:id="836" w:name="_Toc121182323"/>
      <w:bookmarkStart w:id="837" w:name="_Toc65846713"/>
      <w:bookmarkStart w:id="838" w:name="_Toc65420111"/>
      <w:bookmarkStart w:id="839" w:name="_Toc118061536"/>
      <w:bookmarkStart w:id="840" w:name="_Toc7395"/>
      <w:bookmarkStart w:id="841" w:name="_Toc65641137"/>
      <w:bookmarkStart w:id="842" w:name="_Toc375564290"/>
      <w:bookmarkStart w:id="843" w:name="_Toc27768"/>
      <w:bookmarkStart w:id="844" w:name="_Toc65597762"/>
      <w:bookmarkStart w:id="845" w:name="_Toc213049030"/>
      <w:bookmarkStart w:id="846" w:name="_Toc68417354"/>
      <w:bookmarkStart w:id="847" w:name="_Toc223786530"/>
      <w:bookmarkStart w:id="848" w:name="_Toc193981285"/>
      <w:bookmarkStart w:id="849" w:name="_Toc9103"/>
      <w:bookmarkStart w:id="850" w:name="_Toc9972"/>
      <w:r>
        <w:rPr>
          <w:rFonts w:ascii="Times New Roman" w:hAnsi="Times New Roman" w:eastAsia="宋体" w:cs="Times New Roman"/>
          <w:b/>
          <w:sz w:val="21"/>
          <w:szCs w:val="21"/>
        </w:rPr>
        <w:t>与招标代理机构、招标人和评标委员会的接触</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0AD97240">
      <w:pPr>
        <w:numPr>
          <w:ilvl w:val="1"/>
          <w:numId w:val="24"/>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从投标截止日起至授予合同期间，未经书面要求，投标人不得就与其投标文件有关的事项与评标委员会、招标人、招标代理机构接触（包括直接接触和间接接触）。</w:t>
      </w:r>
    </w:p>
    <w:p w14:paraId="73462AAA">
      <w:pPr>
        <w:numPr>
          <w:ilvl w:val="1"/>
          <w:numId w:val="24"/>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投标人试图对评标委员会的评标、比较或授予合同的决定进行影响，都可能导致其投标文件被否决。</w:t>
      </w:r>
    </w:p>
    <w:p w14:paraId="7613F20C">
      <w:pPr>
        <w:numPr>
          <w:ilvl w:val="1"/>
          <w:numId w:val="24"/>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投标人不得以任何方式干扰招标人的招标和评标活动，否则其投标无效并追究其法律责任。</w:t>
      </w:r>
    </w:p>
    <w:p w14:paraId="3C70D7CE">
      <w:pPr>
        <w:numPr>
          <w:ilvl w:val="1"/>
          <w:numId w:val="24"/>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有关投标文件的审查、澄清、评估和比较以及有关授予合同的意向的一切情况都不得透露给任一投标人。</w:t>
      </w:r>
    </w:p>
    <w:p w14:paraId="70E4FEFD">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851" w:name="_Toc27925"/>
      <w:bookmarkStart w:id="852" w:name="_Toc19982"/>
      <w:bookmarkStart w:id="853" w:name="_Toc27831"/>
      <w:bookmarkStart w:id="854" w:name="_Toc23965"/>
      <w:bookmarkStart w:id="855" w:name="_Toc491534441"/>
      <w:bookmarkStart w:id="856" w:name="_Toc193981286"/>
      <w:bookmarkStart w:id="857" w:name="_Toc14855"/>
      <w:r>
        <w:rPr>
          <w:rFonts w:ascii="Times New Roman" w:hAnsi="Times New Roman" w:eastAsia="宋体" w:cs="Times New Roman"/>
          <w:b/>
          <w:sz w:val="21"/>
          <w:szCs w:val="21"/>
        </w:rPr>
        <w:t>评标过程保密</w:t>
      </w:r>
      <w:bookmarkEnd w:id="851"/>
      <w:bookmarkEnd w:id="852"/>
      <w:bookmarkEnd w:id="853"/>
      <w:bookmarkEnd w:id="854"/>
      <w:bookmarkEnd w:id="855"/>
      <w:bookmarkEnd w:id="856"/>
      <w:bookmarkEnd w:id="857"/>
    </w:p>
    <w:p w14:paraId="74B5310F">
      <w:pPr>
        <w:numPr>
          <w:ilvl w:val="1"/>
          <w:numId w:val="25"/>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开标后，直到宣布授予中标人且签订合同为止，凡属于审查、澄清、评价和比较投标的有关资料且与授予合同有关的信息，都不应向投标人或与该过程无关的其他人泄露。</w:t>
      </w:r>
    </w:p>
    <w:p w14:paraId="0FDD61DF">
      <w:pPr>
        <w:numPr>
          <w:ilvl w:val="1"/>
          <w:numId w:val="25"/>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投标人在投标文件的审查、澄清、评价和比较以及授予合同的过程中，对招标人和评标专家施加影响的任何行为，都将导致取消投标资格。</w:t>
      </w:r>
    </w:p>
    <w:p w14:paraId="03C68840">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858" w:name="_Toc9614"/>
      <w:bookmarkStart w:id="859" w:name="_Toc193981287"/>
      <w:bookmarkStart w:id="860" w:name="_Toc17539"/>
      <w:bookmarkStart w:id="861" w:name="_Toc8630"/>
      <w:bookmarkStart w:id="862" w:name="_Toc25808"/>
      <w:bookmarkStart w:id="863" w:name="_Toc19916"/>
      <w:bookmarkStart w:id="864" w:name="_Toc491534442"/>
      <w:r>
        <w:rPr>
          <w:rFonts w:ascii="Times New Roman" w:hAnsi="Times New Roman" w:eastAsia="宋体" w:cs="Times New Roman"/>
          <w:b/>
          <w:sz w:val="21"/>
          <w:szCs w:val="21"/>
        </w:rPr>
        <w:t>投标文件的澄清</w:t>
      </w:r>
      <w:bookmarkEnd w:id="858"/>
      <w:bookmarkEnd w:id="859"/>
      <w:bookmarkEnd w:id="860"/>
      <w:bookmarkEnd w:id="861"/>
      <w:bookmarkEnd w:id="862"/>
      <w:bookmarkEnd w:id="863"/>
      <w:bookmarkEnd w:id="864"/>
    </w:p>
    <w:p w14:paraId="3D80209F">
      <w:pPr>
        <w:tabs>
          <w:tab w:val="left" w:pos="851"/>
          <w:tab w:val="left" w:pos="8364"/>
        </w:tabs>
        <w:spacing w:before="0" w:beforeLines="0" w:line="360" w:lineRule="auto"/>
        <w:ind w:firstLine="420"/>
        <w:rPr>
          <w:rFonts w:ascii="Times New Roman"/>
          <w:bCs/>
          <w:sz w:val="21"/>
          <w:szCs w:val="21"/>
        </w:rPr>
      </w:pPr>
      <w:r>
        <w:rPr>
          <w:rFonts w:ascii="Times New Roman"/>
          <w:bCs/>
          <w:sz w:val="21"/>
          <w:szCs w:val="21"/>
        </w:rPr>
        <w:t>为了有助于投标文件的审查、评价和比较，评标委员会可以用书面形式要求投标人对投标文件含义不明确的内容作必要的澄清或者说明。有关澄清说明与答复、投标人应以书面形式进行，但对投标报价和实质性的内容不得更改。</w:t>
      </w:r>
    </w:p>
    <w:p w14:paraId="2957C265">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865" w:name="_Toc17531"/>
      <w:bookmarkStart w:id="866" w:name="_Toc193981288"/>
      <w:bookmarkStart w:id="867" w:name="_Toc340"/>
      <w:bookmarkStart w:id="868" w:name="_Toc19933"/>
      <w:bookmarkStart w:id="869" w:name="_Toc11920"/>
      <w:bookmarkStart w:id="870" w:name="_Toc491534443"/>
      <w:bookmarkStart w:id="871" w:name="_Toc28228"/>
      <w:r>
        <w:rPr>
          <w:rFonts w:ascii="Times New Roman" w:hAnsi="Times New Roman" w:eastAsia="宋体" w:cs="Times New Roman"/>
          <w:b/>
          <w:sz w:val="21"/>
          <w:szCs w:val="21"/>
        </w:rPr>
        <w:t>投标文件响应性的确定</w:t>
      </w:r>
      <w:bookmarkEnd w:id="865"/>
      <w:bookmarkEnd w:id="866"/>
      <w:bookmarkEnd w:id="867"/>
      <w:bookmarkEnd w:id="868"/>
      <w:bookmarkEnd w:id="869"/>
      <w:bookmarkEnd w:id="870"/>
      <w:bookmarkEnd w:id="871"/>
    </w:p>
    <w:p w14:paraId="40B38AF8">
      <w:pPr>
        <w:numPr>
          <w:ilvl w:val="1"/>
          <w:numId w:val="26"/>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在详细评标之前，评标委员会将首先审定每份投标文件是否在实质上响应了招标文件的要求和规定。</w:t>
      </w:r>
    </w:p>
    <w:p w14:paraId="102BDD97">
      <w:pPr>
        <w:numPr>
          <w:ilvl w:val="1"/>
          <w:numId w:val="26"/>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就本条款而言，实质上响应要求的投标文件，应该是与招标文件要求的全部条款，合同条件和规范相符，无重大差异和保留。所谓重大差异或保留是指对服务的范围、质量及要求产生实质性影响；或者对合同中规定的招标人的权利及投标人的责任造成实质性限制；而且纠正这种差异或保留，将会对其他实质上响应要求的投标人的竞争地位产生不公正的影响。决定投标文件的响应性只根据投标文件本身的内容，而不寻求外部的证据。</w:t>
      </w:r>
    </w:p>
    <w:p w14:paraId="665006B7">
      <w:pPr>
        <w:numPr>
          <w:ilvl w:val="1"/>
          <w:numId w:val="26"/>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如果投标文件实质上不响应招标文件的要求，招标人将予以拒绝，并且不允许投标人通过修正或撤消其不符要求的差异或保留使之成为具有响应性的投标。</w:t>
      </w:r>
    </w:p>
    <w:p w14:paraId="6BA0566B">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872" w:name="_Toc11535"/>
      <w:bookmarkStart w:id="873" w:name="_Toc18025"/>
      <w:bookmarkStart w:id="874" w:name="_Toc4924"/>
      <w:bookmarkStart w:id="875" w:name="_Toc193981289"/>
      <w:bookmarkStart w:id="876" w:name="_Toc491534444"/>
      <w:bookmarkStart w:id="877" w:name="_Toc4144"/>
      <w:bookmarkStart w:id="878" w:name="_Toc27985"/>
      <w:r>
        <w:rPr>
          <w:rFonts w:ascii="Times New Roman" w:hAnsi="Times New Roman" w:eastAsia="宋体" w:cs="Times New Roman"/>
          <w:b/>
          <w:sz w:val="21"/>
          <w:szCs w:val="21"/>
        </w:rPr>
        <w:t>投标文件计算错误的修正</w:t>
      </w:r>
      <w:bookmarkEnd w:id="872"/>
      <w:bookmarkEnd w:id="873"/>
      <w:bookmarkEnd w:id="874"/>
      <w:bookmarkEnd w:id="875"/>
      <w:bookmarkEnd w:id="876"/>
      <w:bookmarkEnd w:id="877"/>
      <w:bookmarkEnd w:id="878"/>
    </w:p>
    <w:p w14:paraId="02908EE2">
      <w:pPr>
        <w:numPr>
          <w:ilvl w:val="1"/>
          <w:numId w:val="27"/>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投标报价大写金额与小写金额不一致的，以大写金额为准；总价与单价不一致的，以单价为准修正总价，单价有明显小数点错误的除外。</w:t>
      </w:r>
    </w:p>
    <w:p w14:paraId="51FCDD60">
      <w:pPr>
        <w:numPr>
          <w:ilvl w:val="1"/>
          <w:numId w:val="27"/>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按上述修正错误的原则及方法调整或修正投标文件的投标报价，修正的价格经投标人书面确认后具有约束力。如果投标人不接受修正后的价格，则其投标将被拒绝，并不影响评审工作。</w:t>
      </w:r>
    </w:p>
    <w:p w14:paraId="41812309">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879" w:name="_Toc13163"/>
      <w:bookmarkStart w:id="880" w:name="_Toc14055"/>
      <w:bookmarkStart w:id="881" w:name="_Toc7038"/>
      <w:bookmarkStart w:id="882" w:name="_Toc5207"/>
      <w:bookmarkStart w:id="883" w:name="_Toc491534445"/>
      <w:bookmarkStart w:id="884" w:name="_Toc193981290"/>
      <w:bookmarkStart w:id="885" w:name="_Toc19828"/>
      <w:r>
        <w:rPr>
          <w:rFonts w:ascii="Times New Roman" w:hAnsi="Times New Roman" w:eastAsia="宋体" w:cs="Times New Roman"/>
          <w:b/>
          <w:sz w:val="21"/>
          <w:szCs w:val="21"/>
        </w:rPr>
        <w:t>投标文件的评价与比较</w:t>
      </w:r>
      <w:bookmarkEnd w:id="879"/>
      <w:bookmarkEnd w:id="880"/>
      <w:bookmarkEnd w:id="881"/>
      <w:bookmarkEnd w:id="882"/>
      <w:bookmarkEnd w:id="883"/>
      <w:bookmarkEnd w:id="884"/>
      <w:bookmarkEnd w:id="885"/>
    </w:p>
    <w:p w14:paraId="1D50F5E9">
      <w:pPr>
        <w:numPr>
          <w:ilvl w:val="1"/>
          <w:numId w:val="28"/>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《评标办法》详见招标文件第三章，招标人将按照《评标办法》对确定为实质上响应招标文件要求的投标文件进行评价与比较。</w:t>
      </w:r>
    </w:p>
    <w:p w14:paraId="045D23F8">
      <w:pPr>
        <w:numPr>
          <w:ilvl w:val="1"/>
          <w:numId w:val="28"/>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评标将按《评标办法》规定执行。</w:t>
      </w:r>
    </w:p>
    <w:p w14:paraId="0B75CBE7">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886" w:name="_Toc11982"/>
      <w:bookmarkStart w:id="887" w:name="_Toc16176"/>
      <w:bookmarkStart w:id="888" w:name="_Toc21426"/>
      <w:bookmarkStart w:id="889" w:name="_Toc19402"/>
      <w:bookmarkStart w:id="890" w:name="_Toc193981291"/>
      <w:bookmarkStart w:id="891" w:name="_Toc491534446"/>
      <w:bookmarkStart w:id="892" w:name="_Toc15962"/>
      <w:r>
        <w:rPr>
          <w:rFonts w:ascii="Times New Roman" w:hAnsi="Times New Roman" w:eastAsia="宋体" w:cs="Times New Roman"/>
          <w:b/>
          <w:sz w:val="21"/>
          <w:szCs w:val="21"/>
        </w:rPr>
        <w:t>定标</w:t>
      </w:r>
      <w:bookmarkEnd w:id="886"/>
      <w:bookmarkEnd w:id="887"/>
      <w:bookmarkEnd w:id="888"/>
      <w:bookmarkEnd w:id="889"/>
      <w:bookmarkEnd w:id="890"/>
      <w:bookmarkEnd w:id="891"/>
      <w:bookmarkEnd w:id="892"/>
    </w:p>
    <w:p w14:paraId="5804B38B">
      <w:pPr>
        <w:numPr>
          <w:ilvl w:val="1"/>
          <w:numId w:val="29"/>
        </w:numPr>
        <w:tabs>
          <w:tab w:val="left" w:pos="851"/>
          <w:tab w:val="left" w:pos="1036"/>
          <w:tab w:val="clear" w:pos="1134"/>
        </w:tabs>
        <w:spacing w:before="0" w:beforeLines="0" w:line="360" w:lineRule="auto"/>
        <w:ind w:left="0" w:firstLine="420"/>
        <w:rPr>
          <w:rFonts w:ascii="Times New Roman"/>
          <w:sz w:val="21"/>
          <w:szCs w:val="21"/>
        </w:rPr>
      </w:pPr>
      <w:r>
        <w:rPr>
          <w:rFonts w:ascii="Times New Roman"/>
          <w:kern w:val="0"/>
          <w:sz w:val="21"/>
          <w:szCs w:val="21"/>
        </w:rPr>
        <w:t>评标委员会根据综合评分按由高到低的顺序进行排序，并在评标报告中依次推荐排序前一至三名为中标候选人。</w:t>
      </w:r>
      <w:r>
        <w:rPr>
          <w:rFonts w:ascii="Times New Roman"/>
          <w:sz w:val="21"/>
          <w:szCs w:val="21"/>
        </w:rPr>
        <w:t>如果有2个或2个以上的投标人综合评分相同，则资信得分较高的排名靠前；如资信得分也相同，则技术得分较高的排名靠前；如技术得分也相同，则由评标委员会采用随机抽取的方式确定排名顺序。</w:t>
      </w:r>
    </w:p>
    <w:p w14:paraId="53D3EE62">
      <w:pPr>
        <w:numPr>
          <w:ilvl w:val="1"/>
          <w:numId w:val="29"/>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如排名第一的中标候选人放弃中标或因不可抗力提出不能履行合同的，可以确定排名第二的中标候选人为中标人；如排名第二的中标候选人仍放弃中标或因不可抗力提出不能履行合同的，可以确定排名第三的中标候选人为中标人。</w:t>
      </w:r>
    </w:p>
    <w:p w14:paraId="42294E13">
      <w:pPr>
        <w:numPr>
          <w:ilvl w:val="1"/>
          <w:numId w:val="29"/>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投标人应确保提供的资料真实无误，如有弄虚作假的情况，一经查实，取消投标资格，已经中标的取消中标资格。</w:t>
      </w:r>
    </w:p>
    <w:p w14:paraId="215BB7FF">
      <w:pPr>
        <w:numPr>
          <w:ilvl w:val="1"/>
          <w:numId w:val="29"/>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招标人确定的中标人必须按有关规定进行公示。</w:t>
      </w:r>
    </w:p>
    <w:p w14:paraId="27B7E8DA">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893" w:name="_Toc375564297"/>
      <w:bookmarkStart w:id="894" w:name="_Toc18321"/>
      <w:bookmarkStart w:id="895" w:name="_Toc294723157"/>
      <w:bookmarkStart w:id="896" w:name="_Toc491534447"/>
      <w:bookmarkStart w:id="897" w:name="_Toc27145"/>
      <w:bookmarkStart w:id="898" w:name="_Toc19773"/>
      <w:bookmarkStart w:id="899" w:name="_Toc10731"/>
      <w:bookmarkStart w:id="900" w:name="_Toc193981292"/>
      <w:r>
        <w:rPr>
          <w:rFonts w:ascii="Times New Roman" w:hAnsi="Times New Roman" w:eastAsia="宋体" w:cs="Times New Roman"/>
          <w:b/>
          <w:sz w:val="21"/>
          <w:szCs w:val="21"/>
        </w:rPr>
        <w:t>重新招标</w:t>
      </w:r>
      <w:bookmarkEnd w:id="893"/>
      <w:bookmarkEnd w:id="894"/>
      <w:bookmarkEnd w:id="895"/>
      <w:bookmarkEnd w:id="896"/>
      <w:bookmarkEnd w:id="897"/>
      <w:bookmarkEnd w:id="898"/>
      <w:bookmarkEnd w:id="899"/>
      <w:bookmarkEnd w:id="900"/>
    </w:p>
    <w:p w14:paraId="20AFEF68">
      <w:pPr>
        <w:tabs>
          <w:tab w:val="left" w:pos="851"/>
        </w:tabs>
        <w:spacing w:before="0" w:beforeLines="0" w:line="360" w:lineRule="auto"/>
        <w:ind w:firstLine="420"/>
        <w:rPr>
          <w:rFonts w:ascii="Times New Roman"/>
          <w:sz w:val="21"/>
          <w:szCs w:val="21"/>
        </w:rPr>
      </w:pPr>
      <w:r>
        <w:rPr>
          <w:rFonts w:ascii="Times New Roman"/>
          <w:bCs/>
          <w:iCs/>
          <w:sz w:val="21"/>
          <w:szCs w:val="21"/>
        </w:rPr>
        <w:t>出现下列特殊情况之一时，可重新招标：</w:t>
      </w:r>
    </w:p>
    <w:p w14:paraId="4501978C">
      <w:pPr>
        <w:numPr>
          <w:ilvl w:val="1"/>
          <w:numId w:val="30"/>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在投标截止时间到达时提交投标文件的投标人少于3家（不含）时；</w:t>
      </w:r>
    </w:p>
    <w:p w14:paraId="4B3F5EFE">
      <w:pPr>
        <w:numPr>
          <w:ilvl w:val="1"/>
          <w:numId w:val="30"/>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所有投标文件均被作否决投标处理的；</w:t>
      </w:r>
    </w:p>
    <w:p w14:paraId="50CC2528">
      <w:pPr>
        <w:numPr>
          <w:ilvl w:val="1"/>
          <w:numId w:val="30"/>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评标委员会否决不合格投标或者界定为否决投标后，因有效投标不足三个使得投标明显缺乏竞争性的（当有效投标不足三个时，评标委员会认为剩余的投标文件仍具有竞争性的，应继续评审）；评标委员会决定否决全部投标的；</w:t>
      </w:r>
    </w:p>
    <w:p w14:paraId="51871659">
      <w:pPr>
        <w:numPr>
          <w:ilvl w:val="1"/>
          <w:numId w:val="30"/>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综合评分前三名的中标候选人均放弃中标资格时；</w:t>
      </w:r>
    </w:p>
    <w:p w14:paraId="330B8D99">
      <w:pPr>
        <w:numPr>
          <w:ilvl w:val="1"/>
          <w:numId w:val="30"/>
        </w:numPr>
        <w:tabs>
          <w:tab w:val="left" w:pos="851"/>
          <w:tab w:val="clear" w:pos="1134"/>
        </w:tabs>
        <w:spacing w:before="0" w:beforeLines="0" w:line="360" w:lineRule="auto"/>
        <w:ind w:left="0" w:firstLine="420"/>
        <w:rPr>
          <w:rFonts w:hint="eastAsia" w:ascii="Times New Roman"/>
          <w:sz w:val="21"/>
          <w:szCs w:val="21"/>
        </w:rPr>
      </w:pPr>
      <w:r>
        <w:rPr>
          <w:rFonts w:ascii="Times New Roman"/>
          <w:sz w:val="21"/>
          <w:szCs w:val="21"/>
        </w:rPr>
        <w:t>根据本须知15.2条规定，同意延长投标有效期的投标人少于三个的。</w:t>
      </w:r>
    </w:p>
    <w:p w14:paraId="6C471E2A">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901" w:name="_Toc3415"/>
      <w:bookmarkStart w:id="902" w:name="_Toc2438"/>
      <w:bookmarkStart w:id="903" w:name="_Toc19920"/>
      <w:bookmarkStart w:id="904" w:name="_Toc10360"/>
      <w:bookmarkStart w:id="905" w:name="_Toc491534448"/>
      <w:bookmarkStart w:id="906" w:name="_Toc375564298"/>
      <w:bookmarkStart w:id="907" w:name="_Toc193981293"/>
      <w:bookmarkStart w:id="908" w:name="_Toc4888"/>
      <w:r>
        <w:rPr>
          <w:rFonts w:ascii="Times New Roman" w:hAnsi="Times New Roman" w:eastAsia="宋体" w:cs="Times New Roman"/>
          <w:b/>
          <w:sz w:val="21"/>
          <w:szCs w:val="21"/>
        </w:rPr>
        <w:t>不再招标</w:t>
      </w:r>
      <w:bookmarkEnd w:id="901"/>
      <w:bookmarkEnd w:id="902"/>
      <w:bookmarkEnd w:id="903"/>
      <w:bookmarkEnd w:id="904"/>
      <w:bookmarkEnd w:id="905"/>
      <w:bookmarkEnd w:id="906"/>
      <w:bookmarkEnd w:id="907"/>
      <w:bookmarkEnd w:id="908"/>
    </w:p>
    <w:p w14:paraId="1FA87D71">
      <w:pPr>
        <w:tabs>
          <w:tab w:val="left" w:pos="851"/>
          <w:tab w:val="left" w:pos="8364"/>
        </w:tabs>
        <w:spacing w:before="0" w:beforeLines="0" w:line="360" w:lineRule="auto"/>
        <w:ind w:firstLine="420"/>
        <w:rPr>
          <w:rFonts w:ascii="Times New Roman"/>
          <w:bCs/>
          <w:sz w:val="21"/>
          <w:szCs w:val="21"/>
        </w:rPr>
      </w:pPr>
      <w:r>
        <w:rPr>
          <w:rFonts w:ascii="Times New Roman"/>
          <w:bCs/>
          <w:iCs/>
          <w:sz w:val="21"/>
          <w:szCs w:val="21"/>
        </w:rPr>
        <w:t>项目招标经两次发布信息后投标人仍少于三个或重新招标后有效投标人仍少于三个或者所有投标被否决的，</w:t>
      </w:r>
      <w:r>
        <w:rPr>
          <w:rFonts w:ascii="Times New Roman"/>
          <w:bCs/>
          <w:sz w:val="21"/>
          <w:szCs w:val="21"/>
        </w:rPr>
        <w:t>属于必须审批或核准的工程建设项目，经原审批或核准部门批准后不再进行招标。</w:t>
      </w:r>
    </w:p>
    <w:p w14:paraId="3F9EAD7F">
      <w:pPr>
        <w:pStyle w:val="5"/>
        <w:numPr>
          <w:ilvl w:val="0"/>
          <w:numId w:val="1"/>
        </w:numPr>
        <w:tabs>
          <w:tab w:val="left" w:pos="851"/>
          <w:tab w:val="clear" w:pos="1134"/>
        </w:tabs>
        <w:spacing w:before="0" w:beforeLines="0" w:line="360" w:lineRule="auto"/>
        <w:ind w:left="0" w:firstLine="482"/>
        <w:jc w:val="both"/>
        <w:rPr>
          <w:rFonts w:ascii="Times New Roman" w:hAnsi="Times New Roman" w:eastAsia="宋体"/>
          <w:b/>
          <w:bCs w:val="0"/>
          <w:sz w:val="24"/>
          <w:szCs w:val="24"/>
        </w:rPr>
      </w:pPr>
      <w:bookmarkStart w:id="909" w:name="_Toc65846714"/>
      <w:bookmarkStart w:id="910" w:name="_Toc118061537"/>
      <w:bookmarkStart w:id="911" w:name="_Toc193981294"/>
      <w:bookmarkStart w:id="912" w:name="_Toc121308054"/>
      <w:bookmarkStart w:id="913" w:name="_Toc49019484"/>
      <w:bookmarkStart w:id="914" w:name="_Toc375564299"/>
      <w:bookmarkStart w:id="915" w:name="_Toc68407762"/>
      <w:bookmarkStart w:id="916" w:name="_Toc65498384"/>
      <w:bookmarkStart w:id="917" w:name="_Toc121182324"/>
      <w:bookmarkStart w:id="918" w:name="_Toc55500021"/>
      <w:bookmarkStart w:id="919" w:name="_Toc70094699"/>
      <w:bookmarkStart w:id="920" w:name="_Toc72583506"/>
      <w:bookmarkStart w:id="921" w:name="_Toc68417355"/>
      <w:bookmarkStart w:id="922" w:name="_Toc65597763"/>
      <w:bookmarkStart w:id="923" w:name="_Toc65420112"/>
      <w:bookmarkStart w:id="924" w:name="_Toc119786492"/>
      <w:bookmarkStart w:id="925" w:name="_Toc49019223"/>
      <w:bookmarkStart w:id="926" w:name="_Toc47415930"/>
      <w:bookmarkStart w:id="927" w:name="_Toc121830597"/>
      <w:bookmarkStart w:id="928" w:name="_Toc65641138"/>
      <w:bookmarkStart w:id="929" w:name="_Toc223786531"/>
      <w:bookmarkStart w:id="930" w:name="_Toc9833"/>
      <w:bookmarkStart w:id="931" w:name="_Toc213049031"/>
      <w:bookmarkStart w:id="932" w:name="_Toc118890532"/>
      <w:bookmarkStart w:id="933" w:name="_Toc47416184"/>
      <w:r>
        <w:rPr>
          <w:rFonts w:ascii="Times New Roman" w:hAnsi="Times New Roman" w:eastAsia="宋体"/>
          <w:b/>
          <w:bCs w:val="0"/>
          <w:sz w:val="24"/>
          <w:szCs w:val="24"/>
        </w:rPr>
        <w:t>授予合同</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1F31AFA9">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934" w:name="_Toc333266826"/>
      <w:bookmarkEnd w:id="934"/>
      <w:bookmarkStart w:id="935" w:name="_Toc121182326"/>
      <w:bookmarkStart w:id="936" w:name="_Toc68417357"/>
      <w:bookmarkStart w:id="937" w:name="_Toc24819"/>
      <w:bookmarkStart w:id="938" w:name="_Toc10402"/>
      <w:bookmarkStart w:id="939" w:name="_Toc65641140"/>
      <w:bookmarkStart w:id="940" w:name="_Toc24469"/>
      <w:bookmarkStart w:id="941" w:name="_Toc70094701"/>
      <w:bookmarkStart w:id="942" w:name="_Toc65420114"/>
      <w:bookmarkStart w:id="943" w:name="_Toc193981295"/>
      <w:bookmarkStart w:id="944" w:name="_Toc491534450"/>
      <w:bookmarkStart w:id="945" w:name="_Toc72583508"/>
      <w:bookmarkStart w:id="946" w:name="_Toc65597765"/>
      <w:bookmarkStart w:id="947" w:name="_Toc223786533"/>
      <w:bookmarkStart w:id="948" w:name="_Toc11791"/>
      <w:bookmarkStart w:id="949" w:name="_Toc213049033"/>
      <w:bookmarkStart w:id="950" w:name="_Toc121830599"/>
      <w:bookmarkStart w:id="951" w:name="_Toc65846716"/>
      <w:bookmarkStart w:id="952" w:name="_Toc13070"/>
      <w:bookmarkStart w:id="953" w:name="_Toc121308056"/>
      <w:bookmarkStart w:id="954" w:name="_Toc118890534"/>
      <w:bookmarkStart w:id="955" w:name="_Toc118061539"/>
      <w:bookmarkStart w:id="956" w:name="_Toc68407764"/>
      <w:bookmarkStart w:id="957" w:name="_Toc375564300"/>
      <w:bookmarkStart w:id="958" w:name="_Toc65498386"/>
      <w:bookmarkStart w:id="959" w:name="_Toc119786494"/>
      <w:r>
        <w:rPr>
          <w:rFonts w:ascii="Times New Roman" w:hAnsi="Times New Roman" w:eastAsia="宋体" w:cs="Times New Roman"/>
          <w:b/>
          <w:sz w:val="21"/>
          <w:szCs w:val="21"/>
        </w:rPr>
        <w:t>合同授予标准</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685F026">
      <w:pPr>
        <w:numPr>
          <w:ilvl w:val="1"/>
          <w:numId w:val="31"/>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根据本须知规定，招标人将把合同授予收到中标通知书，并提供了履约保证金的投标人，该投标人必须具有有效实施本合同的能力和资源。</w:t>
      </w:r>
    </w:p>
    <w:p w14:paraId="2CACB5D3">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960" w:name="_Toc65420116"/>
      <w:bookmarkStart w:id="961" w:name="_Toc72583510"/>
      <w:bookmarkStart w:id="962" w:name="_Toc119786496"/>
      <w:bookmarkStart w:id="963" w:name="_Toc3954"/>
      <w:bookmarkStart w:id="964" w:name="_Toc375564301"/>
      <w:bookmarkStart w:id="965" w:name="_Toc223786535"/>
      <w:bookmarkStart w:id="966" w:name="_Toc121182328"/>
      <w:bookmarkStart w:id="967" w:name="_Toc213049035"/>
      <w:bookmarkStart w:id="968" w:name="_Toc11737"/>
      <w:bookmarkStart w:id="969" w:name="_Toc118890536"/>
      <w:bookmarkStart w:id="970" w:name="_Toc22137"/>
      <w:bookmarkStart w:id="971" w:name="_Toc65641142"/>
      <w:bookmarkStart w:id="972" w:name="_Toc70094703"/>
      <w:bookmarkStart w:id="973" w:name="_Toc65846718"/>
      <w:bookmarkStart w:id="974" w:name="_Toc118061541"/>
      <w:bookmarkStart w:id="975" w:name="_Toc65597767"/>
      <w:bookmarkStart w:id="976" w:name="_Toc9321"/>
      <w:bookmarkStart w:id="977" w:name="_Toc31687"/>
      <w:bookmarkStart w:id="978" w:name="_Toc121308058"/>
      <w:bookmarkStart w:id="979" w:name="_Toc491534451"/>
      <w:bookmarkStart w:id="980" w:name="_Toc193981296"/>
      <w:bookmarkStart w:id="981" w:name="_Toc121830601"/>
      <w:bookmarkStart w:id="982" w:name="_Toc65498388"/>
      <w:bookmarkStart w:id="983" w:name="_Toc68407766"/>
      <w:bookmarkStart w:id="984" w:name="_Toc68417359"/>
      <w:r>
        <w:rPr>
          <w:rFonts w:ascii="Times New Roman" w:hAnsi="Times New Roman" w:eastAsia="宋体" w:cs="Times New Roman"/>
          <w:b/>
          <w:sz w:val="21"/>
          <w:szCs w:val="21"/>
        </w:rPr>
        <w:t>接受和否决任何或所有投标的权力</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71E67FD2">
      <w:pPr>
        <w:numPr>
          <w:ilvl w:val="1"/>
          <w:numId w:val="32"/>
        </w:numPr>
        <w:tabs>
          <w:tab w:val="left" w:pos="851"/>
        </w:tabs>
        <w:spacing w:before="0" w:beforeLines="0" w:line="360" w:lineRule="auto"/>
        <w:ind w:left="0" w:firstLine="420"/>
        <w:rPr>
          <w:rFonts w:ascii="Times New Roman"/>
          <w:sz w:val="21"/>
          <w:szCs w:val="21"/>
        </w:rPr>
      </w:pPr>
      <w:r>
        <w:rPr>
          <w:rFonts w:ascii="Times New Roman"/>
          <w:sz w:val="21"/>
          <w:szCs w:val="21"/>
        </w:rPr>
        <w:t>招标代理机构和招标人保留在授标之前任何时候依法决定否决所有或任何投标，以及宣布所有或任何投标文件无效的权力，对受影响的投标人不承担任何责任，也无义务向受影响的投标人解释采取这一行动的理由。</w:t>
      </w:r>
    </w:p>
    <w:p w14:paraId="3DA65D00">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985" w:name="_Toc118061542"/>
      <w:bookmarkStart w:id="986" w:name="_Toc68407767"/>
      <w:bookmarkStart w:id="987" w:name="_Toc121308059"/>
      <w:bookmarkStart w:id="988" w:name="_Toc10885"/>
      <w:bookmarkStart w:id="989" w:name="_Toc65597768"/>
      <w:bookmarkStart w:id="990" w:name="_Toc223786536"/>
      <w:bookmarkStart w:id="991" w:name="_Toc68417360"/>
      <w:bookmarkStart w:id="992" w:name="_Toc65846719"/>
      <w:bookmarkStart w:id="993" w:name="_Toc213049036"/>
      <w:bookmarkStart w:id="994" w:name="_Toc70094704"/>
      <w:bookmarkStart w:id="995" w:name="_Toc5529"/>
      <w:bookmarkStart w:id="996" w:name="_Toc491534452"/>
      <w:bookmarkStart w:id="997" w:name="_Toc118890537"/>
      <w:bookmarkStart w:id="998" w:name="_Toc14977"/>
      <w:bookmarkStart w:id="999" w:name="_Toc72583511"/>
      <w:bookmarkStart w:id="1000" w:name="_Toc121830602"/>
      <w:bookmarkStart w:id="1001" w:name="_Toc128"/>
      <w:bookmarkStart w:id="1002" w:name="_Toc65498389"/>
      <w:bookmarkStart w:id="1003" w:name="_Toc119786497"/>
      <w:bookmarkStart w:id="1004" w:name="_Toc65420117"/>
      <w:bookmarkStart w:id="1005" w:name="_Toc375564302"/>
      <w:bookmarkStart w:id="1006" w:name="_Toc65641143"/>
      <w:bookmarkStart w:id="1007" w:name="_Toc193981297"/>
      <w:bookmarkStart w:id="1008" w:name="_Toc21159"/>
      <w:bookmarkStart w:id="1009" w:name="_Toc121182329"/>
      <w:r>
        <w:rPr>
          <w:rFonts w:ascii="Times New Roman" w:hAnsi="Times New Roman" w:eastAsia="宋体" w:cs="Times New Roman"/>
          <w:b/>
          <w:sz w:val="21"/>
          <w:szCs w:val="21"/>
        </w:rPr>
        <w:t>中标通知书</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247C34F5">
      <w:pPr>
        <w:numPr>
          <w:ilvl w:val="1"/>
          <w:numId w:val="33"/>
        </w:numPr>
        <w:tabs>
          <w:tab w:val="left" w:pos="851"/>
        </w:tabs>
        <w:spacing w:before="0" w:beforeLines="0" w:line="360" w:lineRule="auto"/>
        <w:ind w:left="0" w:firstLine="420"/>
        <w:rPr>
          <w:rFonts w:ascii="Times New Roman"/>
          <w:sz w:val="21"/>
          <w:szCs w:val="21"/>
        </w:rPr>
      </w:pPr>
      <w:r>
        <w:rPr>
          <w:rFonts w:ascii="Times New Roman"/>
          <w:sz w:val="21"/>
          <w:szCs w:val="21"/>
        </w:rPr>
        <w:t>在投标有效期截止前，按有关规定进行公示无异议后。各项手续办理完毕后，招标人向中标人发出中标通知书。</w:t>
      </w:r>
    </w:p>
    <w:p w14:paraId="389BC7D0">
      <w:pPr>
        <w:numPr>
          <w:ilvl w:val="1"/>
          <w:numId w:val="33"/>
        </w:numPr>
        <w:tabs>
          <w:tab w:val="left" w:pos="851"/>
        </w:tabs>
        <w:spacing w:before="0" w:beforeLines="0" w:line="360" w:lineRule="auto"/>
        <w:ind w:left="0" w:firstLine="420"/>
        <w:rPr>
          <w:rFonts w:ascii="Times New Roman"/>
          <w:sz w:val="21"/>
          <w:szCs w:val="21"/>
        </w:rPr>
      </w:pPr>
      <w:r>
        <w:rPr>
          <w:rFonts w:ascii="Times New Roman"/>
          <w:sz w:val="21"/>
          <w:szCs w:val="21"/>
        </w:rPr>
        <w:t>中标通知书将作为签订合同的依据，并是合同的组成部分。</w:t>
      </w:r>
    </w:p>
    <w:p w14:paraId="1814019E">
      <w:pPr>
        <w:numPr>
          <w:ilvl w:val="1"/>
          <w:numId w:val="33"/>
        </w:numPr>
        <w:tabs>
          <w:tab w:val="left" w:pos="851"/>
        </w:tabs>
        <w:spacing w:before="0" w:beforeLines="0" w:line="360" w:lineRule="auto"/>
        <w:ind w:left="0" w:firstLine="420"/>
        <w:rPr>
          <w:rFonts w:ascii="Times New Roman"/>
          <w:sz w:val="21"/>
          <w:szCs w:val="21"/>
        </w:rPr>
      </w:pPr>
      <w:r>
        <w:rPr>
          <w:rFonts w:ascii="Times New Roman"/>
          <w:sz w:val="21"/>
          <w:szCs w:val="21"/>
        </w:rPr>
        <w:t>对未中标者，招标人及招标代理机构不对未中标原因做出解释，同时亦不退还投标文件。</w:t>
      </w:r>
    </w:p>
    <w:p w14:paraId="3B7FADEC">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1010" w:name="_Toc223786537"/>
      <w:bookmarkStart w:id="1011" w:name="_Toc68407768"/>
      <w:bookmarkStart w:id="1012" w:name="_Toc14546"/>
      <w:bookmarkStart w:id="1013" w:name="_Toc1034"/>
      <w:bookmarkStart w:id="1014" w:name="_Toc65641144"/>
      <w:bookmarkStart w:id="1015" w:name="_Toc65498390"/>
      <w:bookmarkStart w:id="1016" w:name="_Toc118890538"/>
      <w:bookmarkStart w:id="1017" w:name="_Toc8286"/>
      <w:bookmarkStart w:id="1018" w:name="_Toc72583512"/>
      <w:bookmarkStart w:id="1019" w:name="_Toc213049037"/>
      <w:bookmarkStart w:id="1020" w:name="_Toc491534453"/>
      <w:bookmarkStart w:id="1021" w:name="_Toc65846720"/>
      <w:bookmarkStart w:id="1022" w:name="_Toc118061543"/>
      <w:bookmarkStart w:id="1023" w:name="_Toc68417361"/>
      <w:bookmarkStart w:id="1024" w:name="_Toc193981298"/>
      <w:bookmarkStart w:id="1025" w:name="_Toc70094705"/>
      <w:bookmarkStart w:id="1026" w:name="_Toc121182330"/>
      <w:bookmarkStart w:id="1027" w:name="_Toc375564303"/>
      <w:bookmarkStart w:id="1028" w:name="_Toc20739"/>
      <w:bookmarkStart w:id="1029" w:name="_Toc65597769"/>
      <w:bookmarkStart w:id="1030" w:name="_Toc17661"/>
      <w:bookmarkStart w:id="1031" w:name="_Toc121830603"/>
      <w:bookmarkStart w:id="1032" w:name="_Toc121308060"/>
      <w:bookmarkStart w:id="1033" w:name="_Toc65420118"/>
      <w:bookmarkStart w:id="1034" w:name="_Toc119786498"/>
      <w:r>
        <w:rPr>
          <w:rFonts w:ascii="Times New Roman" w:hAnsi="Times New Roman" w:eastAsia="宋体" w:cs="Times New Roman"/>
          <w:b/>
          <w:sz w:val="21"/>
          <w:szCs w:val="21"/>
        </w:rPr>
        <w:t>签订合同</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34093D56">
      <w:pPr>
        <w:numPr>
          <w:ilvl w:val="1"/>
          <w:numId w:val="34"/>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招标人与中标人应自中标通知书发出之日起三十日内签订合同。</w:t>
      </w:r>
    </w:p>
    <w:p w14:paraId="6EE501FE">
      <w:pPr>
        <w:numPr>
          <w:ilvl w:val="1"/>
          <w:numId w:val="34"/>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招标文件、中标通知书、中标人的投标文件及双方确认的澄清文件等，均为有法律约束力的合同的组成部分。</w:t>
      </w:r>
    </w:p>
    <w:p w14:paraId="242FB146">
      <w:pPr>
        <w:numPr>
          <w:ilvl w:val="1"/>
          <w:numId w:val="34"/>
        </w:numPr>
        <w:tabs>
          <w:tab w:val="left" w:pos="851"/>
          <w:tab w:val="left" w:pos="1060"/>
          <w:tab w:val="clear" w:pos="1134"/>
        </w:tabs>
        <w:spacing w:before="0" w:beforeLines="0" w:line="360" w:lineRule="auto"/>
        <w:ind w:left="0" w:firstLine="420"/>
        <w:rPr>
          <w:rFonts w:ascii="Times New Roman"/>
          <w:sz w:val="21"/>
          <w:szCs w:val="21"/>
        </w:rPr>
      </w:pPr>
      <w:r>
        <w:rPr>
          <w:rFonts w:ascii="Times New Roman"/>
          <w:sz w:val="21"/>
          <w:szCs w:val="21"/>
        </w:rPr>
        <w:t>如果中标人没有按照上述第35.1条规定执行，招标人将有充分理由取消该中标决定，并没收其投标保证金。</w:t>
      </w:r>
    </w:p>
    <w:p w14:paraId="28723CDE">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1035" w:name="_Toc12141"/>
      <w:bookmarkStart w:id="1036" w:name="_Toc375564304"/>
      <w:bookmarkStart w:id="1037" w:name="_Toc6865"/>
      <w:bookmarkStart w:id="1038" w:name="_Toc11148"/>
      <w:bookmarkStart w:id="1039" w:name="_Toc9584"/>
      <w:bookmarkStart w:id="1040" w:name="_Toc193981299"/>
      <w:bookmarkStart w:id="1041" w:name="_Toc491534454"/>
      <w:bookmarkStart w:id="1042" w:name="_Toc26774"/>
      <w:r>
        <w:rPr>
          <w:rFonts w:ascii="Times New Roman" w:hAnsi="Times New Roman" w:eastAsia="宋体" w:cs="Times New Roman"/>
          <w:b/>
          <w:sz w:val="21"/>
          <w:szCs w:val="21"/>
        </w:rPr>
        <w:t>履约</w:t>
      </w:r>
      <w:bookmarkEnd w:id="1035"/>
      <w:bookmarkEnd w:id="1036"/>
      <w:bookmarkEnd w:id="1037"/>
      <w:r>
        <w:rPr>
          <w:rFonts w:ascii="Times New Roman" w:hAnsi="Times New Roman" w:eastAsia="宋体" w:cs="Times New Roman"/>
          <w:b/>
          <w:sz w:val="21"/>
          <w:szCs w:val="21"/>
        </w:rPr>
        <w:t>担保</w:t>
      </w:r>
      <w:bookmarkEnd w:id="1038"/>
      <w:bookmarkEnd w:id="1039"/>
      <w:bookmarkEnd w:id="1040"/>
      <w:bookmarkEnd w:id="1041"/>
      <w:bookmarkEnd w:id="1042"/>
    </w:p>
    <w:p w14:paraId="6EEC6BA5">
      <w:pPr>
        <w:numPr>
          <w:ilvl w:val="0"/>
          <w:numId w:val="35"/>
        </w:numPr>
        <w:tabs>
          <w:tab w:val="left" w:pos="851"/>
          <w:tab w:val="clear" w:pos="1134"/>
        </w:tabs>
        <w:spacing w:before="0" w:beforeLines="0" w:line="360" w:lineRule="auto"/>
        <w:ind w:left="0" w:firstLine="420"/>
        <w:rPr>
          <w:rFonts w:ascii="Times New Roman"/>
          <w:sz w:val="21"/>
          <w:szCs w:val="21"/>
        </w:rPr>
      </w:pPr>
      <w:bookmarkStart w:id="1043" w:name="_Toc389620207"/>
      <w:bookmarkStart w:id="1044" w:name="_Toc385992368"/>
      <w:r>
        <w:rPr>
          <w:rFonts w:ascii="Times New Roman"/>
          <w:sz w:val="21"/>
          <w:szCs w:val="21"/>
        </w:rPr>
        <w:t>在签订合同前，中标人应按照合同条款的规定，采用投标人须知前附表中所示履约担保形式、金额及提交时间向招标人提交履约担保。</w:t>
      </w:r>
    </w:p>
    <w:p w14:paraId="747EBAE6">
      <w:pPr>
        <w:numPr>
          <w:ilvl w:val="0"/>
          <w:numId w:val="35"/>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中标人不能按本章第36.1项要求提交履约保证金的，视为放弃中标，其投标保证金不予退还，给招标人造成的损失超过投标保证金数额的，中标人还应当对超过部分予以赔偿。</w:t>
      </w:r>
    </w:p>
    <w:p w14:paraId="4728DDC6">
      <w:pPr>
        <w:numPr>
          <w:ilvl w:val="0"/>
          <w:numId w:val="35"/>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履约担保在本合同结束后，根据履约期间招标人的索赔情况，将剩余履约担保款项无息退还中标人。</w:t>
      </w:r>
    </w:p>
    <w:p w14:paraId="4133011E">
      <w:pPr>
        <w:numPr>
          <w:ilvl w:val="0"/>
          <w:numId w:val="35"/>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在合同执行过程中，履约担保金额应保持足额有效，不足时应当按照招标人的要求及时补足担保金额。</w:t>
      </w:r>
    </w:p>
    <w:p w14:paraId="7D5D016A">
      <w:pPr>
        <w:numPr>
          <w:ilvl w:val="0"/>
          <w:numId w:val="35"/>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以履约保证金形式提交履约担保的，中标人应通过银行电汇或转账的形式，从基本账户中递交至招标人账户。</w:t>
      </w:r>
    </w:p>
    <w:bookmarkEnd w:id="1043"/>
    <w:bookmarkEnd w:id="1044"/>
    <w:p w14:paraId="09B23CD9">
      <w:pPr>
        <w:pStyle w:val="6"/>
        <w:numPr>
          <w:ilvl w:val="0"/>
          <w:numId w:val="2"/>
        </w:numPr>
        <w:tabs>
          <w:tab w:val="left" w:pos="851"/>
          <w:tab w:val="clear" w:pos="1134"/>
        </w:tabs>
        <w:spacing w:before="0" w:beforeLines="0" w:line="360" w:lineRule="auto"/>
        <w:ind w:left="0" w:firstLine="422"/>
        <w:rPr>
          <w:rFonts w:ascii="Times New Roman" w:hAnsi="Times New Roman" w:eastAsia="宋体" w:cs="Times New Roman"/>
          <w:b/>
          <w:sz w:val="21"/>
          <w:szCs w:val="21"/>
        </w:rPr>
      </w:pPr>
      <w:bookmarkStart w:id="1045" w:name="_Toc375564305"/>
      <w:bookmarkStart w:id="1046" w:name="_Toc193981300"/>
      <w:bookmarkStart w:id="1047" w:name="_Toc17377"/>
      <w:bookmarkStart w:id="1048" w:name="_Toc223786540"/>
      <w:bookmarkStart w:id="1049" w:name="_Toc27539"/>
      <w:bookmarkStart w:id="1050" w:name="_Toc491534455"/>
      <w:bookmarkStart w:id="1051" w:name="_Toc213039844"/>
      <w:bookmarkStart w:id="1052" w:name="_Toc30919"/>
      <w:bookmarkStart w:id="1053" w:name="_Toc14775"/>
      <w:bookmarkStart w:id="1054" w:name="_Toc8251"/>
      <w:r>
        <w:rPr>
          <w:rFonts w:ascii="Times New Roman" w:hAnsi="Times New Roman" w:eastAsia="宋体" w:cs="Times New Roman"/>
          <w:b/>
          <w:sz w:val="21"/>
          <w:szCs w:val="21"/>
        </w:rPr>
        <w:t>其他</w:t>
      </w:r>
      <w:bookmarkEnd w:id="1045"/>
      <w:bookmarkEnd w:id="1046"/>
      <w:bookmarkEnd w:id="1047"/>
      <w:bookmarkEnd w:id="1048"/>
      <w:bookmarkEnd w:id="1049"/>
      <w:bookmarkEnd w:id="1050"/>
      <w:bookmarkEnd w:id="1051"/>
      <w:bookmarkEnd w:id="1052"/>
      <w:bookmarkEnd w:id="1053"/>
      <w:bookmarkEnd w:id="1054"/>
    </w:p>
    <w:p w14:paraId="7884B100">
      <w:pPr>
        <w:numPr>
          <w:ilvl w:val="1"/>
          <w:numId w:val="36"/>
        </w:numPr>
        <w:tabs>
          <w:tab w:val="left" w:pos="851"/>
        </w:tabs>
        <w:spacing w:before="0" w:beforeLines="0" w:line="360" w:lineRule="auto"/>
        <w:ind w:left="0" w:firstLine="420"/>
        <w:rPr>
          <w:rFonts w:ascii="Times New Roman"/>
          <w:sz w:val="21"/>
          <w:szCs w:val="21"/>
        </w:rPr>
      </w:pPr>
      <w:r>
        <w:rPr>
          <w:rFonts w:ascii="Times New Roman"/>
          <w:sz w:val="21"/>
          <w:szCs w:val="21"/>
        </w:rPr>
        <w:t>知识产权和专利权</w:t>
      </w:r>
    </w:p>
    <w:p w14:paraId="7E70D698">
      <w:pPr>
        <w:numPr>
          <w:ilvl w:val="2"/>
          <w:numId w:val="36"/>
        </w:numPr>
        <w:tabs>
          <w:tab w:val="left" w:pos="851"/>
          <w:tab w:val="clear" w:pos="1134"/>
        </w:tabs>
        <w:spacing w:before="0" w:beforeLines="0" w:line="360" w:lineRule="auto"/>
        <w:ind w:left="0" w:firstLine="420"/>
        <w:rPr>
          <w:rFonts w:ascii="Times New Roman"/>
          <w:bCs/>
          <w:sz w:val="21"/>
          <w:szCs w:val="21"/>
        </w:rPr>
      </w:pPr>
      <w:r>
        <w:rPr>
          <w:rFonts w:ascii="Times New Roman"/>
          <w:bCs/>
          <w:sz w:val="21"/>
          <w:szCs w:val="21"/>
        </w:rPr>
        <w:t>投标人应保证其拥有货物及服务的知识产权，并保证招标人在中华人民共和国使用货物及服务或其任何一部分时，免受第三方提出侵犯其任何专利权、著作权、注册商标专有使用权或计算机软件登记或反不正当竞争的起诉及索赔。</w:t>
      </w:r>
    </w:p>
    <w:p w14:paraId="2167B8FD">
      <w:pPr>
        <w:numPr>
          <w:ilvl w:val="2"/>
          <w:numId w:val="36"/>
        </w:numPr>
        <w:tabs>
          <w:tab w:val="left" w:pos="851"/>
          <w:tab w:val="clear" w:pos="1134"/>
        </w:tabs>
        <w:spacing w:before="0" w:beforeLines="0" w:line="360" w:lineRule="auto"/>
        <w:ind w:left="0" w:firstLine="420"/>
        <w:rPr>
          <w:rFonts w:ascii="Times New Roman"/>
          <w:bCs/>
          <w:sz w:val="21"/>
          <w:szCs w:val="21"/>
        </w:rPr>
      </w:pPr>
      <w:r>
        <w:rPr>
          <w:rFonts w:ascii="Times New Roman"/>
          <w:bCs/>
          <w:sz w:val="21"/>
          <w:szCs w:val="21"/>
        </w:rPr>
        <w:t>投标报价已包括所有应支付的，对专利权、著作权、注册商标专有使用权、计算机软件登记或其他知识产权而需要向其他方支付各项等费用。</w:t>
      </w:r>
    </w:p>
    <w:p w14:paraId="1362D773">
      <w:pPr>
        <w:numPr>
          <w:ilvl w:val="1"/>
          <w:numId w:val="36"/>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招标人提供的工程概况免责条款</w:t>
      </w:r>
    </w:p>
    <w:p w14:paraId="1F3BCD10">
      <w:pPr>
        <w:numPr>
          <w:ilvl w:val="2"/>
          <w:numId w:val="36"/>
        </w:numPr>
        <w:tabs>
          <w:tab w:val="left" w:pos="851"/>
          <w:tab w:val="clear" w:pos="1134"/>
        </w:tabs>
        <w:spacing w:before="0" w:beforeLines="0" w:line="360" w:lineRule="auto"/>
        <w:ind w:left="0" w:firstLine="420"/>
        <w:rPr>
          <w:rFonts w:ascii="Times New Roman"/>
          <w:bCs/>
          <w:sz w:val="21"/>
          <w:szCs w:val="21"/>
        </w:rPr>
      </w:pPr>
      <w:r>
        <w:rPr>
          <w:rFonts w:ascii="Times New Roman"/>
          <w:sz w:val="21"/>
          <w:szCs w:val="21"/>
        </w:rPr>
        <w:t>招标人提供的本项目工程概况仅供投标人参考。具体实施期间项目工程量、工程规模和工期等均可能变化，请投标人充分考虑。招标人对于投标人应用参考资料时产生的推断的准确性不负任何责任。</w:t>
      </w:r>
    </w:p>
    <w:p w14:paraId="27DB10CD">
      <w:pPr>
        <w:numPr>
          <w:ilvl w:val="1"/>
          <w:numId w:val="36"/>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保密</w:t>
      </w:r>
    </w:p>
    <w:p w14:paraId="5E87E86D">
      <w:pPr>
        <w:numPr>
          <w:ilvl w:val="2"/>
          <w:numId w:val="36"/>
        </w:numPr>
        <w:tabs>
          <w:tab w:val="left" w:pos="851"/>
          <w:tab w:val="clear" w:pos="1134"/>
        </w:tabs>
        <w:spacing w:before="0" w:beforeLines="0" w:line="360" w:lineRule="auto"/>
        <w:ind w:left="0" w:firstLine="420"/>
        <w:rPr>
          <w:rFonts w:ascii="Times New Roman"/>
          <w:bCs/>
          <w:sz w:val="21"/>
          <w:szCs w:val="21"/>
        </w:rPr>
      </w:pPr>
      <w:r>
        <w:rPr>
          <w:rFonts w:ascii="Times New Roman"/>
          <w:bCs/>
          <w:sz w:val="21"/>
          <w:szCs w:val="21"/>
        </w:rPr>
        <w:t>由招标人向投标人提供的招标文件、图纸、详细资料、样品、模型、模件和所有其他资料，被视为保密资料，仅被用于它所规定的用途，除非得到招标人的书面同意，不能向任何第三方透露。</w:t>
      </w:r>
    </w:p>
    <w:p w14:paraId="7E8CCBCC">
      <w:pPr>
        <w:numPr>
          <w:ilvl w:val="2"/>
          <w:numId w:val="36"/>
        </w:numPr>
        <w:tabs>
          <w:tab w:val="left" w:pos="851"/>
          <w:tab w:val="clear" w:pos="1134"/>
        </w:tabs>
        <w:spacing w:before="0" w:beforeLines="0" w:line="360" w:lineRule="auto"/>
        <w:ind w:left="0" w:firstLine="420"/>
        <w:rPr>
          <w:rFonts w:ascii="Times New Roman"/>
          <w:bCs/>
          <w:sz w:val="21"/>
          <w:szCs w:val="21"/>
        </w:rPr>
      </w:pPr>
      <w:r>
        <w:rPr>
          <w:rFonts w:ascii="Times New Roman"/>
          <w:bCs/>
          <w:sz w:val="21"/>
          <w:szCs w:val="21"/>
        </w:rPr>
        <w:t>在投标文件完成后，应招标人要求，投标人应归还所有从招标人获得的保密资料，以及所有的无论从任何媒介获得的复印件和摘录。</w:t>
      </w:r>
    </w:p>
    <w:p w14:paraId="202E21E6">
      <w:pPr>
        <w:numPr>
          <w:ilvl w:val="1"/>
          <w:numId w:val="36"/>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投标人知悉</w:t>
      </w:r>
    </w:p>
    <w:p w14:paraId="3FF03825">
      <w:pPr>
        <w:numPr>
          <w:ilvl w:val="2"/>
          <w:numId w:val="36"/>
        </w:numPr>
        <w:tabs>
          <w:tab w:val="left" w:pos="851"/>
          <w:tab w:val="clear" w:pos="1134"/>
        </w:tabs>
        <w:spacing w:before="0" w:beforeLines="0" w:line="360" w:lineRule="auto"/>
        <w:ind w:left="0" w:firstLine="420"/>
        <w:rPr>
          <w:rFonts w:ascii="Times New Roman"/>
          <w:bCs/>
          <w:sz w:val="21"/>
          <w:szCs w:val="21"/>
        </w:rPr>
      </w:pPr>
      <w:r>
        <w:rPr>
          <w:rFonts w:ascii="Times New Roman"/>
          <w:bCs/>
          <w:sz w:val="21"/>
          <w:szCs w:val="21"/>
        </w:rPr>
        <w:t>投标人将被视为已合理地充分了解了对所有影响本项目的事项，包括任何与工地、工程和项目时间表有关的特殊困难。</w:t>
      </w:r>
    </w:p>
    <w:p w14:paraId="699F6FF5">
      <w:pPr>
        <w:numPr>
          <w:ilvl w:val="2"/>
          <w:numId w:val="36"/>
        </w:numPr>
        <w:tabs>
          <w:tab w:val="left" w:pos="851"/>
          <w:tab w:val="clear" w:pos="1134"/>
        </w:tabs>
        <w:spacing w:before="0" w:beforeLines="0" w:line="360" w:lineRule="auto"/>
        <w:ind w:left="0" w:firstLine="420"/>
        <w:rPr>
          <w:rFonts w:ascii="Times New Roman"/>
          <w:bCs/>
          <w:sz w:val="21"/>
          <w:szCs w:val="21"/>
        </w:rPr>
      </w:pPr>
      <w:r>
        <w:rPr>
          <w:rFonts w:ascii="Times New Roman"/>
          <w:bCs/>
          <w:sz w:val="21"/>
          <w:szCs w:val="21"/>
        </w:rPr>
        <w:t>如果投标人在投标过程中有欺诈行为，则招标人有权否决投标人的投标。</w:t>
      </w:r>
    </w:p>
    <w:p w14:paraId="428D6FD4">
      <w:pPr>
        <w:numPr>
          <w:ilvl w:val="1"/>
          <w:numId w:val="36"/>
        </w:numPr>
        <w:tabs>
          <w:tab w:val="left" w:pos="851"/>
          <w:tab w:val="clear" w:pos="1134"/>
        </w:tabs>
        <w:spacing w:before="0" w:beforeLines="0" w:line="360" w:lineRule="auto"/>
        <w:ind w:left="0" w:firstLine="420"/>
        <w:rPr>
          <w:rFonts w:ascii="Times New Roman"/>
          <w:sz w:val="21"/>
          <w:szCs w:val="21"/>
        </w:rPr>
      </w:pPr>
      <w:r>
        <w:rPr>
          <w:rFonts w:ascii="Times New Roman"/>
          <w:bCs/>
          <w:sz w:val="21"/>
          <w:szCs w:val="21"/>
        </w:rPr>
        <w:t>对中标人的其他约定</w:t>
      </w:r>
    </w:p>
    <w:p w14:paraId="4BEB9185">
      <w:pPr>
        <w:numPr>
          <w:ilvl w:val="2"/>
          <w:numId w:val="36"/>
        </w:numPr>
        <w:tabs>
          <w:tab w:val="left" w:pos="851"/>
          <w:tab w:val="clear" w:pos="1134"/>
        </w:tabs>
        <w:spacing w:before="0" w:beforeLines="0" w:line="360" w:lineRule="auto"/>
        <w:ind w:left="0" w:firstLine="420"/>
        <w:rPr>
          <w:rFonts w:ascii="Times New Roman"/>
          <w:bCs/>
          <w:sz w:val="21"/>
          <w:szCs w:val="21"/>
        </w:rPr>
      </w:pPr>
      <w:r>
        <w:rPr>
          <w:rFonts w:ascii="Times New Roman"/>
          <w:sz w:val="21"/>
          <w:szCs w:val="21"/>
        </w:rPr>
        <w:t>中标人须对造价服务的全过程予以保密。</w:t>
      </w:r>
    </w:p>
    <w:p w14:paraId="50100420">
      <w:pPr>
        <w:numPr>
          <w:ilvl w:val="2"/>
          <w:numId w:val="36"/>
        </w:numPr>
        <w:tabs>
          <w:tab w:val="left" w:pos="851"/>
          <w:tab w:val="clear" w:pos="1134"/>
        </w:tabs>
        <w:spacing w:before="0" w:beforeLines="0" w:line="360" w:lineRule="auto"/>
        <w:ind w:left="0" w:firstLine="420"/>
        <w:rPr>
          <w:rFonts w:ascii="Times New Roman"/>
          <w:bCs/>
          <w:sz w:val="21"/>
          <w:szCs w:val="21"/>
        </w:rPr>
      </w:pPr>
      <w:r>
        <w:rPr>
          <w:rFonts w:ascii="Times New Roman"/>
          <w:sz w:val="21"/>
          <w:szCs w:val="21"/>
        </w:rPr>
        <w:t>中标人在造价服务工作中应讲究原则，独立工作，不受外在因素影响。</w:t>
      </w:r>
    </w:p>
    <w:p w14:paraId="6D491A8B">
      <w:pPr>
        <w:numPr>
          <w:ilvl w:val="1"/>
          <w:numId w:val="36"/>
        </w:numPr>
        <w:tabs>
          <w:tab w:val="left" w:pos="851"/>
          <w:tab w:val="clear" w:pos="1134"/>
        </w:tabs>
        <w:spacing w:before="0" w:beforeLines="0" w:line="360" w:lineRule="auto"/>
        <w:ind w:left="0" w:firstLine="420"/>
        <w:rPr>
          <w:rFonts w:ascii="Times New Roman"/>
          <w:sz w:val="21"/>
          <w:szCs w:val="21"/>
        </w:rPr>
      </w:pPr>
      <w:r>
        <w:rPr>
          <w:rFonts w:ascii="Times New Roman"/>
          <w:bCs/>
          <w:sz w:val="21"/>
          <w:szCs w:val="21"/>
        </w:rPr>
        <w:t>招标代理服务费支付</w:t>
      </w:r>
    </w:p>
    <w:p w14:paraId="6ACF4848">
      <w:pPr>
        <w:numPr>
          <w:ilvl w:val="2"/>
          <w:numId w:val="36"/>
        </w:numPr>
        <w:tabs>
          <w:tab w:val="left" w:pos="851"/>
          <w:tab w:val="clear" w:pos="1134"/>
        </w:tabs>
        <w:spacing w:before="0" w:beforeLines="0" w:line="360" w:lineRule="auto"/>
        <w:ind w:left="0" w:firstLine="420"/>
        <w:rPr>
          <w:rFonts w:hint="eastAsia" w:ascii="Times New Roman"/>
          <w:sz w:val="21"/>
          <w:szCs w:val="21"/>
        </w:rPr>
      </w:pPr>
      <w:r>
        <w:rPr>
          <w:rFonts w:ascii="Times New Roman"/>
          <w:sz w:val="21"/>
          <w:szCs w:val="21"/>
        </w:rPr>
        <w:t>本项目招标代理服务费由</w:t>
      </w:r>
      <w:r>
        <w:rPr>
          <w:rFonts w:hint="eastAsia" w:ascii="Times New Roman"/>
          <w:sz w:val="21"/>
          <w:szCs w:val="21"/>
        </w:rPr>
        <w:t>中标人</w:t>
      </w:r>
      <w:r>
        <w:rPr>
          <w:rFonts w:ascii="Times New Roman"/>
          <w:sz w:val="21"/>
          <w:szCs w:val="21"/>
        </w:rPr>
        <w:t>统一支付。</w:t>
      </w:r>
    </w:p>
    <w:p w14:paraId="05AFA963">
      <w:pPr>
        <w:numPr>
          <w:ilvl w:val="2"/>
          <w:numId w:val="36"/>
        </w:numPr>
        <w:tabs>
          <w:tab w:val="left" w:pos="851"/>
          <w:tab w:val="clear" w:pos="1134"/>
        </w:tabs>
        <w:spacing w:before="0" w:beforeLines="0" w:line="360" w:lineRule="auto"/>
        <w:ind w:left="0" w:firstLine="420"/>
        <w:rPr>
          <w:rFonts w:ascii="Times New Roman"/>
          <w:sz w:val="21"/>
          <w:szCs w:val="21"/>
        </w:rPr>
      </w:pPr>
      <w:r>
        <w:rPr>
          <w:rFonts w:ascii="Times New Roman"/>
          <w:sz w:val="21"/>
          <w:szCs w:val="21"/>
        </w:rPr>
        <w:t>招标代理服务费：参照国家发展改革委《关于降低部分建设项目收费标准规范收费行为等有关问题的通知》（发改价格〔2011〕534号）规定。招标代理服务费=各项目的实际中标金额×招标代理服务费收费标准×</w:t>
      </w:r>
      <w:r>
        <w:rPr>
          <w:rFonts w:hint="eastAsia" w:ascii="Times New Roman"/>
          <w:sz w:val="21"/>
          <w:szCs w:val="21"/>
        </w:rPr>
        <w:t>（</w:t>
      </w:r>
      <w:r>
        <w:rPr>
          <w:rFonts w:ascii="Times New Roman"/>
          <w:sz w:val="21"/>
          <w:szCs w:val="21"/>
        </w:rPr>
        <w:t>1-</w:t>
      </w:r>
      <w:r>
        <w:rPr>
          <w:rFonts w:hint="eastAsia" w:ascii="Times New Roman"/>
          <w:sz w:val="21"/>
          <w:szCs w:val="21"/>
        </w:rPr>
        <w:t>招标代理服务费下浮费率5</w:t>
      </w:r>
      <w:r>
        <w:rPr>
          <w:rFonts w:ascii="Times New Roman"/>
          <w:sz w:val="21"/>
          <w:szCs w:val="21"/>
        </w:rPr>
        <w:t>0%</w:t>
      </w:r>
      <w:r>
        <w:rPr>
          <w:rFonts w:hint="eastAsia" w:ascii="Times New Roman"/>
          <w:sz w:val="21"/>
          <w:szCs w:val="21"/>
        </w:rPr>
        <w:t>）</w:t>
      </w:r>
      <w:r>
        <w:rPr>
          <w:rFonts w:ascii="Times New Roman"/>
          <w:sz w:val="21"/>
          <w:szCs w:val="21"/>
        </w:rPr>
        <w:t>（按差额定率累进法计算），服务类型（</w:t>
      </w:r>
      <w:r>
        <w:rPr>
          <w:rFonts w:hint="eastAsia" w:ascii="Times New Roman"/>
          <w:sz w:val="21"/>
          <w:szCs w:val="21"/>
        </w:rPr>
        <w:t>服务</w:t>
      </w:r>
      <w:r>
        <w:rPr>
          <w:rFonts w:ascii="Times New Roman"/>
          <w:sz w:val="21"/>
          <w:szCs w:val="21"/>
        </w:rPr>
        <w:t>招标）。</w:t>
      </w:r>
    </w:p>
    <w:p w14:paraId="30AF993E">
      <w:pPr>
        <w:pStyle w:val="4"/>
        <w:spacing w:before="0" w:beforeLines="0"/>
        <w:ind w:firstLine="0" w:firstLineChars="0"/>
        <w:rPr>
          <w:rFonts w:ascii="Times New Roman"/>
        </w:rPr>
      </w:pPr>
      <w:r>
        <w:rPr>
          <w:rFonts w:ascii="Times New Roman"/>
        </w:rPr>
        <w:br w:type="page"/>
      </w:r>
      <w:bookmarkStart w:id="1055" w:name="_Toc193981301"/>
      <w:r>
        <w:rPr>
          <w:rFonts w:ascii="Times New Roman"/>
        </w:rPr>
        <w:t>第三章 评标办法</w:t>
      </w:r>
      <w:bookmarkEnd w:id="1055"/>
    </w:p>
    <w:p w14:paraId="10B709C8">
      <w:pPr>
        <w:spacing w:before="0" w:beforeLines="0" w:line="360" w:lineRule="auto"/>
        <w:ind w:firstLine="420"/>
        <w:rPr>
          <w:rFonts w:ascii="Times New Roman"/>
          <w:sz w:val="21"/>
          <w:szCs w:val="21"/>
          <w:highlight w:val="none"/>
        </w:rPr>
      </w:pPr>
      <w:bookmarkStart w:id="1056" w:name="_Toc329702892"/>
      <w:bookmarkStart w:id="1057" w:name="_Toc329781824"/>
      <w:r>
        <w:rPr>
          <w:rFonts w:ascii="Times New Roman"/>
          <w:sz w:val="21"/>
          <w:szCs w:val="21"/>
        </w:rPr>
        <w:t>为</w:t>
      </w:r>
      <w:r>
        <w:rPr>
          <w:rFonts w:ascii="Times New Roman"/>
          <w:sz w:val="21"/>
          <w:szCs w:val="21"/>
          <w:highlight w:val="none"/>
        </w:rPr>
        <w:t>加强对南宁市轨道交通工程建设项目评标工作的管理，根据《中华人民共和国招标投标法》、《中华人民共和国招标投标法实施条例》、《评标委员会和评标方法暂行规定》（原国家发展计划委员会等七部委令 第12号）及政府主管部门制定的相应法律、法规、规章、制度等制订本评标细则。</w:t>
      </w:r>
      <w:bookmarkEnd w:id="1056"/>
      <w:bookmarkEnd w:id="1057"/>
      <w:r>
        <w:rPr>
          <w:rFonts w:ascii="Times New Roman"/>
          <w:kern w:val="0"/>
          <w:sz w:val="21"/>
          <w:szCs w:val="21"/>
          <w:highlight w:val="none"/>
        </w:rPr>
        <w:t>本次评标采用综合评估法，满分100分，资信部分</w:t>
      </w:r>
      <w:r>
        <w:rPr>
          <w:rFonts w:hint="eastAsia" w:ascii="Times New Roman"/>
          <w:kern w:val="0"/>
          <w:sz w:val="21"/>
          <w:szCs w:val="21"/>
          <w:highlight w:val="none"/>
        </w:rPr>
        <w:t>2</w:t>
      </w:r>
      <w:r>
        <w:rPr>
          <w:rFonts w:ascii="Times New Roman"/>
          <w:kern w:val="0"/>
          <w:sz w:val="21"/>
          <w:szCs w:val="21"/>
          <w:highlight w:val="none"/>
        </w:rPr>
        <w:t>0分，技术部分</w:t>
      </w:r>
      <w:r>
        <w:rPr>
          <w:rFonts w:hint="eastAsia" w:ascii="Times New Roman"/>
          <w:kern w:val="0"/>
          <w:sz w:val="21"/>
          <w:szCs w:val="21"/>
          <w:highlight w:val="none"/>
        </w:rPr>
        <w:t>65</w:t>
      </w:r>
      <w:r>
        <w:rPr>
          <w:rFonts w:ascii="Times New Roman"/>
          <w:kern w:val="0"/>
          <w:sz w:val="21"/>
          <w:szCs w:val="21"/>
          <w:highlight w:val="none"/>
        </w:rPr>
        <w:t>分，报价部分</w:t>
      </w:r>
      <w:r>
        <w:rPr>
          <w:rFonts w:hint="eastAsia" w:ascii="Times New Roman"/>
          <w:kern w:val="0"/>
          <w:sz w:val="21"/>
          <w:szCs w:val="21"/>
          <w:highlight w:val="none"/>
        </w:rPr>
        <w:t>15</w:t>
      </w:r>
      <w:r>
        <w:rPr>
          <w:rFonts w:ascii="Times New Roman"/>
          <w:kern w:val="0"/>
          <w:sz w:val="21"/>
          <w:szCs w:val="21"/>
          <w:highlight w:val="none"/>
        </w:rPr>
        <w:t>分。</w:t>
      </w:r>
    </w:p>
    <w:p w14:paraId="5EB4C461">
      <w:pPr>
        <w:numPr>
          <w:ilvl w:val="0"/>
          <w:numId w:val="37"/>
        </w:numPr>
        <w:adjustRightInd/>
        <w:snapToGrid/>
        <w:spacing w:before="0" w:beforeLines="0" w:line="360" w:lineRule="auto"/>
        <w:ind w:left="0" w:firstLine="422"/>
        <w:rPr>
          <w:rFonts w:ascii="Times New Roman"/>
          <w:b/>
          <w:bCs/>
          <w:sz w:val="21"/>
          <w:szCs w:val="21"/>
          <w:highlight w:val="none"/>
        </w:rPr>
      </w:pPr>
      <w:r>
        <w:rPr>
          <w:rFonts w:ascii="Times New Roman"/>
          <w:b/>
          <w:bCs/>
          <w:sz w:val="21"/>
          <w:szCs w:val="21"/>
          <w:highlight w:val="none"/>
        </w:rPr>
        <w:t xml:space="preserve"> 评标原则</w:t>
      </w:r>
    </w:p>
    <w:p w14:paraId="410FF1C3">
      <w:pPr>
        <w:spacing w:before="0" w:beforeLines="0" w:line="360" w:lineRule="auto"/>
        <w:ind w:firstLine="420"/>
        <w:rPr>
          <w:rFonts w:hAnsi="宋体"/>
          <w:bCs/>
          <w:sz w:val="21"/>
          <w:szCs w:val="21"/>
        </w:rPr>
      </w:pPr>
      <w:r>
        <w:rPr>
          <w:rFonts w:hAnsi="宋体"/>
          <w:sz w:val="21"/>
          <w:szCs w:val="21"/>
          <w:highlight w:val="none"/>
        </w:rPr>
        <w:t>南宁市轨道交通工程建设引入</w:t>
      </w:r>
      <w:r>
        <w:rPr>
          <w:rFonts w:hAnsi="宋体"/>
          <w:sz w:val="21"/>
          <w:szCs w:val="21"/>
        </w:rPr>
        <w:t>竞争机制，采取公开招标选择供货商，为保证招标“公开、公平、公正”，根据国家有关工程建设招标的法律、法规和方针、政策，结合城市轨道交通工程施工特点，制定本评标办法，实行评标的规范化、标准化、科学化。</w:t>
      </w:r>
    </w:p>
    <w:p w14:paraId="1A8EDF69">
      <w:pPr>
        <w:numPr>
          <w:ilvl w:val="0"/>
          <w:numId w:val="37"/>
        </w:numPr>
        <w:adjustRightInd/>
        <w:snapToGrid/>
        <w:spacing w:before="0" w:beforeLines="0" w:line="360" w:lineRule="auto"/>
        <w:ind w:left="0" w:firstLine="422"/>
        <w:rPr>
          <w:rFonts w:ascii="Times New Roman"/>
          <w:b/>
          <w:bCs/>
          <w:sz w:val="21"/>
          <w:szCs w:val="21"/>
        </w:rPr>
      </w:pPr>
      <w:r>
        <w:rPr>
          <w:rFonts w:ascii="Times New Roman"/>
          <w:b/>
          <w:bCs/>
          <w:sz w:val="21"/>
          <w:szCs w:val="21"/>
        </w:rPr>
        <w:t xml:space="preserve"> 评标依据</w:t>
      </w:r>
    </w:p>
    <w:p w14:paraId="0B891DA5">
      <w:pPr>
        <w:numPr>
          <w:ilvl w:val="0"/>
          <w:numId w:val="38"/>
        </w:numPr>
        <w:adjustRightInd/>
        <w:snapToGrid/>
        <w:spacing w:before="0" w:beforeLines="0" w:line="360" w:lineRule="auto"/>
        <w:ind w:left="0" w:firstLine="420"/>
        <w:rPr>
          <w:rFonts w:ascii="Times New Roman"/>
          <w:sz w:val="21"/>
          <w:szCs w:val="21"/>
        </w:rPr>
      </w:pPr>
      <w:r>
        <w:rPr>
          <w:rFonts w:ascii="Times New Roman"/>
          <w:sz w:val="21"/>
          <w:szCs w:val="21"/>
        </w:rPr>
        <w:t>本项目《招标文件》及补充文件；</w:t>
      </w:r>
    </w:p>
    <w:p w14:paraId="07903C91">
      <w:pPr>
        <w:numPr>
          <w:ilvl w:val="0"/>
          <w:numId w:val="38"/>
        </w:numPr>
        <w:adjustRightInd/>
        <w:snapToGrid/>
        <w:spacing w:before="0" w:beforeLines="0" w:line="360" w:lineRule="auto"/>
        <w:ind w:left="0" w:firstLine="420"/>
        <w:rPr>
          <w:rFonts w:ascii="Times New Roman"/>
          <w:sz w:val="21"/>
          <w:szCs w:val="21"/>
        </w:rPr>
      </w:pPr>
      <w:r>
        <w:rPr>
          <w:rFonts w:ascii="Times New Roman"/>
          <w:sz w:val="21"/>
          <w:szCs w:val="21"/>
        </w:rPr>
        <w:t>招投标法及相关法规；</w:t>
      </w:r>
    </w:p>
    <w:p w14:paraId="7D96B485">
      <w:pPr>
        <w:numPr>
          <w:ilvl w:val="0"/>
          <w:numId w:val="38"/>
        </w:numPr>
        <w:adjustRightInd/>
        <w:snapToGrid/>
        <w:spacing w:before="0" w:beforeLines="0" w:line="360" w:lineRule="auto"/>
        <w:ind w:left="0" w:firstLine="420"/>
        <w:rPr>
          <w:rFonts w:ascii="Times New Roman"/>
          <w:sz w:val="21"/>
          <w:szCs w:val="21"/>
        </w:rPr>
      </w:pPr>
      <w:r>
        <w:rPr>
          <w:rFonts w:ascii="Times New Roman"/>
          <w:sz w:val="21"/>
          <w:szCs w:val="21"/>
        </w:rPr>
        <w:t>有效的《投标文件》及澄清文件</w:t>
      </w:r>
      <w:r>
        <w:rPr>
          <w:rFonts w:hint="eastAsia" w:ascii="Times New Roman"/>
          <w:sz w:val="21"/>
          <w:szCs w:val="21"/>
        </w:rPr>
        <w:t>。</w:t>
      </w:r>
    </w:p>
    <w:p w14:paraId="5B714922">
      <w:pPr>
        <w:numPr>
          <w:ilvl w:val="0"/>
          <w:numId w:val="37"/>
        </w:numPr>
        <w:adjustRightInd/>
        <w:snapToGrid/>
        <w:spacing w:before="0" w:beforeLines="0" w:line="360" w:lineRule="auto"/>
        <w:ind w:left="0" w:firstLine="422"/>
        <w:rPr>
          <w:rFonts w:ascii="Times New Roman"/>
          <w:b/>
          <w:bCs/>
          <w:sz w:val="21"/>
          <w:szCs w:val="21"/>
        </w:rPr>
      </w:pPr>
      <w:r>
        <w:rPr>
          <w:rFonts w:ascii="Times New Roman"/>
          <w:b/>
          <w:bCs/>
          <w:sz w:val="21"/>
          <w:szCs w:val="21"/>
        </w:rPr>
        <w:t xml:space="preserve"> 评标纪律</w:t>
      </w:r>
    </w:p>
    <w:p w14:paraId="1F2C4A87">
      <w:pPr>
        <w:numPr>
          <w:ilvl w:val="0"/>
          <w:numId w:val="39"/>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参与评标的所有工作人员，应当按照《中华人民共和国招标投标法》等有关法律法规的要求履行职责，严格按照制定的评标细则工作，互相监督，保证评标过程的公正和公平。</w:t>
      </w:r>
    </w:p>
    <w:p w14:paraId="019D52E8">
      <w:pPr>
        <w:numPr>
          <w:ilvl w:val="0"/>
          <w:numId w:val="39"/>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参与评标的评委应严守职业道德，依法评标，业务精通，本着公正、科学、客观、严谨的工作态度，向招标人负责，为工程负责。</w:t>
      </w:r>
    </w:p>
    <w:p w14:paraId="5083E0AD">
      <w:pPr>
        <w:numPr>
          <w:ilvl w:val="0"/>
          <w:numId w:val="39"/>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在评标期间评委应遵守保密纪律，自觉接受封闭性管理，不得私自接触投标单位人员，自觉缴纳通讯工具，不得将评标有关的文件、材料带出评标场所，不得将评标有关的内容和信息透露给与评标无关的人员。</w:t>
      </w:r>
    </w:p>
    <w:p w14:paraId="33EB0738">
      <w:pPr>
        <w:numPr>
          <w:ilvl w:val="0"/>
          <w:numId w:val="39"/>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投标人在评标过程中，不得采取任何方式或通过任何途径对评委或工作人员施加影响或探听消息，非请不得涉足与评标有关的工作场所。</w:t>
      </w:r>
    </w:p>
    <w:p w14:paraId="53F460B8">
      <w:pPr>
        <w:numPr>
          <w:ilvl w:val="0"/>
          <w:numId w:val="39"/>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对于违纪的评委将取消评委资格并进行通报，对于违纪的工作人员将对其行政处分，对于违纪的投标人将取消本工程今后所有投标资格并进行通报。</w:t>
      </w:r>
    </w:p>
    <w:p w14:paraId="4AC4033B">
      <w:pPr>
        <w:numPr>
          <w:ilvl w:val="0"/>
          <w:numId w:val="39"/>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投标人在投标文件的审查、澄清、评价和比较以及授予合同的过程中，对招标人施加影响的任何行为，都将导致取消投标资格。</w:t>
      </w:r>
    </w:p>
    <w:p w14:paraId="55A750A9">
      <w:pPr>
        <w:numPr>
          <w:ilvl w:val="0"/>
          <w:numId w:val="39"/>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对于违反《中华人民共和国招标投标法》及有关法律法规的单位或个人，将依法追究其法律责任。</w:t>
      </w:r>
    </w:p>
    <w:p w14:paraId="4B78F746">
      <w:pPr>
        <w:numPr>
          <w:ilvl w:val="0"/>
          <w:numId w:val="37"/>
        </w:numPr>
        <w:adjustRightInd/>
        <w:snapToGrid/>
        <w:spacing w:before="0" w:beforeLines="0" w:line="360" w:lineRule="auto"/>
        <w:ind w:left="0" w:firstLine="422"/>
        <w:rPr>
          <w:rFonts w:ascii="Times New Roman"/>
          <w:b/>
          <w:bCs/>
          <w:sz w:val="21"/>
          <w:szCs w:val="21"/>
        </w:rPr>
      </w:pPr>
      <w:r>
        <w:rPr>
          <w:rFonts w:ascii="Times New Roman"/>
          <w:b/>
          <w:bCs/>
          <w:sz w:val="21"/>
          <w:szCs w:val="21"/>
        </w:rPr>
        <w:t xml:space="preserve"> 评标过程保密与封闭性</w:t>
      </w:r>
    </w:p>
    <w:p w14:paraId="54E8D63D">
      <w:pPr>
        <w:numPr>
          <w:ilvl w:val="0"/>
          <w:numId w:val="40"/>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开标后，直到发出中标通知书为止，凡属于审查、澄清、评价和比较各投标文件的有关资料和授予合同有关的信息，都不得向投标人或与该过程无关的其他人泄露；</w:t>
      </w:r>
    </w:p>
    <w:p w14:paraId="64DAB02F">
      <w:pPr>
        <w:numPr>
          <w:ilvl w:val="0"/>
          <w:numId w:val="40"/>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专家名单应对投标人保密；</w:t>
      </w:r>
    </w:p>
    <w:p w14:paraId="1A2487C7">
      <w:pPr>
        <w:numPr>
          <w:ilvl w:val="0"/>
          <w:numId w:val="40"/>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应由专人同投标人进行联络，其他人员不得擅自联络投标人；</w:t>
      </w:r>
    </w:p>
    <w:p w14:paraId="3EA74F6E">
      <w:pPr>
        <w:numPr>
          <w:ilvl w:val="0"/>
          <w:numId w:val="40"/>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评标住宿的房间应保证严禁投标人进住，评委外出应有专人陪同；</w:t>
      </w:r>
    </w:p>
    <w:p w14:paraId="57264847">
      <w:pPr>
        <w:numPr>
          <w:ilvl w:val="0"/>
          <w:numId w:val="40"/>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评标时，评委手机应上缴保管，评委对外联络应通过专门通讯设备；</w:t>
      </w:r>
    </w:p>
    <w:p w14:paraId="2686CF4A">
      <w:pPr>
        <w:numPr>
          <w:ilvl w:val="0"/>
          <w:numId w:val="40"/>
        </w:numPr>
        <w:tabs>
          <w:tab w:val="left" w:pos="851"/>
          <w:tab w:val="left" w:pos="1260"/>
          <w:tab w:val="left" w:pos="1620"/>
          <w:tab w:val="clear" w:pos="1134"/>
        </w:tabs>
        <w:snapToGrid/>
        <w:spacing w:before="0" w:beforeLines="0" w:line="360" w:lineRule="auto"/>
        <w:ind w:left="0" w:firstLine="420"/>
        <w:jc w:val="left"/>
        <w:textAlignment w:val="baseline"/>
        <w:rPr>
          <w:rFonts w:ascii="Times New Roman"/>
          <w:sz w:val="21"/>
          <w:szCs w:val="21"/>
        </w:rPr>
      </w:pPr>
      <w:r>
        <w:rPr>
          <w:rFonts w:ascii="Times New Roman"/>
          <w:sz w:val="21"/>
          <w:szCs w:val="21"/>
        </w:rPr>
        <w:t>评标进行时和结束后，评委不得将评标资料带出评标现场。</w:t>
      </w:r>
    </w:p>
    <w:p w14:paraId="44E31A7D">
      <w:pPr>
        <w:numPr>
          <w:ilvl w:val="0"/>
          <w:numId w:val="37"/>
        </w:numPr>
        <w:adjustRightInd/>
        <w:snapToGrid/>
        <w:spacing w:before="0" w:beforeLines="0" w:line="360" w:lineRule="auto"/>
        <w:ind w:left="0" w:firstLine="422"/>
        <w:rPr>
          <w:rFonts w:ascii="Times New Roman"/>
          <w:b/>
          <w:sz w:val="21"/>
          <w:szCs w:val="21"/>
        </w:rPr>
      </w:pPr>
      <w:r>
        <w:rPr>
          <w:rFonts w:ascii="Times New Roman"/>
          <w:b/>
          <w:bCs/>
          <w:sz w:val="21"/>
          <w:szCs w:val="21"/>
        </w:rPr>
        <w:t xml:space="preserve"> 评标组织</w:t>
      </w:r>
    </w:p>
    <w:p w14:paraId="02E07D4B">
      <w:pPr>
        <w:numPr>
          <w:ilvl w:val="0"/>
          <w:numId w:val="41"/>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评标工作由招标人依法组建的评标委员会负责，由招标人代表和有关经济、技术等方面的专家组成，成员人数为5人或以上单数，其中技术、经济等方面的专家组成不得少于成员总数的2/3，招标人委派评标专家不得多于成员总数的1/3。评标委员会在资格审查结束后，按专家专业类别分为经济评审组和技术评审组，分别进行评审。</w:t>
      </w:r>
    </w:p>
    <w:p w14:paraId="01CA22FE">
      <w:pPr>
        <w:numPr>
          <w:ilvl w:val="0"/>
          <w:numId w:val="41"/>
        </w:numPr>
        <w:tabs>
          <w:tab w:val="left" w:pos="851"/>
          <w:tab w:val="clear" w:pos="1134"/>
        </w:tabs>
        <w:adjustRightInd/>
        <w:snapToGrid/>
        <w:spacing w:before="0" w:beforeLines="0" w:line="360" w:lineRule="auto"/>
        <w:ind w:left="0" w:firstLine="420"/>
        <w:rPr>
          <w:rFonts w:ascii="Times New Roman"/>
          <w:sz w:val="21"/>
          <w:szCs w:val="21"/>
        </w:rPr>
      </w:pPr>
      <w:r>
        <w:rPr>
          <w:rFonts w:ascii="Times New Roman"/>
          <w:bCs/>
          <w:sz w:val="21"/>
          <w:szCs w:val="21"/>
        </w:rPr>
        <w:t>评标程序和内容</w:t>
      </w:r>
    </w:p>
    <w:p w14:paraId="278ED1F4">
      <w:pPr>
        <w:spacing w:before="0" w:beforeLines="0" w:line="360" w:lineRule="auto"/>
        <w:ind w:firstLine="420"/>
        <w:rPr>
          <w:rFonts w:ascii="Times New Roman"/>
          <w:bCs/>
          <w:sz w:val="21"/>
          <w:szCs w:val="21"/>
        </w:rPr>
      </w:pPr>
      <w:r>
        <w:rPr>
          <w:rFonts w:ascii="Times New Roman"/>
          <w:bCs/>
          <w:sz w:val="21"/>
          <w:szCs w:val="21"/>
        </w:rPr>
        <w:t>（1）评标委员会成员熟悉招标文件和评标办法；</w:t>
      </w:r>
    </w:p>
    <w:p w14:paraId="43EE4D06">
      <w:pPr>
        <w:spacing w:before="0" w:beforeLines="0" w:line="360" w:lineRule="auto"/>
        <w:ind w:firstLine="420"/>
        <w:rPr>
          <w:rFonts w:ascii="Times New Roman"/>
          <w:bCs/>
          <w:sz w:val="21"/>
          <w:szCs w:val="21"/>
        </w:rPr>
      </w:pPr>
      <w:r>
        <w:rPr>
          <w:rFonts w:ascii="Times New Roman"/>
          <w:bCs/>
          <w:sz w:val="21"/>
          <w:szCs w:val="21"/>
        </w:rPr>
        <w:t>（2）全体评标委员会成员对投标文件进行资格审查；</w:t>
      </w:r>
    </w:p>
    <w:p w14:paraId="21FBBC9C">
      <w:pPr>
        <w:spacing w:before="0" w:beforeLines="0" w:line="360" w:lineRule="auto"/>
        <w:ind w:firstLine="420"/>
        <w:rPr>
          <w:rFonts w:ascii="Times New Roman"/>
          <w:bCs/>
          <w:sz w:val="21"/>
          <w:szCs w:val="21"/>
        </w:rPr>
      </w:pPr>
      <w:r>
        <w:rPr>
          <w:rFonts w:ascii="Times New Roman"/>
          <w:bCs/>
          <w:sz w:val="21"/>
          <w:szCs w:val="21"/>
        </w:rPr>
        <w:t>（3）按专家专业类别分为经济评审组和技术评审组；</w:t>
      </w:r>
    </w:p>
    <w:p w14:paraId="6F289EE4">
      <w:pPr>
        <w:spacing w:before="0" w:beforeLines="0" w:line="360" w:lineRule="auto"/>
        <w:ind w:firstLine="420"/>
        <w:rPr>
          <w:rFonts w:ascii="Times New Roman"/>
          <w:bCs/>
          <w:sz w:val="21"/>
          <w:szCs w:val="21"/>
        </w:rPr>
      </w:pPr>
      <w:r>
        <w:rPr>
          <w:rFonts w:ascii="Times New Roman"/>
          <w:bCs/>
          <w:sz w:val="21"/>
          <w:szCs w:val="21"/>
        </w:rPr>
        <w:t>（4）评标委员会成员对投标文件进行初步评审；</w:t>
      </w:r>
    </w:p>
    <w:p w14:paraId="1286B64F">
      <w:pPr>
        <w:spacing w:before="0" w:beforeLines="0" w:line="360" w:lineRule="auto"/>
        <w:ind w:firstLine="420"/>
        <w:rPr>
          <w:rFonts w:ascii="Times New Roman"/>
          <w:sz w:val="21"/>
          <w:szCs w:val="21"/>
        </w:rPr>
      </w:pPr>
      <w:r>
        <w:rPr>
          <w:rFonts w:ascii="Times New Roman"/>
          <w:bCs/>
          <w:sz w:val="21"/>
          <w:szCs w:val="21"/>
        </w:rPr>
        <w:t>（5）</w:t>
      </w:r>
      <w:r>
        <w:rPr>
          <w:rFonts w:ascii="Times New Roman"/>
          <w:sz w:val="21"/>
          <w:szCs w:val="21"/>
        </w:rPr>
        <w:t>技术评审组对</w:t>
      </w:r>
      <w:r>
        <w:rPr>
          <w:rFonts w:ascii="Times New Roman"/>
          <w:bCs/>
          <w:sz w:val="21"/>
          <w:szCs w:val="21"/>
        </w:rPr>
        <w:t>投标文件的资信部分和技术部分进行评审并打分，</w:t>
      </w:r>
      <w:r>
        <w:rPr>
          <w:rFonts w:ascii="Times New Roman"/>
          <w:sz w:val="21"/>
          <w:szCs w:val="21"/>
        </w:rPr>
        <w:t>经济评审组对</w:t>
      </w:r>
      <w:r>
        <w:rPr>
          <w:rFonts w:ascii="Times New Roman"/>
          <w:bCs/>
          <w:sz w:val="21"/>
          <w:szCs w:val="21"/>
        </w:rPr>
        <w:t>投标文件的报价部分进行评审并打分；</w:t>
      </w:r>
    </w:p>
    <w:p w14:paraId="4D07E499">
      <w:pPr>
        <w:spacing w:before="0" w:beforeLines="0" w:line="360" w:lineRule="auto"/>
        <w:ind w:firstLine="420"/>
        <w:rPr>
          <w:rFonts w:ascii="Times New Roman"/>
          <w:bCs/>
          <w:sz w:val="21"/>
          <w:szCs w:val="21"/>
        </w:rPr>
      </w:pPr>
      <w:r>
        <w:rPr>
          <w:rFonts w:ascii="Times New Roman"/>
          <w:bCs/>
          <w:sz w:val="21"/>
          <w:szCs w:val="21"/>
        </w:rPr>
        <w:t>（6）全体评标委员会完成评标报告。</w:t>
      </w:r>
    </w:p>
    <w:p w14:paraId="49469FD2">
      <w:pPr>
        <w:numPr>
          <w:ilvl w:val="0"/>
          <w:numId w:val="37"/>
        </w:numPr>
        <w:adjustRightInd/>
        <w:snapToGrid/>
        <w:spacing w:before="0" w:beforeLines="0" w:line="360" w:lineRule="auto"/>
        <w:ind w:left="0" w:firstLine="422"/>
        <w:rPr>
          <w:rFonts w:ascii="Times New Roman"/>
          <w:b/>
          <w:bCs/>
          <w:sz w:val="21"/>
          <w:szCs w:val="21"/>
        </w:rPr>
      </w:pPr>
      <w:r>
        <w:rPr>
          <w:rFonts w:ascii="Times New Roman"/>
          <w:b/>
          <w:bCs/>
          <w:sz w:val="21"/>
          <w:szCs w:val="21"/>
        </w:rPr>
        <w:t xml:space="preserve"> 资格审查</w:t>
      </w:r>
    </w:p>
    <w:p w14:paraId="78D39E7B">
      <w:pPr>
        <w:spacing w:before="0" w:beforeLines="0" w:line="360" w:lineRule="auto"/>
        <w:ind w:firstLine="420"/>
        <w:rPr>
          <w:rFonts w:ascii="Times New Roman"/>
          <w:bCs/>
          <w:sz w:val="21"/>
          <w:szCs w:val="21"/>
        </w:rPr>
      </w:pPr>
      <w:r>
        <w:rPr>
          <w:rFonts w:ascii="Times New Roman"/>
          <w:bCs/>
          <w:sz w:val="21"/>
          <w:szCs w:val="21"/>
        </w:rPr>
        <w:t>6.1资格审查采用定性评审法。</w:t>
      </w:r>
    </w:p>
    <w:p w14:paraId="58E1D443">
      <w:pPr>
        <w:spacing w:before="0" w:beforeLines="0" w:line="360" w:lineRule="auto"/>
        <w:ind w:firstLine="420"/>
        <w:rPr>
          <w:rFonts w:ascii="Times New Roman"/>
          <w:bCs/>
          <w:sz w:val="21"/>
          <w:szCs w:val="21"/>
        </w:rPr>
      </w:pPr>
      <w:r>
        <w:rPr>
          <w:rFonts w:ascii="Times New Roman"/>
          <w:bCs/>
          <w:sz w:val="21"/>
          <w:szCs w:val="21"/>
        </w:rPr>
        <w:t>6.2在本阶段不符合任何一项资格评审标准的投标人将被招标人拒绝，不得进入下一阶段的评审。评审标准详见附表一《资格审查表》。</w:t>
      </w:r>
    </w:p>
    <w:p w14:paraId="3AEC11A1">
      <w:pPr>
        <w:numPr>
          <w:ilvl w:val="0"/>
          <w:numId w:val="37"/>
        </w:numPr>
        <w:adjustRightInd/>
        <w:snapToGrid/>
        <w:spacing w:before="0" w:beforeLines="0" w:line="360" w:lineRule="auto"/>
        <w:ind w:left="0" w:firstLine="422"/>
        <w:rPr>
          <w:rFonts w:ascii="Times New Roman"/>
          <w:b/>
          <w:bCs/>
          <w:sz w:val="21"/>
          <w:szCs w:val="21"/>
        </w:rPr>
      </w:pPr>
      <w:r>
        <w:rPr>
          <w:rFonts w:ascii="Times New Roman"/>
          <w:b/>
          <w:bCs/>
          <w:sz w:val="21"/>
          <w:szCs w:val="21"/>
        </w:rPr>
        <w:t xml:space="preserve"> 初步评审</w:t>
      </w:r>
    </w:p>
    <w:p w14:paraId="4E65152B">
      <w:pPr>
        <w:numPr>
          <w:ilvl w:val="0"/>
          <w:numId w:val="42"/>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评标委员会将对投标文件的实质性内容进行初步评审，判定其内容是否真实、完整，是否满足招标文件要求并在实质性内容上予以响应。并对通过初步评审且报价中如有算术性错误的文件进行算术性修正。修正原则为：投标报价大写金额与小写金额不一致的，以大写金额为准；总价与单价不一致的，以单价为准修正总价，单价有明显小数点错误的除外。</w:t>
      </w:r>
      <w:r>
        <w:rPr>
          <w:rFonts w:ascii="Times New Roman"/>
          <w:sz w:val="21"/>
          <w:szCs w:val="21"/>
        </w:rPr>
        <w:t>按上述修正错误的原则及方法修正后的总价经投标人书面确认后作为评标价，投标人不接受修正价格的，其投标作否决投标处理。如果修正后的总价小于投标函中的报价，如中标则为中标价；如果修正后的总价大于投标函中的报价，如中标则以投标函中的报价为中标价，但并不减免中标人应承担的工作。</w:t>
      </w:r>
    </w:p>
    <w:p w14:paraId="1E325D92">
      <w:pPr>
        <w:numPr>
          <w:ilvl w:val="0"/>
          <w:numId w:val="42"/>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sz w:val="21"/>
          <w:szCs w:val="21"/>
        </w:rPr>
        <w:t>就本条款而言，实质上响应要求的投标文件，应该是与招标文件要求的全部条款，合同条件和规范相符，无重大差异和保留。所谓重大差异或保留是指对服务的范围、质量及要求产生实质性影响；或者对合同中规定的招标人的权利及投标人的责任造成实质性限制；而且纠正这种差异或保留，将会对其他实质上响应要求的投标人的竞争地位产生不公正的影响。决定投标文件的响应性只根据投标文件本身的内容，而不寻求外部的证据。</w:t>
      </w:r>
    </w:p>
    <w:p w14:paraId="6A5E7ADF">
      <w:pPr>
        <w:numPr>
          <w:ilvl w:val="0"/>
          <w:numId w:val="42"/>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如果投标文件实质性不响应招标文件的要求和条件的，评标委员会将判定为重大偏差并作否决投标处理，并且不允许投标人通过修正或撤消其不符要求的差异或保留，使之成为具有响应性的投标文件。</w:t>
      </w:r>
    </w:p>
    <w:p w14:paraId="2591A47E">
      <w:pPr>
        <w:numPr>
          <w:ilvl w:val="0"/>
          <w:numId w:val="42"/>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评标委员会根据招标文件的要求对投标人进行初步评审，未通过初步评审的投标人不得进入下一阶段的评审。评审项目见附表二《初步评审表》。</w:t>
      </w:r>
    </w:p>
    <w:p w14:paraId="4C970595">
      <w:pPr>
        <w:numPr>
          <w:ilvl w:val="0"/>
          <w:numId w:val="37"/>
        </w:numPr>
        <w:adjustRightInd/>
        <w:snapToGrid/>
        <w:spacing w:before="0" w:beforeLines="0" w:line="360" w:lineRule="auto"/>
        <w:ind w:left="0" w:firstLine="422"/>
        <w:rPr>
          <w:rFonts w:ascii="Times New Roman"/>
          <w:b/>
          <w:bCs/>
          <w:sz w:val="21"/>
          <w:szCs w:val="21"/>
        </w:rPr>
      </w:pPr>
      <w:bookmarkStart w:id="1058" w:name="_Toc270433745"/>
      <w:bookmarkStart w:id="1059" w:name="_Toc270502648"/>
      <w:bookmarkStart w:id="1060" w:name="_Toc270433909"/>
      <w:bookmarkStart w:id="1061" w:name="_Toc270502792"/>
      <w:r>
        <w:rPr>
          <w:rFonts w:ascii="Times New Roman"/>
          <w:b/>
          <w:bCs/>
          <w:sz w:val="21"/>
          <w:szCs w:val="21"/>
        </w:rPr>
        <w:t xml:space="preserve"> 详细评审</w:t>
      </w:r>
      <w:bookmarkEnd w:id="1058"/>
      <w:bookmarkEnd w:id="1059"/>
      <w:bookmarkEnd w:id="1060"/>
      <w:bookmarkEnd w:id="1061"/>
    </w:p>
    <w:p w14:paraId="2B84CD65">
      <w:pPr>
        <w:numPr>
          <w:ilvl w:val="0"/>
          <w:numId w:val="43"/>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评标委员会将对通过初步评审的投标人进行详细评审。</w:t>
      </w:r>
    </w:p>
    <w:p w14:paraId="162F49C1">
      <w:pPr>
        <w:numPr>
          <w:ilvl w:val="0"/>
          <w:numId w:val="43"/>
        </w:numPr>
        <w:tabs>
          <w:tab w:val="left" w:pos="851"/>
          <w:tab w:val="clear" w:pos="1134"/>
        </w:tabs>
        <w:adjustRightInd/>
        <w:snapToGrid/>
        <w:spacing w:before="0" w:beforeLines="0" w:line="360" w:lineRule="auto"/>
        <w:ind w:left="0" w:firstLine="420"/>
        <w:rPr>
          <w:rFonts w:hint="eastAsia" w:ascii="Times New Roman"/>
          <w:bCs/>
          <w:sz w:val="21"/>
          <w:szCs w:val="21"/>
        </w:rPr>
      </w:pPr>
      <w:r>
        <w:rPr>
          <w:rFonts w:ascii="Times New Roman"/>
          <w:bCs/>
          <w:sz w:val="21"/>
          <w:szCs w:val="21"/>
        </w:rPr>
        <w:t>详细评审采用综合评估法，即按照规定的评分标准，对投标文件进行综合评分。评标委员会中的技术评审组评审资信部分和技术部分（评分标准：详见附表三《资信部分评</w:t>
      </w:r>
      <w:r>
        <w:rPr>
          <w:rFonts w:hint="eastAsia" w:ascii="Times New Roman"/>
          <w:bCs/>
          <w:sz w:val="21"/>
          <w:szCs w:val="21"/>
        </w:rPr>
        <w:t>审</w:t>
      </w:r>
      <w:r>
        <w:rPr>
          <w:rFonts w:ascii="Times New Roman"/>
          <w:bCs/>
          <w:sz w:val="21"/>
          <w:szCs w:val="21"/>
        </w:rPr>
        <w:t>表》、附表四《技术部分评</w:t>
      </w:r>
      <w:r>
        <w:rPr>
          <w:rFonts w:hint="eastAsia" w:ascii="Times New Roman"/>
          <w:bCs/>
          <w:sz w:val="21"/>
          <w:szCs w:val="21"/>
        </w:rPr>
        <w:t>审</w:t>
      </w:r>
      <w:r>
        <w:rPr>
          <w:rFonts w:ascii="Times New Roman"/>
          <w:bCs/>
          <w:sz w:val="21"/>
          <w:szCs w:val="21"/>
        </w:rPr>
        <w:t>表》）；评标委员会中的经济评审组评审报价部分（评分标准：详见附表五《报价部分评</w:t>
      </w:r>
      <w:r>
        <w:rPr>
          <w:rFonts w:hint="eastAsia" w:ascii="Times New Roman"/>
          <w:bCs/>
          <w:sz w:val="21"/>
          <w:szCs w:val="21"/>
        </w:rPr>
        <w:t>审</w:t>
      </w:r>
      <w:r>
        <w:rPr>
          <w:rFonts w:ascii="Times New Roman"/>
          <w:bCs/>
          <w:sz w:val="21"/>
          <w:szCs w:val="21"/>
        </w:rPr>
        <w:t>表》）</w:t>
      </w:r>
    </w:p>
    <w:p w14:paraId="351AFB9A">
      <w:pPr>
        <w:numPr>
          <w:ilvl w:val="0"/>
          <w:numId w:val="43"/>
        </w:numPr>
        <w:tabs>
          <w:tab w:val="left" w:pos="851"/>
          <w:tab w:val="clear" w:pos="1134"/>
        </w:tabs>
        <w:adjustRightInd/>
        <w:snapToGrid/>
        <w:spacing w:before="0" w:beforeLines="0" w:line="360" w:lineRule="auto"/>
        <w:ind w:left="0" w:firstLine="420"/>
        <w:rPr>
          <w:rFonts w:ascii="Times New Roman"/>
          <w:bCs/>
          <w:sz w:val="21"/>
          <w:szCs w:val="21"/>
        </w:rPr>
      </w:pPr>
      <w:r>
        <w:rPr>
          <w:rFonts w:hint="eastAsia" w:ascii="Times New Roman"/>
          <w:bCs/>
          <w:sz w:val="21"/>
          <w:szCs w:val="21"/>
        </w:rPr>
        <w:t>评标委员会按照规定的评审因素和量化标准进行评分。客观分部分评分要求全部评委评分一致，主观分部分评分由各评委独立评审并在各区间内独立打分（得分出现小数的，保留小数点后二位，第三位小数四舍五入）。</w:t>
      </w:r>
    </w:p>
    <w:p w14:paraId="146CD2FF">
      <w:pPr>
        <w:numPr>
          <w:ilvl w:val="0"/>
          <w:numId w:val="37"/>
        </w:numPr>
        <w:adjustRightInd/>
        <w:snapToGrid/>
        <w:spacing w:before="0" w:beforeLines="0" w:line="360" w:lineRule="auto"/>
        <w:ind w:left="0" w:firstLine="422"/>
        <w:rPr>
          <w:rFonts w:ascii="Times New Roman"/>
          <w:b/>
          <w:bCs/>
          <w:sz w:val="21"/>
          <w:szCs w:val="21"/>
        </w:rPr>
      </w:pPr>
      <w:r>
        <w:rPr>
          <w:rFonts w:ascii="Times New Roman"/>
          <w:b/>
          <w:bCs/>
          <w:sz w:val="21"/>
          <w:szCs w:val="21"/>
        </w:rPr>
        <w:t xml:space="preserve"> 澄清或补正</w:t>
      </w:r>
    </w:p>
    <w:p w14:paraId="733F797E">
      <w:pPr>
        <w:numPr>
          <w:ilvl w:val="0"/>
          <w:numId w:val="44"/>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在评标阶段，评标委员会认为必要时，可书面通知投标人要求其澄清或补正投标文件中的问题，或者要求其补充某些资料。对此，投标人不得拒绝。</w:t>
      </w:r>
    </w:p>
    <w:p w14:paraId="29DE88A7">
      <w:pPr>
        <w:numPr>
          <w:ilvl w:val="0"/>
          <w:numId w:val="44"/>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投标人须以书面形式提供澄清或补正文件，经评标委员会确认方可作为投标文件的组成部分。</w:t>
      </w:r>
    </w:p>
    <w:p w14:paraId="65E48525">
      <w:pPr>
        <w:numPr>
          <w:ilvl w:val="0"/>
          <w:numId w:val="44"/>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投标人能够合理说明或提供有效证明资料的，评标委员会将予以采信，取消该疑问事项及对应的投标报价偏差；不能合理说明或者不能提供有效证明材料的，评标委员会将不予采信，该疑问事项及对应的投标报价偏差将确认成立，但其投标总价保持不变。</w:t>
      </w:r>
    </w:p>
    <w:p w14:paraId="395F997D">
      <w:pPr>
        <w:numPr>
          <w:ilvl w:val="0"/>
          <w:numId w:val="44"/>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如果评标委员会对投标人提交的澄清、说明或补正依然存有疑问，可以对投标人进一步质疑。投标人应当相应地进一步澄清、说明或补正，直至评标委员会认为全部质疑得到解答。</w:t>
      </w:r>
    </w:p>
    <w:p w14:paraId="11A45625">
      <w:pPr>
        <w:numPr>
          <w:ilvl w:val="0"/>
          <w:numId w:val="44"/>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投标人不得借澄清或补正问题的机会，与招标人及评标委员会私下接触或对原投标价和内容提出修改，但在评标中进行的初步修正，则不在此列。</w:t>
      </w:r>
    </w:p>
    <w:p w14:paraId="55BD9EDA">
      <w:pPr>
        <w:numPr>
          <w:ilvl w:val="0"/>
          <w:numId w:val="44"/>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招标人不接受投标人主动提出的对投标文件的澄清或补正。</w:t>
      </w:r>
    </w:p>
    <w:p w14:paraId="4EAC603A">
      <w:pPr>
        <w:numPr>
          <w:ilvl w:val="0"/>
          <w:numId w:val="37"/>
        </w:numPr>
        <w:adjustRightInd/>
        <w:snapToGrid/>
        <w:spacing w:before="0" w:beforeLines="0" w:line="360" w:lineRule="auto"/>
        <w:ind w:left="0" w:firstLine="422"/>
        <w:rPr>
          <w:rFonts w:ascii="Times New Roman"/>
          <w:b/>
          <w:bCs/>
          <w:sz w:val="21"/>
          <w:szCs w:val="21"/>
        </w:rPr>
      </w:pPr>
      <w:r>
        <w:rPr>
          <w:rFonts w:ascii="Times New Roman"/>
          <w:b/>
          <w:bCs/>
          <w:sz w:val="21"/>
          <w:szCs w:val="21"/>
        </w:rPr>
        <w:t>打分与汇总</w:t>
      </w:r>
    </w:p>
    <w:p w14:paraId="590707B3">
      <w:pPr>
        <w:numPr>
          <w:ilvl w:val="0"/>
          <w:numId w:val="45"/>
        </w:numPr>
        <w:tabs>
          <w:tab w:val="left" w:pos="851"/>
          <w:tab w:val="clear" w:pos="1134"/>
        </w:tabs>
        <w:adjustRightInd/>
        <w:snapToGrid/>
        <w:spacing w:before="0" w:beforeLines="0" w:line="360" w:lineRule="auto"/>
        <w:ind w:left="0" w:firstLine="422"/>
        <w:rPr>
          <w:rFonts w:ascii="Times New Roman"/>
          <w:b/>
          <w:bCs/>
          <w:sz w:val="21"/>
          <w:szCs w:val="21"/>
        </w:rPr>
      </w:pPr>
      <w:r>
        <w:rPr>
          <w:rFonts w:ascii="Times New Roman"/>
          <w:b/>
          <w:bCs/>
          <w:sz w:val="21"/>
          <w:szCs w:val="21"/>
        </w:rPr>
        <w:t xml:space="preserve"> 评委打分应遵照以下规定打分：</w:t>
      </w:r>
    </w:p>
    <w:p w14:paraId="5052F4D5">
      <w:pPr>
        <w:spacing w:before="0" w:beforeLines="0" w:line="360" w:lineRule="auto"/>
        <w:ind w:firstLine="420"/>
        <w:rPr>
          <w:rFonts w:ascii="Times New Roman"/>
          <w:sz w:val="21"/>
          <w:szCs w:val="21"/>
        </w:rPr>
      </w:pPr>
      <w:r>
        <w:rPr>
          <w:rFonts w:ascii="Times New Roman"/>
          <w:sz w:val="21"/>
          <w:szCs w:val="21"/>
        </w:rPr>
        <w:t>(1)评委必须严格按照评分细则规定项目及其分值范围打分，所有分数保留</w:t>
      </w:r>
      <w:r>
        <w:rPr>
          <w:rFonts w:hint="eastAsia" w:ascii="Times New Roman"/>
          <w:sz w:val="21"/>
          <w:szCs w:val="21"/>
        </w:rPr>
        <w:t>2</w:t>
      </w:r>
      <w:r>
        <w:rPr>
          <w:rFonts w:ascii="Times New Roman"/>
          <w:sz w:val="21"/>
          <w:szCs w:val="21"/>
        </w:rPr>
        <w:t>位小数；</w:t>
      </w:r>
    </w:p>
    <w:p w14:paraId="28B6E702">
      <w:pPr>
        <w:spacing w:before="0" w:beforeLines="0" w:line="360" w:lineRule="auto"/>
        <w:ind w:firstLine="420"/>
        <w:rPr>
          <w:rFonts w:ascii="Times New Roman"/>
          <w:sz w:val="21"/>
          <w:szCs w:val="21"/>
        </w:rPr>
      </w:pPr>
      <w:r>
        <w:rPr>
          <w:rFonts w:ascii="Times New Roman"/>
          <w:sz w:val="21"/>
          <w:szCs w:val="21"/>
        </w:rPr>
        <w:t>(2)评委打分采用记名方式，评委打分如有修改或更正，应在修改或更正处小签。</w:t>
      </w:r>
    </w:p>
    <w:p w14:paraId="26297457">
      <w:pPr>
        <w:numPr>
          <w:ilvl w:val="0"/>
          <w:numId w:val="45"/>
        </w:numPr>
        <w:tabs>
          <w:tab w:val="left" w:pos="851"/>
          <w:tab w:val="clear" w:pos="1134"/>
        </w:tabs>
        <w:adjustRightInd/>
        <w:snapToGrid/>
        <w:spacing w:before="0" w:beforeLines="0" w:line="360" w:lineRule="auto"/>
        <w:ind w:left="0" w:firstLine="422"/>
        <w:rPr>
          <w:rFonts w:ascii="Times New Roman"/>
          <w:b/>
          <w:bCs/>
          <w:sz w:val="21"/>
          <w:szCs w:val="21"/>
        </w:rPr>
      </w:pPr>
      <w:r>
        <w:rPr>
          <w:rFonts w:ascii="Times New Roman"/>
          <w:b/>
          <w:bCs/>
          <w:sz w:val="21"/>
          <w:szCs w:val="21"/>
        </w:rPr>
        <w:t xml:space="preserve"> 得分汇总</w:t>
      </w:r>
    </w:p>
    <w:p w14:paraId="01A0650E">
      <w:pPr>
        <w:spacing w:before="0" w:beforeLines="0" w:line="360" w:lineRule="auto"/>
        <w:ind w:firstLine="420"/>
        <w:rPr>
          <w:rFonts w:hAnsi="宋体"/>
          <w:sz w:val="21"/>
          <w:szCs w:val="21"/>
        </w:rPr>
      </w:pPr>
      <w:r>
        <w:rPr>
          <w:rFonts w:hAnsi="宋体"/>
          <w:sz w:val="21"/>
          <w:szCs w:val="21"/>
        </w:rPr>
        <w:t>(1)所有计算过程中，报价都按照“四舍五入”保留到分；</w:t>
      </w:r>
    </w:p>
    <w:p w14:paraId="4F17C677">
      <w:pPr>
        <w:spacing w:before="0" w:beforeLines="0" w:line="360" w:lineRule="auto"/>
        <w:ind w:firstLine="420"/>
        <w:rPr>
          <w:rFonts w:hAnsi="宋体"/>
          <w:sz w:val="21"/>
          <w:szCs w:val="21"/>
        </w:rPr>
      </w:pPr>
      <w:r>
        <w:rPr>
          <w:rFonts w:hAnsi="宋体"/>
          <w:sz w:val="21"/>
          <w:szCs w:val="21"/>
        </w:rPr>
        <w:t>(2)报价部分由经济评审组统一打分确认；</w:t>
      </w:r>
    </w:p>
    <w:p w14:paraId="1A76034F">
      <w:pPr>
        <w:spacing w:before="0" w:beforeLines="0" w:line="360" w:lineRule="auto"/>
        <w:ind w:firstLine="420"/>
        <w:rPr>
          <w:rFonts w:hAnsi="宋体"/>
          <w:sz w:val="21"/>
          <w:szCs w:val="21"/>
        </w:rPr>
      </w:pPr>
      <w:r>
        <w:rPr>
          <w:rFonts w:hAnsi="宋体"/>
          <w:sz w:val="21"/>
          <w:szCs w:val="21"/>
        </w:rPr>
        <w:t>(3)资信部分和技术部分由技术评审组成员独立打分，每一投标人的资信部分得分为技术评审组成员对其评分的算术平均值，保留小数点后</w:t>
      </w:r>
      <w:r>
        <w:rPr>
          <w:rFonts w:hint="eastAsia" w:hAnsi="宋体"/>
          <w:sz w:val="21"/>
          <w:szCs w:val="21"/>
        </w:rPr>
        <w:t>2</w:t>
      </w:r>
      <w:r>
        <w:rPr>
          <w:rFonts w:hAnsi="宋体"/>
          <w:sz w:val="21"/>
          <w:szCs w:val="21"/>
        </w:rPr>
        <w:t>位；每一投标人的技术部分得分为技术评审组成员对其评分的算术平均值，保留小数点后</w:t>
      </w:r>
      <w:r>
        <w:rPr>
          <w:rFonts w:hint="eastAsia" w:hAnsi="宋体"/>
          <w:sz w:val="21"/>
          <w:szCs w:val="21"/>
        </w:rPr>
        <w:t>2</w:t>
      </w:r>
      <w:r>
        <w:rPr>
          <w:rFonts w:hAnsi="宋体"/>
          <w:sz w:val="21"/>
          <w:szCs w:val="21"/>
        </w:rPr>
        <w:t>位；</w:t>
      </w:r>
    </w:p>
    <w:p w14:paraId="057F3F82">
      <w:pPr>
        <w:spacing w:before="0" w:beforeLines="0" w:line="360" w:lineRule="auto"/>
        <w:ind w:firstLine="420"/>
        <w:rPr>
          <w:rFonts w:hAnsi="宋体"/>
          <w:sz w:val="21"/>
          <w:szCs w:val="21"/>
        </w:rPr>
      </w:pPr>
      <w:r>
        <w:rPr>
          <w:rFonts w:hAnsi="宋体"/>
          <w:sz w:val="21"/>
          <w:szCs w:val="21"/>
        </w:rPr>
        <w:t>(4)综合评分：综合评分(满分100分)=资信得分(</w:t>
      </w:r>
      <w:r>
        <w:rPr>
          <w:rFonts w:hint="eastAsia" w:hAnsi="宋体"/>
          <w:sz w:val="21"/>
          <w:szCs w:val="21"/>
          <w:lang w:val="en-US" w:eastAsia="zh-CN"/>
        </w:rPr>
        <w:t>20</w:t>
      </w:r>
      <w:r>
        <w:rPr>
          <w:rFonts w:hAnsi="宋体"/>
          <w:sz w:val="21"/>
          <w:szCs w:val="21"/>
        </w:rPr>
        <w:t>分)+技术得分(</w:t>
      </w:r>
      <w:r>
        <w:rPr>
          <w:rFonts w:hint="eastAsia" w:hAnsi="宋体"/>
          <w:sz w:val="21"/>
          <w:szCs w:val="21"/>
          <w:lang w:val="en-US" w:eastAsia="zh-CN"/>
        </w:rPr>
        <w:t>65</w:t>
      </w:r>
      <w:r>
        <w:rPr>
          <w:rFonts w:hAnsi="宋体"/>
          <w:sz w:val="21"/>
          <w:szCs w:val="21"/>
        </w:rPr>
        <w:t>分)+报价得分(</w:t>
      </w:r>
      <w:r>
        <w:rPr>
          <w:rFonts w:hint="eastAsia" w:hAnsi="宋体"/>
          <w:sz w:val="21"/>
          <w:szCs w:val="21"/>
          <w:lang w:val="en-US" w:eastAsia="zh-CN"/>
        </w:rPr>
        <w:t>15</w:t>
      </w:r>
      <w:r>
        <w:rPr>
          <w:rFonts w:hAnsi="宋体"/>
          <w:sz w:val="21"/>
          <w:szCs w:val="21"/>
        </w:rPr>
        <w:t>分)；</w:t>
      </w:r>
    </w:p>
    <w:p w14:paraId="31671C8F">
      <w:pPr>
        <w:spacing w:before="0" w:beforeLines="0" w:line="360" w:lineRule="auto"/>
        <w:ind w:firstLine="420"/>
        <w:rPr>
          <w:rFonts w:hAnsi="宋体"/>
          <w:sz w:val="21"/>
          <w:szCs w:val="21"/>
        </w:rPr>
      </w:pPr>
      <w:r>
        <w:rPr>
          <w:rFonts w:hAnsi="宋体"/>
          <w:sz w:val="21"/>
          <w:szCs w:val="21"/>
        </w:rPr>
        <w:t>(5)排序：评标委员会根据综合评分按由高到低的顺序进行排序。</w:t>
      </w:r>
    </w:p>
    <w:p w14:paraId="542359D9">
      <w:pPr>
        <w:numPr>
          <w:ilvl w:val="0"/>
          <w:numId w:val="37"/>
        </w:numPr>
        <w:adjustRightInd/>
        <w:snapToGrid/>
        <w:spacing w:before="0" w:beforeLines="0" w:line="360" w:lineRule="auto"/>
        <w:ind w:left="0" w:firstLine="422"/>
        <w:rPr>
          <w:rFonts w:ascii="Times New Roman"/>
          <w:b/>
          <w:bCs/>
          <w:sz w:val="21"/>
          <w:szCs w:val="21"/>
        </w:rPr>
      </w:pPr>
      <w:r>
        <w:rPr>
          <w:rFonts w:ascii="Times New Roman"/>
          <w:b/>
          <w:bCs/>
          <w:sz w:val="21"/>
          <w:szCs w:val="21"/>
        </w:rPr>
        <w:t>评标报告</w:t>
      </w:r>
    </w:p>
    <w:p w14:paraId="2E92CC83">
      <w:pPr>
        <w:numPr>
          <w:ilvl w:val="0"/>
          <w:numId w:val="46"/>
        </w:numPr>
        <w:tabs>
          <w:tab w:val="left" w:pos="851"/>
          <w:tab w:val="clear" w:pos="1134"/>
        </w:tabs>
        <w:adjustRightInd/>
        <w:snapToGrid/>
        <w:spacing w:before="0" w:beforeLines="0" w:line="360" w:lineRule="auto"/>
        <w:ind w:left="0" w:firstLine="420"/>
        <w:rPr>
          <w:rFonts w:ascii="Times New Roman"/>
          <w:bCs/>
          <w:sz w:val="21"/>
          <w:szCs w:val="21"/>
        </w:rPr>
      </w:pPr>
      <w:r>
        <w:rPr>
          <w:rFonts w:ascii="Times New Roman"/>
          <w:bCs/>
          <w:sz w:val="21"/>
          <w:szCs w:val="21"/>
        </w:rPr>
        <w:t>评标委员会应根据评标情况和结果，向招标人提交评标报告。评标报告由评标委员会成员起草，按少数服从多数的原则通过。评标委员会全体成员应在评标报告上签字确认，评标专家如有保留意见可以在评标报告中阐明。</w:t>
      </w:r>
    </w:p>
    <w:p w14:paraId="1DF80857">
      <w:pPr>
        <w:numPr>
          <w:ilvl w:val="0"/>
          <w:numId w:val="37"/>
        </w:numPr>
        <w:adjustRightInd/>
        <w:snapToGrid/>
        <w:spacing w:before="0" w:beforeLines="0" w:line="360" w:lineRule="auto"/>
        <w:ind w:left="0" w:firstLine="422"/>
        <w:rPr>
          <w:rFonts w:ascii="Times New Roman"/>
          <w:b/>
          <w:bCs/>
          <w:sz w:val="21"/>
          <w:szCs w:val="21"/>
        </w:rPr>
      </w:pPr>
      <w:r>
        <w:rPr>
          <w:rFonts w:ascii="Times New Roman"/>
          <w:b/>
          <w:bCs/>
          <w:sz w:val="21"/>
          <w:szCs w:val="21"/>
        </w:rPr>
        <w:t>定标</w:t>
      </w:r>
    </w:p>
    <w:p w14:paraId="15030943">
      <w:pPr>
        <w:spacing w:before="0" w:beforeLines="0" w:line="360" w:lineRule="auto"/>
        <w:ind w:firstLine="420"/>
        <w:rPr>
          <w:rFonts w:ascii="Times New Roman"/>
          <w:sz w:val="21"/>
          <w:szCs w:val="21"/>
        </w:rPr>
      </w:pPr>
      <w:r>
        <w:rPr>
          <w:rFonts w:ascii="Times New Roman"/>
          <w:kern w:val="0"/>
          <w:sz w:val="21"/>
          <w:szCs w:val="21"/>
        </w:rPr>
        <w:t>12.1评标委员会根据综合评分按由高到低的顺序进行排序，并在评标报告中依次推荐排序前一至三名为中标候选人。</w:t>
      </w:r>
      <w:r>
        <w:rPr>
          <w:rFonts w:ascii="Times New Roman"/>
          <w:sz w:val="21"/>
          <w:szCs w:val="21"/>
        </w:rPr>
        <w:t>如果有2个或2个以上的投标人综合评分相同，则资信得分较高的排名靠前；如资信得分也相同，则技术得分较高的排名靠前；如技术得分也相同，则由评标委员会采用随机抽取的方式确定排名顺序。</w:t>
      </w:r>
    </w:p>
    <w:p w14:paraId="6657C368">
      <w:pPr>
        <w:spacing w:before="0" w:beforeLines="0" w:line="360" w:lineRule="auto"/>
        <w:ind w:firstLineChars="0"/>
        <w:rPr>
          <w:rFonts w:ascii="Times New Roman"/>
          <w:kern w:val="0"/>
          <w:sz w:val="21"/>
          <w:szCs w:val="21"/>
          <w:lang w:val="zh-CN"/>
        </w:rPr>
      </w:pPr>
      <w:r>
        <w:rPr>
          <w:rFonts w:ascii="Times New Roman"/>
          <w:kern w:val="0"/>
          <w:sz w:val="21"/>
          <w:szCs w:val="21"/>
        </w:rPr>
        <w:t xml:space="preserve">  12.2</w:t>
      </w:r>
      <w:r>
        <w:rPr>
          <w:rFonts w:ascii="Times New Roman"/>
          <w:kern w:val="0"/>
          <w:sz w:val="21"/>
          <w:szCs w:val="21"/>
          <w:lang w:val="zh-CN"/>
        </w:rPr>
        <w:t>如排名第一的中标候选人放弃中标或因不可抗力提出不能履行合同的，可以确定排名第二的中标候选人为中标人；如排名第二的中标候选人仍放弃中标或因不可抗力提出不能履行合同的，可以确定排名第三的中标候选人为中标人。</w:t>
      </w:r>
    </w:p>
    <w:p w14:paraId="5B4459BF">
      <w:pPr>
        <w:numPr>
          <w:ilvl w:val="0"/>
          <w:numId w:val="37"/>
        </w:numPr>
        <w:adjustRightInd/>
        <w:snapToGrid/>
        <w:spacing w:before="0" w:beforeLines="0" w:line="360" w:lineRule="auto"/>
        <w:ind w:left="0" w:firstLine="422"/>
        <w:rPr>
          <w:rFonts w:ascii="Times New Roman"/>
          <w:b/>
          <w:bCs/>
          <w:sz w:val="21"/>
          <w:szCs w:val="21"/>
        </w:rPr>
      </w:pPr>
      <w:r>
        <w:rPr>
          <w:rFonts w:ascii="Times New Roman"/>
          <w:b/>
          <w:bCs/>
          <w:sz w:val="21"/>
          <w:szCs w:val="21"/>
        </w:rPr>
        <w:t>否决投标条件</w:t>
      </w:r>
    </w:p>
    <w:p w14:paraId="487706AA">
      <w:pPr>
        <w:spacing w:before="0" w:beforeLines="0" w:line="360" w:lineRule="auto"/>
        <w:ind w:firstLine="420"/>
        <w:rPr>
          <w:rFonts w:ascii="Times New Roman"/>
          <w:bCs/>
          <w:sz w:val="21"/>
          <w:szCs w:val="21"/>
        </w:rPr>
      </w:pPr>
      <w:r>
        <w:rPr>
          <w:rFonts w:ascii="Times New Roman"/>
          <w:bCs/>
          <w:sz w:val="21"/>
          <w:szCs w:val="21"/>
        </w:rPr>
        <w:t>投标文件有下列情形之一的，评标委员会应按否决投标处理：</w:t>
      </w:r>
    </w:p>
    <w:p w14:paraId="05092FB4">
      <w:pPr>
        <w:numPr>
          <w:ilvl w:val="0"/>
          <w:numId w:val="0"/>
        </w:numPr>
        <w:adjustRightInd/>
        <w:snapToGrid/>
        <w:spacing w:before="0" w:beforeLines="0" w:line="360" w:lineRule="auto"/>
        <w:ind w:firstLine="422" w:firstLineChars="200"/>
        <w:rPr>
          <w:rFonts w:ascii="Times New Roman"/>
          <w:b/>
          <w:bCs/>
          <w:sz w:val="21"/>
          <w:szCs w:val="21"/>
        </w:rPr>
      </w:pPr>
      <w:r>
        <w:rPr>
          <w:rFonts w:hint="eastAsia" w:ascii="Times New Roman"/>
          <w:b/>
          <w:bCs/>
          <w:sz w:val="21"/>
          <w:szCs w:val="21"/>
          <w:lang w:eastAsia="zh-CN"/>
        </w:rPr>
        <w:t>（</w:t>
      </w:r>
      <w:r>
        <w:rPr>
          <w:rFonts w:hint="eastAsia" w:ascii="Times New Roman"/>
          <w:b/>
          <w:bCs/>
          <w:sz w:val="21"/>
          <w:szCs w:val="21"/>
          <w:lang w:val="en-US" w:eastAsia="zh-CN"/>
        </w:rPr>
        <w:t>1</w:t>
      </w:r>
      <w:r>
        <w:rPr>
          <w:rFonts w:hint="eastAsia" w:ascii="Times New Roman"/>
          <w:b/>
          <w:bCs/>
          <w:sz w:val="21"/>
          <w:szCs w:val="21"/>
          <w:lang w:eastAsia="zh-CN"/>
        </w:rPr>
        <w:t>）</w:t>
      </w:r>
      <w:r>
        <w:rPr>
          <w:rFonts w:ascii="Times New Roman"/>
          <w:b/>
          <w:bCs/>
          <w:sz w:val="21"/>
          <w:szCs w:val="21"/>
        </w:rPr>
        <w:t>不符合附表一《资格审查表》规定的；</w:t>
      </w:r>
    </w:p>
    <w:p w14:paraId="3918C53F">
      <w:pPr>
        <w:numPr>
          <w:ilvl w:val="0"/>
          <w:numId w:val="0"/>
        </w:numPr>
        <w:adjustRightInd/>
        <w:snapToGrid/>
        <w:spacing w:before="0" w:beforeLines="0" w:line="360" w:lineRule="auto"/>
        <w:ind w:firstLine="422" w:firstLineChars="200"/>
        <w:rPr>
          <w:rFonts w:ascii="Times New Roman"/>
          <w:b/>
          <w:bCs/>
          <w:sz w:val="21"/>
          <w:szCs w:val="21"/>
        </w:rPr>
      </w:pPr>
      <w:r>
        <w:rPr>
          <w:rFonts w:hint="eastAsia" w:ascii="Times New Roman"/>
          <w:b/>
          <w:bCs/>
          <w:sz w:val="21"/>
          <w:szCs w:val="21"/>
          <w:lang w:eastAsia="zh-CN"/>
        </w:rPr>
        <w:t>（</w:t>
      </w:r>
      <w:r>
        <w:rPr>
          <w:rFonts w:hint="eastAsia" w:ascii="Times New Roman"/>
          <w:b/>
          <w:bCs/>
          <w:sz w:val="21"/>
          <w:szCs w:val="21"/>
          <w:lang w:val="en-US" w:eastAsia="zh-CN"/>
        </w:rPr>
        <w:t>2</w:t>
      </w:r>
      <w:r>
        <w:rPr>
          <w:rFonts w:hint="eastAsia" w:ascii="Times New Roman"/>
          <w:b/>
          <w:bCs/>
          <w:sz w:val="21"/>
          <w:szCs w:val="21"/>
          <w:lang w:eastAsia="zh-CN"/>
        </w:rPr>
        <w:t>）</w:t>
      </w:r>
      <w:r>
        <w:rPr>
          <w:rFonts w:ascii="Times New Roman"/>
          <w:b/>
          <w:bCs/>
          <w:sz w:val="21"/>
          <w:szCs w:val="21"/>
        </w:rPr>
        <w:t>不符合附表二《初步评审表》规定的；</w:t>
      </w:r>
    </w:p>
    <w:p w14:paraId="62651D7D">
      <w:pPr>
        <w:numPr>
          <w:ilvl w:val="0"/>
          <w:numId w:val="0"/>
        </w:numPr>
        <w:adjustRightInd/>
        <w:snapToGrid/>
        <w:spacing w:before="0" w:beforeLines="0" w:line="360" w:lineRule="auto"/>
        <w:ind w:firstLine="422" w:firstLineChars="200"/>
        <w:rPr>
          <w:rFonts w:hAnsi="宋体"/>
          <w:b/>
          <w:sz w:val="21"/>
          <w:szCs w:val="21"/>
        </w:rPr>
      </w:pPr>
      <w:r>
        <w:rPr>
          <w:rFonts w:hint="eastAsia" w:ascii="Times New Roman"/>
          <w:b/>
          <w:sz w:val="21"/>
          <w:szCs w:val="21"/>
          <w:lang w:eastAsia="zh-CN"/>
        </w:rPr>
        <w:t>（</w:t>
      </w:r>
      <w:r>
        <w:rPr>
          <w:rFonts w:hint="eastAsia" w:ascii="Times New Roman"/>
          <w:b/>
          <w:sz w:val="21"/>
          <w:szCs w:val="21"/>
          <w:lang w:val="en-US" w:eastAsia="zh-CN"/>
        </w:rPr>
        <w:t>3</w:t>
      </w:r>
      <w:r>
        <w:rPr>
          <w:rFonts w:hint="eastAsia" w:ascii="Times New Roman"/>
          <w:b/>
          <w:sz w:val="21"/>
          <w:szCs w:val="21"/>
          <w:lang w:eastAsia="zh-CN"/>
        </w:rPr>
        <w:t>）</w:t>
      </w:r>
      <w:r>
        <w:rPr>
          <w:rFonts w:ascii="Times New Roman"/>
          <w:b/>
          <w:sz w:val="21"/>
          <w:szCs w:val="21"/>
        </w:rPr>
        <w:t>法定代表人未按规定出具授权委托书</w:t>
      </w:r>
      <w:r>
        <w:rPr>
          <w:rFonts w:hAnsi="宋体"/>
          <w:b/>
          <w:sz w:val="21"/>
          <w:szCs w:val="21"/>
        </w:rPr>
        <w:t>的(采用委托代理人形式的)；</w:t>
      </w:r>
    </w:p>
    <w:p w14:paraId="1AD7A97F">
      <w:pPr>
        <w:numPr>
          <w:ilvl w:val="0"/>
          <w:numId w:val="0"/>
        </w:numPr>
        <w:adjustRightInd/>
        <w:snapToGrid/>
        <w:spacing w:before="0" w:beforeLines="0" w:line="360" w:lineRule="auto"/>
        <w:ind w:firstLine="422" w:firstLineChars="200"/>
        <w:rPr>
          <w:rFonts w:ascii="Times New Roman"/>
          <w:b/>
          <w:sz w:val="21"/>
          <w:szCs w:val="21"/>
        </w:rPr>
      </w:pPr>
      <w:r>
        <w:rPr>
          <w:rFonts w:hint="eastAsia" w:ascii="Times New Roman"/>
          <w:b/>
          <w:sz w:val="21"/>
          <w:szCs w:val="21"/>
          <w:lang w:eastAsia="zh-CN"/>
        </w:rPr>
        <w:t>（</w:t>
      </w:r>
      <w:r>
        <w:rPr>
          <w:rFonts w:hint="eastAsia" w:ascii="Times New Roman"/>
          <w:b/>
          <w:sz w:val="21"/>
          <w:szCs w:val="21"/>
          <w:lang w:val="en-US" w:eastAsia="zh-CN"/>
        </w:rPr>
        <w:t>4</w:t>
      </w:r>
      <w:r>
        <w:rPr>
          <w:rFonts w:hint="eastAsia" w:ascii="Times New Roman"/>
          <w:b/>
          <w:sz w:val="21"/>
          <w:szCs w:val="21"/>
          <w:lang w:eastAsia="zh-CN"/>
        </w:rPr>
        <w:t>）</w:t>
      </w:r>
      <w:r>
        <w:rPr>
          <w:rFonts w:ascii="Times New Roman"/>
          <w:b/>
          <w:sz w:val="21"/>
          <w:szCs w:val="21"/>
        </w:rPr>
        <w:t>在投标文件中有虚假文件和/或资料的；</w:t>
      </w:r>
    </w:p>
    <w:p w14:paraId="31956745">
      <w:pPr>
        <w:numPr>
          <w:ilvl w:val="0"/>
          <w:numId w:val="0"/>
        </w:numPr>
        <w:adjustRightInd/>
        <w:snapToGrid/>
        <w:spacing w:before="0" w:beforeLines="0" w:line="360" w:lineRule="auto"/>
        <w:ind w:firstLine="422" w:firstLineChars="200"/>
        <w:rPr>
          <w:rFonts w:ascii="Times New Roman"/>
          <w:b/>
          <w:sz w:val="21"/>
          <w:szCs w:val="21"/>
        </w:rPr>
      </w:pPr>
      <w:r>
        <w:rPr>
          <w:rFonts w:hint="eastAsia" w:ascii="Times New Roman"/>
          <w:b/>
          <w:sz w:val="21"/>
          <w:szCs w:val="21"/>
          <w:lang w:eastAsia="zh-CN"/>
        </w:rPr>
        <w:t>（</w:t>
      </w:r>
      <w:r>
        <w:rPr>
          <w:rFonts w:hint="eastAsia" w:ascii="Times New Roman"/>
          <w:b/>
          <w:sz w:val="21"/>
          <w:szCs w:val="21"/>
          <w:lang w:val="en-US" w:eastAsia="zh-CN"/>
        </w:rPr>
        <w:t>5</w:t>
      </w:r>
      <w:r>
        <w:rPr>
          <w:rFonts w:hint="eastAsia" w:ascii="Times New Roman"/>
          <w:b/>
          <w:sz w:val="21"/>
          <w:szCs w:val="21"/>
          <w:lang w:eastAsia="zh-CN"/>
        </w:rPr>
        <w:t>）</w:t>
      </w:r>
      <w:r>
        <w:rPr>
          <w:rFonts w:ascii="Times New Roman"/>
          <w:b/>
          <w:sz w:val="21"/>
          <w:szCs w:val="21"/>
        </w:rPr>
        <w:t>投标文件中附有招标方不能接受的条件；</w:t>
      </w:r>
    </w:p>
    <w:p w14:paraId="5372ABBC">
      <w:pPr>
        <w:numPr>
          <w:ilvl w:val="0"/>
          <w:numId w:val="0"/>
        </w:numPr>
        <w:adjustRightInd/>
        <w:snapToGrid/>
        <w:spacing w:before="0" w:beforeLines="0" w:line="360" w:lineRule="auto"/>
        <w:ind w:firstLine="422" w:firstLineChars="200"/>
        <w:rPr>
          <w:rFonts w:ascii="Times New Roman"/>
          <w:b/>
          <w:sz w:val="21"/>
          <w:szCs w:val="21"/>
        </w:rPr>
      </w:pPr>
      <w:r>
        <w:rPr>
          <w:rFonts w:hint="eastAsia" w:ascii="Times New Roman"/>
          <w:b/>
          <w:sz w:val="21"/>
          <w:szCs w:val="21"/>
          <w:lang w:eastAsia="zh-CN"/>
        </w:rPr>
        <w:t>（</w:t>
      </w:r>
      <w:r>
        <w:rPr>
          <w:rFonts w:hint="eastAsia" w:ascii="Times New Roman"/>
          <w:b/>
          <w:sz w:val="21"/>
          <w:szCs w:val="21"/>
          <w:lang w:val="en-US" w:eastAsia="zh-CN"/>
        </w:rPr>
        <w:t>6</w:t>
      </w:r>
      <w:r>
        <w:rPr>
          <w:rFonts w:hint="eastAsia" w:ascii="Times New Roman"/>
          <w:b/>
          <w:sz w:val="21"/>
          <w:szCs w:val="21"/>
          <w:lang w:eastAsia="zh-CN"/>
        </w:rPr>
        <w:t>）</w:t>
      </w:r>
      <w:r>
        <w:rPr>
          <w:rFonts w:ascii="Times New Roman"/>
          <w:b/>
          <w:sz w:val="21"/>
          <w:szCs w:val="21"/>
        </w:rPr>
        <w:t>投标人以经评标委员会评审认定为低于成本的报价竞标；</w:t>
      </w:r>
    </w:p>
    <w:p w14:paraId="775933CB">
      <w:pPr>
        <w:numPr>
          <w:ilvl w:val="0"/>
          <w:numId w:val="0"/>
        </w:numPr>
        <w:adjustRightInd/>
        <w:snapToGrid/>
        <w:spacing w:before="0" w:beforeLines="0" w:line="360" w:lineRule="auto"/>
        <w:ind w:firstLine="422" w:firstLineChars="200"/>
        <w:rPr>
          <w:rFonts w:ascii="Times New Roman"/>
          <w:b/>
          <w:sz w:val="21"/>
          <w:szCs w:val="21"/>
        </w:rPr>
      </w:pPr>
      <w:r>
        <w:rPr>
          <w:rFonts w:hint="eastAsia" w:ascii="Times New Roman"/>
          <w:b/>
          <w:sz w:val="21"/>
          <w:szCs w:val="21"/>
          <w:lang w:eastAsia="zh-CN"/>
        </w:rPr>
        <w:t>（</w:t>
      </w:r>
      <w:r>
        <w:rPr>
          <w:rFonts w:hint="eastAsia" w:ascii="Times New Roman"/>
          <w:b/>
          <w:sz w:val="21"/>
          <w:szCs w:val="21"/>
          <w:lang w:val="en-US" w:eastAsia="zh-CN"/>
        </w:rPr>
        <w:t>7</w:t>
      </w:r>
      <w:r>
        <w:rPr>
          <w:rFonts w:hint="eastAsia" w:ascii="Times New Roman"/>
          <w:b/>
          <w:sz w:val="21"/>
          <w:szCs w:val="21"/>
          <w:lang w:eastAsia="zh-CN"/>
        </w:rPr>
        <w:t>）</w:t>
      </w:r>
      <w:r>
        <w:rPr>
          <w:rFonts w:ascii="Times New Roman"/>
          <w:b/>
          <w:sz w:val="21"/>
          <w:szCs w:val="21"/>
        </w:rPr>
        <w:t>开标结束拒绝在开标记录上签字确认，且经</w:t>
      </w:r>
      <w:r>
        <w:rPr>
          <w:rFonts w:hint="eastAsia" w:ascii="Times New Roman"/>
          <w:b/>
          <w:sz w:val="21"/>
          <w:szCs w:val="21"/>
          <w:lang w:val="en-US" w:eastAsia="zh-CN"/>
        </w:rPr>
        <w:t>招标人监管部门</w:t>
      </w:r>
      <w:r>
        <w:rPr>
          <w:rFonts w:ascii="Times New Roman"/>
          <w:b/>
          <w:sz w:val="21"/>
          <w:szCs w:val="21"/>
        </w:rPr>
        <w:t>监管工作人员到场核实无误后，仍拒绝签字确认的；</w:t>
      </w:r>
    </w:p>
    <w:p w14:paraId="434CF5CB">
      <w:pPr>
        <w:numPr>
          <w:ilvl w:val="0"/>
          <w:numId w:val="0"/>
        </w:numPr>
        <w:adjustRightInd/>
        <w:snapToGrid/>
        <w:spacing w:before="0" w:beforeLines="0" w:line="360" w:lineRule="auto"/>
        <w:ind w:firstLine="422" w:firstLineChars="200"/>
        <w:rPr>
          <w:rFonts w:ascii="Times New Roman"/>
          <w:b/>
          <w:sz w:val="21"/>
          <w:szCs w:val="21"/>
        </w:rPr>
      </w:pPr>
      <w:r>
        <w:rPr>
          <w:rFonts w:hint="eastAsia" w:ascii="Times New Roman"/>
          <w:b/>
          <w:sz w:val="21"/>
          <w:szCs w:val="21"/>
          <w:lang w:eastAsia="zh-CN"/>
        </w:rPr>
        <w:t>（</w:t>
      </w:r>
      <w:r>
        <w:rPr>
          <w:rFonts w:hint="eastAsia" w:ascii="Times New Roman"/>
          <w:b/>
          <w:sz w:val="21"/>
          <w:szCs w:val="21"/>
          <w:lang w:val="en-US" w:eastAsia="zh-CN"/>
        </w:rPr>
        <w:t>8</w:t>
      </w:r>
      <w:r>
        <w:rPr>
          <w:rFonts w:hint="eastAsia" w:ascii="Times New Roman"/>
          <w:b/>
          <w:sz w:val="21"/>
          <w:szCs w:val="21"/>
          <w:lang w:eastAsia="zh-CN"/>
        </w:rPr>
        <w:t>）</w:t>
      </w:r>
      <w:r>
        <w:rPr>
          <w:rFonts w:ascii="Times New Roman"/>
          <w:b/>
          <w:sz w:val="21"/>
          <w:szCs w:val="21"/>
        </w:rPr>
        <w:t>投标人扰乱会场秩序，经劝阻仍然无理取闹的；</w:t>
      </w:r>
    </w:p>
    <w:p w14:paraId="2CC0ED83">
      <w:pPr>
        <w:numPr>
          <w:ilvl w:val="0"/>
          <w:numId w:val="0"/>
        </w:numPr>
        <w:adjustRightInd/>
        <w:snapToGrid/>
        <w:spacing w:before="0" w:beforeLines="0" w:line="360" w:lineRule="auto"/>
        <w:ind w:firstLine="422" w:firstLineChars="200"/>
        <w:rPr>
          <w:rFonts w:ascii="Times New Roman"/>
          <w:b/>
          <w:sz w:val="21"/>
          <w:szCs w:val="21"/>
        </w:rPr>
      </w:pPr>
      <w:r>
        <w:rPr>
          <w:rFonts w:hint="eastAsia" w:ascii="Times New Roman"/>
          <w:b/>
          <w:sz w:val="21"/>
          <w:szCs w:val="21"/>
          <w:lang w:eastAsia="zh-CN"/>
        </w:rPr>
        <w:t>（</w:t>
      </w:r>
      <w:r>
        <w:rPr>
          <w:rFonts w:hint="eastAsia" w:ascii="Times New Roman"/>
          <w:b/>
          <w:sz w:val="21"/>
          <w:szCs w:val="21"/>
          <w:lang w:val="en-US" w:eastAsia="zh-CN"/>
        </w:rPr>
        <w:t>9</w:t>
      </w:r>
      <w:r>
        <w:rPr>
          <w:rFonts w:hint="eastAsia" w:ascii="Times New Roman"/>
          <w:b/>
          <w:sz w:val="21"/>
          <w:szCs w:val="21"/>
          <w:lang w:eastAsia="zh-CN"/>
        </w:rPr>
        <w:t>）</w:t>
      </w:r>
      <w:r>
        <w:rPr>
          <w:rFonts w:ascii="Times New Roman"/>
          <w:b/>
          <w:sz w:val="21"/>
          <w:szCs w:val="21"/>
        </w:rPr>
        <w:t>投标人未能按照评标委员会要求，对其投标文件进行澄清、说明和补正的；</w:t>
      </w:r>
    </w:p>
    <w:p w14:paraId="68FABDDA">
      <w:pPr>
        <w:spacing w:before="0" w:beforeLines="0" w:line="360" w:lineRule="auto"/>
        <w:ind w:firstLine="422"/>
        <w:rPr>
          <w:rFonts w:hint="eastAsia" w:ascii="Times New Roman"/>
          <w:b/>
          <w:sz w:val="21"/>
          <w:szCs w:val="21"/>
        </w:rPr>
      </w:pPr>
      <w:r>
        <w:rPr>
          <w:rFonts w:ascii="Times New Roman"/>
          <w:b/>
          <w:sz w:val="21"/>
          <w:szCs w:val="21"/>
        </w:rPr>
        <w:t>（10） 投标人以他人的名义投标、串通投标、以行贿手段谋取中标或者以其他弄虚作假方式投标的。</w:t>
      </w:r>
    </w:p>
    <w:p w14:paraId="6A5D8A2E">
      <w:pPr>
        <w:pStyle w:val="5"/>
        <w:spacing w:before="0" w:beforeLines="0"/>
        <w:ind w:firstLine="0" w:firstLineChars="0"/>
        <w:rPr>
          <w:rFonts w:ascii="Times New Roman" w:hAnsi="Times New Roman"/>
        </w:rPr>
      </w:pPr>
      <w:bookmarkStart w:id="1062" w:name="_Toc384823602"/>
      <w:bookmarkStart w:id="1063" w:name="_Toc22151"/>
      <w:bookmarkStart w:id="1064" w:name="_Toc491534460"/>
      <w:bookmarkStart w:id="1065" w:name="_Toc375212287"/>
      <w:bookmarkStart w:id="1066" w:name="_Toc375230852"/>
      <w:bookmarkStart w:id="1067" w:name="_Toc193981302"/>
    </w:p>
    <w:p w14:paraId="1D714D04">
      <w:pPr>
        <w:pStyle w:val="5"/>
        <w:spacing w:before="0" w:beforeLines="0"/>
        <w:ind w:firstLine="0" w:firstLineChars="0"/>
        <w:rPr>
          <w:rFonts w:ascii="Times New Roman" w:hAnsi="Times New Roman"/>
        </w:rPr>
      </w:pPr>
      <w:r>
        <w:rPr>
          <w:rFonts w:ascii="Times New Roman" w:hAnsi="Times New Roman"/>
        </w:rPr>
        <w:t>附表一 资格审查表</w:t>
      </w:r>
      <w:bookmarkEnd w:id="1062"/>
      <w:bookmarkEnd w:id="1063"/>
      <w:bookmarkEnd w:id="1064"/>
      <w:bookmarkEnd w:id="1065"/>
      <w:bookmarkEnd w:id="1066"/>
      <w:bookmarkEnd w:id="1067"/>
    </w:p>
    <w:tbl>
      <w:tblPr>
        <w:tblStyle w:val="48"/>
        <w:tblpPr w:leftFromText="180" w:rightFromText="180" w:vertAnchor="text" w:horzAnchor="page" w:tblpXSpec="center" w:tblpY="323"/>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7"/>
        <w:gridCol w:w="1268"/>
        <w:gridCol w:w="2971"/>
        <w:gridCol w:w="2575"/>
        <w:gridCol w:w="1161"/>
      </w:tblGrid>
      <w:tr w14:paraId="7062E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blHeader/>
        </w:trPr>
        <w:tc>
          <w:tcPr>
            <w:tcW w:w="321" w:type="pct"/>
            <w:noWrap w:val="0"/>
            <w:vAlign w:val="center"/>
          </w:tcPr>
          <w:p w14:paraId="1AF78A1F">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b/>
                <w:bCs/>
                <w:sz w:val="21"/>
                <w:szCs w:val="21"/>
              </w:rPr>
            </w:pPr>
            <w:r>
              <w:rPr>
                <w:rFonts w:hAnsi="宋体" w:eastAsia="宋体" w:cs="Times New Roman"/>
                <w:b/>
                <w:bCs/>
                <w:sz w:val="21"/>
                <w:szCs w:val="21"/>
              </w:rPr>
              <w:t>序号</w:t>
            </w:r>
          </w:p>
        </w:tc>
        <w:tc>
          <w:tcPr>
            <w:tcW w:w="744" w:type="pct"/>
            <w:noWrap w:val="0"/>
            <w:vAlign w:val="center"/>
          </w:tcPr>
          <w:p w14:paraId="4AAFC923">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b/>
                <w:bCs/>
                <w:sz w:val="21"/>
                <w:szCs w:val="21"/>
              </w:rPr>
            </w:pPr>
            <w:r>
              <w:rPr>
                <w:rFonts w:hAnsi="宋体" w:eastAsia="宋体" w:cs="Times New Roman"/>
                <w:b/>
                <w:bCs/>
                <w:sz w:val="21"/>
                <w:szCs w:val="21"/>
              </w:rPr>
              <w:t>项目内容</w:t>
            </w:r>
          </w:p>
        </w:tc>
        <w:tc>
          <w:tcPr>
            <w:tcW w:w="1743" w:type="pct"/>
            <w:noWrap w:val="0"/>
            <w:vAlign w:val="center"/>
          </w:tcPr>
          <w:p w14:paraId="66176790">
            <w:pPr>
              <w:keepNext w:val="0"/>
              <w:keepLines w:val="0"/>
              <w:suppressLineNumbers w:val="0"/>
              <w:spacing w:before="0" w:beforeLines="0" w:beforeAutospacing="0" w:after="0" w:afterAutospacing="0" w:line="240" w:lineRule="auto"/>
              <w:ind w:left="0" w:right="0" w:firstLine="422"/>
              <w:rPr>
                <w:rFonts w:hAnsi="宋体" w:eastAsia="宋体" w:cs="Times New Roman"/>
                <w:b/>
                <w:bCs/>
                <w:sz w:val="21"/>
                <w:szCs w:val="21"/>
              </w:rPr>
            </w:pPr>
            <w:r>
              <w:rPr>
                <w:rFonts w:hAnsi="宋体" w:eastAsia="宋体" w:cs="Times New Roman"/>
                <w:b/>
                <w:bCs/>
                <w:sz w:val="21"/>
                <w:szCs w:val="21"/>
              </w:rPr>
              <w:t>合格条件标准</w:t>
            </w:r>
          </w:p>
        </w:tc>
        <w:tc>
          <w:tcPr>
            <w:tcW w:w="1511" w:type="pct"/>
            <w:noWrap w:val="0"/>
            <w:vAlign w:val="center"/>
          </w:tcPr>
          <w:p w14:paraId="0228B56E">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b/>
                <w:bCs/>
                <w:sz w:val="21"/>
                <w:szCs w:val="21"/>
              </w:rPr>
            </w:pPr>
            <w:r>
              <w:rPr>
                <w:rFonts w:hAnsi="宋体" w:eastAsia="宋体" w:cs="Times New Roman"/>
                <w:b/>
                <w:bCs/>
                <w:sz w:val="21"/>
                <w:szCs w:val="21"/>
              </w:rPr>
              <w:t>评审依据</w:t>
            </w:r>
          </w:p>
        </w:tc>
        <w:tc>
          <w:tcPr>
            <w:tcW w:w="681" w:type="pct"/>
            <w:noWrap w:val="0"/>
            <w:vAlign w:val="center"/>
          </w:tcPr>
          <w:p w14:paraId="23AC62FC">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b/>
                <w:bCs/>
                <w:sz w:val="21"/>
                <w:szCs w:val="21"/>
              </w:rPr>
            </w:pPr>
            <w:r>
              <w:rPr>
                <w:rFonts w:hAnsi="宋体" w:eastAsia="宋体" w:cs="Times New Roman"/>
                <w:b/>
                <w:bCs/>
                <w:sz w:val="21"/>
                <w:szCs w:val="21"/>
              </w:rPr>
              <w:t>评审结果</w:t>
            </w:r>
          </w:p>
          <w:p w14:paraId="263AD03D">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b/>
                <w:bCs/>
                <w:sz w:val="21"/>
                <w:szCs w:val="21"/>
              </w:rPr>
            </w:pPr>
            <w:r>
              <w:rPr>
                <w:rFonts w:hAnsi="宋体" w:eastAsia="宋体" w:cs="Times New Roman"/>
                <w:b/>
                <w:bCs/>
                <w:sz w:val="21"/>
                <w:szCs w:val="21"/>
              </w:rPr>
              <w:t>（合格/</w:t>
            </w:r>
          </w:p>
          <w:p w14:paraId="5133EAB1">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b/>
                <w:bCs/>
                <w:sz w:val="21"/>
                <w:szCs w:val="21"/>
              </w:rPr>
            </w:pPr>
            <w:r>
              <w:rPr>
                <w:rFonts w:hAnsi="宋体" w:eastAsia="宋体" w:cs="Times New Roman"/>
                <w:b/>
                <w:bCs/>
                <w:sz w:val="21"/>
                <w:szCs w:val="21"/>
              </w:rPr>
              <w:t>不合格）</w:t>
            </w:r>
          </w:p>
        </w:tc>
      </w:tr>
      <w:tr w14:paraId="6EBE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blHeader/>
        </w:trPr>
        <w:tc>
          <w:tcPr>
            <w:tcW w:w="321" w:type="pct"/>
            <w:noWrap w:val="0"/>
            <w:vAlign w:val="center"/>
          </w:tcPr>
          <w:p w14:paraId="2F7415BF">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bCs/>
                <w:sz w:val="21"/>
                <w:szCs w:val="21"/>
              </w:rPr>
            </w:pPr>
            <w:r>
              <w:rPr>
                <w:rFonts w:hint="eastAsia" w:hAnsi="宋体" w:eastAsia="宋体" w:cs="Times New Roman"/>
                <w:bCs/>
                <w:sz w:val="21"/>
                <w:szCs w:val="21"/>
              </w:rPr>
              <w:t>1</w:t>
            </w:r>
          </w:p>
        </w:tc>
        <w:tc>
          <w:tcPr>
            <w:tcW w:w="744" w:type="pct"/>
            <w:noWrap w:val="0"/>
            <w:vAlign w:val="center"/>
          </w:tcPr>
          <w:p w14:paraId="1E7576EF">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Ansi="宋体" w:eastAsia="宋体" w:cs="Times New Roman"/>
                <w:sz w:val="21"/>
                <w:szCs w:val="21"/>
              </w:rPr>
              <w:t>法定代表人身份证明或</w:t>
            </w:r>
            <w:r>
              <w:rPr>
                <w:rFonts w:hint="eastAsia" w:hAnsi="宋体" w:eastAsia="宋体" w:cs="Times New Roman"/>
                <w:sz w:val="21"/>
                <w:szCs w:val="21"/>
              </w:rPr>
              <w:t>法人授权委托书</w:t>
            </w:r>
          </w:p>
        </w:tc>
        <w:tc>
          <w:tcPr>
            <w:tcW w:w="1743" w:type="pct"/>
            <w:noWrap w:val="0"/>
            <w:vAlign w:val="center"/>
          </w:tcPr>
          <w:p w14:paraId="414F79A5">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Ansi="宋体" w:eastAsia="宋体" w:cs="Times New Roman"/>
                <w:sz w:val="21"/>
                <w:szCs w:val="21"/>
              </w:rPr>
              <w:t>有效的法定代表人</w:t>
            </w:r>
            <w:r>
              <w:rPr>
                <w:rFonts w:hint="eastAsia" w:hAnsi="宋体" w:eastAsia="宋体" w:cs="Times New Roman"/>
                <w:sz w:val="21"/>
                <w:szCs w:val="21"/>
              </w:rPr>
              <w:t>身份</w:t>
            </w:r>
            <w:r>
              <w:rPr>
                <w:rFonts w:hAnsi="宋体" w:eastAsia="宋体" w:cs="Times New Roman"/>
                <w:sz w:val="21"/>
                <w:szCs w:val="21"/>
              </w:rPr>
              <w:t>证明（附法定代表人身份证</w:t>
            </w:r>
            <w:r>
              <w:rPr>
                <w:rFonts w:hint="eastAsia" w:hAnsi="宋体" w:eastAsia="宋体" w:cs="Times New Roman"/>
                <w:sz w:val="21"/>
                <w:szCs w:val="21"/>
              </w:rPr>
              <w:t>复印件</w:t>
            </w:r>
            <w:r>
              <w:rPr>
                <w:rFonts w:hAnsi="宋体" w:eastAsia="宋体" w:cs="Times New Roman"/>
                <w:sz w:val="21"/>
                <w:szCs w:val="21"/>
              </w:rPr>
              <w:t>）或法人授权委托书（附委托代理人身份证</w:t>
            </w:r>
            <w:r>
              <w:rPr>
                <w:rFonts w:hint="eastAsia" w:hAnsi="宋体" w:eastAsia="宋体" w:cs="Times New Roman"/>
                <w:sz w:val="21"/>
                <w:szCs w:val="21"/>
              </w:rPr>
              <w:t>复印件</w:t>
            </w:r>
            <w:r>
              <w:rPr>
                <w:rFonts w:hAnsi="宋体" w:eastAsia="宋体" w:cs="Times New Roman"/>
                <w:sz w:val="21"/>
                <w:szCs w:val="21"/>
              </w:rPr>
              <w:t>，</w:t>
            </w:r>
            <w:r>
              <w:rPr>
                <w:rFonts w:hint="eastAsia" w:hAnsi="宋体" w:eastAsia="宋体" w:cs="Times New Roman"/>
                <w:sz w:val="21"/>
                <w:szCs w:val="21"/>
              </w:rPr>
              <w:t>委托代理人签署投标文件时提供</w:t>
            </w:r>
            <w:r>
              <w:rPr>
                <w:rFonts w:hAnsi="宋体" w:eastAsia="宋体" w:cs="Times New Roman"/>
                <w:sz w:val="21"/>
                <w:szCs w:val="21"/>
              </w:rPr>
              <w:t>）。</w:t>
            </w:r>
          </w:p>
        </w:tc>
        <w:tc>
          <w:tcPr>
            <w:tcW w:w="1511" w:type="pct"/>
            <w:noWrap w:val="0"/>
            <w:vAlign w:val="center"/>
          </w:tcPr>
          <w:p w14:paraId="42948FA1">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Ansi="宋体" w:eastAsia="宋体" w:cs="Times New Roman"/>
                <w:sz w:val="21"/>
                <w:szCs w:val="21"/>
              </w:rPr>
              <w:t>有效的法定代表人</w:t>
            </w:r>
            <w:r>
              <w:rPr>
                <w:rFonts w:hint="eastAsia" w:hAnsi="宋体" w:eastAsia="宋体" w:cs="Times New Roman"/>
                <w:sz w:val="21"/>
                <w:szCs w:val="21"/>
              </w:rPr>
              <w:t>身份</w:t>
            </w:r>
            <w:r>
              <w:rPr>
                <w:rFonts w:hAnsi="宋体" w:eastAsia="宋体" w:cs="Times New Roman"/>
                <w:sz w:val="21"/>
                <w:szCs w:val="21"/>
              </w:rPr>
              <w:t>证明（附法定代表人身份证</w:t>
            </w:r>
            <w:r>
              <w:rPr>
                <w:rFonts w:hint="eastAsia" w:hAnsi="宋体" w:eastAsia="宋体" w:cs="Times New Roman"/>
                <w:sz w:val="21"/>
                <w:szCs w:val="21"/>
              </w:rPr>
              <w:t>复印件</w:t>
            </w:r>
            <w:r>
              <w:rPr>
                <w:rFonts w:hAnsi="宋体" w:eastAsia="宋体" w:cs="Times New Roman"/>
                <w:sz w:val="21"/>
                <w:szCs w:val="21"/>
              </w:rPr>
              <w:t>）或法人授权委托书（附委托代理人身份证</w:t>
            </w:r>
            <w:r>
              <w:rPr>
                <w:rFonts w:hint="eastAsia" w:hAnsi="宋体" w:eastAsia="宋体" w:cs="Times New Roman"/>
                <w:sz w:val="21"/>
                <w:szCs w:val="21"/>
              </w:rPr>
              <w:t>复印件</w:t>
            </w:r>
            <w:r>
              <w:rPr>
                <w:rFonts w:hAnsi="宋体" w:eastAsia="宋体" w:cs="Times New Roman"/>
                <w:sz w:val="21"/>
                <w:szCs w:val="21"/>
              </w:rPr>
              <w:t>，</w:t>
            </w:r>
            <w:r>
              <w:rPr>
                <w:rFonts w:hint="eastAsia" w:hAnsi="宋体" w:eastAsia="宋体" w:cs="Times New Roman"/>
                <w:sz w:val="21"/>
                <w:szCs w:val="21"/>
              </w:rPr>
              <w:t>委托代理人签署投标文件时提供</w:t>
            </w:r>
            <w:r>
              <w:rPr>
                <w:rFonts w:hAnsi="宋体" w:eastAsia="宋体" w:cs="Times New Roman"/>
                <w:sz w:val="21"/>
                <w:szCs w:val="21"/>
              </w:rPr>
              <w:t>）。</w:t>
            </w:r>
          </w:p>
        </w:tc>
        <w:tc>
          <w:tcPr>
            <w:tcW w:w="681" w:type="pct"/>
            <w:noWrap w:val="0"/>
            <w:vAlign w:val="center"/>
          </w:tcPr>
          <w:p w14:paraId="2C220D87">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b/>
                <w:bCs/>
                <w:sz w:val="21"/>
                <w:szCs w:val="21"/>
              </w:rPr>
            </w:pPr>
          </w:p>
        </w:tc>
      </w:tr>
      <w:tr w14:paraId="1A67A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321" w:type="pct"/>
            <w:noWrap w:val="0"/>
            <w:vAlign w:val="center"/>
          </w:tcPr>
          <w:p w14:paraId="50B010F9">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sz w:val="21"/>
                <w:szCs w:val="21"/>
              </w:rPr>
            </w:pPr>
            <w:r>
              <w:rPr>
                <w:rFonts w:hAnsi="宋体" w:eastAsia="宋体" w:cs="Times New Roman"/>
                <w:sz w:val="21"/>
                <w:szCs w:val="21"/>
              </w:rPr>
              <w:t>1</w:t>
            </w:r>
          </w:p>
        </w:tc>
        <w:tc>
          <w:tcPr>
            <w:tcW w:w="744" w:type="pct"/>
            <w:noWrap w:val="0"/>
            <w:vAlign w:val="center"/>
          </w:tcPr>
          <w:p w14:paraId="002CA808">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Ansi="宋体" w:eastAsia="宋体" w:cs="Times New Roman"/>
                <w:sz w:val="21"/>
                <w:szCs w:val="21"/>
              </w:rPr>
              <w:t>营业执照</w:t>
            </w:r>
          </w:p>
        </w:tc>
        <w:tc>
          <w:tcPr>
            <w:tcW w:w="1743" w:type="pct"/>
            <w:noWrap w:val="0"/>
            <w:vAlign w:val="center"/>
          </w:tcPr>
          <w:p w14:paraId="6CA7B0D4">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int="eastAsia" w:hAnsi="宋体" w:eastAsia="宋体" w:cs="Times New Roman"/>
                <w:sz w:val="21"/>
                <w:szCs w:val="21"/>
              </w:rPr>
              <w:t>投标人须是按照国家有关规定注册的独立法人、持有合法有效的企业法人营业执照，营业执照经营范围须包含工程造价咨询。</w:t>
            </w:r>
          </w:p>
        </w:tc>
        <w:tc>
          <w:tcPr>
            <w:tcW w:w="1511" w:type="pct"/>
            <w:noWrap w:val="0"/>
            <w:vAlign w:val="center"/>
          </w:tcPr>
          <w:p w14:paraId="380CB166">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int="eastAsia" w:hAnsi="宋体" w:eastAsia="宋体" w:cs="Times New Roman"/>
                <w:sz w:val="21"/>
                <w:szCs w:val="21"/>
              </w:rPr>
              <w:t>投标人合法有效的营业执照</w:t>
            </w:r>
            <w:r>
              <w:rPr>
                <w:rFonts w:hAnsi="宋体" w:eastAsia="宋体" w:cs="Times New Roman"/>
                <w:sz w:val="21"/>
                <w:szCs w:val="21"/>
              </w:rPr>
              <w:t>证书复印件</w:t>
            </w:r>
          </w:p>
        </w:tc>
        <w:tc>
          <w:tcPr>
            <w:tcW w:w="681" w:type="pct"/>
            <w:noWrap w:val="0"/>
            <w:vAlign w:val="center"/>
          </w:tcPr>
          <w:p w14:paraId="5F017826">
            <w:pPr>
              <w:keepNext w:val="0"/>
              <w:keepLines w:val="0"/>
              <w:suppressLineNumbers w:val="0"/>
              <w:spacing w:before="0" w:beforeLines="0" w:beforeAutospacing="0" w:after="0" w:afterAutospacing="0" w:line="240" w:lineRule="auto"/>
              <w:ind w:left="0" w:right="0" w:firstLine="420"/>
              <w:rPr>
                <w:rFonts w:hAnsi="宋体" w:eastAsia="宋体" w:cs="Times New Roman"/>
                <w:sz w:val="21"/>
                <w:szCs w:val="21"/>
              </w:rPr>
            </w:pPr>
          </w:p>
        </w:tc>
      </w:tr>
      <w:tr w14:paraId="3359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1" w:type="pct"/>
            <w:noWrap w:val="0"/>
            <w:vAlign w:val="center"/>
          </w:tcPr>
          <w:p w14:paraId="1EE97B6D">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sz w:val="21"/>
                <w:szCs w:val="21"/>
              </w:rPr>
            </w:pPr>
            <w:r>
              <w:rPr>
                <w:rFonts w:hAnsi="宋体" w:eastAsia="宋体" w:cs="Times New Roman"/>
                <w:sz w:val="21"/>
                <w:szCs w:val="21"/>
              </w:rPr>
              <w:t>2</w:t>
            </w:r>
          </w:p>
        </w:tc>
        <w:tc>
          <w:tcPr>
            <w:tcW w:w="744" w:type="pct"/>
            <w:noWrap w:val="0"/>
            <w:vAlign w:val="center"/>
          </w:tcPr>
          <w:p w14:paraId="2ECBB00E">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Ansi="宋体" w:eastAsia="宋体" w:cs="Times New Roman"/>
                <w:sz w:val="21"/>
                <w:szCs w:val="21"/>
              </w:rPr>
              <w:t>业绩要求</w:t>
            </w:r>
          </w:p>
        </w:tc>
        <w:tc>
          <w:tcPr>
            <w:tcW w:w="1743" w:type="pct"/>
            <w:noWrap w:val="0"/>
            <w:vAlign w:val="center"/>
          </w:tcPr>
          <w:p w14:paraId="1D5765FF">
            <w:pPr>
              <w:keepNext w:val="0"/>
              <w:keepLines w:val="0"/>
              <w:suppressLineNumbers w:val="0"/>
              <w:spacing w:before="0" w:beforeLines="0" w:beforeAutospacing="0" w:after="0" w:afterAutospacing="0" w:line="240" w:lineRule="auto"/>
              <w:ind w:left="0" w:right="0" w:firstLine="0" w:firstLineChars="0"/>
              <w:rPr>
                <w:rFonts w:hint="eastAsia" w:hAnsi="宋体" w:eastAsia="宋体" w:cs="Times New Roman"/>
                <w:sz w:val="21"/>
                <w:szCs w:val="21"/>
              </w:rPr>
            </w:pPr>
            <w:r>
              <w:rPr>
                <w:rFonts w:hint="eastAsia" w:hAnsi="宋体" w:eastAsia="宋体" w:cs="Times New Roman"/>
                <w:sz w:val="21"/>
                <w:szCs w:val="21"/>
              </w:rPr>
              <w:t>近3年内（202</w:t>
            </w:r>
            <w:r>
              <w:rPr>
                <w:rFonts w:hint="eastAsia" w:hAnsi="宋体" w:eastAsia="宋体" w:cs="Times New Roman"/>
                <w:sz w:val="21"/>
                <w:szCs w:val="21"/>
                <w:lang w:val="en-US" w:eastAsia="zh-CN"/>
              </w:rPr>
              <w:t>3</w:t>
            </w:r>
            <w:r>
              <w:rPr>
                <w:rFonts w:hint="eastAsia" w:hAnsi="宋体" w:eastAsia="宋体" w:cs="Times New Roman"/>
                <w:sz w:val="21"/>
                <w:szCs w:val="21"/>
              </w:rPr>
              <w:t>年1月1日至投标截止日前）近3年内（202</w:t>
            </w:r>
          </w:p>
          <w:p w14:paraId="2897C07F">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int="eastAsia" w:hAnsi="宋体" w:eastAsia="宋体" w:cs="Times New Roman"/>
                <w:sz w:val="21"/>
                <w:szCs w:val="21"/>
                <w:lang w:val="en-US" w:eastAsia="zh-CN"/>
              </w:rPr>
              <w:t>3</w:t>
            </w:r>
            <w:r>
              <w:rPr>
                <w:rFonts w:hint="eastAsia" w:hAnsi="宋体" w:eastAsia="宋体" w:cs="Times New Roman"/>
                <w:sz w:val="21"/>
                <w:szCs w:val="21"/>
              </w:rPr>
              <w:t>年1月1日至投标截止日前）承接过3个（含）15万平米以上房地产项目类似业绩。</w:t>
            </w:r>
          </w:p>
        </w:tc>
        <w:tc>
          <w:tcPr>
            <w:tcW w:w="1511" w:type="pct"/>
            <w:noWrap w:val="0"/>
            <w:vAlign w:val="center"/>
          </w:tcPr>
          <w:p w14:paraId="573D00FB">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int="eastAsia" w:hAnsi="宋体" w:eastAsia="宋体" w:cs="Times New Roman"/>
                <w:sz w:val="21"/>
                <w:szCs w:val="21"/>
              </w:rPr>
              <w:t>须提供业绩证明文件：已完成项目或在建项目以“中标通知书或合同文件或有业主盖章确认的成果文件关键页或业主出具的证明材料”为准。</w:t>
            </w:r>
          </w:p>
        </w:tc>
        <w:tc>
          <w:tcPr>
            <w:tcW w:w="681" w:type="pct"/>
            <w:noWrap w:val="0"/>
            <w:vAlign w:val="center"/>
          </w:tcPr>
          <w:p w14:paraId="4DB977CA">
            <w:pPr>
              <w:keepNext w:val="0"/>
              <w:keepLines w:val="0"/>
              <w:suppressLineNumbers w:val="0"/>
              <w:spacing w:before="0" w:beforeLines="0" w:beforeAutospacing="0" w:after="0" w:afterAutospacing="0" w:line="240" w:lineRule="auto"/>
              <w:ind w:left="0" w:right="0" w:firstLine="420"/>
              <w:rPr>
                <w:rFonts w:hAnsi="宋体" w:eastAsia="宋体" w:cs="Times New Roman"/>
                <w:sz w:val="21"/>
                <w:szCs w:val="21"/>
              </w:rPr>
            </w:pPr>
          </w:p>
        </w:tc>
      </w:tr>
      <w:tr w14:paraId="11BDD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1" w:type="pct"/>
            <w:noWrap w:val="0"/>
            <w:vAlign w:val="center"/>
          </w:tcPr>
          <w:p w14:paraId="062C72CB">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sz w:val="21"/>
                <w:szCs w:val="21"/>
              </w:rPr>
            </w:pPr>
            <w:r>
              <w:rPr>
                <w:rFonts w:hAnsi="宋体" w:eastAsia="宋体" w:cs="Times New Roman"/>
                <w:sz w:val="21"/>
                <w:szCs w:val="21"/>
              </w:rPr>
              <w:t>3</w:t>
            </w:r>
          </w:p>
        </w:tc>
        <w:tc>
          <w:tcPr>
            <w:tcW w:w="744" w:type="pct"/>
            <w:noWrap w:val="0"/>
            <w:vAlign w:val="center"/>
          </w:tcPr>
          <w:p w14:paraId="21CFC71D">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Ansi="宋体" w:eastAsia="宋体" w:cs="Times New Roman"/>
                <w:sz w:val="21"/>
                <w:szCs w:val="21"/>
              </w:rPr>
              <w:t>信誉要求</w:t>
            </w:r>
          </w:p>
        </w:tc>
        <w:tc>
          <w:tcPr>
            <w:tcW w:w="1743" w:type="pct"/>
            <w:noWrap w:val="0"/>
            <w:vAlign w:val="center"/>
          </w:tcPr>
          <w:p w14:paraId="3D5D0C99">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Ansi="宋体" w:eastAsia="宋体" w:cs="Times New Roman"/>
                <w:sz w:val="21"/>
                <w:szCs w:val="21"/>
              </w:rPr>
              <w:t>没有处于被责令停业，投标资格被取消，财产被接管、冻结，破产状态；在最近三年内（20</w:t>
            </w:r>
            <w:r>
              <w:rPr>
                <w:rFonts w:hint="eastAsia" w:hAnsi="宋体" w:eastAsia="宋体" w:cs="Times New Roman"/>
                <w:sz w:val="21"/>
                <w:szCs w:val="21"/>
              </w:rPr>
              <w:t>2</w:t>
            </w:r>
            <w:r>
              <w:rPr>
                <w:rFonts w:hint="eastAsia" w:hAnsi="宋体" w:eastAsia="宋体" w:cs="Times New Roman"/>
                <w:sz w:val="21"/>
                <w:szCs w:val="21"/>
                <w:lang w:val="en-US" w:eastAsia="zh-CN"/>
              </w:rPr>
              <w:t>3</w:t>
            </w:r>
            <w:r>
              <w:rPr>
                <w:rFonts w:hAnsi="宋体" w:eastAsia="宋体" w:cs="Times New Roman"/>
                <w:sz w:val="21"/>
                <w:szCs w:val="21"/>
              </w:rPr>
              <w:t>年1月1日至投标截止时间）没有骗取中标或严重违约或较大质量安全责任事故的情况（骗取中标、严重违约的认定以国家住房和城乡建设部在处罚期内通报有不良行为的企业名单为准，较大质量安全责任事故的认定以应急管理部公布的重大生产安全事故责任企业名单为准）。</w:t>
            </w:r>
          </w:p>
        </w:tc>
        <w:tc>
          <w:tcPr>
            <w:tcW w:w="1511" w:type="pct"/>
            <w:noWrap w:val="0"/>
            <w:vAlign w:val="center"/>
          </w:tcPr>
          <w:p w14:paraId="0AB37991">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Ansi="宋体" w:eastAsia="宋体" w:cs="Times New Roman"/>
                <w:sz w:val="21"/>
                <w:szCs w:val="21"/>
              </w:rPr>
              <w:t>按招标文件格式提供承诺书原件。</w:t>
            </w:r>
          </w:p>
        </w:tc>
        <w:tc>
          <w:tcPr>
            <w:tcW w:w="681" w:type="pct"/>
            <w:noWrap w:val="0"/>
            <w:vAlign w:val="center"/>
          </w:tcPr>
          <w:p w14:paraId="7D29ED73">
            <w:pPr>
              <w:keepNext w:val="0"/>
              <w:keepLines w:val="0"/>
              <w:suppressLineNumbers w:val="0"/>
              <w:spacing w:before="0" w:beforeLines="0" w:beforeAutospacing="0" w:after="0" w:afterAutospacing="0" w:line="240" w:lineRule="auto"/>
              <w:ind w:left="0" w:right="0" w:firstLine="420"/>
              <w:rPr>
                <w:rFonts w:hAnsi="宋体" w:eastAsia="宋体" w:cs="Times New Roman"/>
                <w:sz w:val="21"/>
                <w:szCs w:val="21"/>
              </w:rPr>
            </w:pPr>
          </w:p>
        </w:tc>
      </w:tr>
      <w:tr w14:paraId="52F6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21" w:type="pct"/>
            <w:noWrap w:val="0"/>
            <w:vAlign w:val="center"/>
          </w:tcPr>
          <w:p w14:paraId="0A5FC6A2">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sz w:val="21"/>
                <w:szCs w:val="21"/>
              </w:rPr>
            </w:pPr>
            <w:r>
              <w:rPr>
                <w:rFonts w:hAnsi="宋体" w:eastAsia="宋体" w:cs="Times New Roman"/>
                <w:sz w:val="21"/>
                <w:szCs w:val="21"/>
              </w:rPr>
              <w:t>4</w:t>
            </w:r>
          </w:p>
        </w:tc>
        <w:tc>
          <w:tcPr>
            <w:tcW w:w="744" w:type="pct"/>
            <w:noWrap w:val="0"/>
            <w:vAlign w:val="center"/>
          </w:tcPr>
          <w:p w14:paraId="7E278198">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int="eastAsia" w:hAnsi="宋体" w:eastAsia="宋体" w:cs="Times New Roman"/>
                <w:sz w:val="21"/>
                <w:szCs w:val="21"/>
              </w:rPr>
              <w:t>人员</w:t>
            </w:r>
            <w:r>
              <w:rPr>
                <w:rFonts w:hAnsi="宋体" w:eastAsia="宋体" w:cs="Times New Roman"/>
                <w:sz w:val="21"/>
                <w:szCs w:val="21"/>
              </w:rPr>
              <w:t>要求</w:t>
            </w:r>
          </w:p>
        </w:tc>
        <w:tc>
          <w:tcPr>
            <w:tcW w:w="1743" w:type="pct"/>
            <w:noWrap w:val="0"/>
            <w:vAlign w:val="center"/>
          </w:tcPr>
          <w:p w14:paraId="7B1D8736">
            <w:pPr>
              <w:keepNext w:val="0"/>
              <w:keepLines w:val="0"/>
              <w:suppressLineNumbers w:val="0"/>
              <w:spacing w:before="0" w:beforeLines="0" w:beforeAutospacing="0" w:after="0" w:afterAutospacing="0" w:line="240" w:lineRule="auto"/>
              <w:ind w:left="0" w:right="0" w:firstLine="0" w:firstLineChars="0"/>
              <w:rPr>
                <w:rFonts w:hint="eastAsia" w:hAnsi="宋体" w:eastAsia="宋体" w:cs="Times New Roman"/>
                <w:sz w:val="21"/>
                <w:szCs w:val="21"/>
              </w:rPr>
            </w:pPr>
            <w:r>
              <w:rPr>
                <w:rFonts w:hint="eastAsia" w:hAnsi="宋体" w:eastAsia="宋体" w:cs="Times New Roman"/>
                <w:sz w:val="21"/>
                <w:szCs w:val="21"/>
              </w:rPr>
              <w:t>①项目负责人（1人）：具备中华人民共和国住房和城乡建设部颁发的建筑工程专业或安装工程专业的注册一级造价工程师执业资格且具备工程类中级（含）以上工程师职称。</w:t>
            </w:r>
          </w:p>
          <w:p w14:paraId="5A7CFCC0">
            <w:pPr>
              <w:keepNext w:val="0"/>
              <w:keepLines w:val="0"/>
              <w:suppressLineNumbers w:val="0"/>
              <w:spacing w:before="0" w:beforeLines="0" w:beforeAutospacing="0" w:after="0" w:afterAutospacing="0" w:line="240" w:lineRule="auto"/>
              <w:ind w:left="0" w:right="0" w:firstLine="0" w:firstLineChars="0"/>
              <w:rPr>
                <w:rFonts w:hint="eastAsia" w:hAnsi="宋体" w:eastAsia="宋体" w:cs="Times New Roman"/>
                <w:sz w:val="21"/>
                <w:szCs w:val="21"/>
              </w:rPr>
            </w:pPr>
            <w:r>
              <w:rPr>
                <w:rFonts w:hint="eastAsia" w:hAnsi="宋体" w:eastAsia="宋体" w:cs="Times New Roman"/>
                <w:sz w:val="21"/>
                <w:szCs w:val="21"/>
              </w:rPr>
              <w:t>②技术总负责人（1人）：具备中华人民共和国住房和城乡建设部颁发的注册一级造价工程师执业资格且具备工程类中级（含）以上工程师职称。</w:t>
            </w:r>
          </w:p>
          <w:p w14:paraId="5306FB0B">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int="eastAsia" w:hAnsi="宋体" w:eastAsia="宋体" w:cs="Times New Roman"/>
                <w:sz w:val="21"/>
                <w:szCs w:val="21"/>
              </w:rPr>
              <w:t>③其他造价人员要求（土建专业组组长1人、土建专业造价人员5人以上（含5人）、安装专业组组长1人、安装专业造价人员1人以上（含1人））：①建筑工程专业造价人员均须具备注册二级（含）以上造价工程师（如尚未获得证书的，须提供通过考试的合格证明材料）执业资格；②安装工程专业造价人员均须具备注册二级（含）以上造价工程师（如尚未获得证书的，须提供通过考试的合格证明材料）执业资格。土建专业组长和安装专业组长不得为同一个人，且组长从事工程造价年限不得少于8年，其他人员从事工程造价年限不得少于5年。</w:t>
            </w:r>
          </w:p>
        </w:tc>
        <w:tc>
          <w:tcPr>
            <w:tcW w:w="1511" w:type="pct"/>
            <w:noWrap w:val="0"/>
            <w:vAlign w:val="center"/>
          </w:tcPr>
          <w:p w14:paraId="48E09728">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int="eastAsia" w:hAnsi="宋体" w:eastAsia="宋体" w:cs="Times New Roman"/>
                <w:sz w:val="21"/>
                <w:szCs w:val="21"/>
              </w:rPr>
              <w:t>须提供上述人员</w:t>
            </w:r>
            <w:r>
              <w:rPr>
                <w:rFonts w:hAnsi="宋体" w:eastAsia="宋体" w:cs="Times New Roman"/>
                <w:sz w:val="21"/>
                <w:szCs w:val="21"/>
              </w:rPr>
              <w:t>有效的</w:t>
            </w:r>
            <w:r>
              <w:rPr>
                <w:rFonts w:hint="eastAsia" w:hAnsi="宋体" w:eastAsia="宋体" w:cs="Times New Roman"/>
                <w:sz w:val="21"/>
                <w:szCs w:val="21"/>
              </w:rPr>
              <w:t>身份证、</w:t>
            </w:r>
            <w:r>
              <w:rPr>
                <w:rFonts w:hAnsi="宋体" w:eastAsia="宋体" w:cs="Times New Roman"/>
                <w:sz w:val="21"/>
                <w:szCs w:val="21"/>
              </w:rPr>
              <w:t>职称证书、资格证书、注册证书复印件等证明材料</w:t>
            </w:r>
            <w:r>
              <w:rPr>
                <w:rFonts w:hint="eastAsia" w:hAnsi="宋体" w:eastAsia="宋体" w:cs="Times New Roman"/>
                <w:sz w:val="21"/>
                <w:szCs w:val="21"/>
              </w:rPr>
              <w:t>以及近3个月（2026年02月至2026年04月）投标人为拟投入本项目人员依法缴纳社会保险的证明材料或事业单位编制证明</w:t>
            </w:r>
            <w:r>
              <w:rPr>
                <w:rFonts w:hAnsi="宋体" w:eastAsia="宋体" w:cs="Times New Roman"/>
                <w:sz w:val="21"/>
                <w:szCs w:val="21"/>
              </w:rPr>
              <w:t>并加盖投标人单位公章，否则资格审查不通过。</w:t>
            </w:r>
          </w:p>
        </w:tc>
        <w:tc>
          <w:tcPr>
            <w:tcW w:w="681" w:type="pct"/>
            <w:noWrap w:val="0"/>
            <w:vAlign w:val="center"/>
          </w:tcPr>
          <w:p w14:paraId="7670E8C9">
            <w:pPr>
              <w:keepNext w:val="0"/>
              <w:keepLines w:val="0"/>
              <w:suppressLineNumbers w:val="0"/>
              <w:spacing w:before="0" w:beforeLines="0" w:beforeAutospacing="0" w:after="0" w:afterAutospacing="0" w:line="240" w:lineRule="auto"/>
              <w:ind w:left="0" w:right="0" w:firstLine="420"/>
              <w:rPr>
                <w:rFonts w:hAnsi="宋体" w:eastAsia="宋体" w:cs="Times New Roman"/>
                <w:sz w:val="21"/>
                <w:szCs w:val="21"/>
              </w:rPr>
            </w:pPr>
          </w:p>
        </w:tc>
      </w:tr>
      <w:tr w14:paraId="6223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321" w:type="pct"/>
            <w:shd w:val="clear" w:color="auto" w:fill="auto"/>
            <w:noWrap w:val="0"/>
            <w:vAlign w:val="center"/>
          </w:tcPr>
          <w:p w14:paraId="4213CE42">
            <w:pPr>
              <w:keepNext w:val="0"/>
              <w:keepLines w:val="0"/>
              <w:suppressLineNumbers w:val="0"/>
              <w:spacing w:before="0" w:beforeLines="0" w:beforeAutospacing="0" w:after="0" w:afterAutospacing="0" w:line="24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5</w:t>
            </w:r>
          </w:p>
        </w:tc>
        <w:tc>
          <w:tcPr>
            <w:tcW w:w="744" w:type="pct"/>
            <w:shd w:val="clear" w:color="auto" w:fill="auto"/>
            <w:noWrap w:val="0"/>
            <w:vAlign w:val="center"/>
          </w:tcPr>
          <w:p w14:paraId="03A014AE">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int="eastAsia" w:hAnsi="宋体" w:eastAsia="宋体" w:cs="Times New Roman"/>
                <w:sz w:val="21"/>
                <w:szCs w:val="21"/>
              </w:rPr>
              <w:t>联合体投标</w:t>
            </w:r>
          </w:p>
        </w:tc>
        <w:tc>
          <w:tcPr>
            <w:tcW w:w="1743" w:type="pct"/>
            <w:shd w:val="clear" w:color="auto" w:fill="FFFFFF"/>
            <w:noWrap w:val="0"/>
            <w:vAlign w:val="center"/>
          </w:tcPr>
          <w:p w14:paraId="40B0A3B5">
            <w:pPr>
              <w:keepNext w:val="0"/>
              <w:keepLines w:val="0"/>
              <w:suppressLineNumbers w:val="0"/>
              <w:spacing w:before="0" w:beforeLines="0" w:beforeAutospacing="0" w:after="0" w:afterAutospacing="0" w:line="240" w:lineRule="auto"/>
              <w:ind w:left="0" w:right="0" w:firstLine="0" w:firstLineChars="0"/>
              <w:rPr>
                <w:rFonts w:hint="eastAsia" w:hAnsi="宋体" w:eastAsia="宋体" w:cs="Times New Roman"/>
                <w:sz w:val="21"/>
                <w:szCs w:val="21"/>
              </w:rPr>
            </w:pPr>
            <w:r>
              <w:rPr>
                <w:rFonts w:hint="eastAsia" w:hAnsi="宋体" w:eastAsia="宋体" w:cs="Times New Roman"/>
                <w:sz w:val="21"/>
                <w:szCs w:val="21"/>
              </w:rPr>
              <w:t>本项目不接受联合体投标。</w:t>
            </w:r>
          </w:p>
        </w:tc>
        <w:tc>
          <w:tcPr>
            <w:tcW w:w="1511" w:type="pct"/>
            <w:shd w:val="clear" w:color="auto" w:fill="FFFFFF"/>
            <w:noWrap w:val="0"/>
            <w:vAlign w:val="center"/>
          </w:tcPr>
          <w:p w14:paraId="2D757012">
            <w:pPr>
              <w:keepNext w:val="0"/>
              <w:keepLines w:val="0"/>
              <w:suppressLineNumbers w:val="0"/>
              <w:spacing w:before="0" w:beforeLines="0" w:beforeAutospacing="0" w:after="0" w:afterAutospacing="0" w:line="240" w:lineRule="auto"/>
              <w:ind w:left="0" w:right="0" w:firstLine="0" w:firstLineChars="0"/>
              <w:rPr>
                <w:rFonts w:hAnsi="宋体" w:eastAsia="宋体" w:cs="Times New Roman"/>
                <w:sz w:val="21"/>
                <w:szCs w:val="21"/>
              </w:rPr>
            </w:pPr>
            <w:r>
              <w:rPr>
                <w:rFonts w:hint="eastAsia" w:hAnsi="宋体" w:eastAsia="宋体" w:cs="Times New Roman"/>
                <w:sz w:val="21"/>
                <w:szCs w:val="21"/>
              </w:rPr>
              <w:t>☑本项目不接受联合体投标的评审依据：投标人为非联合体投标。</w:t>
            </w:r>
          </w:p>
        </w:tc>
        <w:tc>
          <w:tcPr>
            <w:tcW w:w="681" w:type="pct"/>
            <w:shd w:val="clear" w:color="auto" w:fill="FFFFFF"/>
            <w:noWrap w:val="0"/>
            <w:vAlign w:val="center"/>
          </w:tcPr>
          <w:p w14:paraId="26547E35">
            <w:pPr>
              <w:keepNext w:val="0"/>
              <w:keepLines w:val="0"/>
              <w:suppressLineNumbers w:val="0"/>
              <w:spacing w:before="0" w:beforeLines="0" w:beforeAutospacing="0" w:after="0" w:afterAutospacing="0" w:line="240" w:lineRule="auto"/>
              <w:ind w:left="0" w:right="0" w:firstLine="420"/>
              <w:rPr>
                <w:rFonts w:hAnsi="宋体" w:eastAsia="宋体" w:cs="Times New Roman"/>
                <w:sz w:val="21"/>
                <w:szCs w:val="21"/>
              </w:rPr>
            </w:pPr>
          </w:p>
        </w:tc>
      </w:tr>
    </w:tbl>
    <w:p w14:paraId="5E96C6D7">
      <w:pPr>
        <w:spacing w:before="0" w:beforeLines="0"/>
        <w:ind w:firstLine="420"/>
        <w:rPr>
          <w:rFonts w:ascii="Times New Roman"/>
          <w:sz w:val="21"/>
          <w:szCs w:val="21"/>
        </w:rPr>
      </w:pPr>
    </w:p>
    <w:p w14:paraId="15ABF054">
      <w:pPr>
        <w:pStyle w:val="5"/>
        <w:spacing w:before="0" w:beforeLines="0"/>
        <w:ind w:firstLine="0" w:firstLineChars="0"/>
        <w:rPr>
          <w:rFonts w:ascii="Times New Roman" w:hAnsi="Times New Roman"/>
        </w:rPr>
      </w:pPr>
      <w:bookmarkStart w:id="1068" w:name="_Toc375212288"/>
      <w:bookmarkStart w:id="1069" w:name="_Toc1921"/>
      <w:bookmarkStart w:id="1070" w:name="_Toc384823603"/>
      <w:bookmarkStart w:id="1071" w:name="_Toc491534461"/>
      <w:bookmarkStart w:id="1072" w:name="_Toc375230853"/>
      <w:r>
        <w:rPr>
          <w:rFonts w:ascii="Times New Roman" w:hAnsi="Times New Roman"/>
        </w:rPr>
        <w:br w:type="page"/>
      </w:r>
      <w:bookmarkStart w:id="1073" w:name="_Toc193981303"/>
      <w:r>
        <w:rPr>
          <w:rFonts w:ascii="Times New Roman" w:hAnsi="Times New Roman"/>
        </w:rPr>
        <w:t>附表二 初步评审表</w:t>
      </w:r>
      <w:bookmarkEnd w:id="1068"/>
      <w:bookmarkEnd w:id="1069"/>
      <w:bookmarkEnd w:id="1070"/>
      <w:bookmarkEnd w:id="1071"/>
      <w:bookmarkEnd w:id="1072"/>
      <w:bookmarkEnd w:id="1073"/>
    </w:p>
    <w:p w14:paraId="43EEC656">
      <w:pPr>
        <w:spacing w:before="0" w:beforeLines="0"/>
        <w:ind w:firstLine="482"/>
        <w:jc w:val="center"/>
        <w:rPr>
          <w:rFonts w:ascii="Times New Roman"/>
          <w:b/>
          <w:bCs/>
          <w:sz w:val="28"/>
          <w:szCs w:val="28"/>
        </w:rPr>
      </w:pPr>
      <w:r>
        <w:rPr>
          <w:rFonts w:ascii="Times New Roman"/>
          <w:b/>
          <w:bCs/>
        </w:rPr>
        <w:t>初步评审表（一）</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5963"/>
        <w:gridCol w:w="844"/>
        <w:gridCol w:w="905"/>
        <w:gridCol w:w="732"/>
      </w:tblGrid>
      <w:tr w14:paraId="13B1B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blHeader/>
          <w:jc w:val="center"/>
        </w:trPr>
        <w:tc>
          <w:tcPr>
            <w:tcW w:w="496" w:type="dxa"/>
            <w:noWrap w:val="0"/>
            <w:vAlign w:val="center"/>
          </w:tcPr>
          <w:p w14:paraId="1FC4ED53">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b/>
              </w:rPr>
            </w:pPr>
            <w:r>
              <w:rPr>
                <w:rFonts w:ascii="Times New Roman" w:hAnsi="Times New Roman" w:eastAsia="宋体" w:cs="Times New Roman"/>
                <w:b/>
              </w:rPr>
              <w:t>序号</w:t>
            </w:r>
          </w:p>
        </w:tc>
        <w:tc>
          <w:tcPr>
            <w:tcW w:w="5963" w:type="dxa"/>
            <w:noWrap w:val="0"/>
            <w:vAlign w:val="center"/>
          </w:tcPr>
          <w:p w14:paraId="72F7A807">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b/>
              </w:rPr>
            </w:pPr>
            <w:r>
              <w:rPr>
                <w:rFonts w:ascii="Times New Roman" w:hAnsi="Times New Roman" w:eastAsia="宋体" w:cs="Times New Roman"/>
                <w:b/>
              </w:rPr>
              <w:t>评审项目</w:t>
            </w:r>
          </w:p>
        </w:tc>
        <w:tc>
          <w:tcPr>
            <w:tcW w:w="1749" w:type="dxa"/>
            <w:gridSpan w:val="2"/>
            <w:noWrap w:val="0"/>
            <w:vAlign w:val="center"/>
          </w:tcPr>
          <w:p w14:paraId="46800E10">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b/>
              </w:rPr>
            </w:pPr>
            <w:r>
              <w:rPr>
                <w:rFonts w:ascii="Times New Roman" w:hAnsi="Times New Roman" w:eastAsia="宋体" w:cs="Times New Roman"/>
                <w:b/>
              </w:rPr>
              <w:t>评审标准</w:t>
            </w:r>
          </w:p>
        </w:tc>
        <w:tc>
          <w:tcPr>
            <w:tcW w:w="732" w:type="dxa"/>
            <w:noWrap w:val="0"/>
            <w:vAlign w:val="center"/>
          </w:tcPr>
          <w:p w14:paraId="06B505C4">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b/>
              </w:rPr>
            </w:pPr>
            <w:r>
              <w:rPr>
                <w:rFonts w:ascii="Times New Roman" w:hAnsi="Times New Roman" w:eastAsia="宋体" w:cs="Times New Roman"/>
                <w:b/>
              </w:rPr>
              <w:t>通过标准</w:t>
            </w:r>
          </w:p>
        </w:tc>
      </w:tr>
      <w:tr w14:paraId="18C7F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96" w:type="dxa"/>
            <w:noWrap w:val="0"/>
            <w:vAlign w:val="center"/>
          </w:tcPr>
          <w:p w14:paraId="4119A4E8">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1</w:t>
            </w:r>
          </w:p>
        </w:tc>
        <w:tc>
          <w:tcPr>
            <w:tcW w:w="5963" w:type="dxa"/>
            <w:noWrap w:val="0"/>
            <w:vAlign w:val="center"/>
          </w:tcPr>
          <w:p w14:paraId="135ECD37">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snapToGrid w:val="0"/>
                <w:kern w:val="0"/>
              </w:rPr>
              <w:t>投标文件按规定签署或盖章的</w:t>
            </w:r>
          </w:p>
        </w:tc>
        <w:tc>
          <w:tcPr>
            <w:tcW w:w="844" w:type="dxa"/>
            <w:noWrap w:val="0"/>
            <w:vAlign w:val="center"/>
          </w:tcPr>
          <w:p w14:paraId="349A27CF">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5" w:type="dxa"/>
            <w:noWrap w:val="0"/>
            <w:vAlign w:val="center"/>
          </w:tcPr>
          <w:p w14:paraId="32FFBD18">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32" w:type="dxa"/>
            <w:vMerge w:val="restart"/>
            <w:noWrap w:val="0"/>
            <w:vAlign w:val="center"/>
          </w:tcPr>
          <w:p w14:paraId="021DD999">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各项均符合，为通过；否则为不通过</w:t>
            </w:r>
          </w:p>
        </w:tc>
      </w:tr>
      <w:tr w14:paraId="5442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96" w:type="dxa"/>
            <w:noWrap w:val="0"/>
            <w:vAlign w:val="center"/>
          </w:tcPr>
          <w:p w14:paraId="7FBBA358">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2</w:t>
            </w:r>
          </w:p>
        </w:tc>
        <w:tc>
          <w:tcPr>
            <w:tcW w:w="5963" w:type="dxa"/>
            <w:noWrap w:val="0"/>
            <w:vAlign w:val="center"/>
          </w:tcPr>
          <w:p w14:paraId="3F0DD475">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snapToGrid w:val="0"/>
                <w:kern w:val="0"/>
              </w:rPr>
              <w:t>投标文件按规定的格式填写，内容</w:t>
            </w:r>
            <w:r>
              <w:rPr>
                <w:rFonts w:hint="eastAsia" w:ascii="Times New Roman" w:hAnsi="Times New Roman" w:eastAsia="宋体" w:cs="Times New Roman"/>
                <w:snapToGrid w:val="0"/>
                <w:kern w:val="0"/>
              </w:rPr>
              <w:t>齐</w:t>
            </w:r>
            <w:r>
              <w:rPr>
                <w:rFonts w:ascii="Times New Roman" w:hAnsi="Times New Roman" w:eastAsia="宋体" w:cs="Times New Roman"/>
                <w:snapToGrid w:val="0"/>
                <w:kern w:val="0"/>
              </w:rPr>
              <w:t>全的；投标</w:t>
            </w:r>
            <w:r>
              <w:rPr>
                <w:rFonts w:ascii="Times New Roman" w:hAnsi="Times New Roman" w:eastAsia="宋体" w:cs="Times New Roman"/>
              </w:rPr>
              <w:t>函</w:t>
            </w:r>
            <w:r>
              <w:rPr>
                <w:rFonts w:ascii="Times New Roman" w:hAnsi="Times New Roman" w:eastAsia="宋体" w:cs="Times New Roman"/>
                <w:snapToGrid w:val="0"/>
                <w:kern w:val="0"/>
              </w:rPr>
              <w:t>中关键字迹没有模糊、没有无法辨认或没有含义不明确的</w:t>
            </w:r>
          </w:p>
        </w:tc>
        <w:tc>
          <w:tcPr>
            <w:tcW w:w="844" w:type="dxa"/>
            <w:noWrap w:val="0"/>
            <w:vAlign w:val="center"/>
          </w:tcPr>
          <w:p w14:paraId="36E866DD">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5" w:type="dxa"/>
            <w:noWrap w:val="0"/>
            <w:vAlign w:val="center"/>
          </w:tcPr>
          <w:p w14:paraId="2EFC261B">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32" w:type="dxa"/>
            <w:vMerge w:val="continue"/>
            <w:noWrap w:val="0"/>
            <w:vAlign w:val="center"/>
          </w:tcPr>
          <w:p w14:paraId="3E8EECE5">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p>
        </w:tc>
      </w:tr>
      <w:tr w14:paraId="76B36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496" w:type="dxa"/>
            <w:noWrap w:val="0"/>
            <w:vAlign w:val="center"/>
          </w:tcPr>
          <w:p w14:paraId="16351A6E">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3</w:t>
            </w:r>
          </w:p>
        </w:tc>
        <w:tc>
          <w:tcPr>
            <w:tcW w:w="5963" w:type="dxa"/>
            <w:noWrap w:val="0"/>
            <w:vAlign w:val="center"/>
          </w:tcPr>
          <w:p w14:paraId="1131B0AC">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rPr>
              <w:t>投标人</w:t>
            </w:r>
            <w:r>
              <w:rPr>
                <w:rFonts w:hint="eastAsia" w:ascii="Times New Roman" w:hAnsi="Times New Roman" w:eastAsia="宋体" w:cs="Times New Roman"/>
              </w:rPr>
              <w:t>未</w:t>
            </w:r>
            <w:r>
              <w:rPr>
                <w:rFonts w:ascii="Times New Roman" w:hAnsi="Times New Roman" w:eastAsia="宋体" w:cs="Times New Roman"/>
              </w:rPr>
              <w:t>递交两份或多份内容不同的投标文件，或在一份投标文件中，有两个或多个报价</w:t>
            </w:r>
            <w:r>
              <w:rPr>
                <w:rFonts w:hint="eastAsia" w:ascii="Times New Roman" w:hAnsi="Times New Roman" w:eastAsia="宋体" w:cs="Times New Roman"/>
              </w:rPr>
              <w:t>但</w:t>
            </w:r>
            <w:r>
              <w:rPr>
                <w:rFonts w:ascii="Times New Roman" w:hAnsi="Times New Roman" w:eastAsia="宋体" w:cs="Times New Roman"/>
              </w:rPr>
              <w:t>书面声明哪一个有效的，按投标文件规定提供可选择性方案报价的除外</w:t>
            </w:r>
          </w:p>
        </w:tc>
        <w:tc>
          <w:tcPr>
            <w:tcW w:w="844" w:type="dxa"/>
            <w:noWrap w:val="0"/>
            <w:vAlign w:val="center"/>
          </w:tcPr>
          <w:p w14:paraId="7D28A202">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5" w:type="dxa"/>
            <w:noWrap w:val="0"/>
            <w:vAlign w:val="center"/>
          </w:tcPr>
          <w:p w14:paraId="51496842">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32" w:type="dxa"/>
            <w:vMerge w:val="continue"/>
            <w:noWrap w:val="0"/>
            <w:vAlign w:val="center"/>
          </w:tcPr>
          <w:p w14:paraId="4686652B">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p>
        </w:tc>
      </w:tr>
      <w:tr w14:paraId="7EFC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96" w:type="dxa"/>
            <w:noWrap w:val="0"/>
            <w:vAlign w:val="center"/>
          </w:tcPr>
          <w:p w14:paraId="7A36FD6B">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4</w:t>
            </w:r>
          </w:p>
        </w:tc>
        <w:tc>
          <w:tcPr>
            <w:tcW w:w="5963" w:type="dxa"/>
            <w:noWrap w:val="0"/>
            <w:vAlign w:val="center"/>
          </w:tcPr>
          <w:p w14:paraId="66A6FDB0">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rPr>
              <w:t>投标报价</w:t>
            </w:r>
            <w:r>
              <w:rPr>
                <w:rFonts w:hint="eastAsia" w:ascii="Times New Roman" w:hAnsi="Times New Roman" w:eastAsia="宋体" w:cs="Times New Roman"/>
              </w:rPr>
              <w:t>未</w:t>
            </w:r>
            <w:r>
              <w:rPr>
                <w:rFonts w:ascii="Times New Roman" w:hAnsi="Times New Roman" w:eastAsia="宋体" w:cs="Times New Roman"/>
              </w:rPr>
              <w:t>超过招标控制价的</w:t>
            </w:r>
          </w:p>
        </w:tc>
        <w:tc>
          <w:tcPr>
            <w:tcW w:w="844" w:type="dxa"/>
            <w:noWrap w:val="0"/>
            <w:vAlign w:val="center"/>
          </w:tcPr>
          <w:p w14:paraId="75EFD30F">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5" w:type="dxa"/>
            <w:noWrap w:val="0"/>
            <w:vAlign w:val="center"/>
          </w:tcPr>
          <w:p w14:paraId="51049CE6">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32" w:type="dxa"/>
            <w:vMerge w:val="continue"/>
            <w:noWrap w:val="0"/>
            <w:vAlign w:val="center"/>
          </w:tcPr>
          <w:p w14:paraId="0C515494">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p>
        </w:tc>
      </w:tr>
      <w:tr w14:paraId="4F56F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96" w:type="dxa"/>
            <w:noWrap w:val="0"/>
            <w:vAlign w:val="center"/>
          </w:tcPr>
          <w:p w14:paraId="2EBAF49D">
            <w:pPr>
              <w:pStyle w:val="98"/>
              <w:keepNext w:val="0"/>
              <w:keepLines w:val="0"/>
              <w:widowControl/>
              <w:suppressLineNumbers w:val="0"/>
              <w:adjustRightInd w:val="0"/>
              <w:snapToGrid w:val="0"/>
              <w:spacing w:before="0" w:beforeAutospacing="0" w:after="0" w:afterAutospacing="0" w:line="264" w:lineRule="auto"/>
              <w:ind w:left="0" w:right="0"/>
              <w:rPr>
                <w:rFonts w:hint="eastAsia" w:ascii="Times New Roman" w:hAnsi="Times New Roman" w:eastAsia="宋体" w:cs="Times New Roman"/>
              </w:rPr>
            </w:pPr>
            <w:r>
              <w:rPr>
                <w:rFonts w:hint="eastAsia" w:ascii="Times New Roman" w:hAnsi="Times New Roman" w:eastAsia="宋体" w:cs="Times New Roman"/>
              </w:rPr>
              <w:t>5</w:t>
            </w:r>
          </w:p>
        </w:tc>
        <w:tc>
          <w:tcPr>
            <w:tcW w:w="5963" w:type="dxa"/>
            <w:noWrap w:val="0"/>
            <w:vAlign w:val="center"/>
          </w:tcPr>
          <w:p w14:paraId="17399EDD">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snapToGrid w:val="0"/>
                <w:kern w:val="0"/>
              </w:rPr>
              <w:t>投标有效期</w:t>
            </w:r>
            <w:r>
              <w:rPr>
                <w:rFonts w:hint="eastAsia" w:ascii="Times New Roman" w:hAnsi="Times New Roman" w:eastAsia="宋体" w:cs="Times New Roman"/>
                <w:snapToGrid w:val="0"/>
                <w:kern w:val="0"/>
              </w:rPr>
              <w:t>满</w:t>
            </w:r>
            <w:r>
              <w:rPr>
                <w:rFonts w:ascii="Times New Roman" w:hAnsi="Times New Roman" w:eastAsia="宋体" w:cs="Times New Roman"/>
                <w:snapToGrid w:val="0"/>
                <w:kern w:val="0"/>
              </w:rPr>
              <w:t>足文件要求的</w:t>
            </w:r>
          </w:p>
        </w:tc>
        <w:tc>
          <w:tcPr>
            <w:tcW w:w="844" w:type="dxa"/>
            <w:noWrap w:val="0"/>
            <w:vAlign w:val="center"/>
          </w:tcPr>
          <w:p w14:paraId="31254ED9">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5" w:type="dxa"/>
            <w:noWrap w:val="0"/>
            <w:vAlign w:val="center"/>
          </w:tcPr>
          <w:p w14:paraId="0CCA606C">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32" w:type="dxa"/>
            <w:vMerge w:val="continue"/>
            <w:noWrap w:val="0"/>
            <w:vAlign w:val="center"/>
          </w:tcPr>
          <w:p w14:paraId="14CDAD46">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p>
        </w:tc>
      </w:tr>
      <w:tr w14:paraId="7374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96" w:type="dxa"/>
            <w:noWrap w:val="0"/>
            <w:vAlign w:val="center"/>
          </w:tcPr>
          <w:p w14:paraId="4B329C92">
            <w:pPr>
              <w:pStyle w:val="98"/>
              <w:keepNext w:val="0"/>
              <w:keepLines w:val="0"/>
              <w:widowControl/>
              <w:suppressLineNumbers w:val="0"/>
              <w:adjustRightInd w:val="0"/>
              <w:snapToGrid w:val="0"/>
              <w:spacing w:before="0" w:beforeAutospacing="0" w:after="0" w:afterAutospacing="0" w:line="264" w:lineRule="auto"/>
              <w:ind w:left="0" w:right="0"/>
              <w:rPr>
                <w:rFonts w:hint="eastAsia" w:ascii="Times New Roman" w:hAnsi="Times New Roman" w:eastAsia="宋体" w:cs="Times New Roman"/>
              </w:rPr>
            </w:pPr>
            <w:r>
              <w:rPr>
                <w:rFonts w:hint="eastAsia" w:ascii="Times New Roman" w:hAnsi="Times New Roman" w:eastAsia="宋体" w:cs="Times New Roman"/>
              </w:rPr>
              <w:t>6</w:t>
            </w:r>
          </w:p>
        </w:tc>
        <w:tc>
          <w:tcPr>
            <w:tcW w:w="5963" w:type="dxa"/>
            <w:noWrap w:val="0"/>
            <w:vAlign w:val="center"/>
          </w:tcPr>
          <w:p w14:paraId="52564DE3">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rPr>
              <w:t>对招标文件提出的实质性要求和条件作出响应的</w:t>
            </w:r>
          </w:p>
        </w:tc>
        <w:tc>
          <w:tcPr>
            <w:tcW w:w="844" w:type="dxa"/>
            <w:noWrap w:val="0"/>
            <w:vAlign w:val="center"/>
          </w:tcPr>
          <w:p w14:paraId="25825976">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5" w:type="dxa"/>
            <w:noWrap w:val="0"/>
            <w:vAlign w:val="center"/>
          </w:tcPr>
          <w:p w14:paraId="223F4A70">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32" w:type="dxa"/>
            <w:vMerge w:val="continue"/>
            <w:noWrap w:val="0"/>
            <w:vAlign w:val="center"/>
          </w:tcPr>
          <w:p w14:paraId="5C34247A">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p>
        </w:tc>
      </w:tr>
      <w:tr w14:paraId="5266A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96" w:type="dxa"/>
            <w:noWrap w:val="0"/>
            <w:vAlign w:val="center"/>
          </w:tcPr>
          <w:p w14:paraId="4AD2A4D9">
            <w:pPr>
              <w:pStyle w:val="98"/>
              <w:keepNext w:val="0"/>
              <w:keepLines w:val="0"/>
              <w:widowControl/>
              <w:suppressLineNumbers w:val="0"/>
              <w:adjustRightInd w:val="0"/>
              <w:snapToGrid w:val="0"/>
              <w:spacing w:before="0" w:beforeAutospacing="0" w:after="0" w:afterAutospacing="0" w:line="264" w:lineRule="auto"/>
              <w:ind w:left="0" w:right="0"/>
              <w:rPr>
                <w:rFonts w:hint="eastAsia" w:ascii="Times New Roman" w:hAnsi="Times New Roman" w:eastAsia="宋体" w:cs="Times New Roman"/>
              </w:rPr>
            </w:pPr>
            <w:r>
              <w:rPr>
                <w:rFonts w:hint="eastAsia" w:ascii="Times New Roman" w:hAnsi="Times New Roman" w:eastAsia="宋体" w:cs="Times New Roman"/>
              </w:rPr>
              <w:t>7</w:t>
            </w:r>
          </w:p>
        </w:tc>
        <w:tc>
          <w:tcPr>
            <w:tcW w:w="5963" w:type="dxa"/>
            <w:noWrap w:val="0"/>
            <w:vAlign w:val="center"/>
          </w:tcPr>
          <w:p w14:paraId="0396449A">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snapToGrid w:val="0"/>
                <w:kern w:val="0"/>
              </w:rPr>
              <w:t>投标报价没有不固定或没有同一方案有选择性报价</w:t>
            </w:r>
          </w:p>
        </w:tc>
        <w:tc>
          <w:tcPr>
            <w:tcW w:w="844" w:type="dxa"/>
            <w:noWrap w:val="0"/>
            <w:vAlign w:val="center"/>
          </w:tcPr>
          <w:p w14:paraId="5EC853A1">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5" w:type="dxa"/>
            <w:noWrap w:val="0"/>
            <w:vAlign w:val="center"/>
          </w:tcPr>
          <w:p w14:paraId="7ADD729F">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32" w:type="dxa"/>
            <w:vMerge w:val="continue"/>
            <w:noWrap w:val="0"/>
            <w:vAlign w:val="center"/>
          </w:tcPr>
          <w:p w14:paraId="1BD2858D">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p>
        </w:tc>
      </w:tr>
      <w:tr w14:paraId="7CD82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496" w:type="dxa"/>
            <w:noWrap w:val="0"/>
            <w:vAlign w:val="center"/>
          </w:tcPr>
          <w:p w14:paraId="6A7D1C39">
            <w:pPr>
              <w:pStyle w:val="98"/>
              <w:keepNext w:val="0"/>
              <w:keepLines w:val="0"/>
              <w:widowControl/>
              <w:suppressLineNumbers w:val="0"/>
              <w:adjustRightInd w:val="0"/>
              <w:snapToGrid w:val="0"/>
              <w:spacing w:before="0" w:beforeAutospacing="0" w:after="0" w:afterAutospacing="0" w:line="264" w:lineRule="auto"/>
              <w:ind w:left="0" w:right="0"/>
              <w:rPr>
                <w:rFonts w:hint="eastAsia" w:ascii="Times New Roman" w:hAnsi="Times New Roman" w:eastAsia="宋体" w:cs="Times New Roman"/>
              </w:rPr>
            </w:pPr>
            <w:r>
              <w:rPr>
                <w:rFonts w:hint="eastAsia" w:ascii="Times New Roman" w:hAnsi="Times New Roman" w:eastAsia="宋体" w:cs="Times New Roman"/>
              </w:rPr>
              <w:t>8</w:t>
            </w:r>
          </w:p>
        </w:tc>
        <w:tc>
          <w:tcPr>
            <w:tcW w:w="5963" w:type="dxa"/>
            <w:noWrap w:val="0"/>
            <w:vAlign w:val="center"/>
          </w:tcPr>
          <w:p w14:paraId="3CF85A74">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rPr>
              <w:t>没有招标文件、法律、法规规定的其他否决投标条件</w:t>
            </w:r>
          </w:p>
        </w:tc>
        <w:tc>
          <w:tcPr>
            <w:tcW w:w="844" w:type="dxa"/>
            <w:noWrap w:val="0"/>
            <w:vAlign w:val="center"/>
          </w:tcPr>
          <w:p w14:paraId="2E658EA3">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5" w:type="dxa"/>
            <w:noWrap w:val="0"/>
            <w:vAlign w:val="center"/>
          </w:tcPr>
          <w:p w14:paraId="11BC7CE3">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32" w:type="dxa"/>
            <w:vMerge w:val="continue"/>
            <w:noWrap w:val="0"/>
            <w:vAlign w:val="center"/>
          </w:tcPr>
          <w:p w14:paraId="5B6C718B">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p>
        </w:tc>
      </w:tr>
    </w:tbl>
    <w:p w14:paraId="17F1D627">
      <w:pPr>
        <w:spacing w:before="0" w:beforeLines="0" w:after="156" w:afterLines="50"/>
        <w:ind w:firstLine="420"/>
        <w:rPr>
          <w:rFonts w:ascii="Times New Roman"/>
          <w:sz w:val="21"/>
          <w:szCs w:val="21"/>
        </w:rPr>
      </w:pPr>
      <w:r>
        <w:rPr>
          <w:rFonts w:ascii="Times New Roman"/>
          <w:sz w:val="21"/>
          <w:szCs w:val="21"/>
        </w:rPr>
        <w:t>注：本表内容由经济评审组评审使用。</w:t>
      </w:r>
    </w:p>
    <w:p w14:paraId="7AD0512B">
      <w:pPr>
        <w:spacing w:before="0" w:beforeLines="0"/>
        <w:ind w:firstLine="482"/>
        <w:jc w:val="center"/>
        <w:rPr>
          <w:rFonts w:ascii="Times New Roman"/>
          <w:sz w:val="21"/>
          <w:szCs w:val="21"/>
        </w:rPr>
      </w:pPr>
      <w:r>
        <w:rPr>
          <w:rFonts w:ascii="Times New Roman"/>
          <w:b/>
          <w:bCs/>
        </w:rPr>
        <w:t>初步评审表（二）</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6095"/>
        <w:gridCol w:w="805"/>
        <w:gridCol w:w="904"/>
        <w:gridCol w:w="790"/>
      </w:tblGrid>
      <w:tr w14:paraId="5D96F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blHeader/>
          <w:jc w:val="center"/>
        </w:trPr>
        <w:tc>
          <w:tcPr>
            <w:tcW w:w="466" w:type="dxa"/>
            <w:noWrap w:val="0"/>
            <w:vAlign w:val="center"/>
          </w:tcPr>
          <w:p w14:paraId="5579CA42">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b/>
              </w:rPr>
            </w:pPr>
            <w:r>
              <w:rPr>
                <w:rFonts w:ascii="Times New Roman" w:hAnsi="Times New Roman" w:eastAsia="宋体" w:cs="Times New Roman"/>
                <w:b/>
              </w:rPr>
              <w:t>序号</w:t>
            </w:r>
          </w:p>
        </w:tc>
        <w:tc>
          <w:tcPr>
            <w:tcW w:w="6095" w:type="dxa"/>
            <w:noWrap w:val="0"/>
            <w:vAlign w:val="center"/>
          </w:tcPr>
          <w:p w14:paraId="185E847D">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b/>
              </w:rPr>
            </w:pPr>
            <w:r>
              <w:rPr>
                <w:rFonts w:ascii="Times New Roman" w:hAnsi="Times New Roman" w:eastAsia="宋体" w:cs="Times New Roman"/>
                <w:b/>
              </w:rPr>
              <w:t>评审项目</w:t>
            </w:r>
          </w:p>
        </w:tc>
        <w:tc>
          <w:tcPr>
            <w:tcW w:w="1709" w:type="dxa"/>
            <w:gridSpan w:val="2"/>
            <w:noWrap w:val="0"/>
            <w:vAlign w:val="center"/>
          </w:tcPr>
          <w:p w14:paraId="040EB2C6">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b/>
              </w:rPr>
            </w:pPr>
            <w:r>
              <w:rPr>
                <w:rFonts w:ascii="Times New Roman" w:hAnsi="Times New Roman" w:eastAsia="宋体" w:cs="Times New Roman"/>
                <w:b/>
              </w:rPr>
              <w:t>评审标准</w:t>
            </w:r>
          </w:p>
        </w:tc>
        <w:tc>
          <w:tcPr>
            <w:tcW w:w="790" w:type="dxa"/>
            <w:noWrap w:val="0"/>
            <w:vAlign w:val="center"/>
          </w:tcPr>
          <w:p w14:paraId="2A1C0E29">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b/>
              </w:rPr>
            </w:pPr>
            <w:r>
              <w:rPr>
                <w:rFonts w:ascii="Times New Roman" w:hAnsi="Times New Roman" w:eastAsia="宋体" w:cs="Times New Roman"/>
                <w:b/>
              </w:rPr>
              <w:t>通过标准</w:t>
            </w:r>
          </w:p>
        </w:tc>
      </w:tr>
      <w:tr w14:paraId="623D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466" w:type="dxa"/>
            <w:noWrap w:val="0"/>
            <w:vAlign w:val="center"/>
          </w:tcPr>
          <w:p w14:paraId="7BF5F338">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1</w:t>
            </w:r>
          </w:p>
        </w:tc>
        <w:tc>
          <w:tcPr>
            <w:tcW w:w="6095" w:type="dxa"/>
            <w:noWrap w:val="0"/>
            <w:vAlign w:val="center"/>
          </w:tcPr>
          <w:p w14:paraId="0ED69C5E">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snapToGrid w:val="0"/>
                <w:kern w:val="0"/>
              </w:rPr>
              <w:t>投标文件按规定签署或盖章的</w:t>
            </w:r>
          </w:p>
        </w:tc>
        <w:tc>
          <w:tcPr>
            <w:tcW w:w="805" w:type="dxa"/>
            <w:noWrap w:val="0"/>
            <w:vAlign w:val="center"/>
          </w:tcPr>
          <w:p w14:paraId="3EA86D59">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4" w:type="dxa"/>
            <w:noWrap w:val="0"/>
            <w:vAlign w:val="center"/>
          </w:tcPr>
          <w:p w14:paraId="6AC0FF81">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90" w:type="dxa"/>
            <w:vMerge w:val="restart"/>
            <w:noWrap w:val="0"/>
            <w:vAlign w:val="center"/>
          </w:tcPr>
          <w:p w14:paraId="7D9E95F8">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各项均符合，为通过；否则为不通过</w:t>
            </w:r>
          </w:p>
        </w:tc>
      </w:tr>
      <w:tr w14:paraId="79D51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466" w:type="dxa"/>
            <w:noWrap w:val="0"/>
            <w:vAlign w:val="center"/>
          </w:tcPr>
          <w:p w14:paraId="1D9A3E1F">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2</w:t>
            </w:r>
          </w:p>
        </w:tc>
        <w:tc>
          <w:tcPr>
            <w:tcW w:w="6095" w:type="dxa"/>
            <w:noWrap w:val="0"/>
            <w:vAlign w:val="center"/>
          </w:tcPr>
          <w:p w14:paraId="3449C16F">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rPr>
              <w:t>投标文件按规定的格式填写，内容</w:t>
            </w:r>
            <w:r>
              <w:rPr>
                <w:rFonts w:hint="eastAsia" w:ascii="Times New Roman" w:hAnsi="Times New Roman" w:eastAsia="宋体" w:cs="Times New Roman"/>
              </w:rPr>
              <w:t>齐</w:t>
            </w:r>
            <w:r>
              <w:rPr>
                <w:rFonts w:ascii="Times New Roman" w:hAnsi="Times New Roman" w:eastAsia="宋体" w:cs="Times New Roman"/>
              </w:rPr>
              <w:t>全的</w:t>
            </w:r>
          </w:p>
        </w:tc>
        <w:tc>
          <w:tcPr>
            <w:tcW w:w="805" w:type="dxa"/>
            <w:noWrap w:val="0"/>
            <w:vAlign w:val="center"/>
          </w:tcPr>
          <w:p w14:paraId="5CD78564">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4" w:type="dxa"/>
            <w:noWrap w:val="0"/>
            <w:vAlign w:val="center"/>
          </w:tcPr>
          <w:p w14:paraId="737A6784">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90" w:type="dxa"/>
            <w:vMerge w:val="continue"/>
            <w:noWrap w:val="0"/>
            <w:vAlign w:val="center"/>
          </w:tcPr>
          <w:p w14:paraId="34307DB7">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p>
        </w:tc>
      </w:tr>
      <w:tr w14:paraId="77EAD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466" w:type="dxa"/>
            <w:noWrap w:val="0"/>
            <w:vAlign w:val="center"/>
          </w:tcPr>
          <w:p w14:paraId="0F07E32D">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3</w:t>
            </w:r>
          </w:p>
        </w:tc>
        <w:tc>
          <w:tcPr>
            <w:tcW w:w="6095" w:type="dxa"/>
            <w:noWrap w:val="0"/>
            <w:vAlign w:val="center"/>
          </w:tcPr>
          <w:p w14:paraId="186D24E6">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rPr>
              <w:t>投标人对招标文件提出的实质性要求和条件作出响应或未拒绝承担</w:t>
            </w:r>
            <w:r>
              <w:rPr>
                <w:rFonts w:hint="eastAsia" w:ascii="Times New Roman" w:hAnsi="Times New Roman" w:eastAsia="宋体" w:cs="Times New Roman"/>
              </w:rPr>
              <w:t>全部</w:t>
            </w:r>
            <w:r>
              <w:rPr>
                <w:rFonts w:ascii="Times New Roman" w:hAnsi="Times New Roman" w:eastAsia="宋体" w:cs="Times New Roman"/>
              </w:rPr>
              <w:t>咨询服务的</w:t>
            </w:r>
          </w:p>
        </w:tc>
        <w:tc>
          <w:tcPr>
            <w:tcW w:w="805" w:type="dxa"/>
            <w:noWrap w:val="0"/>
            <w:vAlign w:val="center"/>
          </w:tcPr>
          <w:p w14:paraId="34280098">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4" w:type="dxa"/>
            <w:noWrap w:val="0"/>
            <w:vAlign w:val="center"/>
          </w:tcPr>
          <w:p w14:paraId="5CAFF4AC">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90" w:type="dxa"/>
            <w:vMerge w:val="continue"/>
            <w:noWrap w:val="0"/>
            <w:vAlign w:val="center"/>
          </w:tcPr>
          <w:p w14:paraId="49849DC7">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p>
        </w:tc>
      </w:tr>
      <w:tr w14:paraId="2B38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466" w:type="dxa"/>
            <w:noWrap w:val="0"/>
            <w:vAlign w:val="center"/>
          </w:tcPr>
          <w:p w14:paraId="029F534B">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4</w:t>
            </w:r>
          </w:p>
        </w:tc>
        <w:tc>
          <w:tcPr>
            <w:tcW w:w="6095" w:type="dxa"/>
            <w:noWrap w:val="0"/>
            <w:vAlign w:val="center"/>
          </w:tcPr>
          <w:p w14:paraId="1A1383BC">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rPr>
              <w:t>投标人未在资格审查部分、资信部分或技术部分中透露了有关报价的信息的</w:t>
            </w:r>
          </w:p>
        </w:tc>
        <w:tc>
          <w:tcPr>
            <w:tcW w:w="805" w:type="dxa"/>
            <w:noWrap w:val="0"/>
            <w:vAlign w:val="center"/>
          </w:tcPr>
          <w:p w14:paraId="195BD821">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4" w:type="dxa"/>
            <w:noWrap w:val="0"/>
            <w:vAlign w:val="center"/>
          </w:tcPr>
          <w:p w14:paraId="7DF72CB5">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90" w:type="dxa"/>
            <w:vMerge w:val="continue"/>
            <w:noWrap w:val="0"/>
            <w:vAlign w:val="center"/>
          </w:tcPr>
          <w:p w14:paraId="240BCE0A">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p>
        </w:tc>
      </w:tr>
      <w:tr w14:paraId="503E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466" w:type="dxa"/>
            <w:noWrap w:val="0"/>
            <w:vAlign w:val="center"/>
          </w:tcPr>
          <w:p w14:paraId="1EC1E9BA">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5</w:t>
            </w:r>
          </w:p>
        </w:tc>
        <w:tc>
          <w:tcPr>
            <w:tcW w:w="6095" w:type="dxa"/>
            <w:noWrap w:val="0"/>
            <w:vAlign w:val="center"/>
          </w:tcPr>
          <w:p w14:paraId="064F720C">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ascii="Times New Roman" w:hAnsi="Times New Roman" w:eastAsia="宋体" w:cs="Times New Roman"/>
              </w:rPr>
              <w:t>没有招标文件、法律、法规规定的其他否决投标条件</w:t>
            </w:r>
          </w:p>
        </w:tc>
        <w:tc>
          <w:tcPr>
            <w:tcW w:w="805" w:type="dxa"/>
            <w:noWrap w:val="0"/>
            <w:vAlign w:val="center"/>
          </w:tcPr>
          <w:p w14:paraId="3166EBCD">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符合</w:t>
            </w:r>
          </w:p>
        </w:tc>
        <w:tc>
          <w:tcPr>
            <w:tcW w:w="904" w:type="dxa"/>
            <w:noWrap w:val="0"/>
            <w:vAlign w:val="center"/>
          </w:tcPr>
          <w:p w14:paraId="18B669AC">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r>
              <w:rPr>
                <w:rFonts w:ascii="Times New Roman" w:hAnsi="Times New Roman" w:eastAsia="宋体" w:cs="Times New Roman"/>
              </w:rPr>
              <w:t>不符合</w:t>
            </w:r>
          </w:p>
        </w:tc>
        <w:tc>
          <w:tcPr>
            <w:tcW w:w="790" w:type="dxa"/>
            <w:vMerge w:val="continue"/>
            <w:noWrap w:val="0"/>
            <w:vAlign w:val="center"/>
          </w:tcPr>
          <w:p w14:paraId="5157FE1A">
            <w:pPr>
              <w:pStyle w:val="98"/>
              <w:keepNext w:val="0"/>
              <w:keepLines w:val="0"/>
              <w:widowControl/>
              <w:suppressLineNumbers w:val="0"/>
              <w:adjustRightInd w:val="0"/>
              <w:snapToGrid w:val="0"/>
              <w:spacing w:before="0" w:beforeAutospacing="0" w:after="0" w:afterAutospacing="0" w:line="264" w:lineRule="auto"/>
              <w:ind w:left="0" w:right="0"/>
              <w:rPr>
                <w:rFonts w:ascii="Times New Roman" w:hAnsi="Times New Roman" w:eastAsia="宋体" w:cs="Times New Roman"/>
              </w:rPr>
            </w:pPr>
          </w:p>
        </w:tc>
      </w:tr>
    </w:tbl>
    <w:p w14:paraId="2B82A9F3">
      <w:pPr>
        <w:spacing w:before="0" w:beforeLines="0"/>
        <w:ind w:firstLine="420"/>
        <w:rPr>
          <w:rFonts w:ascii="Times New Roman"/>
          <w:sz w:val="21"/>
          <w:szCs w:val="21"/>
        </w:rPr>
      </w:pPr>
      <w:r>
        <w:rPr>
          <w:rFonts w:ascii="Times New Roman"/>
          <w:sz w:val="21"/>
          <w:szCs w:val="21"/>
        </w:rPr>
        <w:t>注：本表内容由技术评审组评审使用。</w:t>
      </w:r>
    </w:p>
    <w:p w14:paraId="2A303F49">
      <w:pPr>
        <w:pStyle w:val="5"/>
        <w:spacing w:before="0" w:beforeLines="0"/>
        <w:ind w:firstLine="0" w:firstLineChars="0"/>
        <w:rPr>
          <w:rFonts w:ascii="Times New Roman" w:hAnsi="Times New Roman"/>
        </w:rPr>
      </w:pPr>
      <w:bookmarkStart w:id="1074" w:name="_Toc491534462"/>
      <w:bookmarkStart w:id="1075" w:name="_Toc375230854"/>
      <w:bookmarkStart w:id="1076" w:name="_Toc384823604"/>
      <w:bookmarkStart w:id="1077" w:name="_Toc375212289"/>
      <w:bookmarkStart w:id="1078" w:name="_Toc13411"/>
      <w:r>
        <w:rPr>
          <w:rFonts w:ascii="Times New Roman" w:hAnsi="Times New Roman"/>
        </w:rPr>
        <w:br w:type="page"/>
      </w:r>
      <w:bookmarkStart w:id="1079" w:name="_Toc193981304"/>
      <w:r>
        <w:rPr>
          <w:rFonts w:ascii="Times New Roman" w:hAnsi="Times New Roman"/>
        </w:rPr>
        <w:t>附表三 资信部分评审表</w:t>
      </w:r>
      <w:bookmarkEnd w:id="1074"/>
      <w:bookmarkEnd w:id="1075"/>
      <w:bookmarkEnd w:id="1076"/>
      <w:bookmarkEnd w:id="1077"/>
      <w:bookmarkEnd w:id="1078"/>
      <w:bookmarkEnd w:id="1079"/>
    </w:p>
    <w:tbl>
      <w:tblPr>
        <w:tblStyle w:val="48"/>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1134"/>
        <w:gridCol w:w="850"/>
        <w:gridCol w:w="6096"/>
        <w:gridCol w:w="506"/>
      </w:tblGrid>
      <w:tr w14:paraId="21A49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392" w:type="dxa"/>
            <w:noWrap w:val="0"/>
            <w:vAlign w:val="center"/>
          </w:tcPr>
          <w:p w14:paraId="4E98722F">
            <w:pPr>
              <w:keepNext w:val="0"/>
              <w:keepLines w:val="0"/>
              <w:suppressLineNumbers w:val="0"/>
              <w:spacing w:before="0" w:beforeLines="0" w:beforeAutospacing="0" w:after="0" w:afterAutospacing="0" w:line="264"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序号</w:t>
            </w:r>
          </w:p>
        </w:tc>
        <w:tc>
          <w:tcPr>
            <w:tcW w:w="1134" w:type="dxa"/>
            <w:noWrap w:val="0"/>
            <w:vAlign w:val="center"/>
          </w:tcPr>
          <w:p w14:paraId="734CBD18">
            <w:pPr>
              <w:keepNext w:val="0"/>
              <w:keepLines w:val="0"/>
              <w:suppressLineNumbers w:val="0"/>
              <w:spacing w:before="0" w:beforeLines="0" w:beforeAutospacing="0" w:after="0" w:afterAutospacing="0" w:line="264"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评审内容</w:t>
            </w:r>
          </w:p>
        </w:tc>
        <w:tc>
          <w:tcPr>
            <w:tcW w:w="850" w:type="dxa"/>
            <w:noWrap w:val="0"/>
            <w:vAlign w:val="center"/>
          </w:tcPr>
          <w:p w14:paraId="46A7336C">
            <w:pPr>
              <w:keepNext w:val="0"/>
              <w:keepLines w:val="0"/>
              <w:suppressLineNumbers w:val="0"/>
              <w:spacing w:before="0" w:beforeLines="0" w:beforeAutospacing="0" w:after="0" w:afterAutospacing="0" w:line="264"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标准分</w:t>
            </w:r>
          </w:p>
        </w:tc>
        <w:tc>
          <w:tcPr>
            <w:tcW w:w="6096" w:type="dxa"/>
            <w:noWrap w:val="0"/>
            <w:vAlign w:val="center"/>
          </w:tcPr>
          <w:p w14:paraId="403DBB32">
            <w:pPr>
              <w:keepNext w:val="0"/>
              <w:keepLines w:val="0"/>
              <w:suppressLineNumbers w:val="0"/>
              <w:spacing w:before="0" w:beforeLines="0" w:beforeAutospacing="0" w:after="0" w:afterAutospacing="0" w:line="264"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评审标准</w:t>
            </w:r>
          </w:p>
        </w:tc>
        <w:tc>
          <w:tcPr>
            <w:tcW w:w="506" w:type="dxa"/>
            <w:noWrap w:val="0"/>
            <w:vAlign w:val="center"/>
          </w:tcPr>
          <w:p w14:paraId="2DB677AD">
            <w:pPr>
              <w:keepNext w:val="0"/>
              <w:keepLines w:val="0"/>
              <w:suppressLineNumbers w:val="0"/>
              <w:spacing w:before="0" w:beforeLines="0" w:beforeAutospacing="0" w:after="0" w:afterAutospacing="0" w:line="264"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得分</w:t>
            </w:r>
          </w:p>
        </w:tc>
      </w:tr>
      <w:tr w14:paraId="73A3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noWrap w:val="0"/>
            <w:vAlign w:val="center"/>
          </w:tcPr>
          <w:p w14:paraId="7385F976">
            <w:pPr>
              <w:keepNext w:val="0"/>
              <w:keepLines w:val="0"/>
              <w:suppressLineNumbers w:val="0"/>
              <w:spacing w:before="0" w:beforeLines="0" w:beforeAutospacing="0" w:after="0" w:afterAutospacing="0" w:line="264"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1</w:t>
            </w:r>
          </w:p>
        </w:tc>
        <w:tc>
          <w:tcPr>
            <w:tcW w:w="1134" w:type="dxa"/>
            <w:noWrap w:val="0"/>
            <w:vAlign w:val="center"/>
          </w:tcPr>
          <w:p w14:paraId="0D88C5E1">
            <w:pPr>
              <w:keepNext w:val="0"/>
              <w:keepLines w:val="0"/>
              <w:suppressLineNumbers w:val="0"/>
              <w:spacing w:before="0" w:beforeLines="0" w:beforeAutospacing="0" w:after="0" w:afterAutospacing="0" w:line="264" w:lineRule="auto"/>
              <w:ind w:left="0" w:right="0" w:firstLine="0" w:firstLineChars="0"/>
              <w:rPr>
                <w:rFonts w:ascii="Times New Roman" w:hAnsi="Calibri" w:eastAsia="宋体" w:cs="Times New Roman"/>
                <w:sz w:val="21"/>
                <w:szCs w:val="21"/>
              </w:rPr>
            </w:pPr>
            <w:r>
              <w:rPr>
                <w:rFonts w:ascii="Times New Roman" w:hAnsi="Calibri" w:eastAsia="宋体" w:cs="Times New Roman"/>
                <w:sz w:val="21"/>
                <w:szCs w:val="21"/>
              </w:rPr>
              <w:t>企业业绩</w:t>
            </w:r>
          </w:p>
        </w:tc>
        <w:tc>
          <w:tcPr>
            <w:tcW w:w="850" w:type="dxa"/>
            <w:noWrap w:val="0"/>
            <w:vAlign w:val="center"/>
          </w:tcPr>
          <w:p w14:paraId="7755C963">
            <w:pPr>
              <w:keepNext w:val="0"/>
              <w:keepLines w:val="0"/>
              <w:suppressLineNumbers w:val="0"/>
              <w:spacing w:before="0" w:beforeLines="0" w:beforeAutospacing="0" w:after="0" w:afterAutospacing="0" w:line="264" w:lineRule="auto"/>
              <w:ind w:left="0" w:right="0" w:firstLine="0" w:firstLineChars="0"/>
              <w:jc w:val="center"/>
              <w:rPr>
                <w:rFonts w:hint="eastAsia" w:ascii="Times New Roman" w:hAnsi="Calibri" w:eastAsia="宋体" w:cs="Times New Roman"/>
                <w:sz w:val="21"/>
                <w:szCs w:val="21"/>
                <w:lang w:eastAsia="zh-CN"/>
              </w:rPr>
            </w:pPr>
            <w:r>
              <w:rPr>
                <w:rFonts w:hint="eastAsia" w:ascii="Times New Roman" w:hAnsi="Calibri" w:eastAsia="宋体" w:cs="Times New Roman"/>
                <w:sz w:val="21"/>
                <w:szCs w:val="21"/>
              </w:rPr>
              <w:t>1</w:t>
            </w:r>
            <w:r>
              <w:rPr>
                <w:rFonts w:hint="eastAsia" w:ascii="Times New Roman" w:hAnsi="Calibri" w:eastAsia="宋体" w:cs="Times New Roman"/>
                <w:sz w:val="21"/>
                <w:szCs w:val="21"/>
                <w:lang w:val="en-US" w:eastAsia="zh-CN"/>
              </w:rPr>
              <w:t>8</w:t>
            </w:r>
          </w:p>
        </w:tc>
        <w:tc>
          <w:tcPr>
            <w:tcW w:w="6096" w:type="dxa"/>
            <w:noWrap w:val="0"/>
            <w:vAlign w:val="center"/>
          </w:tcPr>
          <w:p w14:paraId="63135FDF">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bookmarkStart w:id="1080" w:name="OLE_LINK25"/>
            <w:r>
              <w:rPr>
                <w:rFonts w:hint="eastAsia" w:ascii="Times New Roman" w:hAnsi="Times New Roman" w:eastAsia="宋体" w:cs="Times New Roman"/>
              </w:rPr>
              <w:t>近3年内（202</w:t>
            </w:r>
            <w:r>
              <w:rPr>
                <w:rFonts w:hint="eastAsia" w:ascii="Times New Roman" w:hAnsi="Times New Roman" w:eastAsia="宋体" w:cs="Times New Roman"/>
                <w:lang w:val="en-US" w:eastAsia="zh-CN"/>
              </w:rPr>
              <w:t>3</w:t>
            </w:r>
            <w:r>
              <w:rPr>
                <w:rFonts w:hint="eastAsia" w:ascii="Times New Roman" w:hAnsi="Times New Roman" w:eastAsia="宋体" w:cs="Times New Roman"/>
              </w:rPr>
              <w:t>年1月1日至投标截止日前）承接过项目类似业绩。每个得4</w:t>
            </w:r>
            <w:r>
              <w:rPr>
                <w:rFonts w:hint="eastAsia" w:ascii="Times New Roman" w:hAnsi="Times New Roman" w:eastAsia="宋体" w:cs="Times New Roman"/>
                <w:lang w:val="en-US" w:eastAsia="zh-CN"/>
              </w:rPr>
              <w:t>.5</w:t>
            </w:r>
            <w:r>
              <w:rPr>
                <w:rFonts w:hint="eastAsia" w:ascii="Times New Roman" w:hAnsi="Times New Roman" w:eastAsia="宋体" w:cs="Times New Roman"/>
              </w:rPr>
              <w:t>分，满分1</w:t>
            </w:r>
            <w:r>
              <w:rPr>
                <w:rFonts w:hint="eastAsia" w:ascii="Times New Roman" w:hAnsi="Times New Roman" w:eastAsia="宋体" w:cs="Times New Roman"/>
                <w:lang w:val="en-US" w:eastAsia="zh-CN"/>
              </w:rPr>
              <w:t>8</w:t>
            </w:r>
            <w:r>
              <w:rPr>
                <w:rFonts w:hint="eastAsia" w:ascii="Times New Roman" w:hAnsi="Times New Roman" w:eastAsia="宋体" w:cs="Times New Roman"/>
              </w:rPr>
              <w:t>分。</w:t>
            </w:r>
          </w:p>
          <w:p w14:paraId="1A33AF6D">
            <w:pPr>
              <w:pStyle w:val="98"/>
              <w:keepNext w:val="0"/>
              <w:keepLines w:val="0"/>
              <w:widowControl/>
              <w:suppressLineNumbers w:val="0"/>
              <w:adjustRightInd w:val="0"/>
              <w:snapToGrid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 xml:space="preserve">注： </w:t>
            </w:r>
            <w:r>
              <w:rPr>
                <w:rFonts w:hint="eastAsia" w:eastAsia="宋体"/>
              </w:rPr>
              <w:t>①“类似业绩”指：房地产开发项目（建筑面积15万㎡（含）以上）工程造价咨询服务业绩；</w:t>
            </w:r>
            <w:bookmarkEnd w:id="1080"/>
          </w:p>
        </w:tc>
        <w:tc>
          <w:tcPr>
            <w:tcW w:w="506" w:type="dxa"/>
            <w:noWrap w:val="0"/>
            <w:vAlign w:val="center"/>
          </w:tcPr>
          <w:p w14:paraId="0A78E3EF">
            <w:pPr>
              <w:keepNext w:val="0"/>
              <w:keepLines w:val="0"/>
              <w:suppressLineNumbers w:val="0"/>
              <w:spacing w:before="0" w:beforeLines="0" w:beforeAutospacing="0" w:after="0" w:afterAutospacing="0" w:line="264" w:lineRule="auto"/>
              <w:ind w:left="0" w:right="0" w:firstLine="420"/>
              <w:jc w:val="center"/>
              <w:rPr>
                <w:rFonts w:ascii="Times New Roman" w:hAnsi="Calibri" w:eastAsia="宋体" w:cs="Times New Roman"/>
                <w:sz w:val="21"/>
                <w:szCs w:val="21"/>
              </w:rPr>
            </w:pPr>
          </w:p>
        </w:tc>
      </w:tr>
      <w:tr w14:paraId="4B922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noWrap w:val="0"/>
            <w:vAlign w:val="center"/>
          </w:tcPr>
          <w:p w14:paraId="21301E06">
            <w:pPr>
              <w:keepNext w:val="0"/>
              <w:keepLines w:val="0"/>
              <w:suppressLineNumbers w:val="0"/>
              <w:spacing w:before="0" w:beforeLines="0" w:beforeAutospacing="0" w:after="0" w:afterAutospacing="0" w:line="264" w:lineRule="auto"/>
              <w:ind w:left="0" w:right="0" w:firstLine="0" w:firstLineChars="0"/>
              <w:jc w:val="center"/>
              <w:rPr>
                <w:rFonts w:ascii="Times New Roman" w:hAnsi="Calibri" w:eastAsia="宋体" w:cs="Times New Roman"/>
                <w:sz w:val="21"/>
                <w:szCs w:val="21"/>
              </w:rPr>
            </w:pPr>
            <w:r>
              <w:rPr>
                <w:rFonts w:hint="eastAsia" w:ascii="Times New Roman" w:hAnsi="Calibri" w:eastAsia="宋体" w:cs="Times New Roman"/>
                <w:sz w:val="21"/>
                <w:szCs w:val="21"/>
              </w:rPr>
              <w:t>2</w:t>
            </w:r>
          </w:p>
        </w:tc>
        <w:tc>
          <w:tcPr>
            <w:tcW w:w="1134" w:type="dxa"/>
            <w:noWrap w:val="0"/>
            <w:vAlign w:val="center"/>
          </w:tcPr>
          <w:p w14:paraId="21E48015">
            <w:pPr>
              <w:keepNext w:val="0"/>
              <w:keepLines w:val="0"/>
              <w:suppressLineNumbers w:val="0"/>
              <w:spacing w:before="0" w:beforeLines="0" w:beforeAutospacing="0" w:after="0" w:afterAutospacing="0" w:line="264"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企业获奖情况</w:t>
            </w:r>
          </w:p>
        </w:tc>
        <w:tc>
          <w:tcPr>
            <w:tcW w:w="850" w:type="dxa"/>
            <w:noWrap w:val="0"/>
            <w:vAlign w:val="center"/>
          </w:tcPr>
          <w:p w14:paraId="08D498DA">
            <w:pPr>
              <w:keepNext w:val="0"/>
              <w:keepLines w:val="0"/>
              <w:suppressLineNumbers w:val="0"/>
              <w:spacing w:before="0" w:beforeLines="0" w:beforeAutospacing="0" w:after="0" w:afterAutospacing="0" w:line="264" w:lineRule="auto"/>
              <w:ind w:left="0" w:right="0" w:firstLine="0" w:firstLineChars="0"/>
              <w:jc w:val="center"/>
              <w:rPr>
                <w:rFonts w:hint="eastAsia" w:ascii="Times New Roman" w:hAnsi="Calibri" w:eastAsia="宋体" w:cs="Times New Roman"/>
                <w:sz w:val="21"/>
                <w:szCs w:val="21"/>
                <w:lang w:eastAsia="zh-CN"/>
              </w:rPr>
            </w:pPr>
            <w:r>
              <w:rPr>
                <w:rFonts w:hint="eastAsia" w:ascii="Times New Roman" w:hAnsi="Calibri" w:eastAsia="宋体" w:cs="Times New Roman"/>
                <w:sz w:val="21"/>
                <w:szCs w:val="21"/>
                <w:lang w:val="en-US" w:eastAsia="zh-CN"/>
              </w:rPr>
              <w:t>2</w:t>
            </w:r>
          </w:p>
        </w:tc>
        <w:tc>
          <w:tcPr>
            <w:tcW w:w="6096" w:type="dxa"/>
            <w:noWrap w:val="0"/>
            <w:vAlign w:val="center"/>
          </w:tcPr>
          <w:p w14:paraId="2B015002">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投标人近五年内（202</w:t>
            </w:r>
            <w:r>
              <w:rPr>
                <w:rFonts w:hint="eastAsia" w:ascii="Times New Roman" w:hAnsi="Times New Roman" w:eastAsia="宋体" w:cs="Times New Roman"/>
                <w:lang w:val="en-US" w:eastAsia="zh-CN"/>
              </w:rPr>
              <w:t>1</w:t>
            </w:r>
            <w:r>
              <w:rPr>
                <w:rFonts w:hint="eastAsia" w:ascii="Times New Roman" w:hAnsi="Times New Roman" w:eastAsia="宋体" w:cs="Times New Roman"/>
              </w:rPr>
              <w:t>年1月1日至投标截止日前），获得过省级或市级工程造价管理协会颁发的荣誉证书或获奖证书的，每个得</w:t>
            </w:r>
            <w:r>
              <w:rPr>
                <w:rFonts w:hint="eastAsia" w:ascii="Times New Roman" w:hAnsi="Times New Roman" w:eastAsia="宋体" w:cs="Times New Roman"/>
                <w:lang w:val="en-US" w:eastAsia="zh-CN"/>
              </w:rPr>
              <w:t>1</w:t>
            </w:r>
            <w:r>
              <w:rPr>
                <w:rFonts w:hint="eastAsia" w:ascii="Times New Roman" w:hAnsi="Times New Roman" w:eastAsia="宋体" w:cs="Times New Roman"/>
              </w:rPr>
              <w:t>分，此项最高得</w:t>
            </w:r>
            <w:r>
              <w:rPr>
                <w:rFonts w:hint="eastAsia" w:ascii="Times New Roman" w:hAnsi="Times New Roman" w:eastAsia="宋体" w:cs="Times New Roman"/>
                <w:lang w:val="en-US" w:eastAsia="zh-CN"/>
              </w:rPr>
              <w:t>2</w:t>
            </w:r>
            <w:r>
              <w:rPr>
                <w:rFonts w:hint="eastAsia" w:ascii="Times New Roman" w:hAnsi="Times New Roman" w:eastAsia="宋体" w:cs="Times New Roman"/>
              </w:rPr>
              <w:t>分。</w:t>
            </w:r>
          </w:p>
        </w:tc>
        <w:tc>
          <w:tcPr>
            <w:tcW w:w="506" w:type="dxa"/>
            <w:noWrap w:val="0"/>
            <w:vAlign w:val="center"/>
          </w:tcPr>
          <w:p w14:paraId="4C90E8E2">
            <w:pPr>
              <w:keepNext w:val="0"/>
              <w:keepLines w:val="0"/>
              <w:suppressLineNumbers w:val="0"/>
              <w:spacing w:before="0" w:beforeLines="0" w:beforeAutospacing="0" w:after="0" w:afterAutospacing="0" w:line="264" w:lineRule="auto"/>
              <w:ind w:left="0" w:right="0" w:firstLine="420"/>
              <w:jc w:val="center"/>
              <w:rPr>
                <w:rFonts w:ascii="Times New Roman" w:hAnsi="Calibri" w:eastAsia="宋体" w:cs="Times New Roman"/>
                <w:sz w:val="21"/>
                <w:szCs w:val="21"/>
              </w:rPr>
            </w:pPr>
          </w:p>
        </w:tc>
      </w:tr>
      <w:tr w14:paraId="276E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1526" w:type="dxa"/>
            <w:gridSpan w:val="2"/>
            <w:noWrap w:val="0"/>
            <w:vAlign w:val="center"/>
          </w:tcPr>
          <w:p w14:paraId="42D5CB57">
            <w:pPr>
              <w:keepNext w:val="0"/>
              <w:keepLines w:val="0"/>
              <w:suppressLineNumbers w:val="0"/>
              <w:spacing w:before="0" w:beforeLines="0" w:beforeAutospacing="0" w:after="0" w:afterAutospacing="0" w:line="264"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满分</w:t>
            </w:r>
          </w:p>
        </w:tc>
        <w:tc>
          <w:tcPr>
            <w:tcW w:w="850" w:type="dxa"/>
            <w:noWrap w:val="0"/>
            <w:vAlign w:val="center"/>
          </w:tcPr>
          <w:p w14:paraId="1F3210E3">
            <w:pPr>
              <w:keepNext w:val="0"/>
              <w:keepLines w:val="0"/>
              <w:suppressLineNumbers w:val="0"/>
              <w:spacing w:before="0" w:beforeLines="0" w:beforeAutospacing="0" w:after="0" w:afterAutospacing="0" w:line="264" w:lineRule="auto"/>
              <w:ind w:left="0" w:right="0" w:firstLine="0" w:firstLineChars="0"/>
              <w:jc w:val="center"/>
              <w:rPr>
                <w:rFonts w:ascii="Times New Roman" w:hAnsi="Calibri" w:eastAsia="宋体" w:cs="Times New Roman"/>
                <w:sz w:val="21"/>
                <w:szCs w:val="21"/>
              </w:rPr>
            </w:pPr>
            <w:r>
              <w:rPr>
                <w:rFonts w:hint="eastAsia" w:ascii="Times New Roman" w:hAnsi="Calibri" w:eastAsia="宋体" w:cs="Times New Roman"/>
                <w:sz w:val="21"/>
                <w:szCs w:val="21"/>
              </w:rPr>
              <w:t>2</w:t>
            </w:r>
            <w:r>
              <w:rPr>
                <w:rFonts w:ascii="Times New Roman" w:hAnsi="Calibri" w:eastAsia="宋体" w:cs="Times New Roman"/>
                <w:sz w:val="21"/>
                <w:szCs w:val="21"/>
              </w:rPr>
              <w:t>0</w:t>
            </w:r>
          </w:p>
        </w:tc>
        <w:tc>
          <w:tcPr>
            <w:tcW w:w="6096" w:type="dxa"/>
            <w:noWrap w:val="0"/>
            <w:vAlign w:val="center"/>
          </w:tcPr>
          <w:p w14:paraId="2690D307">
            <w:pPr>
              <w:pStyle w:val="98"/>
              <w:keepNext w:val="0"/>
              <w:keepLines w:val="0"/>
              <w:widowControl/>
              <w:suppressLineNumbers w:val="0"/>
              <w:adjustRightInd w:val="0"/>
              <w:snapToGrid w:val="0"/>
              <w:spacing w:before="0" w:beforeAutospacing="0" w:after="0" w:afterAutospacing="0" w:line="264" w:lineRule="auto"/>
              <w:ind w:left="0" w:right="0"/>
              <w:jc w:val="both"/>
              <w:rPr>
                <w:rFonts w:ascii="Times New Roman" w:hAnsi="Times New Roman" w:eastAsia="宋体" w:cs="Times New Roman"/>
              </w:rPr>
            </w:pPr>
          </w:p>
        </w:tc>
        <w:tc>
          <w:tcPr>
            <w:tcW w:w="506" w:type="dxa"/>
            <w:noWrap w:val="0"/>
            <w:vAlign w:val="center"/>
          </w:tcPr>
          <w:p w14:paraId="6F4A4338">
            <w:pPr>
              <w:keepNext w:val="0"/>
              <w:keepLines w:val="0"/>
              <w:suppressLineNumbers w:val="0"/>
              <w:spacing w:before="0" w:beforeLines="0" w:beforeAutospacing="0" w:after="0" w:afterAutospacing="0" w:line="264" w:lineRule="auto"/>
              <w:ind w:left="0" w:right="0" w:firstLine="420"/>
              <w:jc w:val="center"/>
              <w:rPr>
                <w:rFonts w:ascii="Times New Roman" w:hAnsi="Calibri" w:eastAsia="宋体" w:cs="Times New Roman"/>
                <w:sz w:val="21"/>
                <w:szCs w:val="21"/>
              </w:rPr>
            </w:pPr>
          </w:p>
        </w:tc>
      </w:tr>
    </w:tbl>
    <w:p w14:paraId="3A296C1D">
      <w:pPr>
        <w:spacing w:before="0" w:beforeLines="0"/>
        <w:ind w:firstLine="420"/>
        <w:rPr>
          <w:rFonts w:ascii="Times New Roman"/>
          <w:sz w:val="21"/>
          <w:szCs w:val="21"/>
        </w:rPr>
      </w:pPr>
      <w:bookmarkStart w:id="1081" w:name="_Toc491534463"/>
      <w:bookmarkStart w:id="1082" w:name="_Toc9208"/>
      <w:r>
        <w:rPr>
          <w:rFonts w:ascii="Times New Roman"/>
          <w:sz w:val="21"/>
          <w:szCs w:val="21"/>
        </w:rPr>
        <w:t>注：业绩证明材料须能明确体现业绩要求的评审信息，否则不予认可。</w:t>
      </w:r>
    </w:p>
    <w:p w14:paraId="5634E384">
      <w:pPr>
        <w:keepNext/>
        <w:keepLines/>
        <w:ind w:firstLine="0" w:firstLineChars="0"/>
        <w:jc w:val="center"/>
        <w:outlineLvl w:val="1"/>
        <w:rPr>
          <w:rFonts w:ascii="Times New Roman" w:eastAsia="黑体"/>
          <w:bCs/>
          <w:sz w:val="30"/>
          <w:szCs w:val="30"/>
        </w:rPr>
      </w:pPr>
      <w:r>
        <w:rPr>
          <w:rFonts w:ascii="Times New Roman" w:eastAsia="黑体"/>
          <w:bCs/>
          <w:sz w:val="30"/>
          <w:szCs w:val="30"/>
        </w:rPr>
        <w:br w:type="page"/>
      </w:r>
      <w:bookmarkStart w:id="1083" w:name="_Toc193981305"/>
      <w:r>
        <w:rPr>
          <w:rFonts w:ascii="Times New Roman" w:eastAsia="黑体"/>
          <w:bCs/>
          <w:sz w:val="30"/>
          <w:szCs w:val="30"/>
        </w:rPr>
        <w:t>附表四 技术部分评审表</w:t>
      </w:r>
      <w:bookmarkEnd w:id="1081"/>
      <w:bookmarkEnd w:id="1082"/>
      <w:bookmarkEnd w:id="1083"/>
    </w:p>
    <w:tbl>
      <w:tblPr>
        <w:tblStyle w:val="48"/>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76"/>
        <w:gridCol w:w="927"/>
        <w:gridCol w:w="5310"/>
        <w:gridCol w:w="770"/>
      </w:tblGrid>
      <w:tr w14:paraId="1687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75" w:type="dxa"/>
            <w:noWrap w:val="0"/>
            <w:vAlign w:val="center"/>
          </w:tcPr>
          <w:p w14:paraId="6AC4C7B4">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序号</w:t>
            </w:r>
          </w:p>
        </w:tc>
        <w:tc>
          <w:tcPr>
            <w:tcW w:w="1276" w:type="dxa"/>
            <w:noWrap w:val="0"/>
            <w:vAlign w:val="center"/>
          </w:tcPr>
          <w:p w14:paraId="29582834">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评审内容</w:t>
            </w:r>
          </w:p>
        </w:tc>
        <w:tc>
          <w:tcPr>
            <w:tcW w:w="927" w:type="dxa"/>
            <w:noWrap w:val="0"/>
            <w:vAlign w:val="center"/>
          </w:tcPr>
          <w:p w14:paraId="56BF4F66">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标准分</w:t>
            </w:r>
          </w:p>
        </w:tc>
        <w:tc>
          <w:tcPr>
            <w:tcW w:w="5310" w:type="dxa"/>
            <w:noWrap w:val="0"/>
            <w:vAlign w:val="center"/>
          </w:tcPr>
          <w:p w14:paraId="772B1872">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评审标准</w:t>
            </w:r>
          </w:p>
        </w:tc>
        <w:tc>
          <w:tcPr>
            <w:tcW w:w="770" w:type="dxa"/>
            <w:noWrap w:val="0"/>
            <w:vAlign w:val="center"/>
          </w:tcPr>
          <w:p w14:paraId="4CC11297">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得分</w:t>
            </w:r>
          </w:p>
        </w:tc>
      </w:tr>
      <w:tr w14:paraId="2C34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noWrap w:val="0"/>
            <w:vAlign w:val="center"/>
          </w:tcPr>
          <w:p w14:paraId="632D1C00">
            <w:pPr>
              <w:keepNext w:val="0"/>
              <w:keepLines w:val="0"/>
              <w:suppressLineNumbers w:val="0"/>
              <w:spacing w:beforeAutospacing="0" w:after="0" w:afterAutospacing="0" w:line="360" w:lineRule="auto"/>
              <w:ind w:left="0" w:right="0" w:firstLine="0" w:firstLineChars="0"/>
              <w:jc w:val="center"/>
              <w:rPr>
                <w:rFonts w:hAnsi="宋体" w:eastAsia="宋体" w:cs="Times New Roman"/>
                <w:bCs/>
                <w:sz w:val="21"/>
                <w:szCs w:val="21"/>
              </w:rPr>
            </w:pPr>
            <w:r>
              <w:rPr>
                <w:rFonts w:hint="eastAsia" w:hAnsi="宋体" w:eastAsia="宋体" w:cs="Times New Roman"/>
                <w:bCs/>
                <w:sz w:val="21"/>
                <w:szCs w:val="21"/>
              </w:rPr>
              <w:t>1</w:t>
            </w:r>
          </w:p>
        </w:tc>
        <w:tc>
          <w:tcPr>
            <w:tcW w:w="1276" w:type="dxa"/>
            <w:noWrap w:val="0"/>
            <w:vAlign w:val="center"/>
          </w:tcPr>
          <w:p w14:paraId="42BDEF14">
            <w:pPr>
              <w:keepNext w:val="0"/>
              <w:keepLines w:val="0"/>
              <w:suppressLineNumbers w:val="0"/>
              <w:spacing w:before="0" w:beforeLines="0" w:beforeAutospacing="0" w:after="0" w:afterAutospacing="0" w:line="264"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拟投入</w:t>
            </w:r>
            <w:r>
              <w:rPr>
                <w:rFonts w:hAnsi="宋体" w:eastAsia="宋体" w:cs="Times New Roman"/>
                <w:sz w:val="21"/>
                <w:szCs w:val="21"/>
              </w:rPr>
              <w:t>主要人员</w:t>
            </w:r>
          </w:p>
        </w:tc>
        <w:tc>
          <w:tcPr>
            <w:tcW w:w="927" w:type="dxa"/>
            <w:noWrap w:val="0"/>
            <w:vAlign w:val="center"/>
          </w:tcPr>
          <w:p w14:paraId="4FF4E2B5">
            <w:pPr>
              <w:keepNext w:val="0"/>
              <w:keepLines w:val="0"/>
              <w:suppressLineNumbers w:val="0"/>
              <w:spacing w:before="0" w:beforeLines="0" w:beforeAutospacing="0" w:after="0" w:afterAutospacing="0" w:line="264"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20</w:t>
            </w:r>
          </w:p>
        </w:tc>
        <w:tc>
          <w:tcPr>
            <w:tcW w:w="5310" w:type="dxa"/>
            <w:noWrap w:val="0"/>
            <w:vAlign w:val="center"/>
          </w:tcPr>
          <w:p w14:paraId="3C742919">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1.1拟派项目负责人情况（2分）</w:t>
            </w:r>
          </w:p>
          <w:p w14:paraId="1F2DD475">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bookmarkStart w:id="1084" w:name="OLE_LINK26"/>
            <w:r>
              <w:rPr>
                <w:rFonts w:hint="eastAsia" w:ascii="Times New Roman" w:hAnsi="Times New Roman" w:eastAsia="宋体" w:cs="Times New Roman"/>
              </w:rPr>
              <w:t>项目负责人执业资格年限：取得注册一级造价工程师执业资格五年（含）以上得1分。</w:t>
            </w:r>
          </w:p>
          <w:p w14:paraId="4BE6212A">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项目负责人业绩：每担任过1个类似项目的项目负责人职务或技术负责人职务的得0.5分，满分1分。</w:t>
            </w:r>
            <w:bookmarkEnd w:id="1084"/>
          </w:p>
          <w:p w14:paraId="07DC6D45">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1.2拟派技术总负责人情况（2分）</w:t>
            </w:r>
          </w:p>
          <w:p w14:paraId="3DDC4AE0">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 xml:space="preserve">技术总负责人执业资格年限：取得注册一级造价工程师执业资格五年（含）以上得1分。 </w:t>
            </w:r>
          </w:p>
          <w:p w14:paraId="4CDA5FB7">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技术总负责人业绩：每担任过1个类似项目的技术负责人或项目负责人职务的得0.5分，满分1分。</w:t>
            </w:r>
          </w:p>
          <w:p w14:paraId="1A35337E">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1.3拟投入本项目其他造价咨询人员配置要求（16分）</w:t>
            </w:r>
          </w:p>
          <w:p w14:paraId="74216425">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满足本项目招标公告中其他造价人员要求的基础上，对拟投入本项目其他造价咨询人员配备情况（执业资格证书或上岗证书或职称或经验业绩等）按以下标准进行评分：</w:t>
            </w:r>
          </w:p>
          <w:p w14:paraId="3FF8304E">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优（12.1～16）：人员完全满足项目需要，均有相应的资格证书，配备的造价咨询人员经验、配置储备及综合素质优秀。</w:t>
            </w:r>
          </w:p>
          <w:p w14:paraId="4683D70C">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良（8.1～12）：人员满足项目需要，均有相应的资格证书，配备的造价咨询人员经验、人员配置及综合素质良好。</w:t>
            </w:r>
          </w:p>
          <w:p w14:paraId="6A54D3A4">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中（4.1～8）：人员满足项目拟投入最低人员要求，配备的造价咨询人员经验及综合素质中等。</w:t>
            </w:r>
          </w:p>
          <w:p w14:paraId="6E726397">
            <w:pPr>
              <w:pStyle w:val="98"/>
              <w:keepNext w:val="0"/>
              <w:keepLines w:val="0"/>
              <w:widowControl/>
              <w:suppressLineNumbers w:val="0"/>
              <w:adjustRightInd w:val="0"/>
              <w:snapToGrid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差（0～4）：人员不满足项目需要，配备的造价咨询人员经验及综合素质差。</w:t>
            </w:r>
          </w:p>
          <w:p w14:paraId="41D3B8A3">
            <w:pPr>
              <w:pStyle w:val="98"/>
              <w:keepNext w:val="0"/>
              <w:keepLines w:val="0"/>
              <w:widowControl/>
              <w:suppressLineNumbers w:val="0"/>
              <w:adjustRightInd w:val="0"/>
              <w:snapToGrid w:val="0"/>
              <w:spacing w:before="0" w:beforeAutospacing="0" w:after="0" w:afterAutospacing="0" w:line="264" w:lineRule="auto"/>
              <w:ind w:left="0" w:right="0"/>
              <w:jc w:val="both"/>
              <w:rPr>
                <w:rFonts w:ascii="Times New Roman" w:hAnsi="Times New Roman" w:eastAsia="宋体" w:cs="Times New Roman"/>
              </w:rPr>
            </w:pPr>
            <w:r>
              <w:rPr>
                <w:rFonts w:hint="eastAsia" w:ascii="Times New Roman" w:hAnsi="Times New Roman" w:eastAsia="宋体" w:cs="Times New Roman"/>
              </w:rPr>
              <w:t>注：类似项目指房地产开发项目工程造价咨询服务业绩。</w:t>
            </w:r>
          </w:p>
        </w:tc>
        <w:tc>
          <w:tcPr>
            <w:tcW w:w="770" w:type="dxa"/>
            <w:noWrap w:val="0"/>
            <w:vAlign w:val="center"/>
          </w:tcPr>
          <w:p w14:paraId="5112B70D">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b/>
                <w:bCs/>
                <w:sz w:val="21"/>
                <w:szCs w:val="21"/>
              </w:rPr>
            </w:pPr>
          </w:p>
        </w:tc>
      </w:tr>
      <w:tr w14:paraId="63B5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40C641E1">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2</w:t>
            </w:r>
          </w:p>
        </w:tc>
        <w:tc>
          <w:tcPr>
            <w:tcW w:w="1276" w:type="dxa"/>
            <w:noWrap w:val="0"/>
            <w:vAlign w:val="center"/>
          </w:tcPr>
          <w:p w14:paraId="3A3D2286">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造价咨询总体服务方案</w:t>
            </w:r>
          </w:p>
        </w:tc>
        <w:tc>
          <w:tcPr>
            <w:tcW w:w="927" w:type="dxa"/>
            <w:noWrap w:val="0"/>
            <w:vAlign w:val="center"/>
          </w:tcPr>
          <w:p w14:paraId="23511971">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10</w:t>
            </w:r>
          </w:p>
        </w:tc>
        <w:tc>
          <w:tcPr>
            <w:tcW w:w="5310" w:type="dxa"/>
            <w:noWrap w:val="0"/>
            <w:vAlign w:val="center"/>
          </w:tcPr>
          <w:p w14:paraId="5D9F1957">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内容具体，思路清晰，各项服务要求齐全、细致，制定的服务方案能够保证项目的顺利完成，评标委员会根据各投标人服务方案的完整度、可行性的优劣情况进行评审。</w:t>
            </w:r>
          </w:p>
          <w:p w14:paraId="0D78E7C1">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优（7.1～10）：对项目有非常专业且深度的认知，为完成本项目的造价咨询制定严密的工作计划、制度、内容、程序、方法和措施等；方案内容详细、全面，思路清晰、分析准确，措施、建议有针对性且可实施；</w:t>
            </w:r>
          </w:p>
          <w:p w14:paraId="0C359324">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良（5.1～7）：对项目有较深刻的认知，为完成本项目的造价咨询制定良好的工作计划、制度、内容、程序、方法和措施等；工作思路清晰、编制报告完善，措施、建议有针对性；</w:t>
            </w:r>
          </w:p>
          <w:p w14:paraId="1CCE882D">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中（3.1～5）：对项目部分理解，为完成本项目的工程咨询，制定可行的工作计划、制度、内容、程序、方法和措施等；工作思路清晰、编制报告较为完善，措施、建议较完整。</w:t>
            </w:r>
          </w:p>
          <w:p w14:paraId="66D86AB6">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一般（1.1～3）：对项目部分理解，为完成本项目的工程咨询，制定一般的工作计划、制度、内容、程序、方法和措施等；工作思路清晰、编制报告一般，措施、建议一般。</w:t>
            </w:r>
          </w:p>
          <w:p w14:paraId="27E2278C">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差（0～1）：对项目不理解，为完成本项目的造价咨询制定的工作计划、制度、内容、程序、方法和措施等不合理。</w:t>
            </w:r>
          </w:p>
        </w:tc>
        <w:tc>
          <w:tcPr>
            <w:tcW w:w="770" w:type="dxa"/>
            <w:noWrap w:val="0"/>
            <w:vAlign w:val="center"/>
          </w:tcPr>
          <w:p w14:paraId="105F4FA8">
            <w:pPr>
              <w:keepNext w:val="0"/>
              <w:keepLines w:val="0"/>
              <w:suppressLineNumbers w:val="0"/>
              <w:spacing w:beforeAutospacing="0" w:after="0" w:afterAutospacing="0" w:line="360" w:lineRule="auto"/>
              <w:ind w:left="0" w:right="0" w:firstLine="420"/>
              <w:jc w:val="center"/>
              <w:rPr>
                <w:rFonts w:ascii="Times New Roman" w:hAnsi="Calibri" w:eastAsia="宋体" w:cs="Times New Roman"/>
                <w:sz w:val="21"/>
                <w:szCs w:val="21"/>
              </w:rPr>
            </w:pPr>
          </w:p>
        </w:tc>
      </w:tr>
      <w:tr w14:paraId="7812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68D1012E">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3</w:t>
            </w:r>
          </w:p>
        </w:tc>
        <w:tc>
          <w:tcPr>
            <w:tcW w:w="1276" w:type="dxa"/>
            <w:noWrap w:val="0"/>
            <w:vAlign w:val="center"/>
          </w:tcPr>
          <w:p w14:paraId="6D3F98DE">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造价咨询工作流程</w:t>
            </w:r>
          </w:p>
        </w:tc>
        <w:tc>
          <w:tcPr>
            <w:tcW w:w="927" w:type="dxa"/>
            <w:noWrap w:val="0"/>
            <w:vAlign w:val="center"/>
          </w:tcPr>
          <w:p w14:paraId="0E8ABB09">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9</w:t>
            </w:r>
          </w:p>
        </w:tc>
        <w:tc>
          <w:tcPr>
            <w:tcW w:w="5310" w:type="dxa"/>
            <w:noWrap w:val="0"/>
            <w:vAlign w:val="center"/>
          </w:tcPr>
          <w:p w14:paraId="6379F723">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重点对职责分工说明、工作开展流程、咨询工作内部管理制度进行评价：</w:t>
            </w:r>
          </w:p>
          <w:p w14:paraId="72699E2E">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优（7.1～9）：工作职责分工具体，工作流程详细明了，质量保证措施健全，三级审核机制完善，措施或阐述内容可操作性强，体系保障性强；有针对本项目的特点做出质量控制点或关键工作的质量保证进行表述；有完整的内部管理工作制度，建立有效的内部管理机制，风险防范管理制度完整有效，职业道德管理制度完整、可行，执行最新的行业管理规定；</w:t>
            </w:r>
          </w:p>
          <w:p w14:paraId="3D035E9A">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良（5.1～7）：工作职责分工及流程详细，质量保证措施健全，三级审核机制完善，措施或阐述内容可操作性较强，体系保障性较强；对本项目的特点做出质量控制点或关键工作的质量保证进行表述较详细；有内部管理工作制度，建立内部管理机制，风险防范管理制度良好，职业道德管理制度较完整，执行行业管理规定；</w:t>
            </w:r>
          </w:p>
          <w:p w14:paraId="071A01A6">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中（3.1～5）：工作职责分工及流程完整，质量保证措施健全，三级审核机制可行，措施或阐述内容可操作性可行，体系保障性可行；对本项目的特点做出质量控制点或关键工作的质量保证进行表述简单；有内部管理工作制度但不详细，风险防范管理制度、职业道德管理制度可行，执行行业管理规定；</w:t>
            </w:r>
          </w:p>
          <w:p w14:paraId="278C2441">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一般（1.1～3）：工作职责分工及流程一般，质量保证措施健全，三级审核机制一般，措施或阐述内容、体系保障性一般；对本项目的特点做出质量控制点或关键工作的质量保证进行表述基本齐全；内部管理工作制度一般，风险防范管理制度、职业道德管理制度简单，基本执行行业管理规定；</w:t>
            </w:r>
          </w:p>
          <w:p w14:paraId="64BDA6F4">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差（0.1～1）：工作职责分工及流程无对应表述；对本项目的特点或关键工作的质量保证无相关表述；缺少内部管理工作制度、风险防范管理制度、职业道德管理制度，没有执行行业管理规定。</w:t>
            </w:r>
          </w:p>
        </w:tc>
        <w:tc>
          <w:tcPr>
            <w:tcW w:w="770" w:type="dxa"/>
            <w:noWrap w:val="0"/>
            <w:vAlign w:val="center"/>
          </w:tcPr>
          <w:p w14:paraId="4D42CA2D">
            <w:pPr>
              <w:keepNext w:val="0"/>
              <w:keepLines w:val="0"/>
              <w:suppressLineNumbers w:val="0"/>
              <w:spacing w:beforeAutospacing="0" w:after="0" w:afterAutospacing="0" w:line="360" w:lineRule="auto"/>
              <w:ind w:left="0" w:right="0" w:firstLine="420"/>
              <w:jc w:val="center"/>
              <w:rPr>
                <w:rFonts w:ascii="Times New Roman" w:hAnsi="Calibri" w:eastAsia="宋体" w:cs="Times New Roman"/>
                <w:sz w:val="21"/>
                <w:szCs w:val="21"/>
              </w:rPr>
            </w:pPr>
          </w:p>
        </w:tc>
      </w:tr>
      <w:tr w14:paraId="6A1D9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40D7CA3A">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4</w:t>
            </w:r>
          </w:p>
        </w:tc>
        <w:tc>
          <w:tcPr>
            <w:tcW w:w="1276" w:type="dxa"/>
            <w:noWrap w:val="0"/>
            <w:vAlign w:val="center"/>
          </w:tcPr>
          <w:p w14:paraId="141AB869">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廉政工作承诺</w:t>
            </w:r>
          </w:p>
        </w:tc>
        <w:tc>
          <w:tcPr>
            <w:tcW w:w="927" w:type="dxa"/>
            <w:noWrap w:val="0"/>
            <w:vAlign w:val="center"/>
          </w:tcPr>
          <w:p w14:paraId="0831D1FA">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3</w:t>
            </w:r>
          </w:p>
        </w:tc>
        <w:tc>
          <w:tcPr>
            <w:tcW w:w="5310" w:type="dxa"/>
            <w:noWrap w:val="0"/>
            <w:vAlign w:val="center"/>
          </w:tcPr>
          <w:p w14:paraId="7FBD689D">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优（3分）：有完整的廉政承诺书详尽具体、明确，有违反廉政工作时的自我惩戒措施与处罚指标；</w:t>
            </w:r>
          </w:p>
          <w:p w14:paraId="321E282E">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良（2分）：廉政承诺书完整，提供有违反廉政工作时应采取的自我惩戒措施与处罚指标；</w:t>
            </w:r>
          </w:p>
          <w:p w14:paraId="20F96957">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中（1分）：廉政承诺书完整，提供有违反廉政工作时应采取的自我惩戒措施与处罚指标，但不明确；</w:t>
            </w:r>
          </w:p>
          <w:p w14:paraId="16F4A9F9">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差（0）：无相关廉政工作承诺。</w:t>
            </w:r>
          </w:p>
        </w:tc>
        <w:tc>
          <w:tcPr>
            <w:tcW w:w="770" w:type="dxa"/>
            <w:noWrap w:val="0"/>
            <w:vAlign w:val="center"/>
          </w:tcPr>
          <w:p w14:paraId="295508CB">
            <w:pPr>
              <w:keepNext w:val="0"/>
              <w:keepLines w:val="0"/>
              <w:suppressLineNumbers w:val="0"/>
              <w:spacing w:beforeAutospacing="0" w:after="0" w:afterAutospacing="0" w:line="360" w:lineRule="auto"/>
              <w:ind w:left="0" w:right="0" w:firstLine="420"/>
              <w:jc w:val="center"/>
              <w:rPr>
                <w:rFonts w:ascii="Times New Roman" w:hAnsi="Calibri" w:eastAsia="宋体" w:cs="Times New Roman"/>
                <w:sz w:val="21"/>
                <w:szCs w:val="21"/>
              </w:rPr>
            </w:pPr>
          </w:p>
        </w:tc>
      </w:tr>
      <w:tr w14:paraId="309F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60305647">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5</w:t>
            </w:r>
          </w:p>
        </w:tc>
        <w:tc>
          <w:tcPr>
            <w:tcW w:w="1276" w:type="dxa"/>
            <w:noWrap w:val="0"/>
            <w:vAlign w:val="center"/>
          </w:tcPr>
          <w:p w14:paraId="655747D7">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造价服务重点与难点分析</w:t>
            </w:r>
          </w:p>
        </w:tc>
        <w:tc>
          <w:tcPr>
            <w:tcW w:w="927" w:type="dxa"/>
            <w:noWrap w:val="0"/>
            <w:vAlign w:val="center"/>
          </w:tcPr>
          <w:p w14:paraId="4989FA1A">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9</w:t>
            </w:r>
          </w:p>
        </w:tc>
        <w:tc>
          <w:tcPr>
            <w:tcW w:w="5310" w:type="dxa"/>
            <w:noWrap w:val="0"/>
            <w:vAlign w:val="center"/>
          </w:tcPr>
          <w:p w14:paraId="62700360">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服务工作的重点与难点分析全面、到位，有切实可行的合理化建议：</w:t>
            </w:r>
          </w:p>
          <w:p w14:paraId="5E0424DA">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优（7.1～9）：针对本项目的特点，阐述重点和难点，解决重点和难点问题的方法及其控制措施完全合理；</w:t>
            </w:r>
          </w:p>
          <w:p w14:paraId="25CDD783">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良（5.1～7）：针对本项目的特点，阐述重点和难点，解决重点和难点问题的方法及其控制措施较合理；</w:t>
            </w:r>
          </w:p>
          <w:p w14:paraId="0FBB7EFA">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中（3.1～5）：针对本项目的特点，阐述重点和难点，解决重点和难点问题的方法及其控制措施可行；</w:t>
            </w:r>
          </w:p>
          <w:p w14:paraId="771C95D7">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一般（1.1～3）：针对本项目的特点，阐述重点和难点，解决重点和难点问题的方法及其控制措施基本符合；</w:t>
            </w:r>
          </w:p>
          <w:p w14:paraId="5EBCD3B7">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差（0～1）：无相关阐述重点和难点、解决重点和难点问题的方法及其控制措施。</w:t>
            </w:r>
          </w:p>
        </w:tc>
        <w:tc>
          <w:tcPr>
            <w:tcW w:w="770" w:type="dxa"/>
            <w:noWrap w:val="0"/>
            <w:vAlign w:val="center"/>
          </w:tcPr>
          <w:p w14:paraId="584E0AAE">
            <w:pPr>
              <w:keepNext w:val="0"/>
              <w:keepLines w:val="0"/>
              <w:suppressLineNumbers w:val="0"/>
              <w:spacing w:beforeAutospacing="0" w:after="0" w:afterAutospacing="0" w:line="360" w:lineRule="auto"/>
              <w:ind w:left="0" w:right="0" w:firstLine="420"/>
              <w:jc w:val="center"/>
              <w:rPr>
                <w:rFonts w:ascii="Times New Roman" w:hAnsi="Calibri" w:eastAsia="宋体" w:cs="Times New Roman"/>
                <w:sz w:val="21"/>
                <w:szCs w:val="21"/>
              </w:rPr>
            </w:pPr>
          </w:p>
        </w:tc>
      </w:tr>
      <w:tr w14:paraId="612B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5E9B4CA8">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6</w:t>
            </w:r>
          </w:p>
        </w:tc>
        <w:tc>
          <w:tcPr>
            <w:tcW w:w="1276" w:type="dxa"/>
            <w:noWrap w:val="0"/>
            <w:vAlign w:val="center"/>
          </w:tcPr>
          <w:p w14:paraId="2E782A3E">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造价咨询服务承诺</w:t>
            </w:r>
          </w:p>
        </w:tc>
        <w:tc>
          <w:tcPr>
            <w:tcW w:w="927" w:type="dxa"/>
            <w:noWrap w:val="0"/>
            <w:vAlign w:val="center"/>
          </w:tcPr>
          <w:p w14:paraId="3365EC12">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9</w:t>
            </w:r>
          </w:p>
        </w:tc>
        <w:tc>
          <w:tcPr>
            <w:tcW w:w="5310" w:type="dxa"/>
            <w:noWrap w:val="0"/>
            <w:vAlign w:val="center"/>
          </w:tcPr>
          <w:p w14:paraId="5A6965C1">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评标委员会根据服务期、服务承诺及质量保证、解决问题时间、回访计划、完成进度、成果质量、技术服务、成果保密等实际情况提出具体的服务承诺方案等进行评审：</w:t>
            </w:r>
          </w:p>
          <w:p w14:paraId="3E60A68B">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优（7.1～9）：投标人在招标人单位所在地有服务机构（提供证明材料）或承诺中标后在招标人单位所在地成立服务机构且配备的技术专业人员齐全，并承诺对本项目的服务有正确深刻理解与充分认识，服务承诺方案表述清晰、完整、严谨、合理、有效，有定期回访计划且方案详细合理，服务承诺方案及质量保证完全满足且部分条款优于项目要求，承诺在处理项目编制出现的问题时2小时以内到达招标人指定地点主动解决问题。</w:t>
            </w:r>
          </w:p>
          <w:p w14:paraId="54151597">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良（5.1～7）：投标人在招标人单位所在地有服务机构（提供证明材料）或承诺中标后在招标人单位所在地成立服务机构，并承诺对本项目的服务有正确理解与认识，服务承诺方案表述清晰、完整、严谨、合理，有定期回访计划且方案良好，服务承诺方案及质量保证表述清晰，承诺在处理项目编制出现的问题时，4小时以内到达招标人指定地点主动解决问题。</w:t>
            </w:r>
          </w:p>
          <w:p w14:paraId="60A356A9">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中（3.1～5）：投标人承诺对本项目的服务有正确理解与认识，服务承诺方案表述清晰、完整，有定期回访计划且方案可行，服务承诺方案及质量保证表述较清晰，满足项目要求，承诺在造价咨询服务出现的问题时，到达招标人办公地点后6小时以内主动解决问题。</w:t>
            </w:r>
          </w:p>
          <w:p w14:paraId="70EE0198">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一般（1.1～3）：投标人承诺对本项目的服务有正确理解与认识，服务承诺方案表述一般，有定期回访计划、方案简单，服务承诺方案及质量保证表述简单，基本满足项目要求，承诺在造价咨询服务出现的问题时，到达招标人办公地点后8小时以内主动解决问题；</w:t>
            </w:r>
          </w:p>
          <w:p w14:paraId="02833812">
            <w:pPr>
              <w:pStyle w:val="98"/>
              <w:keepNext w:val="0"/>
              <w:keepLines w:val="0"/>
              <w:widowControl/>
              <w:suppressLineNumbers w:val="0"/>
              <w:spacing w:before="0" w:beforeAutospacing="0" w:after="0" w:afterAutospacing="0" w:line="264" w:lineRule="auto"/>
              <w:ind w:left="0" w:right="0"/>
              <w:jc w:val="left"/>
              <w:rPr>
                <w:rFonts w:ascii="Times New Roman" w:hAnsi="Times New Roman" w:eastAsia="宋体" w:cs="Times New Roman"/>
              </w:rPr>
            </w:pPr>
            <w:r>
              <w:rPr>
                <w:rFonts w:hint="eastAsia" w:ascii="Times New Roman" w:hAnsi="Times New Roman" w:eastAsia="宋体" w:cs="Times New Roman"/>
              </w:rPr>
              <w:t>差（0～1）：投标人承诺对本项目的服务没有对应的承诺；或者服务承诺与项目需要不符合。</w:t>
            </w:r>
          </w:p>
        </w:tc>
        <w:tc>
          <w:tcPr>
            <w:tcW w:w="770" w:type="dxa"/>
            <w:noWrap w:val="0"/>
            <w:vAlign w:val="center"/>
          </w:tcPr>
          <w:p w14:paraId="431920EA">
            <w:pPr>
              <w:keepNext w:val="0"/>
              <w:keepLines w:val="0"/>
              <w:suppressLineNumbers w:val="0"/>
              <w:spacing w:beforeAutospacing="0" w:after="0" w:afterAutospacing="0" w:line="360" w:lineRule="auto"/>
              <w:ind w:left="0" w:right="0" w:firstLine="420"/>
              <w:jc w:val="center"/>
              <w:rPr>
                <w:rFonts w:ascii="Times New Roman" w:hAnsi="Calibri" w:eastAsia="宋体" w:cs="Times New Roman"/>
                <w:sz w:val="21"/>
                <w:szCs w:val="21"/>
              </w:rPr>
            </w:pPr>
          </w:p>
        </w:tc>
      </w:tr>
      <w:tr w14:paraId="3189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36B4C63B">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7</w:t>
            </w:r>
          </w:p>
        </w:tc>
        <w:tc>
          <w:tcPr>
            <w:tcW w:w="1276" w:type="dxa"/>
            <w:noWrap w:val="0"/>
            <w:vAlign w:val="center"/>
          </w:tcPr>
          <w:p w14:paraId="78013F09">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造价专业资料及软件</w:t>
            </w:r>
          </w:p>
        </w:tc>
        <w:tc>
          <w:tcPr>
            <w:tcW w:w="927" w:type="dxa"/>
            <w:noWrap w:val="0"/>
            <w:vAlign w:val="center"/>
          </w:tcPr>
          <w:p w14:paraId="04B380C4">
            <w:pPr>
              <w:keepNext w:val="0"/>
              <w:keepLines w:val="0"/>
              <w:suppressLineNumbers w:val="0"/>
              <w:spacing w:beforeAutospacing="0" w:after="0" w:afterAutospacing="0" w:line="360" w:lineRule="auto"/>
              <w:ind w:left="0" w:right="0" w:firstLine="0" w:firstLineChars="0"/>
              <w:jc w:val="center"/>
              <w:rPr>
                <w:rFonts w:hAnsi="宋体" w:eastAsia="宋体" w:cs="Times New Roman"/>
                <w:sz w:val="21"/>
                <w:szCs w:val="21"/>
              </w:rPr>
            </w:pPr>
            <w:r>
              <w:rPr>
                <w:rFonts w:hint="eastAsia" w:hAnsi="宋体" w:eastAsia="宋体" w:cs="Times New Roman"/>
                <w:sz w:val="21"/>
                <w:szCs w:val="21"/>
              </w:rPr>
              <w:t>5</w:t>
            </w:r>
          </w:p>
        </w:tc>
        <w:tc>
          <w:tcPr>
            <w:tcW w:w="5310" w:type="dxa"/>
            <w:noWrap w:val="0"/>
            <w:vAlign w:val="center"/>
          </w:tcPr>
          <w:p w14:paraId="48C8DB04">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rPr>
              <w:t>对造价专业资料及软件齐备情况进行评价：</w:t>
            </w:r>
          </w:p>
          <w:p w14:paraId="3DF786D4">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1.具有钢筋、土建算量、安装算量正版计量软件锁或者授权账号，每一个锁或账号得0.5分，每增加一个加0.5分，本子项目满分3分。</w:t>
            </w:r>
          </w:p>
          <w:p w14:paraId="283370F7">
            <w:pPr>
              <w:pStyle w:val="98"/>
              <w:keepNext w:val="0"/>
              <w:keepLines w:val="0"/>
              <w:widowControl/>
              <w:suppressLineNumbers w:val="0"/>
              <w:spacing w:before="0" w:beforeAutospacing="0" w:after="0" w:afterAutospacing="0" w:line="264" w:lineRule="auto"/>
              <w:ind w:left="0" w:right="0"/>
              <w:jc w:val="left"/>
              <w:rPr>
                <w:rFonts w:hint="eastAsia" w:ascii="Times New Roman" w:hAnsi="Times New Roman" w:eastAsia="宋体" w:cs="Times New Roman"/>
              </w:rPr>
            </w:pPr>
            <w:r>
              <w:rPr>
                <w:rFonts w:hint="eastAsia" w:ascii="Times New Roman" w:hAnsi="Times New Roman" w:eastAsia="宋体" w:cs="Times New Roman"/>
                <w:lang w:val="en-US" w:eastAsia="zh-CN"/>
              </w:rPr>
              <w:t>2.具有正版计价软件锁或者授权账号（博奥、广龙或广联达等）一个锁或账号得0.5分，每增加一个加0.5分，本子项目满分2分。</w:t>
            </w:r>
          </w:p>
        </w:tc>
        <w:tc>
          <w:tcPr>
            <w:tcW w:w="770" w:type="dxa"/>
            <w:noWrap w:val="0"/>
            <w:vAlign w:val="center"/>
          </w:tcPr>
          <w:p w14:paraId="0EB9494D">
            <w:pPr>
              <w:keepNext w:val="0"/>
              <w:keepLines w:val="0"/>
              <w:suppressLineNumbers w:val="0"/>
              <w:spacing w:beforeAutospacing="0" w:after="0" w:afterAutospacing="0" w:line="360" w:lineRule="auto"/>
              <w:ind w:left="0" w:right="0" w:firstLine="420"/>
              <w:jc w:val="center"/>
              <w:rPr>
                <w:rFonts w:ascii="Times New Roman" w:hAnsi="Calibri" w:eastAsia="宋体" w:cs="Times New Roman"/>
                <w:sz w:val="21"/>
                <w:szCs w:val="21"/>
              </w:rPr>
            </w:pPr>
          </w:p>
        </w:tc>
      </w:tr>
      <w:tr w14:paraId="4391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951" w:type="dxa"/>
            <w:gridSpan w:val="2"/>
            <w:noWrap w:val="0"/>
            <w:vAlign w:val="center"/>
          </w:tcPr>
          <w:p w14:paraId="36D3FDEC">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满分</w:t>
            </w:r>
          </w:p>
        </w:tc>
        <w:tc>
          <w:tcPr>
            <w:tcW w:w="927" w:type="dxa"/>
            <w:noWrap w:val="0"/>
            <w:vAlign w:val="center"/>
          </w:tcPr>
          <w:p w14:paraId="157E47D1">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sz w:val="21"/>
                <w:szCs w:val="21"/>
              </w:rPr>
            </w:pPr>
            <w:r>
              <w:rPr>
                <w:rFonts w:hint="eastAsia" w:ascii="Times New Roman" w:hAnsi="Calibri" w:eastAsia="宋体" w:cs="Times New Roman"/>
                <w:sz w:val="21"/>
                <w:szCs w:val="21"/>
              </w:rPr>
              <w:t>65</w:t>
            </w:r>
          </w:p>
        </w:tc>
        <w:tc>
          <w:tcPr>
            <w:tcW w:w="5310" w:type="dxa"/>
            <w:noWrap w:val="0"/>
            <w:vAlign w:val="center"/>
          </w:tcPr>
          <w:p w14:paraId="0C53636C">
            <w:pPr>
              <w:pStyle w:val="98"/>
              <w:keepNext w:val="0"/>
              <w:keepLines w:val="0"/>
              <w:widowControl/>
              <w:suppressLineNumbers w:val="0"/>
              <w:adjustRightInd w:val="0"/>
              <w:snapToGrid w:val="0"/>
              <w:spacing w:before="0" w:beforeAutospacing="0" w:after="0" w:afterAutospacing="0" w:line="360" w:lineRule="auto"/>
              <w:ind w:left="0" w:right="0"/>
              <w:jc w:val="both"/>
              <w:rPr>
                <w:rFonts w:ascii="Times New Roman" w:hAnsi="Times New Roman" w:eastAsia="宋体" w:cs="Times New Roman"/>
              </w:rPr>
            </w:pPr>
          </w:p>
        </w:tc>
        <w:tc>
          <w:tcPr>
            <w:tcW w:w="770" w:type="dxa"/>
            <w:noWrap w:val="0"/>
            <w:vAlign w:val="center"/>
          </w:tcPr>
          <w:p w14:paraId="7D30A29D">
            <w:pPr>
              <w:keepNext w:val="0"/>
              <w:keepLines w:val="0"/>
              <w:suppressLineNumbers w:val="0"/>
              <w:spacing w:beforeAutospacing="0" w:after="0" w:afterAutospacing="0" w:line="360" w:lineRule="auto"/>
              <w:ind w:left="0" w:right="0" w:firstLine="420"/>
              <w:jc w:val="center"/>
              <w:rPr>
                <w:rFonts w:ascii="Times New Roman" w:hAnsi="Calibri" w:eastAsia="宋体" w:cs="Times New Roman"/>
                <w:sz w:val="21"/>
                <w:szCs w:val="21"/>
              </w:rPr>
            </w:pPr>
          </w:p>
        </w:tc>
      </w:tr>
    </w:tbl>
    <w:p w14:paraId="1AF995E5">
      <w:pPr>
        <w:ind w:firstLine="480"/>
        <w:rPr>
          <w:rFonts w:ascii="Times New Roman"/>
        </w:rPr>
      </w:pPr>
    </w:p>
    <w:p w14:paraId="573C27A6">
      <w:pPr>
        <w:pStyle w:val="5"/>
        <w:spacing w:before="0" w:beforeLines="0"/>
        <w:ind w:firstLine="0" w:firstLineChars="0"/>
        <w:rPr>
          <w:rFonts w:ascii="Times New Roman" w:hAnsi="Times New Roman"/>
        </w:rPr>
      </w:pPr>
      <w:r>
        <w:rPr>
          <w:rFonts w:ascii="Times New Roman" w:hAnsi="Times New Roman"/>
          <w:sz w:val="21"/>
          <w:szCs w:val="21"/>
        </w:rPr>
        <w:br w:type="page"/>
      </w:r>
      <w:bookmarkStart w:id="1085" w:name="_Toc491534464"/>
      <w:bookmarkStart w:id="1086" w:name="_Toc193981306"/>
      <w:bookmarkStart w:id="1087" w:name="_Toc4472"/>
      <w:r>
        <w:rPr>
          <w:rFonts w:ascii="Times New Roman" w:hAnsi="Times New Roman"/>
        </w:rPr>
        <w:t>附表五 报价部分评审表</w:t>
      </w:r>
      <w:bookmarkEnd w:id="1085"/>
      <w:bookmarkEnd w:id="1086"/>
      <w:bookmarkEnd w:id="1087"/>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605"/>
        <w:gridCol w:w="1065"/>
        <w:gridCol w:w="4320"/>
        <w:gridCol w:w="1200"/>
      </w:tblGrid>
      <w:tr w14:paraId="20316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768" w:type="dxa"/>
            <w:noWrap w:val="0"/>
            <w:vAlign w:val="center"/>
          </w:tcPr>
          <w:p w14:paraId="3C9F9522">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序号</w:t>
            </w:r>
          </w:p>
        </w:tc>
        <w:tc>
          <w:tcPr>
            <w:tcW w:w="1605" w:type="dxa"/>
            <w:noWrap w:val="0"/>
            <w:vAlign w:val="center"/>
          </w:tcPr>
          <w:p w14:paraId="66E6A0C8">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评审内容</w:t>
            </w:r>
          </w:p>
        </w:tc>
        <w:tc>
          <w:tcPr>
            <w:tcW w:w="1065" w:type="dxa"/>
            <w:noWrap w:val="0"/>
            <w:vAlign w:val="center"/>
          </w:tcPr>
          <w:p w14:paraId="45BB1343">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标准分</w:t>
            </w:r>
          </w:p>
        </w:tc>
        <w:tc>
          <w:tcPr>
            <w:tcW w:w="4320" w:type="dxa"/>
            <w:noWrap w:val="0"/>
            <w:vAlign w:val="center"/>
          </w:tcPr>
          <w:p w14:paraId="48E81809">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评审标准</w:t>
            </w:r>
          </w:p>
        </w:tc>
        <w:tc>
          <w:tcPr>
            <w:tcW w:w="1200" w:type="dxa"/>
            <w:noWrap w:val="0"/>
            <w:vAlign w:val="center"/>
          </w:tcPr>
          <w:p w14:paraId="78B65650">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b/>
                <w:bCs/>
                <w:sz w:val="21"/>
                <w:szCs w:val="21"/>
              </w:rPr>
            </w:pPr>
            <w:r>
              <w:rPr>
                <w:rFonts w:ascii="Times New Roman" w:hAnsi="Calibri" w:eastAsia="宋体" w:cs="Times New Roman"/>
                <w:b/>
                <w:bCs/>
                <w:sz w:val="21"/>
                <w:szCs w:val="21"/>
              </w:rPr>
              <w:t>得分</w:t>
            </w:r>
          </w:p>
        </w:tc>
      </w:tr>
      <w:tr w14:paraId="32F6B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noWrap w:val="0"/>
            <w:vAlign w:val="center"/>
          </w:tcPr>
          <w:p w14:paraId="71AA34B4">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1</w:t>
            </w:r>
          </w:p>
        </w:tc>
        <w:tc>
          <w:tcPr>
            <w:tcW w:w="1605" w:type="dxa"/>
            <w:noWrap w:val="0"/>
            <w:vAlign w:val="center"/>
          </w:tcPr>
          <w:p w14:paraId="6358A9D8">
            <w:pPr>
              <w:keepNext w:val="0"/>
              <w:keepLines w:val="0"/>
              <w:suppressLineNumbers w:val="0"/>
              <w:spacing w:beforeAutospacing="0" w:after="0" w:afterAutospacing="0" w:line="360" w:lineRule="auto"/>
              <w:ind w:left="0" w:right="0" w:firstLine="0" w:firstLineChars="0"/>
              <w:rPr>
                <w:rFonts w:ascii="Times New Roman" w:hAnsi="Calibri" w:eastAsia="宋体" w:cs="Times New Roman"/>
                <w:sz w:val="21"/>
                <w:szCs w:val="21"/>
              </w:rPr>
            </w:pPr>
            <w:r>
              <w:rPr>
                <w:rFonts w:ascii="Times New Roman" w:hAnsi="Calibri" w:eastAsia="宋体" w:cs="Times New Roman"/>
                <w:sz w:val="21"/>
                <w:szCs w:val="21"/>
              </w:rPr>
              <w:t>投标报价</w:t>
            </w:r>
          </w:p>
        </w:tc>
        <w:tc>
          <w:tcPr>
            <w:tcW w:w="1065" w:type="dxa"/>
            <w:noWrap w:val="0"/>
            <w:vAlign w:val="center"/>
          </w:tcPr>
          <w:p w14:paraId="422DCAD0">
            <w:pPr>
              <w:keepNext w:val="0"/>
              <w:keepLines w:val="0"/>
              <w:suppressLineNumbers w:val="0"/>
              <w:spacing w:beforeAutospacing="0" w:after="0" w:afterAutospacing="0" w:line="360" w:lineRule="auto"/>
              <w:ind w:left="0" w:right="0" w:firstLine="420"/>
              <w:rPr>
                <w:rFonts w:ascii="Times New Roman" w:hAnsi="Calibri" w:eastAsia="宋体" w:cs="Times New Roman"/>
                <w:sz w:val="21"/>
                <w:szCs w:val="21"/>
              </w:rPr>
            </w:pPr>
            <w:r>
              <w:rPr>
                <w:rFonts w:hint="eastAsia" w:ascii="Times New Roman" w:hAnsi="Calibri" w:eastAsia="宋体" w:cs="Times New Roman"/>
                <w:sz w:val="21"/>
                <w:szCs w:val="21"/>
              </w:rPr>
              <w:t>15</w:t>
            </w:r>
          </w:p>
        </w:tc>
        <w:tc>
          <w:tcPr>
            <w:tcW w:w="4320" w:type="dxa"/>
            <w:noWrap w:val="0"/>
            <w:vAlign w:val="center"/>
          </w:tcPr>
          <w:p w14:paraId="12435928">
            <w:pPr>
              <w:pStyle w:val="98"/>
              <w:keepNext w:val="0"/>
              <w:keepLines w:val="0"/>
              <w:widowControl/>
              <w:suppressLineNumbers w:val="0"/>
              <w:adjustRightInd w:val="0"/>
              <w:snapToGrid w:val="0"/>
              <w:spacing w:before="0" w:beforeAutospacing="0" w:after="0" w:afterAutospacing="0" w:line="360" w:lineRule="auto"/>
              <w:ind w:left="0" w:right="0"/>
              <w:jc w:val="left"/>
              <w:rPr>
                <w:rFonts w:ascii="Times New Roman" w:hAnsi="Times New Roman" w:eastAsia="宋体" w:cs="Times New Roman"/>
              </w:rPr>
            </w:pPr>
            <w:r>
              <w:rPr>
                <w:rFonts w:ascii="Times New Roman" w:hAnsi="Times New Roman" w:eastAsia="宋体" w:cs="Times New Roman"/>
              </w:rPr>
              <w:t>当合格投标人超过五家时，去掉有效投标报价中一个最高价和一个最低价后的算术平均值作为评标基准价。当合格投标人少于五家（含五家）时，取所有合格投标人有效投标报价的算术平均值作为评标基准价。</w:t>
            </w:r>
          </w:p>
          <w:p w14:paraId="64233C51">
            <w:pPr>
              <w:pStyle w:val="98"/>
              <w:keepNext w:val="0"/>
              <w:keepLines w:val="0"/>
              <w:widowControl/>
              <w:suppressLineNumbers w:val="0"/>
              <w:adjustRightInd w:val="0"/>
              <w:snapToGrid w:val="0"/>
              <w:spacing w:before="0" w:beforeAutospacing="0" w:after="0" w:afterAutospacing="0" w:line="360" w:lineRule="auto"/>
              <w:ind w:left="0" w:right="0"/>
              <w:jc w:val="left"/>
              <w:rPr>
                <w:rFonts w:ascii="Times New Roman" w:hAnsi="Times New Roman" w:eastAsia="宋体" w:cs="Times New Roman"/>
              </w:rPr>
            </w:pPr>
            <w:r>
              <w:rPr>
                <w:rFonts w:ascii="Times New Roman" w:hAnsi="Times New Roman" w:eastAsia="宋体" w:cs="Times New Roman"/>
              </w:rPr>
              <w:t>投标报价等于评标基准价得满分</w:t>
            </w:r>
            <w:r>
              <w:rPr>
                <w:rFonts w:hint="eastAsia" w:ascii="Times New Roman" w:hAnsi="Times New Roman" w:eastAsia="宋体" w:cs="Times New Roman"/>
              </w:rPr>
              <w:t>15</w:t>
            </w:r>
            <w:r>
              <w:rPr>
                <w:rFonts w:ascii="Times New Roman" w:hAnsi="Times New Roman" w:eastAsia="宋体" w:cs="Times New Roman"/>
              </w:rPr>
              <w:t>分，投标报价比评标基准价每高1%扣</w:t>
            </w:r>
            <w:r>
              <w:rPr>
                <w:rFonts w:hint="eastAsia" w:ascii="Times New Roman" w:hAnsi="Times New Roman" w:eastAsia="宋体" w:cs="Times New Roman"/>
              </w:rPr>
              <w:t>0.15</w:t>
            </w:r>
            <w:r>
              <w:rPr>
                <w:rFonts w:ascii="Times New Roman" w:hAnsi="Times New Roman" w:eastAsia="宋体" w:cs="Times New Roman"/>
              </w:rPr>
              <w:t>分，每低1%扣</w:t>
            </w:r>
            <w:r>
              <w:rPr>
                <w:rFonts w:hint="eastAsia" w:ascii="Times New Roman" w:hAnsi="Times New Roman" w:eastAsia="宋体" w:cs="Times New Roman"/>
              </w:rPr>
              <w:t>0.10</w:t>
            </w:r>
            <w:r>
              <w:rPr>
                <w:rFonts w:ascii="Times New Roman" w:hAnsi="Times New Roman" w:eastAsia="宋体" w:cs="Times New Roman"/>
              </w:rPr>
              <w:t>分，扣完为止。</w:t>
            </w:r>
          </w:p>
          <w:p w14:paraId="0C868EA9">
            <w:pPr>
              <w:pStyle w:val="98"/>
              <w:keepNext w:val="0"/>
              <w:keepLines w:val="0"/>
              <w:widowControl/>
              <w:suppressLineNumbers w:val="0"/>
              <w:adjustRightInd w:val="0"/>
              <w:snapToGrid w:val="0"/>
              <w:spacing w:before="0" w:beforeAutospacing="0" w:after="0" w:afterAutospacing="0" w:line="360" w:lineRule="auto"/>
              <w:ind w:left="0" w:right="0"/>
              <w:jc w:val="both"/>
              <w:rPr>
                <w:rFonts w:ascii="Times New Roman" w:hAnsi="Times New Roman" w:eastAsia="宋体" w:cs="Times New Roman"/>
              </w:rPr>
            </w:pPr>
            <w:r>
              <w:rPr>
                <w:rFonts w:ascii="Times New Roman" w:hAnsi="Times New Roman" w:eastAsia="宋体" w:cs="Times New Roman"/>
              </w:rPr>
              <w:t>中间数值采用内插法计算。所有计算结果均保留小数点后两位。</w:t>
            </w:r>
          </w:p>
        </w:tc>
        <w:tc>
          <w:tcPr>
            <w:tcW w:w="1200" w:type="dxa"/>
            <w:noWrap w:val="0"/>
            <w:vAlign w:val="center"/>
          </w:tcPr>
          <w:p w14:paraId="50273A24">
            <w:pPr>
              <w:keepNext w:val="0"/>
              <w:keepLines w:val="0"/>
              <w:suppressLineNumbers w:val="0"/>
              <w:spacing w:beforeAutospacing="0" w:after="0" w:afterAutospacing="0" w:line="360" w:lineRule="auto"/>
              <w:ind w:left="0" w:right="0" w:firstLine="0" w:firstLineChars="0"/>
              <w:rPr>
                <w:rFonts w:ascii="Times New Roman" w:hAnsi="Calibri" w:eastAsia="宋体" w:cs="Times New Roman"/>
                <w:sz w:val="21"/>
                <w:szCs w:val="21"/>
              </w:rPr>
            </w:pPr>
          </w:p>
        </w:tc>
      </w:tr>
      <w:tr w14:paraId="70385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2373" w:type="dxa"/>
            <w:gridSpan w:val="2"/>
            <w:noWrap w:val="0"/>
            <w:vAlign w:val="center"/>
          </w:tcPr>
          <w:p w14:paraId="0B397D1E">
            <w:pPr>
              <w:keepNext w:val="0"/>
              <w:keepLines w:val="0"/>
              <w:suppressLineNumbers w:val="0"/>
              <w:spacing w:beforeAutospacing="0" w:after="0" w:afterAutospacing="0" w:line="36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满分</w:t>
            </w:r>
          </w:p>
        </w:tc>
        <w:tc>
          <w:tcPr>
            <w:tcW w:w="1065" w:type="dxa"/>
            <w:noWrap w:val="0"/>
            <w:vAlign w:val="center"/>
          </w:tcPr>
          <w:p w14:paraId="23074227">
            <w:pPr>
              <w:keepNext w:val="0"/>
              <w:keepLines w:val="0"/>
              <w:suppressLineNumbers w:val="0"/>
              <w:spacing w:beforeAutospacing="0" w:after="0" w:afterAutospacing="0" w:line="360" w:lineRule="auto"/>
              <w:ind w:left="0" w:right="0" w:firstLine="420"/>
              <w:rPr>
                <w:rFonts w:ascii="Times New Roman" w:hAnsi="Calibri" w:eastAsia="宋体" w:cs="Times New Roman"/>
                <w:sz w:val="21"/>
                <w:szCs w:val="21"/>
              </w:rPr>
            </w:pPr>
            <w:r>
              <w:rPr>
                <w:rFonts w:hint="eastAsia" w:ascii="Times New Roman" w:hAnsi="Calibri" w:eastAsia="宋体" w:cs="Times New Roman"/>
                <w:sz w:val="21"/>
                <w:szCs w:val="21"/>
              </w:rPr>
              <w:t>15</w:t>
            </w:r>
          </w:p>
        </w:tc>
        <w:tc>
          <w:tcPr>
            <w:tcW w:w="4320" w:type="dxa"/>
            <w:noWrap w:val="0"/>
            <w:vAlign w:val="center"/>
          </w:tcPr>
          <w:p w14:paraId="11963C08">
            <w:pPr>
              <w:pStyle w:val="98"/>
              <w:keepNext w:val="0"/>
              <w:keepLines w:val="0"/>
              <w:widowControl/>
              <w:suppressLineNumbers w:val="0"/>
              <w:adjustRightInd w:val="0"/>
              <w:snapToGrid w:val="0"/>
              <w:spacing w:before="0" w:beforeAutospacing="0" w:after="0" w:afterAutospacing="0" w:line="360" w:lineRule="auto"/>
              <w:ind w:left="0" w:right="0"/>
              <w:jc w:val="both"/>
              <w:rPr>
                <w:rFonts w:ascii="Times New Roman" w:hAnsi="Times New Roman" w:eastAsia="宋体" w:cs="Times New Roman"/>
              </w:rPr>
            </w:pPr>
          </w:p>
        </w:tc>
        <w:tc>
          <w:tcPr>
            <w:tcW w:w="1200" w:type="dxa"/>
            <w:noWrap w:val="0"/>
            <w:vAlign w:val="center"/>
          </w:tcPr>
          <w:p w14:paraId="29A32520">
            <w:pPr>
              <w:keepNext w:val="0"/>
              <w:keepLines w:val="0"/>
              <w:suppressLineNumbers w:val="0"/>
              <w:spacing w:beforeAutospacing="0" w:after="0" w:afterAutospacing="0" w:line="360" w:lineRule="auto"/>
              <w:ind w:left="0" w:right="0" w:firstLine="420"/>
              <w:jc w:val="center"/>
              <w:rPr>
                <w:rFonts w:ascii="Times New Roman" w:hAnsi="Calibri" w:eastAsia="宋体" w:cs="Times New Roman"/>
                <w:sz w:val="21"/>
                <w:szCs w:val="21"/>
              </w:rPr>
            </w:pPr>
          </w:p>
        </w:tc>
      </w:tr>
    </w:tbl>
    <w:p w14:paraId="5EAD5A76">
      <w:pPr>
        <w:pStyle w:val="2"/>
        <w:ind w:left="0" w:leftChars="0" w:firstLine="0" w:firstLineChars="0"/>
        <w:rPr>
          <w:rFonts w:ascii="Times New Roman"/>
        </w:rPr>
      </w:pPr>
    </w:p>
    <w:p w14:paraId="5D0C1C35">
      <w:pPr>
        <w:pStyle w:val="4"/>
        <w:spacing w:before="0" w:beforeLines="0" w:after="312" w:afterLines="100"/>
        <w:ind w:firstLine="0" w:firstLineChars="0"/>
        <w:rPr>
          <w:rFonts w:ascii="Times New Roman"/>
        </w:rPr>
      </w:pPr>
      <w:r>
        <w:rPr>
          <w:rFonts w:ascii="Times New Roman"/>
        </w:rPr>
        <w:br w:type="page"/>
      </w:r>
      <w:bookmarkStart w:id="1088" w:name="_Toc193981307"/>
      <w:r>
        <w:rPr>
          <w:rFonts w:ascii="Times New Roman"/>
        </w:rPr>
        <w:t>第四章 合同条款及格式</w:t>
      </w:r>
      <w:bookmarkEnd w:id="1088"/>
    </w:p>
    <w:p w14:paraId="742A3070">
      <w:pPr>
        <w:adjustRightInd/>
        <w:snapToGrid/>
        <w:spacing w:before="0" w:beforeLines="0" w:line="240" w:lineRule="auto"/>
        <w:ind w:firstLine="0" w:firstLineChars="0"/>
        <w:rPr>
          <w:rFonts w:hAnsi="宋体"/>
          <w:b/>
          <w:kern w:val="0"/>
        </w:rPr>
      </w:pPr>
      <w:r>
        <w:rPr>
          <w:rFonts w:hint="eastAsia" w:hAnsi="宋体"/>
          <w:b/>
          <w:kern w:val="0"/>
        </w:rPr>
        <w:t>合同编号：</w:t>
      </w:r>
      <w:r>
        <w:rPr>
          <w:rFonts w:hint="eastAsia" w:hAnsi="宋体"/>
          <w:b/>
          <w:kern w:val="0"/>
          <w:u w:val="single"/>
        </w:rPr>
        <w:t xml:space="preserve">                                </w:t>
      </w:r>
    </w:p>
    <w:p w14:paraId="72956916">
      <w:pPr>
        <w:adjustRightInd/>
        <w:snapToGrid/>
        <w:spacing w:before="0" w:beforeLines="0" w:line="240" w:lineRule="auto"/>
        <w:ind w:firstLine="0" w:firstLineChars="0"/>
        <w:rPr>
          <w:rFonts w:ascii="Times New Roman"/>
          <w:sz w:val="21"/>
        </w:rPr>
      </w:pPr>
    </w:p>
    <w:p w14:paraId="7E99335B">
      <w:pPr>
        <w:adjustRightInd/>
        <w:snapToGrid/>
        <w:spacing w:before="305" w:beforeLines="0" w:line="240" w:lineRule="auto"/>
        <w:ind w:right="-57" w:firstLine="0" w:firstLineChars="0"/>
        <w:jc w:val="center"/>
        <w:rPr>
          <w:rFonts w:ascii="Times New Roman"/>
          <w:b/>
          <w:bCs/>
          <w:spacing w:val="7"/>
          <w:sz w:val="44"/>
          <w:szCs w:val="44"/>
        </w:rPr>
      </w:pPr>
      <w:bookmarkStart w:id="1089" w:name="_Toc26320"/>
      <w:bookmarkStart w:id="1090" w:name="_Toc15135"/>
    </w:p>
    <w:p w14:paraId="327B1CAD">
      <w:pPr>
        <w:adjustRightInd/>
        <w:snapToGrid/>
        <w:spacing w:before="305" w:beforeLines="0" w:line="240" w:lineRule="auto"/>
        <w:ind w:right="-57" w:firstLine="0" w:firstLineChars="0"/>
        <w:jc w:val="center"/>
        <w:rPr>
          <w:rFonts w:ascii="Times New Roman"/>
          <w:b/>
          <w:bCs/>
          <w:spacing w:val="7"/>
          <w:sz w:val="44"/>
          <w:szCs w:val="44"/>
        </w:rPr>
      </w:pPr>
    </w:p>
    <w:bookmarkEnd w:id="1089"/>
    <w:bookmarkEnd w:id="1090"/>
    <w:p w14:paraId="1DFE5F18">
      <w:pPr>
        <w:adjustRightInd/>
        <w:snapToGrid/>
        <w:spacing w:before="0" w:beforeLines="0" w:line="360" w:lineRule="auto"/>
        <w:ind w:firstLine="0" w:firstLineChars="0"/>
        <w:jc w:val="center"/>
        <w:rPr>
          <w:rFonts w:hAnsi="宋体"/>
          <w:b/>
        </w:rPr>
      </w:pPr>
      <w:bookmarkStart w:id="1091" w:name="_Toc21173"/>
      <w:bookmarkStart w:id="1092" w:name="_Toc26916"/>
      <w:bookmarkStart w:id="1093" w:name="_Toc18724"/>
      <w:bookmarkStart w:id="1094" w:name="_Toc24940"/>
      <w:r>
        <w:rPr>
          <w:rFonts w:hint="eastAsia" w:hAnsi="宋体"/>
          <w:b/>
          <w:sz w:val="56"/>
          <w:szCs w:val="56"/>
        </w:rPr>
        <w:t>结算阶段造价顾问服务合同</w:t>
      </w:r>
    </w:p>
    <w:p w14:paraId="281D9DBF">
      <w:pPr>
        <w:adjustRightInd/>
        <w:snapToGrid/>
        <w:spacing w:before="0" w:beforeLines="0" w:line="240" w:lineRule="auto"/>
        <w:ind w:firstLine="0" w:firstLineChars="0"/>
        <w:jc w:val="center"/>
        <w:rPr>
          <w:rFonts w:hint="eastAsia" w:ascii="Times New Roman" w:hAnsi="宋体"/>
          <w:b/>
        </w:rPr>
      </w:pPr>
    </w:p>
    <w:p w14:paraId="784F8FC2">
      <w:pPr>
        <w:pStyle w:val="2"/>
        <w:ind w:left="480" w:firstLine="480"/>
      </w:pPr>
    </w:p>
    <w:p w14:paraId="6408607C">
      <w:pPr>
        <w:adjustRightInd/>
        <w:snapToGrid/>
        <w:spacing w:before="0" w:beforeLines="0" w:line="360" w:lineRule="auto"/>
        <w:ind w:firstLine="643"/>
        <w:rPr>
          <w:rFonts w:ascii="Times New Roman" w:hAnsi="宋体"/>
          <w:b/>
          <w:sz w:val="32"/>
          <w:szCs w:val="32"/>
          <w:u w:val="single"/>
        </w:rPr>
      </w:pPr>
      <w:r>
        <w:rPr>
          <w:rFonts w:hint="eastAsia" w:ascii="Times New Roman" w:hAnsi="宋体"/>
          <w:b/>
          <w:sz w:val="32"/>
          <w:szCs w:val="32"/>
        </w:rPr>
        <w:t>项目名称：</w:t>
      </w:r>
      <w:r>
        <w:rPr>
          <w:rFonts w:hint="eastAsia" w:hAnsi="宋体" w:cs="宋体"/>
          <w:b/>
          <w:sz w:val="32"/>
          <w:szCs w:val="32"/>
          <w:u w:val="single"/>
        </w:rPr>
        <w:t xml:space="preserve">                           </w:t>
      </w:r>
    </w:p>
    <w:p w14:paraId="4ED4B0EC">
      <w:pPr>
        <w:adjustRightInd/>
        <w:snapToGrid/>
        <w:spacing w:before="0" w:beforeLines="0" w:line="240" w:lineRule="auto"/>
        <w:ind w:firstLine="0" w:firstLineChars="0"/>
        <w:jc w:val="center"/>
        <w:rPr>
          <w:rFonts w:hAnsi="宋体"/>
          <w:b/>
          <w:sz w:val="52"/>
          <w:szCs w:val="52"/>
        </w:rPr>
      </w:pPr>
      <w:r>
        <w:rPr>
          <w:rFonts w:hint="eastAsia" w:hAnsi="宋体"/>
          <w:b/>
          <w:sz w:val="28"/>
          <w:szCs w:val="28"/>
        </w:rPr>
        <w:t xml:space="preserve"> </w:t>
      </w:r>
    </w:p>
    <w:p w14:paraId="7546D02E">
      <w:pPr>
        <w:adjustRightInd/>
        <w:snapToGrid/>
        <w:spacing w:before="0" w:beforeLines="0" w:line="240" w:lineRule="auto"/>
        <w:ind w:firstLine="0" w:firstLineChars="0"/>
        <w:jc w:val="center"/>
        <w:rPr>
          <w:rFonts w:hAnsi="宋体"/>
          <w:b/>
          <w:sz w:val="52"/>
          <w:szCs w:val="52"/>
        </w:rPr>
      </w:pPr>
    </w:p>
    <w:p w14:paraId="09459F91">
      <w:pPr>
        <w:adjustRightInd/>
        <w:snapToGrid/>
        <w:spacing w:before="0" w:beforeLines="0" w:line="240" w:lineRule="auto"/>
        <w:ind w:firstLine="0" w:firstLineChars="0"/>
        <w:jc w:val="center"/>
        <w:rPr>
          <w:rFonts w:hAnsi="宋体"/>
          <w:b/>
          <w:sz w:val="52"/>
          <w:szCs w:val="52"/>
        </w:rPr>
      </w:pPr>
    </w:p>
    <w:p w14:paraId="5CCA625A">
      <w:pPr>
        <w:adjustRightInd/>
        <w:spacing w:before="0" w:beforeLines="0" w:line="360" w:lineRule="auto"/>
        <w:ind w:firstLine="643"/>
        <w:rPr>
          <w:rFonts w:hAnsi="宋体"/>
          <w:b/>
          <w:sz w:val="32"/>
          <w:szCs w:val="32"/>
        </w:rPr>
      </w:pPr>
      <w:r>
        <w:rPr>
          <w:rFonts w:hint="eastAsia" w:hAnsi="宋体"/>
          <w:b/>
          <w:sz w:val="32"/>
        </w:rPr>
        <w:t>委托人：</w:t>
      </w:r>
      <w:r>
        <w:rPr>
          <w:rFonts w:hint="eastAsia" w:hAnsi="宋体"/>
          <w:b/>
          <w:sz w:val="32"/>
          <w:u w:val="single"/>
        </w:rPr>
        <w:t xml:space="preserve">                            </w:t>
      </w:r>
      <w:r>
        <w:rPr>
          <w:rFonts w:hint="eastAsia" w:hAnsi="宋体" w:cs="宋体"/>
          <w:b/>
          <w:sz w:val="32"/>
          <w:szCs w:val="32"/>
          <w:u w:val="single"/>
        </w:rPr>
        <w:t xml:space="preserve"> </w:t>
      </w:r>
    </w:p>
    <w:p w14:paraId="3F3832BC">
      <w:pPr>
        <w:adjustRightInd/>
        <w:snapToGrid/>
        <w:spacing w:before="0" w:beforeLines="0" w:line="360" w:lineRule="auto"/>
        <w:ind w:firstLine="643"/>
        <w:jc w:val="left"/>
        <w:rPr>
          <w:rFonts w:hAnsi="宋体"/>
          <w:b/>
          <w:sz w:val="28"/>
          <w:szCs w:val="28"/>
          <w:u w:val="single"/>
        </w:rPr>
      </w:pPr>
      <w:r>
        <w:rPr>
          <w:rFonts w:hint="eastAsia" w:hAnsi="宋体"/>
          <w:b/>
          <w:sz w:val="32"/>
          <w:szCs w:val="32"/>
        </w:rPr>
        <w:t>受托人：</w:t>
      </w:r>
      <w:r>
        <w:rPr>
          <w:rFonts w:hint="eastAsia" w:hAnsi="宋体" w:cs="宋体"/>
          <w:b/>
          <w:sz w:val="32"/>
          <w:szCs w:val="32"/>
          <w:u w:val="single"/>
        </w:rPr>
        <w:t xml:space="preserve">                             </w:t>
      </w:r>
      <w:bookmarkEnd w:id="1091"/>
      <w:bookmarkEnd w:id="1092"/>
      <w:bookmarkEnd w:id="1093"/>
      <w:bookmarkEnd w:id="1094"/>
    </w:p>
    <w:p w14:paraId="68C8E4A4">
      <w:pPr>
        <w:spacing w:line="360" w:lineRule="auto"/>
        <w:ind w:firstLine="480"/>
        <w:rPr>
          <w:rFonts w:ascii="Times New Roman"/>
        </w:rPr>
      </w:pPr>
      <w:r>
        <w:rPr>
          <w:rFonts w:ascii="Times New Roman"/>
        </w:rPr>
        <w:br w:type="page"/>
      </w:r>
      <w:r>
        <w:rPr>
          <w:rFonts w:ascii="Times New Roman"/>
        </w:rPr>
        <w:t>委托人：</w:t>
      </w:r>
      <w:r>
        <w:rPr>
          <w:rFonts w:hint="eastAsia" w:ascii="Times New Roman"/>
          <w:u w:val="single"/>
        </w:rPr>
        <w:t xml:space="preserve">                                </w:t>
      </w:r>
      <w:r>
        <w:rPr>
          <w:rFonts w:ascii="Times New Roman"/>
          <w:u w:val="single"/>
        </w:rPr>
        <w:t>（以下简称“甲方”）</w:t>
      </w:r>
    </w:p>
    <w:p w14:paraId="54984E9F">
      <w:pPr>
        <w:tabs>
          <w:tab w:val="left" w:pos="4965"/>
        </w:tabs>
        <w:adjustRightInd/>
        <w:spacing w:before="0" w:beforeLines="0" w:line="360" w:lineRule="auto"/>
        <w:ind w:firstLine="480"/>
        <w:rPr>
          <w:rFonts w:ascii="Times New Roman"/>
        </w:rPr>
      </w:pPr>
      <w:r>
        <w:rPr>
          <w:rFonts w:ascii="Times New Roman"/>
        </w:rPr>
        <w:t>受托人：</w:t>
      </w:r>
      <w:r>
        <w:rPr>
          <w:rFonts w:hint="eastAsia" w:ascii="Times New Roman"/>
          <w:u w:val="single"/>
        </w:rPr>
        <w:t xml:space="preserve">                                </w:t>
      </w:r>
      <w:r>
        <w:rPr>
          <w:rFonts w:ascii="Times New Roman"/>
          <w:u w:val="single"/>
        </w:rPr>
        <w:t>（以下简称“乙方”）</w:t>
      </w:r>
    </w:p>
    <w:p w14:paraId="36C81A5B">
      <w:pPr>
        <w:adjustRightInd/>
        <w:spacing w:before="312" w:beforeLines="100" w:after="312" w:afterLines="100" w:line="360" w:lineRule="auto"/>
        <w:ind w:firstLine="0" w:firstLineChars="0"/>
        <w:jc w:val="center"/>
        <w:rPr>
          <w:rFonts w:ascii="Times New Roman"/>
        </w:rPr>
      </w:pPr>
      <w:r>
        <w:rPr>
          <w:rFonts w:ascii="Times New Roman"/>
        </w:rPr>
        <w:t>根据</w:t>
      </w:r>
      <w:r>
        <w:rPr>
          <w:rFonts w:hint="eastAsia" w:ascii="Times New Roman"/>
        </w:rPr>
        <w:t>《中华人民共和国民法典》</w:t>
      </w:r>
      <w:r>
        <w:rPr>
          <w:rFonts w:ascii="Times New Roman"/>
        </w:rPr>
        <w:t>《中华人民共和国建筑法》《中华人民共和国招标投标法》等有关</w:t>
      </w:r>
      <w:r>
        <w:rPr>
          <w:rFonts w:hint="eastAsia" w:ascii="Times New Roman"/>
        </w:rPr>
        <w:t>法律、法规的规定，遵循平等、自愿、公平和诚实信用的原则，经过双方协商一致，签订本合同：</w:t>
      </w:r>
    </w:p>
    <w:p w14:paraId="3ADB700A">
      <w:pPr>
        <w:adjustRightInd/>
        <w:spacing w:before="0" w:beforeLines="0" w:line="360" w:lineRule="auto"/>
        <w:ind w:firstLine="482"/>
        <w:jc w:val="left"/>
        <w:outlineLvl w:val="2"/>
        <w:rPr>
          <w:rFonts w:hAnsi="宋体"/>
          <w:b/>
          <w:bCs/>
        </w:rPr>
      </w:pPr>
      <w:bookmarkStart w:id="1095" w:name="_Toc2492"/>
      <w:bookmarkStart w:id="1096" w:name="_Toc491534467"/>
      <w:bookmarkStart w:id="1097" w:name="_Toc27722"/>
      <w:bookmarkStart w:id="1098" w:name="_Toc12098"/>
      <w:bookmarkStart w:id="1099" w:name="_Toc9782"/>
      <w:bookmarkStart w:id="1100" w:name="_Toc25054"/>
      <w:bookmarkStart w:id="1101" w:name="_Toc1629"/>
      <w:bookmarkStart w:id="1102" w:name="_Toc28670"/>
      <w:bookmarkStart w:id="1103" w:name="_Toc8281"/>
      <w:bookmarkStart w:id="1104" w:name="_Toc21574"/>
      <w:bookmarkStart w:id="1105" w:name="_Toc7093"/>
      <w:bookmarkStart w:id="1106" w:name="_Toc8037"/>
      <w:bookmarkStart w:id="1107" w:name="_Toc193981308"/>
      <w:bookmarkStart w:id="1108" w:name="_Toc5599"/>
      <w:r>
        <w:rPr>
          <w:rFonts w:hAnsi="宋体"/>
          <w:b/>
          <w:bCs/>
        </w:rPr>
        <w:t>1.词语定义</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91E479F">
      <w:pPr>
        <w:adjustRightInd/>
        <w:spacing w:before="0" w:beforeLines="0" w:line="360" w:lineRule="auto"/>
        <w:ind w:firstLine="480"/>
        <w:jc w:val="left"/>
        <w:rPr>
          <w:rFonts w:hAnsi="宋体"/>
        </w:rPr>
      </w:pPr>
      <w:r>
        <w:rPr>
          <w:rFonts w:hAnsi="宋体"/>
        </w:rPr>
        <w:t>下列名词和用语，除上下文另有规定外具有如下含义：</w:t>
      </w:r>
    </w:p>
    <w:p w14:paraId="235A446E">
      <w:pPr>
        <w:adjustRightInd/>
        <w:spacing w:before="0" w:beforeLines="0" w:line="360" w:lineRule="auto"/>
        <w:ind w:firstLine="480"/>
        <w:jc w:val="left"/>
        <w:rPr>
          <w:rFonts w:hAnsi="宋体"/>
        </w:rPr>
      </w:pPr>
      <w:r>
        <w:rPr>
          <w:rFonts w:hAnsi="宋体"/>
        </w:rPr>
        <w:t>1.1“委托人”是指委托建设工程造价</w:t>
      </w:r>
      <w:r>
        <w:rPr>
          <w:rFonts w:hint="eastAsia" w:hAnsi="宋体"/>
        </w:rPr>
        <w:t>服务</w:t>
      </w:r>
      <w:r>
        <w:rPr>
          <w:rFonts w:hAnsi="宋体"/>
        </w:rPr>
        <w:t>业务和聘用工程造价</w:t>
      </w:r>
      <w:r>
        <w:rPr>
          <w:rFonts w:hint="eastAsia" w:hAnsi="宋体"/>
        </w:rPr>
        <w:t>顾问</w:t>
      </w:r>
      <w:r>
        <w:rPr>
          <w:rFonts w:hAnsi="宋体"/>
        </w:rPr>
        <w:t>单位的一方，以及其合法继承人。</w:t>
      </w:r>
    </w:p>
    <w:p w14:paraId="7C1C0708">
      <w:pPr>
        <w:adjustRightInd/>
        <w:spacing w:before="0" w:beforeLines="0" w:line="360" w:lineRule="auto"/>
        <w:ind w:firstLine="480"/>
        <w:jc w:val="left"/>
        <w:rPr>
          <w:rFonts w:hAnsi="宋体"/>
        </w:rPr>
      </w:pPr>
      <w:r>
        <w:rPr>
          <w:rFonts w:hAnsi="宋体"/>
        </w:rPr>
        <w:t>1.2“受托人”是指承担建设工程造价</w:t>
      </w:r>
      <w:r>
        <w:rPr>
          <w:rFonts w:hint="eastAsia" w:hAnsi="宋体"/>
        </w:rPr>
        <w:t>服务</w:t>
      </w:r>
      <w:r>
        <w:rPr>
          <w:rFonts w:hAnsi="宋体"/>
        </w:rPr>
        <w:t>业务和工程造价</w:t>
      </w:r>
      <w:r>
        <w:rPr>
          <w:rFonts w:hint="eastAsia" w:hAnsi="宋体"/>
        </w:rPr>
        <w:t>服务</w:t>
      </w:r>
      <w:r>
        <w:rPr>
          <w:rFonts w:hAnsi="宋体"/>
        </w:rPr>
        <w:t>责任的一方，以及其合法继承人。</w:t>
      </w:r>
    </w:p>
    <w:p w14:paraId="7453C585">
      <w:pPr>
        <w:adjustRightInd/>
        <w:spacing w:before="0" w:beforeLines="0" w:line="360" w:lineRule="auto"/>
        <w:ind w:firstLine="480"/>
        <w:jc w:val="left"/>
        <w:rPr>
          <w:rFonts w:hAnsi="宋体"/>
        </w:rPr>
      </w:pPr>
      <w:r>
        <w:rPr>
          <w:rFonts w:hAnsi="宋体"/>
        </w:rPr>
        <w:t>1.3“承包人”是指与委托人签订</w:t>
      </w:r>
      <w:r>
        <w:rPr>
          <w:rFonts w:hint="eastAsia" w:hAnsi="宋体"/>
        </w:rPr>
        <w:t>本建设</w:t>
      </w:r>
      <w:r>
        <w:rPr>
          <w:rFonts w:hAnsi="宋体"/>
        </w:rPr>
        <w:t>工程施工合同的一方。</w:t>
      </w:r>
    </w:p>
    <w:p w14:paraId="37EF54B6">
      <w:pPr>
        <w:adjustRightInd/>
        <w:spacing w:before="0" w:beforeLines="0" w:line="360" w:lineRule="auto"/>
        <w:ind w:firstLine="480"/>
        <w:jc w:val="left"/>
        <w:rPr>
          <w:rFonts w:hAnsi="宋体"/>
        </w:rPr>
      </w:pPr>
      <w:r>
        <w:rPr>
          <w:rFonts w:hAnsi="宋体"/>
        </w:rPr>
        <w:t>1.4“第三人”是指除委托人、受托人以外与本</w:t>
      </w:r>
      <w:r>
        <w:rPr>
          <w:rFonts w:hint="eastAsia" w:hAnsi="宋体"/>
        </w:rPr>
        <w:t>造价服务</w:t>
      </w:r>
      <w:r>
        <w:rPr>
          <w:rFonts w:hAnsi="宋体"/>
        </w:rPr>
        <w:t>业务有关的当事人。</w:t>
      </w:r>
    </w:p>
    <w:p w14:paraId="156444C9">
      <w:pPr>
        <w:adjustRightInd/>
        <w:spacing w:before="0" w:beforeLines="0" w:line="360" w:lineRule="auto"/>
        <w:ind w:firstLine="480"/>
        <w:jc w:val="left"/>
        <w:rPr>
          <w:rFonts w:hAnsi="宋体"/>
        </w:rPr>
      </w:pPr>
      <w:r>
        <w:rPr>
          <w:rFonts w:hAnsi="宋体"/>
        </w:rPr>
        <w:t>1.5“日”是指任何一天零时至第二天零时的时间段。</w:t>
      </w:r>
    </w:p>
    <w:p w14:paraId="0A9DC340">
      <w:pPr>
        <w:adjustRightInd/>
        <w:spacing w:before="0" w:beforeLines="0" w:line="360" w:lineRule="auto"/>
        <w:ind w:firstLine="482"/>
        <w:jc w:val="left"/>
        <w:outlineLvl w:val="2"/>
        <w:rPr>
          <w:rFonts w:hAnsi="宋体"/>
          <w:b/>
          <w:bCs/>
        </w:rPr>
      </w:pPr>
      <w:bookmarkStart w:id="1109" w:name="_Toc25936"/>
      <w:bookmarkStart w:id="1110" w:name="_Toc11316"/>
      <w:bookmarkStart w:id="1111" w:name="_Toc19158"/>
      <w:bookmarkStart w:id="1112" w:name="_Toc26876"/>
      <w:bookmarkStart w:id="1113" w:name="_Toc31454"/>
      <w:bookmarkStart w:id="1114" w:name="_Toc491534468"/>
      <w:bookmarkStart w:id="1115" w:name="_Toc7730"/>
      <w:bookmarkStart w:id="1116" w:name="_Toc193981309"/>
      <w:bookmarkStart w:id="1117" w:name="_Toc9095"/>
      <w:bookmarkStart w:id="1118" w:name="_Toc3163"/>
      <w:bookmarkStart w:id="1119" w:name="_Toc15726"/>
      <w:bookmarkStart w:id="1120" w:name="_Toc2188"/>
      <w:bookmarkStart w:id="1121" w:name="_Toc27551"/>
      <w:bookmarkStart w:id="1122" w:name="_Toc1449"/>
      <w:bookmarkStart w:id="1123" w:name="_Toc2564"/>
      <w:r>
        <w:rPr>
          <w:rFonts w:hAnsi="宋体"/>
          <w:b/>
          <w:bCs/>
        </w:rPr>
        <w:t>2.合同文件的优先次序</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C49033B">
      <w:pPr>
        <w:adjustRightInd/>
        <w:spacing w:before="0" w:beforeLines="0" w:line="360" w:lineRule="auto"/>
        <w:ind w:firstLine="480"/>
        <w:jc w:val="left"/>
        <w:rPr>
          <w:rFonts w:hAnsi="宋体"/>
        </w:rPr>
      </w:pPr>
      <w:r>
        <w:rPr>
          <w:rFonts w:hAnsi="宋体"/>
        </w:rPr>
        <w:t>2.1下列文件一起构成合同文件：</w:t>
      </w:r>
    </w:p>
    <w:p w14:paraId="31447B02">
      <w:pPr>
        <w:adjustRightInd/>
        <w:spacing w:before="0" w:beforeLines="0" w:line="360" w:lineRule="auto"/>
        <w:ind w:firstLine="480"/>
        <w:jc w:val="left"/>
        <w:rPr>
          <w:rFonts w:hAnsi="宋体"/>
        </w:rPr>
      </w:pPr>
      <w:r>
        <w:rPr>
          <w:rFonts w:hAnsi="宋体"/>
        </w:rPr>
        <w:t>（1）</w:t>
      </w:r>
      <w:r>
        <w:rPr>
          <w:rFonts w:hint="eastAsia" w:hAnsi="宋体"/>
        </w:rPr>
        <w:t>结算阶段造价顾问服务合同</w:t>
      </w:r>
      <w:r>
        <w:rPr>
          <w:rFonts w:hAnsi="宋体"/>
        </w:rPr>
        <w:t>；</w:t>
      </w:r>
    </w:p>
    <w:p w14:paraId="073C7FE1">
      <w:pPr>
        <w:adjustRightInd/>
        <w:spacing w:before="0" w:beforeLines="0" w:line="360" w:lineRule="auto"/>
        <w:ind w:firstLine="480"/>
        <w:jc w:val="left"/>
        <w:rPr>
          <w:rFonts w:hAnsi="宋体"/>
        </w:rPr>
      </w:pPr>
      <w:r>
        <w:rPr>
          <w:rFonts w:hAnsi="宋体"/>
        </w:rPr>
        <w:t>（2）合同谈判过程中的澄清文件和合同执行过程中的补充协议（如有）；</w:t>
      </w:r>
    </w:p>
    <w:p w14:paraId="458733F3">
      <w:pPr>
        <w:adjustRightInd/>
        <w:spacing w:before="0" w:beforeLines="0" w:line="360" w:lineRule="auto"/>
        <w:ind w:firstLine="480"/>
        <w:jc w:val="left"/>
        <w:rPr>
          <w:rFonts w:hAnsi="宋体"/>
        </w:rPr>
      </w:pPr>
      <w:r>
        <w:rPr>
          <w:rFonts w:hAnsi="宋体"/>
        </w:rPr>
        <w:t>（3）中标通知书</w:t>
      </w:r>
      <w:r>
        <w:rPr>
          <w:rFonts w:hint="eastAsia" w:hAnsi="宋体"/>
        </w:rPr>
        <w:t>；</w:t>
      </w:r>
    </w:p>
    <w:p w14:paraId="47DCA12D">
      <w:pPr>
        <w:adjustRightInd/>
        <w:spacing w:before="0" w:beforeLines="0" w:line="360" w:lineRule="auto"/>
        <w:ind w:firstLine="480"/>
        <w:jc w:val="left"/>
        <w:rPr>
          <w:rFonts w:hAnsi="宋体"/>
        </w:rPr>
      </w:pPr>
      <w:r>
        <w:rPr>
          <w:rFonts w:hAnsi="宋体"/>
        </w:rPr>
        <w:t>（4）投标文件报价部分；</w:t>
      </w:r>
    </w:p>
    <w:p w14:paraId="6D6C971B">
      <w:pPr>
        <w:adjustRightInd/>
        <w:spacing w:before="0" w:beforeLines="0" w:line="360" w:lineRule="auto"/>
        <w:ind w:firstLine="480"/>
        <w:jc w:val="left"/>
        <w:rPr>
          <w:rFonts w:hAnsi="宋体"/>
        </w:rPr>
      </w:pPr>
      <w:r>
        <w:rPr>
          <w:rFonts w:hAnsi="宋体"/>
        </w:rPr>
        <w:t>（</w:t>
      </w:r>
      <w:r>
        <w:rPr>
          <w:rFonts w:hint="eastAsia" w:hAnsi="宋体"/>
        </w:rPr>
        <w:t>5</w:t>
      </w:r>
      <w:r>
        <w:rPr>
          <w:rFonts w:hAnsi="宋体"/>
        </w:rPr>
        <w:t>）发包人要求；</w:t>
      </w:r>
    </w:p>
    <w:p w14:paraId="4CDED6CD">
      <w:pPr>
        <w:adjustRightInd/>
        <w:spacing w:before="0" w:beforeLines="0" w:line="360" w:lineRule="auto"/>
        <w:ind w:firstLine="480"/>
        <w:jc w:val="left"/>
        <w:rPr>
          <w:rFonts w:hAnsi="宋体"/>
        </w:rPr>
      </w:pPr>
      <w:r>
        <w:rPr>
          <w:rFonts w:hAnsi="宋体"/>
        </w:rPr>
        <w:t>（</w:t>
      </w:r>
      <w:r>
        <w:rPr>
          <w:rFonts w:hint="eastAsia" w:hAnsi="宋体"/>
        </w:rPr>
        <w:t>6</w:t>
      </w:r>
      <w:r>
        <w:rPr>
          <w:rFonts w:hAnsi="宋体"/>
        </w:rPr>
        <w:t>）招标文件及补遗（答疑）文件；</w:t>
      </w:r>
    </w:p>
    <w:p w14:paraId="32CF1828">
      <w:pPr>
        <w:adjustRightInd/>
        <w:spacing w:before="0" w:beforeLines="0" w:line="360" w:lineRule="auto"/>
        <w:ind w:firstLine="480"/>
        <w:jc w:val="left"/>
        <w:rPr>
          <w:rFonts w:hAnsi="宋体"/>
        </w:rPr>
      </w:pPr>
      <w:r>
        <w:rPr>
          <w:rFonts w:hAnsi="宋体"/>
        </w:rPr>
        <w:t>（</w:t>
      </w:r>
      <w:r>
        <w:rPr>
          <w:rFonts w:hint="eastAsia" w:hAnsi="宋体"/>
        </w:rPr>
        <w:t>7</w:t>
      </w:r>
      <w:r>
        <w:rPr>
          <w:rFonts w:hAnsi="宋体"/>
        </w:rPr>
        <w:t>）投标文件（除投标文件报价部分）；</w:t>
      </w:r>
    </w:p>
    <w:p w14:paraId="5B911714">
      <w:pPr>
        <w:adjustRightInd/>
        <w:spacing w:before="0" w:beforeLines="0" w:line="360" w:lineRule="auto"/>
        <w:ind w:firstLine="480"/>
        <w:jc w:val="left"/>
        <w:rPr>
          <w:rFonts w:hAnsi="宋体"/>
        </w:rPr>
      </w:pPr>
      <w:r>
        <w:rPr>
          <w:rFonts w:hAnsi="宋体"/>
        </w:rPr>
        <w:t>（</w:t>
      </w:r>
      <w:r>
        <w:rPr>
          <w:rFonts w:hint="eastAsia" w:hAnsi="宋体"/>
        </w:rPr>
        <w:t>8</w:t>
      </w:r>
      <w:r>
        <w:rPr>
          <w:rFonts w:hAnsi="宋体"/>
        </w:rPr>
        <w:t>）其他合同文件。</w:t>
      </w:r>
    </w:p>
    <w:p w14:paraId="683B4D9B">
      <w:pPr>
        <w:adjustRightInd/>
        <w:spacing w:before="0" w:beforeLines="0" w:line="360" w:lineRule="auto"/>
        <w:ind w:firstLine="480"/>
        <w:jc w:val="left"/>
        <w:rPr>
          <w:rFonts w:ascii="Times New Roman"/>
        </w:rPr>
      </w:pPr>
      <w:r>
        <w:rPr>
          <w:rFonts w:hAnsi="宋体"/>
        </w:rPr>
        <w:t>2.2上述文件互相补充和解释，如有不明确或不一致之处，</w:t>
      </w:r>
      <w:r>
        <w:rPr>
          <w:rFonts w:hint="eastAsia" w:hAnsi="宋体"/>
        </w:rPr>
        <w:t>排列在前的文件优先于排列在后的文件。本合同不同时间产生的同类文件，产生日期在后的优先于产生日期在前的。</w:t>
      </w:r>
    </w:p>
    <w:p w14:paraId="3B965524">
      <w:pPr>
        <w:adjustRightInd/>
        <w:spacing w:before="0" w:beforeLines="0" w:line="360" w:lineRule="auto"/>
        <w:ind w:firstLine="482"/>
        <w:jc w:val="left"/>
        <w:outlineLvl w:val="2"/>
        <w:rPr>
          <w:rFonts w:hAnsi="宋体"/>
          <w:b/>
          <w:bCs/>
        </w:rPr>
      </w:pPr>
      <w:bookmarkStart w:id="1124" w:name="_Toc4301"/>
      <w:bookmarkStart w:id="1125" w:name="_Toc12973"/>
      <w:bookmarkStart w:id="1126" w:name="_Toc24691"/>
      <w:bookmarkStart w:id="1127" w:name="_Toc9790"/>
      <w:bookmarkStart w:id="1128" w:name="_Toc22263"/>
      <w:bookmarkStart w:id="1129" w:name="_Toc18986"/>
      <w:bookmarkStart w:id="1130" w:name="_Toc20608"/>
      <w:bookmarkStart w:id="1131" w:name="_Toc491534469"/>
      <w:bookmarkStart w:id="1132" w:name="_Toc20605"/>
      <w:bookmarkStart w:id="1133" w:name="_Toc22146"/>
      <w:bookmarkStart w:id="1134" w:name="_Toc20862"/>
      <w:bookmarkStart w:id="1135" w:name="_Toc193981310"/>
      <w:bookmarkStart w:id="1136" w:name="_Toc16487"/>
      <w:bookmarkStart w:id="1137" w:name="_Toc9235"/>
      <w:r>
        <w:rPr>
          <w:rFonts w:hAnsi="宋体"/>
          <w:b/>
          <w:bCs/>
        </w:rPr>
        <w:t>3.项目概况</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4075F2F">
      <w:pPr>
        <w:adjustRightInd/>
        <w:spacing w:before="0" w:beforeLines="0" w:line="360" w:lineRule="auto"/>
        <w:ind w:firstLine="480"/>
        <w:jc w:val="left"/>
        <w:rPr>
          <w:rFonts w:hAnsi="宋体"/>
          <w:u w:val="single"/>
        </w:rPr>
      </w:pPr>
      <w:r>
        <w:rPr>
          <w:rFonts w:hAnsi="宋体"/>
        </w:rPr>
        <w:t>3.1</w:t>
      </w:r>
      <w:r>
        <w:rPr>
          <w:rFonts w:hint="eastAsia" w:hAnsi="宋体"/>
        </w:rPr>
        <w:t>项目名称</w:t>
      </w:r>
      <w:r>
        <w:rPr>
          <w:rFonts w:hAnsi="宋体"/>
        </w:rPr>
        <w:t>：</w:t>
      </w:r>
      <w:r>
        <w:rPr>
          <w:rFonts w:hint="eastAsia" w:hAnsi="宋体"/>
          <w:u w:val="single"/>
        </w:rPr>
        <w:t xml:space="preserve">                       </w:t>
      </w:r>
    </w:p>
    <w:p w14:paraId="2D1775BC">
      <w:pPr>
        <w:adjustRightInd/>
        <w:spacing w:before="0" w:beforeLines="0" w:line="360" w:lineRule="auto"/>
        <w:ind w:firstLine="480"/>
        <w:jc w:val="left"/>
        <w:rPr>
          <w:rFonts w:hAnsi="宋体"/>
        </w:rPr>
      </w:pPr>
      <w:r>
        <w:rPr>
          <w:rFonts w:hAnsi="宋体"/>
        </w:rPr>
        <w:t>3.2建设地点：</w:t>
      </w:r>
      <w:r>
        <w:rPr>
          <w:rFonts w:hint="eastAsia" w:hAnsi="宋体"/>
          <w:u w:val="single"/>
        </w:rPr>
        <w:t xml:space="preserve">                       </w:t>
      </w:r>
    </w:p>
    <w:p w14:paraId="69A981D4">
      <w:pPr>
        <w:adjustRightInd/>
        <w:spacing w:before="0" w:beforeLines="0" w:line="360" w:lineRule="auto"/>
        <w:ind w:firstLine="480"/>
        <w:jc w:val="left"/>
        <w:rPr>
          <w:rFonts w:hAnsi="宋体" w:cs="宋体"/>
        </w:rPr>
      </w:pPr>
      <w:r>
        <w:rPr>
          <w:rFonts w:hint="eastAsia" w:hAnsi="宋体" w:cs="宋体"/>
        </w:rPr>
        <w:t>3.3工程规模：</w:t>
      </w:r>
      <w:r>
        <w:rPr>
          <w:rFonts w:hint="eastAsia" w:hAnsi="宋体" w:cs="宋体"/>
          <w:u w:val="single"/>
        </w:rPr>
        <w:t>该项目暂估建筑面积约     万平方米。工程内容包括：建筑、装饰装修、安装、市政道路、市政给排水、园林建筑、园林绿化等</w:t>
      </w:r>
      <w:r>
        <w:rPr>
          <w:rFonts w:hint="eastAsia" w:hAnsi="宋体" w:cs="宋体"/>
        </w:rPr>
        <w:t>。</w:t>
      </w:r>
    </w:p>
    <w:p w14:paraId="65AC9684">
      <w:pPr>
        <w:adjustRightInd/>
        <w:spacing w:before="0" w:beforeLines="0" w:line="360" w:lineRule="auto"/>
        <w:ind w:firstLine="482"/>
        <w:jc w:val="left"/>
        <w:outlineLvl w:val="2"/>
        <w:rPr>
          <w:rFonts w:hAnsi="宋体"/>
          <w:b/>
          <w:bCs/>
        </w:rPr>
      </w:pPr>
      <w:bookmarkStart w:id="1138" w:name="_Toc32180"/>
      <w:bookmarkStart w:id="1139" w:name="_Toc30402"/>
      <w:bookmarkStart w:id="1140" w:name="_Toc3786"/>
      <w:bookmarkStart w:id="1141" w:name="_Toc491534470"/>
      <w:bookmarkStart w:id="1142" w:name="_Toc28743"/>
      <w:bookmarkStart w:id="1143" w:name="_Toc193981311"/>
      <w:bookmarkStart w:id="1144" w:name="_Toc27740"/>
      <w:bookmarkStart w:id="1145" w:name="_Toc12181"/>
      <w:bookmarkStart w:id="1146" w:name="_Toc10943"/>
      <w:bookmarkStart w:id="1147" w:name="_Toc6277"/>
      <w:bookmarkStart w:id="1148" w:name="_Toc1391"/>
      <w:bookmarkStart w:id="1149" w:name="_Toc17663"/>
      <w:bookmarkStart w:id="1150" w:name="_Toc7701"/>
      <w:bookmarkStart w:id="1151" w:name="_Toc13426"/>
      <w:r>
        <w:rPr>
          <w:rFonts w:hAnsi="宋体"/>
          <w:b/>
          <w:bCs/>
        </w:rPr>
        <w:t>4.法律、法规和规定</w:t>
      </w:r>
      <w:bookmarkEnd w:id="1138"/>
      <w:bookmarkEnd w:id="1139"/>
      <w:bookmarkEnd w:id="1140"/>
      <w:bookmarkEnd w:id="1141"/>
      <w:r>
        <w:rPr>
          <w:rFonts w:hint="eastAsia" w:hAnsi="宋体"/>
          <w:b/>
          <w:bCs/>
        </w:rPr>
        <w:t>（如有最新规范或规程，则以最新为准）</w:t>
      </w:r>
      <w:bookmarkEnd w:id="1142"/>
      <w:bookmarkEnd w:id="1143"/>
      <w:bookmarkEnd w:id="1144"/>
      <w:bookmarkEnd w:id="1145"/>
      <w:bookmarkEnd w:id="1146"/>
      <w:bookmarkEnd w:id="1147"/>
      <w:bookmarkEnd w:id="1148"/>
      <w:bookmarkEnd w:id="1149"/>
      <w:bookmarkEnd w:id="1150"/>
      <w:bookmarkEnd w:id="1151"/>
    </w:p>
    <w:p w14:paraId="20B6FCED">
      <w:pPr>
        <w:adjustRightInd/>
        <w:spacing w:before="0" w:beforeLines="0" w:line="360" w:lineRule="auto"/>
        <w:ind w:firstLine="480"/>
        <w:jc w:val="left"/>
        <w:rPr>
          <w:rFonts w:hAnsi="宋体"/>
        </w:rPr>
      </w:pPr>
      <w:r>
        <w:rPr>
          <w:rFonts w:hAnsi="宋体"/>
        </w:rPr>
        <w:t>本合同适用的是国家法律、法规、部门规章或地方法规、地方规章，以及工程造价有关的地方工程计价办法和规定。</w:t>
      </w:r>
    </w:p>
    <w:p w14:paraId="720B6711">
      <w:pPr>
        <w:adjustRightInd/>
        <w:spacing w:before="0" w:beforeLines="0" w:line="360" w:lineRule="auto"/>
        <w:ind w:firstLine="482"/>
        <w:jc w:val="left"/>
        <w:outlineLvl w:val="2"/>
        <w:rPr>
          <w:rFonts w:hAnsi="宋体"/>
          <w:b/>
          <w:bCs/>
        </w:rPr>
      </w:pPr>
      <w:bookmarkStart w:id="1152" w:name="_Toc23743"/>
      <w:bookmarkStart w:id="1153" w:name="_Toc18905"/>
      <w:bookmarkStart w:id="1154" w:name="_Toc193981312"/>
      <w:bookmarkStart w:id="1155" w:name="_Toc491534471"/>
      <w:bookmarkStart w:id="1156" w:name="_Toc20561"/>
      <w:bookmarkStart w:id="1157" w:name="_Toc19700"/>
      <w:bookmarkStart w:id="1158" w:name="_Toc12390"/>
      <w:bookmarkStart w:id="1159" w:name="_Toc8925"/>
      <w:bookmarkStart w:id="1160" w:name="_Toc32478"/>
      <w:bookmarkStart w:id="1161" w:name="_Toc31775"/>
      <w:bookmarkStart w:id="1162" w:name="_Toc1105"/>
      <w:bookmarkStart w:id="1163" w:name="_Toc8869"/>
      <w:bookmarkStart w:id="1164" w:name="_Toc9855"/>
      <w:bookmarkStart w:id="1165" w:name="_Toc151"/>
      <w:r>
        <w:rPr>
          <w:rFonts w:hAnsi="宋体"/>
          <w:b/>
          <w:bCs/>
        </w:rPr>
        <w:t>5.服务范围和工作内容</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778197C">
      <w:pPr>
        <w:adjustRightInd/>
        <w:spacing w:before="0" w:beforeLines="0" w:line="360" w:lineRule="auto"/>
        <w:ind w:firstLine="480"/>
        <w:jc w:val="left"/>
        <w:rPr>
          <w:rFonts w:hAnsi="宋体"/>
          <w:b/>
          <w:bCs/>
        </w:rPr>
      </w:pPr>
      <w:r>
        <w:rPr>
          <w:rFonts w:hAnsi="宋体"/>
        </w:rPr>
        <w:drawing>
          <wp:anchor distT="0" distB="0" distL="114300" distR="114300" simplePos="0" relativeHeight="251659264" behindDoc="1" locked="0" layoutInCell="1" allowOverlap="1">
            <wp:simplePos x="0" y="0"/>
            <wp:positionH relativeFrom="page">
              <wp:posOffset>2592070</wp:posOffset>
            </wp:positionH>
            <wp:positionV relativeFrom="paragraph">
              <wp:posOffset>424180</wp:posOffset>
            </wp:positionV>
            <wp:extent cx="48895" cy="97790"/>
            <wp:effectExtent l="0" t="0" r="0" b="0"/>
            <wp:wrapNone/>
            <wp:docPr id="1" name="_x0000_s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s1246"/>
                    <pic:cNvPicPr>
                      <a:picLocks noChangeAspect="1"/>
                    </pic:cNvPicPr>
                  </pic:nvPicPr>
                  <pic:blipFill>
                    <a:blip r:embed="rId15"/>
                    <a:stretch>
                      <a:fillRect/>
                    </a:stretch>
                  </pic:blipFill>
                  <pic:spPr>
                    <a:xfrm>
                      <a:off x="0" y="0"/>
                      <a:ext cx="48895" cy="97790"/>
                    </a:xfrm>
                    <a:prstGeom prst="rect">
                      <a:avLst/>
                    </a:prstGeom>
                    <a:noFill/>
                    <a:ln>
                      <a:noFill/>
                    </a:ln>
                  </pic:spPr>
                </pic:pic>
              </a:graphicData>
            </a:graphic>
          </wp:anchor>
        </w:drawing>
      </w:r>
      <w:r>
        <w:rPr>
          <w:rFonts w:hAnsi="宋体"/>
          <w:b/>
          <w:bCs/>
        </w:rPr>
        <w:t>5.1服务范围</w:t>
      </w:r>
    </w:p>
    <w:p w14:paraId="46E06FDB">
      <w:pPr>
        <w:adjustRightInd/>
        <w:spacing w:before="0" w:beforeLines="0" w:line="360" w:lineRule="auto"/>
        <w:ind w:firstLine="480"/>
        <w:jc w:val="left"/>
        <w:rPr>
          <w:rFonts w:hAnsi="宋体" w:cs="宋体"/>
        </w:rPr>
      </w:pPr>
      <w:r>
        <w:rPr>
          <w:rFonts w:hAnsi="宋体"/>
        </w:rPr>
        <w:t>5.1.1</w:t>
      </w:r>
      <w:r>
        <w:rPr>
          <w:rFonts w:hint="eastAsia" w:hAnsi="宋体"/>
        </w:rPr>
        <w:t>总包及专业分包工程</w:t>
      </w:r>
      <w:r>
        <w:rPr>
          <w:rFonts w:hint="eastAsia" w:hAnsi="宋体" w:cs="宋体"/>
        </w:rPr>
        <w:t>包括但不限于：</w:t>
      </w:r>
      <w:r>
        <w:rPr>
          <w:rFonts w:hint="eastAsia" w:hAnsi="宋体" w:cs="宋体"/>
          <w:u w:val="single"/>
        </w:rPr>
        <w:t>土石方工程、基础工程、建筑安装工程、内外墙保温、外立面装饰（铝合金门窗、幕墙、栏杆、百叶、雨棚等）、屋面工程、防水工程、给排水工程、电气工程、暖通工程、电梯工程、消防工程、人防工程、智能化工程、室外工程、标识工程、园林景观工程</w:t>
      </w:r>
      <w:r>
        <w:rPr>
          <w:rFonts w:hint="eastAsia" w:hAnsi="宋体" w:cs="宋体"/>
        </w:rPr>
        <w:t>等施工和材料设备采购、安装的全项目周期的造价顾问服务。</w:t>
      </w:r>
    </w:p>
    <w:p w14:paraId="384E829D">
      <w:pPr>
        <w:adjustRightInd/>
        <w:spacing w:before="0" w:beforeLines="0" w:line="360" w:lineRule="auto"/>
        <w:ind w:firstLine="480"/>
        <w:jc w:val="left"/>
        <w:rPr>
          <w:rFonts w:hAnsi="宋体" w:cs="宋体"/>
        </w:rPr>
      </w:pPr>
      <w:r>
        <w:rPr>
          <w:rFonts w:hAnsi="宋体"/>
        </w:rPr>
        <w:t>5.1.2</w:t>
      </w:r>
      <w:r>
        <w:rPr>
          <w:rFonts w:hint="eastAsia" w:hAnsi="宋体"/>
        </w:rPr>
        <w:t xml:space="preserve"> </w:t>
      </w:r>
      <w:r>
        <w:rPr>
          <w:rFonts w:hint="eastAsia" w:hAnsi="宋体" w:cs="宋体"/>
        </w:rPr>
        <w:t>精装修工程包含但不限于：</w:t>
      </w:r>
      <w:r>
        <w:rPr>
          <w:rFonts w:hint="eastAsia" w:hAnsi="宋体" w:cs="宋体"/>
          <w:u w:val="single"/>
        </w:rPr>
        <w:t>户内批量装修（若有）、公共部位装修、样板房、售楼处装修（含临时建筑）、会所和学校等公共配套工程的装修，包含以上工程的硬装、软装、运营物品、办公用品、家具</w:t>
      </w:r>
      <w:r>
        <w:rPr>
          <w:rFonts w:hint="eastAsia" w:hAnsi="宋体" w:cs="宋体"/>
        </w:rPr>
        <w:t>等施工和材料设备采购、安装的全项目周期的造价顾问服务。</w:t>
      </w:r>
    </w:p>
    <w:p w14:paraId="793E857E">
      <w:pPr>
        <w:adjustRightInd/>
        <w:snapToGrid/>
        <w:spacing w:before="0" w:beforeLines="0" w:line="360" w:lineRule="auto"/>
        <w:ind w:firstLine="482"/>
        <w:rPr>
          <w:rFonts w:hAnsi="宋体"/>
          <w:b/>
          <w:bCs/>
        </w:rPr>
      </w:pPr>
      <w:r>
        <w:rPr>
          <w:rFonts w:hAnsi="宋体"/>
          <w:b/>
          <w:bCs/>
        </w:rPr>
        <w:t>5.2工作内容</w:t>
      </w:r>
    </w:p>
    <w:p w14:paraId="6F5737CF">
      <w:pPr>
        <w:adjustRightInd/>
        <w:snapToGrid/>
        <w:spacing w:before="0" w:beforeLines="0" w:line="360" w:lineRule="auto"/>
        <w:ind w:firstLine="480"/>
        <w:rPr>
          <w:rFonts w:hAnsi="宋体" w:cs="宋体"/>
        </w:rPr>
      </w:pPr>
      <w:r>
        <w:rPr>
          <w:rFonts w:hint="eastAsia" w:hAnsi="宋体" w:cs="宋体"/>
        </w:rPr>
        <w:t>项目</w:t>
      </w:r>
      <w:r>
        <w:rPr>
          <w:rFonts w:hint="eastAsia" w:hAnsi="宋体" w:cs="宋体"/>
          <w:lang w:val="en-US" w:eastAsia="zh-CN"/>
        </w:rPr>
        <w:t>过程及</w:t>
      </w:r>
      <w:r>
        <w:rPr>
          <w:rFonts w:hint="eastAsia" w:hAnsi="宋体"/>
        </w:rPr>
        <w:t>结算阶段</w:t>
      </w:r>
      <w:r>
        <w:rPr>
          <w:rFonts w:hint="eastAsia" w:hAnsi="宋体" w:cs="宋体"/>
        </w:rPr>
        <w:t>造价服务，制定工程造价服务管理方案，确定控制目标。包含工程成本估算、设计概算审核、工程预算编制、工程量清单及招标控制价编制、工程类及非工程类预结算审核、合同文本拟稿、工程进度款审核、驻场造价服务、现场收方、项目实测实量、签证及变更编审、结算审计配合等工作（具体以招标人派发的工作内容为准），造价服务包含但不限于以下内容：</w:t>
      </w:r>
      <w:bookmarkStart w:id="1166" w:name="_MON_1494923372"/>
      <w:bookmarkEnd w:id="1166"/>
      <w:bookmarkStart w:id="1167" w:name="_MON_1495290973"/>
      <w:bookmarkEnd w:id="1167"/>
      <w:bookmarkStart w:id="1168" w:name="_MON_1494933963"/>
      <w:bookmarkEnd w:id="1168"/>
      <w:bookmarkStart w:id="1169" w:name="_MON_1494922897"/>
      <w:bookmarkEnd w:id="1169"/>
      <w:bookmarkStart w:id="1170" w:name="_MON_1494923300"/>
      <w:bookmarkEnd w:id="1170"/>
    </w:p>
    <w:p w14:paraId="4D1BD370">
      <w:pPr>
        <w:adjustRightInd/>
        <w:snapToGrid/>
        <w:spacing w:before="0" w:beforeLines="0" w:line="360" w:lineRule="auto"/>
        <w:ind w:firstLine="482"/>
        <w:rPr>
          <w:rFonts w:hAnsi="宋体"/>
          <w:b/>
          <w:bCs/>
        </w:rPr>
      </w:pPr>
      <w:r>
        <w:rPr>
          <w:rFonts w:hint="eastAsia" w:hAnsi="宋体"/>
          <w:b/>
          <w:bCs/>
        </w:rPr>
        <w:t>5.2.1 设计阶段</w:t>
      </w:r>
    </w:p>
    <w:p w14:paraId="568D2789">
      <w:pPr>
        <w:adjustRightInd/>
        <w:snapToGrid/>
        <w:spacing w:before="0" w:beforeLines="0" w:line="360" w:lineRule="auto"/>
        <w:ind w:firstLine="480"/>
        <w:rPr>
          <w:rFonts w:hAnsi="宋体" w:cs="宋体"/>
        </w:rPr>
      </w:pPr>
      <w:r>
        <w:rPr>
          <w:rFonts w:hAnsi="宋体"/>
        </w:rPr>
        <w:t xml:space="preserve">5.2.1.1 </w:t>
      </w:r>
      <w:r>
        <w:rPr>
          <w:rFonts w:hint="eastAsia" w:hAnsi="宋体" w:cs="宋体"/>
        </w:rPr>
        <w:t>按甲方要求出席项目建设设计、决策、前期准备等工作会议，与甲方、设计方等共同商讨在设计方面对工程造价有影响的项目。评估和报告不同的建筑形式、施工方法、建筑材料和设备对工程造价的影响。</w:t>
      </w:r>
    </w:p>
    <w:p w14:paraId="293A154D">
      <w:pPr>
        <w:adjustRightInd/>
        <w:snapToGrid/>
        <w:spacing w:before="0" w:beforeLines="0" w:line="360" w:lineRule="auto"/>
        <w:ind w:firstLine="480"/>
        <w:rPr>
          <w:rFonts w:hAnsi="宋体" w:cs="宋体"/>
        </w:rPr>
      </w:pPr>
      <w:r>
        <w:rPr>
          <w:rFonts w:hint="eastAsia" w:hAnsi="宋体"/>
        </w:rPr>
        <w:t>5</w:t>
      </w:r>
      <w:r>
        <w:rPr>
          <w:rFonts w:hAnsi="宋体"/>
        </w:rPr>
        <w:t>.</w:t>
      </w:r>
      <w:r>
        <w:rPr>
          <w:rFonts w:hint="eastAsia" w:hAnsi="宋体"/>
        </w:rPr>
        <w:t>2</w:t>
      </w:r>
      <w:r>
        <w:rPr>
          <w:rFonts w:hAnsi="宋体"/>
        </w:rPr>
        <w:t>.1.2</w:t>
      </w:r>
      <w:r>
        <w:rPr>
          <w:rFonts w:hint="eastAsia" w:hAnsi="宋体" w:cs="宋体"/>
        </w:rPr>
        <w:t>与设计单位配合，对建设形式、总平方案、单体方案、工程结构、关键设备、施工方案及材料，设备选型等提出经济比较方案，配合甲方完善合约规划、成本估算。</w:t>
      </w:r>
    </w:p>
    <w:p w14:paraId="578D0E0F">
      <w:pPr>
        <w:adjustRightInd/>
        <w:snapToGrid/>
        <w:spacing w:before="0" w:beforeLines="0" w:line="360" w:lineRule="auto"/>
        <w:ind w:firstLine="480"/>
        <w:rPr>
          <w:rFonts w:hAnsi="宋体" w:cs="宋体"/>
        </w:rPr>
      </w:pPr>
      <w:r>
        <w:rPr>
          <w:rFonts w:hAnsi="宋体"/>
        </w:rPr>
        <w:t>5.</w:t>
      </w:r>
      <w:r>
        <w:rPr>
          <w:rFonts w:hint="eastAsia" w:hAnsi="宋体"/>
        </w:rPr>
        <w:t>2</w:t>
      </w:r>
      <w:r>
        <w:rPr>
          <w:rFonts w:hAnsi="宋体"/>
        </w:rPr>
        <w:t>.1.3</w:t>
      </w:r>
      <w:r>
        <w:rPr>
          <w:rFonts w:hint="eastAsia" w:hAnsi="宋体" w:cs="宋体"/>
        </w:rPr>
        <w:t>对设计方提交的工程项目概预算进行审核，对价格过高的方案、工法、材料或设备应与甲方、设计方商讨替代方案。应甲方要求提出工程设计、施工方案的优化建议，提出限额设计控制建议,配合方案的比选测算。</w:t>
      </w:r>
    </w:p>
    <w:p w14:paraId="74B9A6D9">
      <w:pPr>
        <w:adjustRightInd/>
        <w:snapToGrid/>
        <w:spacing w:before="0" w:beforeLines="0" w:line="360" w:lineRule="auto"/>
        <w:ind w:firstLine="480"/>
        <w:rPr>
          <w:rFonts w:hAnsi="宋体" w:cs="宋体"/>
        </w:rPr>
      </w:pPr>
      <w:r>
        <w:rPr>
          <w:rFonts w:hAnsi="宋体"/>
        </w:rPr>
        <w:t>5.2.1.4</w:t>
      </w:r>
      <w:r>
        <w:rPr>
          <w:rFonts w:hint="eastAsia" w:hAnsi="宋体" w:cs="宋体"/>
        </w:rPr>
        <w:t>根据甲方要求对设计相关数据进行测算、评估工作，并在约定时间内向甲方提交测算、评估分析报告。如针对不同建筑产品，对门窗、外墙面、栏杆占建筑面积含量数据进行测算；对精装修部位等进行测算；对柱距、基坑支护不同方案进行测算等，并就选用不同材质对工程造价影响进行评估。</w:t>
      </w:r>
    </w:p>
    <w:p w14:paraId="068DB136">
      <w:pPr>
        <w:adjustRightInd/>
        <w:snapToGrid/>
        <w:spacing w:before="0" w:beforeLines="0" w:line="360" w:lineRule="auto"/>
        <w:ind w:firstLine="480"/>
        <w:rPr>
          <w:rFonts w:hAnsi="宋体" w:cs="宋体"/>
        </w:rPr>
      </w:pPr>
      <w:r>
        <w:rPr>
          <w:rFonts w:hAnsi="宋体"/>
        </w:rPr>
        <w:t>5.2.1.5</w:t>
      </w:r>
      <w:r>
        <w:rPr>
          <w:rFonts w:hint="eastAsia" w:hAnsi="宋体" w:cs="宋体"/>
        </w:rPr>
        <w:t>提供物料选择及一般可行性建议。</w:t>
      </w:r>
    </w:p>
    <w:p w14:paraId="0526B42F">
      <w:pPr>
        <w:adjustRightInd/>
        <w:snapToGrid/>
        <w:spacing w:before="0" w:beforeLines="0" w:line="360" w:lineRule="auto"/>
        <w:ind w:firstLine="480"/>
        <w:rPr>
          <w:rFonts w:hAnsi="宋体" w:cs="宋体"/>
        </w:rPr>
      </w:pPr>
      <w:r>
        <w:rPr>
          <w:rFonts w:hAnsi="宋体"/>
        </w:rPr>
        <w:t>5.2.1.6</w:t>
      </w:r>
      <w:r>
        <w:rPr>
          <w:rFonts w:hint="eastAsia" w:hAnsi="宋体" w:cs="宋体"/>
        </w:rPr>
        <w:t>向甲方提供由于设计修改及市场价格较大浮动等因素影响造价的情况及信息，及时调整工程造价报告。</w:t>
      </w:r>
    </w:p>
    <w:p w14:paraId="348BA543">
      <w:pPr>
        <w:adjustRightInd/>
        <w:snapToGrid/>
        <w:spacing w:before="0" w:beforeLines="0" w:line="360" w:lineRule="auto"/>
        <w:ind w:firstLine="480"/>
        <w:rPr>
          <w:rFonts w:hAnsi="宋体" w:cs="宋体"/>
        </w:rPr>
      </w:pPr>
      <w:r>
        <w:rPr>
          <w:rFonts w:hAnsi="宋体"/>
        </w:rPr>
        <w:t>5.2.1.7</w:t>
      </w:r>
      <w:r>
        <w:rPr>
          <w:rFonts w:hint="eastAsia" w:hAnsi="宋体" w:cs="宋体"/>
        </w:rPr>
        <w:t>根据施工图纸和工程进度计划，编制施工图预算。</w:t>
      </w:r>
    </w:p>
    <w:p w14:paraId="01A48394">
      <w:pPr>
        <w:adjustRightInd/>
        <w:snapToGrid/>
        <w:spacing w:before="0" w:beforeLines="0" w:line="360" w:lineRule="auto"/>
        <w:ind w:firstLine="480"/>
        <w:rPr>
          <w:rFonts w:hAnsi="宋体"/>
        </w:rPr>
      </w:pPr>
      <w:r>
        <w:rPr>
          <w:rFonts w:hint="eastAsia" w:hAnsi="宋体"/>
        </w:rPr>
        <w:t>5.2.1.</w:t>
      </w:r>
      <w:r>
        <w:rPr>
          <w:rFonts w:hAnsi="宋体"/>
        </w:rPr>
        <w:t xml:space="preserve">8 </w:t>
      </w:r>
      <w:r>
        <w:rPr>
          <w:rFonts w:hint="eastAsia" w:hAnsi="宋体"/>
        </w:rPr>
        <w:t>参与甲方图纸会审工作</w:t>
      </w:r>
      <w:r>
        <w:rPr>
          <w:rFonts w:hint="eastAsia" w:hAnsi="宋体" w:cs="宋体"/>
        </w:rPr>
        <w:t>。</w:t>
      </w:r>
    </w:p>
    <w:p w14:paraId="1F0C55A3">
      <w:pPr>
        <w:adjustRightInd/>
        <w:snapToGrid/>
        <w:spacing w:before="0" w:beforeLines="0" w:line="360" w:lineRule="auto"/>
        <w:ind w:firstLine="480"/>
        <w:rPr>
          <w:rFonts w:hAnsi="宋体" w:cs="宋体"/>
        </w:rPr>
      </w:pPr>
      <w:r>
        <w:rPr>
          <w:rFonts w:hint="eastAsia" w:hAnsi="宋体"/>
        </w:rPr>
        <w:t>5.2.1.9</w:t>
      </w:r>
      <w:r>
        <w:rPr>
          <w:rFonts w:hAnsi="宋体"/>
        </w:rPr>
        <w:t xml:space="preserve"> </w:t>
      </w:r>
      <w:r>
        <w:rPr>
          <w:rFonts w:hint="eastAsia" w:hAnsi="宋体" w:cs="宋体"/>
        </w:rPr>
        <w:t>其他甲方安排的工作。</w:t>
      </w:r>
    </w:p>
    <w:p w14:paraId="19585008">
      <w:pPr>
        <w:adjustRightInd/>
        <w:snapToGrid/>
        <w:spacing w:before="0" w:beforeLines="0" w:line="360" w:lineRule="auto"/>
        <w:ind w:firstLine="482"/>
        <w:rPr>
          <w:rFonts w:hAnsi="宋体"/>
          <w:b/>
          <w:bCs/>
        </w:rPr>
      </w:pPr>
      <w:r>
        <w:rPr>
          <w:rFonts w:hint="eastAsia" w:hAnsi="宋体"/>
          <w:b/>
          <w:bCs/>
        </w:rPr>
        <w:t>5.2.2 工程发包阶段</w:t>
      </w:r>
    </w:p>
    <w:p w14:paraId="2023281F">
      <w:pPr>
        <w:adjustRightInd/>
        <w:snapToGrid/>
        <w:spacing w:before="0" w:beforeLines="0" w:line="360" w:lineRule="auto"/>
        <w:ind w:firstLine="480"/>
        <w:rPr>
          <w:rFonts w:hAnsi="宋体"/>
        </w:rPr>
      </w:pPr>
      <w:r>
        <w:rPr>
          <w:rFonts w:hint="eastAsia" w:hAnsi="宋体"/>
        </w:rPr>
        <w:t>5.2.2.1配合甲方对项目所涉及的施工图（招标图）、招标文件、合同文件进行审核，识别及判断其合法性、合规性、合理性、以及合同条件的潜在风险，提出相应的修改建议与意见。协助编制招标文件，协助甲方开展投标单位答疑、补遗工作，应甲方要求参加招标答疑会，并及时提交书面和电子版报告。如有需要，乙方配合甲方参加招标过程中的复审等其它后续程序。</w:t>
      </w:r>
    </w:p>
    <w:p w14:paraId="147B6503">
      <w:pPr>
        <w:adjustRightInd/>
        <w:snapToGrid/>
        <w:spacing w:before="0" w:beforeLines="0" w:line="360" w:lineRule="auto"/>
        <w:ind w:firstLine="480"/>
        <w:rPr>
          <w:rFonts w:hAnsi="宋体"/>
        </w:rPr>
      </w:pPr>
      <w:r>
        <w:rPr>
          <w:rFonts w:hint="eastAsia" w:hAnsi="宋体"/>
        </w:rPr>
        <w:t>5.2.2.2 从计量计价角度审核图纸深度，提出图纸“错漏碰缺”问题及优化建议，减少设计变更和资源浪费。</w:t>
      </w:r>
    </w:p>
    <w:p w14:paraId="32875F7C">
      <w:pPr>
        <w:adjustRightInd/>
        <w:snapToGrid/>
        <w:spacing w:before="0" w:beforeLines="0" w:line="360" w:lineRule="auto"/>
        <w:ind w:firstLine="480"/>
        <w:rPr>
          <w:rFonts w:hAnsi="宋体"/>
        </w:rPr>
      </w:pPr>
      <w:r>
        <w:rPr>
          <w:rFonts w:hint="eastAsia" w:hAnsi="宋体"/>
        </w:rPr>
        <w:t>5.2.2.3对甲方出具的分包招标文件体系结合工程实际情况进行修改、完善，包含投标须知、合同条款、措施费、工程量清单（确保工程项目划分与描述足够详细，便于甲方依图核对）、材料设备表等。提供各相关工程的详细界面（必要时附以充分的图纸说明和标注，由设计方负责出图）供甲方参考，以确定工程范围。</w:t>
      </w:r>
    </w:p>
    <w:p w14:paraId="7592B5C1">
      <w:pPr>
        <w:adjustRightInd/>
        <w:snapToGrid/>
        <w:spacing w:before="0" w:beforeLines="0" w:line="360" w:lineRule="auto"/>
        <w:ind w:firstLine="480"/>
        <w:rPr>
          <w:rFonts w:hAnsi="宋体"/>
        </w:rPr>
      </w:pPr>
      <w:r>
        <w:rPr>
          <w:rFonts w:hint="eastAsia" w:hAnsi="宋体"/>
        </w:rPr>
        <w:t>5.2.2.4工程量清单及上限控制价（或预算）的编制及审核，对工程量清单的准确性负责。向甲方全面交底，阐述清单构成、图纸对应关系、暂定量及暂定款设置等内容，使甲方对工程量清单有深入了解。与甲方协商确定主要材料设备品牌、型号与规格推荐。同时提供控制价指标分析、控制价与成本差异对比分析报告。乙方应对市场价有充分的了解，做好预算及控制价与市场价对标、对比及分析，出具专业意见，包含但并不限于预算及控制价合理下浮系数。</w:t>
      </w:r>
    </w:p>
    <w:p w14:paraId="088FC03B">
      <w:pPr>
        <w:adjustRightInd/>
        <w:snapToGrid/>
        <w:spacing w:before="0" w:beforeLines="0" w:line="360" w:lineRule="auto"/>
        <w:ind w:firstLine="480"/>
        <w:rPr>
          <w:rFonts w:hAnsi="宋体"/>
        </w:rPr>
      </w:pPr>
      <w:r>
        <w:rPr>
          <w:rFonts w:hint="eastAsia" w:hAnsi="宋体"/>
        </w:rPr>
        <w:t>5.2.2.5 按甲方要求，提供分包招标工程的参考价（若有）。</w:t>
      </w:r>
    </w:p>
    <w:p w14:paraId="0D6F4B45">
      <w:pPr>
        <w:adjustRightInd/>
        <w:snapToGrid/>
        <w:spacing w:before="0" w:beforeLines="0" w:line="360" w:lineRule="auto"/>
        <w:ind w:firstLine="480"/>
        <w:rPr>
          <w:rFonts w:hAnsi="宋体"/>
        </w:rPr>
      </w:pPr>
      <w:r>
        <w:rPr>
          <w:rFonts w:hint="eastAsia" w:hAnsi="宋体"/>
        </w:rPr>
        <w:t>5.2.2.6 回标后的分析、询价工作（若有），包括计算上的复核、合约上是否影响标书要求的比较与分析、报价上是否有投标技巧分析及报价合理性分析等。</w:t>
      </w:r>
    </w:p>
    <w:p w14:paraId="0384D095">
      <w:pPr>
        <w:adjustRightInd/>
        <w:snapToGrid/>
        <w:spacing w:before="0" w:beforeLines="0" w:line="360" w:lineRule="auto"/>
        <w:ind w:firstLine="480"/>
        <w:rPr>
          <w:rFonts w:hAnsi="宋体"/>
        </w:rPr>
      </w:pPr>
      <w:r>
        <w:rPr>
          <w:rFonts w:hint="eastAsia" w:hAnsi="宋体"/>
        </w:rPr>
        <w:t>5.2.2.7 协助甲方询标及合同、报价上的谈判。</w:t>
      </w:r>
    </w:p>
    <w:p w14:paraId="6D9C2AF8">
      <w:pPr>
        <w:adjustRightInd/>
        <w:snapToGrid/>
        <w:spacing w:before="0" w:beforeLines="0" w:line="360" w:lineRule="auto"/>
        <w:ind w:firstLine="480"/>
        <w:rPr>
          <w:rFonts w:hAnsi="宋体"/>
        </w:rPr>
      </w:pPr>
      <w:r>
        <w:rPr>
          <w:rFonts w:hint="eastAsia" w:hAnsi="宋体"/>
        </w:rPr>
        <w:t>5.2.2.8 参加甲方组织的交底会，向甲方、监理、中标单位进行工程量清单交底，陈述清单构成、需重点关注项目、暂定量及暂定款项目等内容，保障各方对清单深入知悉。</w:t>
      </w:r>
    </w:p>
    <w:p w14:paraId="01BCBDEB">
      <w:pPr>
        <w:adjustRightInd/>
        <w:snapToGrid/>
        <w:spacing w:before="0" w:beforeLines="0" w:line="360" w:lineRule="auto"/>
        <w:ind w:firstLine="480"/>
        <w:rPr>
          <w:rFonts w:hAnsi="宋体"/>
        </w:rPr>
      </w:pPr>
      <w:r>
        <w:rPr>
          <w:rFonts w:hint="eastAsia" w:hAnsi="宋体"/>
        </w:rPr>
        <w:t>5.2.2.9 协助甲方起草或审核、协商各项中标工程的合同文件，</w:t>
      </w:r>
      <w:r>
        <w:rPr>
          <w:rFonts w:hint="eastAsia" w:hAnsi="宋体"/>
          <w:lang w:val="zh-CN"/>
        </w:rPr>
        <w:t>负责合同的</w:t>
      </w:r>
      <w:r>
        <w:rPr>
          <w:rFonts w:hint="eastAsia" w:hAnsi="宋体"/>
        </w:rPr>
        <w:t>拟稿及编制工作</w:t>
      </w:r>
      <w:r>
        <w:rPr>
          <w:rFonts w:hint="eastAsia" w:hAnsi="宋体"/>
          <w:lang w:val="zh-CN"/>
        </w:rPr>
        <w:t>（依据甲方提供资料在2天内完成合同拟稿工作）。</w:t>
      </w:r>
      <w:r>
        <w:rPr>
          <w:rFonts w:hint="eastAsia" w:hAnsi="宋体"/>
        </w:rPr>
        <w:t>充分维护甲方的合法权益，确保合同条款严密、合法合规并符合甲方及有关主管部门要求，尤其对易引发索赔的条款逐一严格审核，及时与甲方沟通反馈；力求合同条款完善、词句严谨、内容合法有效、各方权责明晰，并严格审查资质证明等资料，避免合同及法律纠纷的发生。</w:t>
      </w:r>
    </w:p>
    <w:p w14:paraId="2435BDEA">
      <w:pPr>
        <w:adjustRightInd/>
        <w:snapToGrid/>
        <w:spacing w:before="0" w:beforeLines="0" w:line="360" w:lineRule="auto"/>
        <w:ind w:firstLine="480"/>
        <w:rPr>
          <w:rFonts w:hAnsi="宋体"/>
        </w:rPr>
      </w:pPr>
      <w:r>
        <w:rPr>
          <w:rFonts w:hint="eastAsia" w:hAnsi="宋体"/>
        </w:rPr>
        <w:t>5.2.2.10提供并整理招标过程中的招标文件及往来文件。</w:t>
      </w:r>
    </w:p>
    <w:p w14:paraId="19F12C5C">
      <w:pPr>
        <w:adjustRightInd/>
        <w:snapToGrid/>
        <w:spacing w:before="0" w:beforeLines="0" w:line="360" w:lineRule="auto"/>
        <w:ind w:firstLine="480"/>
        <w:rPr>
          <w:rFonts w:hAnsi="宋体"/>
        </w:rPr>
      </w:pPr>
      <w:r>
        <w:rPr>
          <w:rFonts w:hint="eastAsia" w:hAnsi="宋体"/>
        </w:rPr>
        <w:t>5.2.2.11 其他甲方安排的工作。</w:t>
      </w:r>
    </w:p>
    <w:p w14:paraId="224CCBC0">
      <w:pPr>
        <w:adjustRightInd/>
        <w:snapToGrid/>
        <w:spacing w:before="0" w:beforeLines="0" w:line="360" w:lineRule="auto"/>
        <w:ind w:firstLine="482"/>
        <w:rPr>
          <w:rFonts w:hAnsi="宋体"/>
          <w:b/>
          <w:bCs/>
        </w:rPr>
      </w:pPr>
      <w:r>
        <w:rPr>
          <w:rFonts w:hint="eastAsia" w:hAnsi="宋体"/>
          <w:b/>
          <w:bCs/>
        </w:rPr>
        <w:t>5.2.3 工程施工阶段</w:t>
      </w:r>
    </w:p>
    <w:p w14:paraId="306BF9C2">
      <w:pPr>
        <w:adjustRightInd/>
        <w:snapToGrid/>
        <w:spacing w:before="0" w:beforeLines="0" w:line="360" w:lineRule="auto"/>
        <w:ind w:firstLine="480"/>
        <w:rPr>
          <w:rFonts w:hAnsi="宋体"/>
        </w:rPr>
      </w:pPr>
      <w:r>
        <w:rPr>
          <w:rFonts w:hint="eastAsia" w:hAnsi="宋体"/>
        </w:rPr>
        <w:t>5.2.3.1 对甲方与所有承包人之间的合同，全方位动态跟踪监督履约情况，编制管理合同台账（定期向委托方提交更新的电子版管理台账），及时察觉违约迹象，准确判断违约情形，合理预见潜在违约风险，迅速处理涉及造价管理的履约问题，按委托合同范围协助处理与承包人在合同及造价方面纠纷，包括</w:t>
      </w:r>
      <w:r>
        <w:rPr>
          <w:rFonts w:hint="eastAsia" w:hAnsi="宋体" w:cs="宋体"/>
        </w:rPr>
        <w:t>包括违约预见后的处理以及违约发生后的</w:t>
      </w:r>
      <w:r>
        <w:rPr>
          <w:rFonts w:hint="eastAsia" w:hAnsi="宋体"/>
        </w:rPr>
        <w:t>应对处理。</w:t>
      </w:r>
    </w:p>
    <w:p w14:paraId="2697683B">
      <w:pPr>
        <w:autoSpaceDE w:val="0"/>
        <w:autoSpaceDN w:val="0"/>
        <w:spacing w:before="0" w:beforeLines="0" w:line="360" w:lineRule="auto"/>
        <w:ind w:firstLine="480"/>
        <w:rPr>
          <w:rFonts w:hAnsi="宋体" w:cs="宋体"/>
        </w:rPr>
      </w:pPr>
      <w:r>
        <w:rPr>
          <w:rFonts w:hint="eastAsia" w:hAnsi="宋体"/>
        </w:rPr>
        <w:t xml:space="preserve">5.2.3.2 </w:t>
      </w:r>
      <w:r>
        <w:rPr>
          <w:rFonts w:hint="eastAsia" w:hAnsi="宋体" w:cs="宋体"/>
        </w:rPr>
        <w:t>对项目进行定期及不定期巡检，梳理分析巡检结果，以月报、季报书面报告合同履约情况及相关建议。</w:t>
      </w:r>
    </w:p>
    <w:p w14:paraId="358A4F95">
      <w:pPr>
        <w:autoSpaceDE w:val="0"/>
        <w:autoSpaceDN w:val="0"/>
        <w:spacing w:before="0" w:beforeLines="0" w:line="360" w:lineRule="auto"/>
        <w:ind w:firstLine="480"/>
        <w:rPr>
          <w:rFonts w:hAnsi="宋体"/>
        </w:rPr>
      </w:pPr>
      <w:r>
        <w:rPr>
          <w:rFonts w:hint="eastAsia" w:hAnsi="宋体"/>
        </w:rPr>
        <w:t>5.2.3.3 建立项目的成本动态监控管理台账，对各成本科目的实际发生额、支出进度、与预算的偏差等关键指标进行动态跟踪。</w:t>
      </w:r>
    </w:p>
    <w:p w14:paraId="2566FCFF">
      <w:pPr>
        <w:autoSpaceDE w:val="0"/>
        <w:autoSpaceDN w:val="0"/>
        <w:spacing w:before="0" w:beforeLines="0" w:line="360" w:lineRule="auto"/>
        <w:ind w:firstLine="480"/>
        <w:rPr>
          <w:rFonts w:hAnsi="宋体" w:cs="宋体"/>
        </w:rPr>
      </w:pPr>
      <w:r>
        <w:rPr>
          <w:rFonts w:hint="eastAsia" w:hAnsi="宋体"/>
        </w:rPr>
        <w:t xml:space="preserve">5.2.3.4 </w:t>
      </w:r>
      <w:r>
        <w:rPr>
          <w:rFonts w:hint="eastAsia" w:hAnsi="宋体" w:cs="宋体"/>
        </w:rPr>
        <w:t>根据施工合同、施工图纸、纪要文件、送审资料等，及时独立计算各标段(工区)工程量，并出具原始计算成果资料。</w:t>
      </w:r>
    </w:p>
    <w:p w14:paraId="0F51CD7F">
      <w:pPr>
        <w:autoSpaceDE w:val="0"/>
        <w:autoSpaceDN w:val="0"/>
        <w:spacing w:before="0" w:beforeLines="0" w:line="360" w:lineRule="auto"/>
        <w:ind w:firstLine="480"/>
        <w:rPr>
          <w:rFonts w:hAnsi="宋体" w:cs="宋体"/>
        </w:rPr>
      </w:pPr>
      <w:r>
        <w:rPr>
          <w:rFonts w:hint="eastAsia" w:hAnsi="宋体"/>
        </w:rPr>
        <w:t xml:space="preserve">5.2.3.5 </w:t>
      </w:r>
      <w:r>
        <w:rPr>
          <w:rFonts w:hint="eastAsia" w:hAnsi="宋体" w:cs="宋体"/>
        </w:rPr>
        <w:t>对施工合同中约定需进行预算修编和施工过程中需要调整项目的预算进行编制及审核，并建立相应预算管理台账及出具正式审核报告。</w:t>
      </w:r>
    </w:p>
    <w:p w14:paraId="559EA53A">
      <w:pPr>
        <w:autoSpaceDE w:val="0"/>
        <w:autoSpaceDN w:val="0"/>
        <w:spacing w:before="0" w:beforeLines="0" w:line="360" w:lineRule="auto"/>
        <w:ind w:firstLine="480"/>
        <w:rPr>
          <w:rFonts w:hAnsi="宋体" w:cs="宋体"/>
        </w:rPr>
      </w:pPr>
      <w:r>
        <w:rPr>
          <w:rFonts w:hint="eastAsia" w:hAnsi="宋体"/>
        </w:rPr>
        <w:t>5.2.3.6 依</w:t>
      </w:r>
      <w:r>
        <w:rPr>
          <w:rFonts w:hint="eastAsia" w:hAnsi="宋体" w:cs="宋体"/>
        </w:rPr>
        <w:t>据正式施工图纸、施工合同、招投标文件等文件对合同清单量、新增单价（如有）及时进行独立计算、修正，留存原始成果资料；审核承包人上报的工程量清单更新资料，组织施工、监理、设计等相关单位核对确认后出具正式报告；对比合同清单和更新清单，找差异原因，建立清单更新台账等，协助甲方完善工程量清单更新管理办法等相关工作。</w:t>
      </w:r>
    </w:p>
    <w:p w14:paraId="6742A701">
      <w:pPr>
        <w:autoSpaceDE w:val="0"/>
        <w:autoSpaceDN w:val="0"/>
        <w:spacing w:before="0" w:beforeLines="0" w:line="360" w:lineRule="auto"/>
        <w:ind w:firstLine="480"/>
        <w:rPr>
          <w:rFonts w:hAnsi="宋体" w:cs="宋体"/>
        </w:rPr>
      </w:pPr>
      <w:r>
        <w:rPr>
          <w:rFonts w:hint="eastAsia" w:hAnsi="宋体"/>
        </w:rPr>
        <w:t xml:space="preserve">5.2.3.7 </w:t>
      </w:r>
      <w:r>
        <w:rPr>
          <w:rFonts w:hint="eastAsia" w:hAnsi="宋体" w:cs="宋体"/>
        </w:rPr>
        <w:t>会同施工单位、监理单位、委托人办理签证、变更流程，对变更或签证工程量及造价及时进行独立计算，同步开展主要材料、设备市场询价，留存原始计算过程资料；核查各类变更的签证手续合理性、合规性、及时性、完整性与真实性，出具审核意见及报告；参加甲方组织的各类签证、变更相关会议，从投资控制角度提出建设性意见。对于设计变更及施工方案变更提供多方案经济分析，有效控制工程造价。建立签证、变更管理台账等。</w:t>
      </w:r>
    </w:p>
    <w:p w14:paraId="3D67A201">
      <w:pPr>
        <w:autoSpaceDE w:val="0"/>
        <w:autoSpaceDN w:val="0"/>
        <w:spacing w:before="0" w:beforeLines="0" w:line="360" w:lineRule="auto"/>
        <w:ind w:firstLine="480"/>
        <w:rPr>
          <w:rFonts w:hAnsi="宋体"/>
        </w:rPr>
      </w:pPr>
      <w:r>
        <w:rPr>
          <w:rFonts w:hint="eastAsia" w:hAnsi="宋体"/>
        </w:rPr>
        <w:t xml:space="preserve">5.2.3.8 </w:t>
      </w:r>
      <w:r>
        <w:rPr>
          <w:rFonts w:hint="eastAsia" w:hAnsi="宋体" w:cs="宋体"/>
        </w:rPr>
        <w:t>根据甲方要求，参与合同补充文件的起草、谈判和组织签署。</w:t>
      </w:r>
    </w:p>
    <w:p w14:paraId="5DEE5DB9">
      <w:pPr>
        <w:adjustRightInd/>
        <w:snapToGrid/>
        <w:spacing w:before="0" w:beforeLines="0" w:line="360" w:lineRule="auto"/>
        <w:ind w:firstLine="480"/>
        <w:rPr>
          <w:rFonts w:hAnsi="宋体"/>
        </w:rPr>
      </w:pPr>
      <w:r>
        <w:rPr>
          <w:rFonts w:hint="eastAsia" w:hAnsi="宋体"/>
        </w:rPr>
        <w:t>5.2.3.9 参与工程形象进度确认及工程进度款支付的确定，对工程实施过程中发生的工程进度进行（需要在现场同甲方工程师、监理一起核对）抽查核实，严格审核承包人提交的工程计量支付资料并建立相关台帐。审核工程款支付申请，工程进度款及预付款应控制在合同约定的额度内，并协助甲方修订和完善计量支付管理办法，做好各项资料归档工作，建立产值台账等。</w:t>
      </w:r>
    </w:p>
    <w:p w14:paraId="6837BED2">
      <w:pPr>
        <w:autoSpaceDE w:val="0"/>
        <w:autoSpaceDN w:val="0"/>
        <w:spacing w:before="0" w:beforeLines="0" w:line="360" w:lineRule="auto"/>
        <w:ind w:firstLine="480"/>
        <w:rPr>
          <w:rFonts w:hAnsi="宋体" w:cs="宋体"/>
        </w:rPr>
      </w:pPr>
      <w:r>
        <w:rPr>
          <w:rFonts w:hint="eastAsia" w:hAnsi="宋体"/>
        </w:rPr>
        <w:t xml:space="preserve">5.2.3.10 </w:t>
      </w:r>
      <w:r>
        <w:rPr>
          <w:rFonts w:hint="eastAsia" w:hAnsi="宋体" w:cs="宋体"/>
        </w:rPr>
        <w:t>针对合同暂估项目（包括暂定数量、暂定单价、整项暂估价以及暂列金额等），协助甲方按照合同约定的方式或程序及时确认并调整量差或价差。</w:t>
      </w:r>
    </w:p>
    <w:p w14:paraId="36F3E999">
      <w:pPr>
        <w:autoSpaceDE w:val="0"/>
        <w:autoSpaceDN w:val="0"/>
        <w:spacing w:before="0" w:beforeLines="0" w:line="360" w:lineRule="auto"/>
        <w:ind w:firstLine="480"/>
        <w:rPr>
          <w:rFonts w:hAnsi="宋体" w:cs="宋体"/>
        </w:rPr>
      </w:pPr>
      <w:r>
        <w:rPr>
          <w:rFonts w:hint="eastAsia" w:hAnsi="宋体"/>
        </w:rPr>
        <w:t xml:space="preserve">5.2.3.11 </w:t>
      </w:r>
      <w:r>
        <w:rPr>
          <w:rFonts w:hint="eastAsia" w:hAnsi="宋体" w:cs="宋体"/>
        </w:rPr>
        <w:t>对合同允许调差内容(如人工费、材料调差等)按合同约定及相关政府文件审核，出具审核报告, 并建立台账。</w:t>
      </w:r>
    </w:p>
    <w:p w14:paraId="5250D2EE">
      <w:pPr>
        <w:autoSpaceDE w:val="0"/>
        <w:autoSpaceDN w:val="0"/>
        <w:spacing w:before="0" w:beforeLines="0" w:line="360" w:lineRule="auto"/>
        <w:ind w:firstLine="480"/>
        <w:rPr>
          <w:rFonts w:hAnsi="宋体" w:cs="宋体"/>
        </w:rPr>
      </w:pPr>
      <w:r>
        <w:rPr>
          <w:rFonts w:hint="eastAsia" w:hAnsi="宋体"/>
        </w:rPr>
        <w:t xml:space="preserve">5.2.3.12 </w:t>
      </w:r>
      <w:r>
        <w:rPr>
          <w:rFonts w:hint="eastAsia" w:hAnsi="宋体" w:cs="宋体"/>
        </w:rPr>
        <w:t>应甲方要求，依托</w:t>
      </w:r>
      <w:r>
        <w:rPr>
          <w:rFonts w:hint="eastAsia" w:hAnsi="宋体"/>
        </w:rPr>
        <w:t>乙方</w:t>
      </w:r>
      <w:r>
        <w:rPr>
          <w:rFonts w:hint="eastAsia" w:hAnsi="宋体" w:cs="宋体"/>
        </w:rPr>
        <w:t>数据库结合市场询价，为甲方提供材料、设备、系统、工艺等市场询价服务，出具询价结果报告,并给出相关建议。</w:t>
      </w:r>
    </w:p>
    <w:p w14:paraId="250DB4F7">
      <w:pPr>
        <w:autoSpaceDE w:val="0"/>
        <w:autoSpaceDN w:val="0"/>
        <w:spacing w:before="0" w:beforeLines="0" w:line="360" w:lineRule="auto"/>
        <w:ind w:firstLine="480"/>
        <w:rPr>
          <w:rFonts w:hAnsi="宋体"/>
        </w:rPr>
      </w:pPr>
      <w:r>
        <w:rPr>
          <w:rFonts w:hint="eastAsia" w:hAnsi="宋体"/>
        </w:rPr>
        <w:t>5.2.3.13 建立动态材料和设备价格信息库，收集项目当地价格走势，建立常用材料设备指导价，以指导工程建设中的核价工作，确保材料、设备价格合理。</w:t>
      </w:r>
    </w:p>
    <w:p w14:paraId="3A79754A">
      <w:pPr>
        <w:autoSpaceDE w:val="0"/>
        <w:autoSpaceDN w:val="0"/>
        <w:spacing w:before="0" w:beforeLines="0" w:line="360" w:lineRule="auto"/>
        <w:ind w:firstLine="480"/>
        <w:rPr>
          <w:rFonts w:hAnsi="宋体"/>
        </w:rPr>
      </w:pPr>
      <w:r>
        <w:rPr>
          <w:rFonts w:hint="eastAsia" w:hAnsi="宋体"/>
        </w:rPr>
        <w:t xml:space="preserve">5.2.3.14对于隐蔽工程必须及时、紧密跟踪工程施工情况，参加原始测量验收，审核工程量，对隐蔽工程的查看和验收须响应甲方要求随叫随到（接到甲方通知2个小时以内到达现场）。 </w:t>
      </w:r>
    </w:p>
    <w:p w14:paraId="3EC47944">
      <w:pPr>
        <w:keepNext/>
        <w:keepLines/>
        <w:adjustRightInd/>
        <w:snapToGrid/>
        <w:spacing w:before="0" w:beforeLines="0" w:line="360" w:lineRule="auto"/>
        <w:ind w:firstLine="480"/>
        <w:rPr>
          <w:rFonts w:hAnsi="宋体"/>
        </w:rPr>
      </w:pPr>
      <w:r>
        <w:rPr>
          <w:rFonts w:hint="eastAsia" w:hAnsi="宋体"/>
        </w:rPr>
        <w:t>5.2.3.15 按照甲方实测要求对各专业进行实测实量，在不同的施工阶段针对不同的专业，结合施工图纸，联合项目部、监理对现场使用材料、施工工序现场测量、记录，并及时登记反馈实测信息。</w:t>
      </w:r>
    </w:p>
    <w:p w14:paraId="08F03F1B">
      <w:pPr>
        <w:keepNext/>
        <w:keepLines/>
        <w:adjustRightInd/>
        <w:snapToGrid/>
        <w:spacing w:before="0" w:beforeLines="0" w:line="360" w:lineRule="auto"/>
        <w:ind w:firstLine="480"/>
        <w:rPr>
          <w:rFonts w:hAnsi="宋体"/>
        </w:rPr>
      </w:pPr>
      <w:r>
        <w:rPr>
          <w:rFonts w:hint="eastAsia" w:hAnsi="宋体"/>
        </w:rPr>
        <w:t xml:space="preserve">5.2.3.16 </w:t>
      </w:r>
      <w:r>
        <w:rPr>
          <w:rFonts w:hAnsi="宋体"/>
        </w:rPr>
        <w:t>在甲方有要求时到施工现场了解施工情况并处理与工程造价相关的纠纷问题，</w:t>
      </w:r>
      <w:r>
        <w:rPr>
          <w:rFonts w:hint="eastAsia" w:hAnsi="宋体"/>
        </w:rPr>
        <w:t>及时</w:t>
      </w:r>
      <w:r>
        <w:rPr>
          <w:rFonts w:hAnsi="宋体"/>
        </w:rPr>
        <w:t>向甲方提供工作报告，总结完成的工作及发现有关工程造价的问题</w:t>
      </w:r>
      <w:r>
        <w:rPr>
          <w:rFonts w:hint="eastAsia" w:hAnsi="宋体"/>
        </w:rPr>
        <w:t>。</w:t>
      </w:r>
    </w:p>
    <w:p w14:paraId="2F5368E1">
      <w:pPr>
        <w:autoSpaceDE w:val="0"/>
        <w:autoSpaceDN w:val="0"/>
        <w:spacing w:before="0" w:beforeLines="0" w:line="360" w:lineRule="auto"/>
        <w:ind w:firstLine="480"/>
        <w:rPr>
          <w:rFonts w:hAnsi="宋体"/>
        </w:rPr>
      </w:pPr>
      <w:r>
        <w:rPr>
          <w:rFonts w:hint="eastAsia" w:hAnsi="宋体"/>
        </w:rPr>
        <w:t>5.2.3.17 按甲方要求参加工程例会、图纸会审及各阶段验收工作，配合甲方做好与承包方、监理方的工程协调工作，进行风险分析与风险评估并提出合理化建议。</w:t>
      </w:r>
    </w:p>
    <w:p w14:paraId="34077EC1">
      <w:pPr>
        <w:autoSpaceDE w:val="0"/>
        <w:autoSpaceDN w:val="0"/>
        <w:spacing w:before="0" w:beforeLines="0" w:line="360" w:lineRule="auto"/>
        <w:ind w:firstLine="480"/>
        <w:rPr>
          <w:rFonts w:hAnsi="宋体"/>
        </w:rPr>
      </w:pPr>
      <w:r>
        <w:rPr>
          <w:rFonts w:hint="eastAsia" w:hAnsi="宋体"/>
        </w:rPr>
        <w:t xml:space="preserve">5.2.3.18 </w:t>
      </w:r>
      <w:r>
        <w:rPr>
          <w:rFonts w:hint="eastAsia" w:hAnsi="宋体" w:cs="宋体"/>
        </w:rPr>
        <w:t>对有关合同及造价管理相关的往来函件、会议纪要、工程款项支付资料及签证文件等进行分类归档，并建立往来常见的各类台账，随时向甲方提交文本及电子文档备存，在结算时提供完整文件（包括电子文档）。</w:t>
      </w:r>
    </w:p>
    <w:p w14:paraId="5EC1D28D">
      <w:pPr>
        <w:autoSpaceDE w:val="0"/>
        <w:autoSpaceDN w:val="0"/>
        <w:spacing w:before="0" w:beforeLines="0" w:line="360" w:lineRule="auto"/>
        <w:ind w:firstLine="482"/>
        <w:rPr>
          <w:rFonts w:hAnsi="宋体"/>
          <w:b/>
          <w:bCs/>
        </w:rPr>
      </w:pPr>
      <w:r>
        <w:rPr>
          <w:rFonts w:hint="eastAsia" w:hAnsi="宋体"/>
          <w:b/>
          <w:bCs/>
        </w:rPr>
        <w:t xml:space="preserve">5.2.4 </w:t>
      </w:r>
      <w:r>
        <w:rPr>
          <w:rFonts w:hint="eastAsia" w:hAnsi="宋体"/>
          <w:b/>
          <w:bCs/>
          <w:lang w:val="zh-CN"/>
        </w:rPr>
        <w:t>工程竣工</w:t>
      </w:r>
      <w:r>
        <w:rPr>
          <w:rFonts w:hint="eastAsia" w:hAnsi="宋体"/>
          <w:b/>
          <w:bCs/>
        </w:rPr>
        <w:t>结算阶段</w:t>
      </w:r>
    </w:p>
    <w:p w14:paraId="73C13BF4">
      <w:pPr>
        <w:autoSpaceDE w:val="0"/>
        <w:autoSpaceDN w:val="0"/>
        <w:spacing w:before="0" w:beforeLines="0" w:line="360" w:lineRule="auto"/>
        <w:ind w:firstLine="480"/>
        <w:rPr>
          <w:rFonts w:hAnsi="宋体"/>
        </w:rPr>
      </w:pPr>
      <w:r>
        <w:rPr>
          <w:rFonts w:hint="eastAsia" w:hAnsi="宋体"/>
        </w:rPr>
        <w:t>5.2.4.1 督促各工程相关承包人按照合同约定及时提交完整、准确的结算资料，编制结算管理台账。</w:t>
      </w:r>
    </w:p>
    <w:p w14:paraId="14FB5406">
      <w:pPr>
        <w:autoSpaceDE w:val="0"/>
        <w:autoSpaceDN w:val="0"/>
        <w:spacing w:before="0" w:beforeLines="0" w:line="360" w:lineRule="auto"/>
        <w:ind w:firstLine="480"/>
        <w:rPr>
          <w:rFonts w:hAnsi="宋体"/>
        </w:rPr>
      </w:pPr>
      <w:r>
        <w:rPr>
          <w:rFonts w:hint="eastAsia" w:hAnsi="宋体"/>
        </w:rPr>
        <w:t>5.2.4.2 掌握现场实际情况，依据初步设计文件、相关合同、施工图、竣工图、设计变更、洽商单等资料严格审查结算的有效性、完整性与真实性，梳理数据资料间的逻辑关系，审查由承包人提交的结算资料，查看定额套用、综合单价组成、工程量计算、材料单价，对结算资料的依据性、完整性、合理性和正确性进行审查和分析，据此编制结算审核报告，及时提交甲方审核。</w:t>
      </w:r>
    </w:p>
    <w:p w14:paraId="00E966BA">
      <w:pPr>
        <w:autoSpaceDE w:val="0"/>
        <w:autoSpaceDN w:val="0"/>
        <w:spacing w:before="0" w:beforeLines="0" w:line="360" w:lineRule="auto"/>
        <w:ind w:firstLine="480"/>
        <w:rPr>
          <w:rFonts w:hAnsi="宋体"/>
        </w:rPr>
      </w:pPr>
      <w:r>
        <w:rPr>
          <w:rFonts w:hint="eastAsia" w:hAnsi="宋体"/>
        </w:rPr>
        <w:t>5.2.4.3 认真研究已签订的服务范围内的合同，对可能引发索赔的潜在事项提前向甲方发出预警，并同步提供可行的防范措施与专业意见，尽量减少对甲方不利的任何索赔机会，从根源上保护甲方的利益。</w:t>
      </w:r>
    </w:p>
    <w:p w14:paraId="441D8B89">
      <w:pPr>
        <w:autoSpaceDE w:val="0"/>
        <w:autoSpaceDN w:val="0"/>
        <w:spacing w:before="0" w:beforeLines="0" w:line="360" w:lineRule="auto"/>
        <w:ind w:firstLine="480"/>
        <w:rPr>
          <w:rFonts w:hAnsi="宋体"/>
        </w:rPr>
      </w:pPr>
      <w:r>
        <w:rPr>
          <w:rFonts w:hint="eastAsia" w:hAnsi="宋体"/>
        </w:rPr>
        <w:t>5.2.4.4 以合同为依据，对已发生的索赔或反索赔事项认真审核计算，最大程度地保护甲方的利益。</w:t>
      </w:r>
    </w:p>
    <w:p w14:paraId="7155DB61">
      <w:pPr>
        <w:autoSpaceDE w:val="0"/>
        <w:autoSpaceDN w:val="0"/>
        <w:spacing w:before="0" w:beforeLines="0" w:line="360" w:lineRule="auto"/>
        <w:ind w:firstLine="480"/>
        <w:rPr>
          <w:rFonts w:hAnsi="宋体"/>
        </w:rPr>
      </w:pPr>
      <w:r>
        <w:rPr>
          <w:rFonts w:hint="eastAsia" w:hAnsi="宋体"/>
        </w:rPr>
        <w:t>5.2.4.5 协调合同执行期间出现的合约条款争议，在因索赔和反索赔引起的诉讼或仲裁中，参与争议解决。</w:t>
      </w:r>
    </w:p>
    <w:p w14:paraId="2AF9A9BC">
      <w:pPr>
        <w:autoSpaceDE w:val="0"/>
        <w:autoSpaceDN w:val="0"/>
        <w:spacing w:before="0" w:beforeLines="0" w:line="360" w:lineRule="auto"/>
        <w:ind w:firstLine="480"/>
        <w:rPr>
          <w:rFonts w:hAnsi="宋体"/>
        </w:rPr>
      </w:pPr>
      <w:r>
        <w:rPr>
          <w:rFonts w:hint="eastAsia" w:hAnsi="宋体"/>
        </w:rPr>
        <w:t>5.2.4.6 参与竣工验收、竣工结算后评价等各阶段的检查、控制和评价工作。并协助甲方财务部门办理竣工结算支付。</w:t>
      </w:r>
    </w:p>
    <w:p w14:paraId="18AAEBDE">
      <w:pPr>
        <w:autoSpaceDE w:val="0"/>
        <w:autoSpaceDN w:val="0"/>
        <w:spacing w:before="0" w:beforeLines="0" w:line="360" w:lineRule="auto"/>
        <w:ind w:firstLine="480"/>
        <w:rPr>
          <w:rFonts w:hAnsi="宋体"/>
          <w:lang w:val="zh-CN"/>
        </w:rPr>
      </w:pPr>
      <w:r>
        <w:rPr>
          <w:rFonts w:hint="eastAsia" w:hAnsi="宋体"/>
        </w:rPr>
        <w:t xml:space="preserve">5.2.4.7 </w:t>
      </w:r>
      <w:r>
        <w:rPr>
          <w:rFonts w:hint="eastAsia" w:hAnsi="宋体"/>
          <w:lang w:val="zh-CN"/>
        </w:rPr>
        <w:t>根据甲方的需要，配合</w:t>
      </w:r>
      <w:r>
        <w:rPr>
          <w:rFonts w:hint="eastAsia" w:hAnsi="宋体"/>
        </w:rPr>
        <w:t>开展</w:t>
      </w:r>
      <w:r>
        <w:rPr>
          <w:rFonts w:hint="eastAsia" w:hAnsi="宋体"/>
          <w:lang w:val="zh-CN"/>
        </w:rPr>
        <w:t>竣工决算工作。</w:t>
      </w:r>
    </w:p>
    <w:p w14:paraId="55162823">
      <w:pPr>
        <w:autoSpaceDE w:val="0"/>
        <w:autoSpaceDN w:val="0"/>
        <w:spacing w:before="0" w:beforeLines="0" w:line="360" w:lineRule="auto"/>
        <w:ind w:firstLine="482"/>
        <w:rPr>
          <w:rFonts w:hAnsi="宋体"/>
          <w:b/>
          <w:bCs/>
        </w:rPr>
      </w:pPr>
      <w:r>
        <w:rPr>
          <w:rFonts w:hint="eastAsia" w:hAnsi="宋体"/>
          <w:b/>
          <w:bCs/>
        </w:rPr>
        <w:t>5.2.5 其他造价服务工作</w:t>
      </w:r>
    </w:p>
    <w:p w14:paraId="218FE53A">
      <w:pPr>
        <w:autoSpaceDE w:val="0"/>
        <w:autoSpaceDN w:val="0"/>
        <w:spacing w:before="0" w:beforeLines="0" w:line="360" w:lineRule="auto"/>
        <w:ind w:firstLine="480"/>
        <w:rPr>
          <w:rFonts w:hAnsi="宋体"/>
          <w:lang w:val="zh-CN"/>
        </w:rPr>
      </w:pPr>
      <w:r>
        <w:rPr>
          <w:rFonts w:hint="eastAsia" w:hAnsi="宋体"/>
        </w:rPr>
        <w:t xml:space="preserve">5.2.5.1 </w:t>
      </w:r>
      <w:r>
        <w:rPr>
          <w:rFonts w:hint="eastAsia" w:hAnsi="宋体"/>
          <w:lang w:val="zh-CN"/>
        </w:rPr>
        <w:t>配合委托人完成对项目使用的主要材料、设备及构配件的市场询价并出具意见。</w:t>
      </w:r>
    </w:p>
    <w:p w14:paraId="0DFF95A5">
      <w:pPr>
        <w:autoSpaceDE w:val="0"/>
        <w:autoSpaceDN w:val="0"/>
        <w:spacing w:before="0" w:beforeLines="0" w:line="360" w:lineRule="auto"/>
        <w:ind w:firstLine="480"/>
        <w:rPr>
          <w:rFonts w:hAnsi="宋体"/>
        </w:rPr>
      </w:pPr>
      <w:r>
        <w:rPr>
          <w:rFonts w:hint="eastAsia" w:hAnsi="宋体"/>
        </w:rPr>
        <w:t>5.2.5.2 协助建立造价基数数据信息。根据甲方造价管理需求，进行收集、整理造价指标基数数据，并协助甲方进行经济技术指标分析，建立材料、设备价格基础信息库。</w:t>
      </w:r>
    </w:p>
    <w:p w14:paraId="53B4F67F">
      <w:pPr>
        <w:autoSpaceDE w:val="0"/>
        <w:autoSpaceDN w:val="0"/>
        <w:spacing w:before="0" w:beforeLines="0" w:line="360" w:lineRule="auto"/>
        <w:ind w:firstLine="480"/>
        <w:rPr>
          <w:rFonts w:hAnsi="宋体"/>
        </w:rPr>
      </w:pPr>
      <w:r>
        <w:rPr>
          <w:rFonts w:hint="eastAsia" w:hAnsi="宋体"/>
        </w:rPr>
        <w:t>5.2.5.3 造价服务的各类台账、资料整理及归档。按照档案管理需求，分门别类，收集整理好各阶段的造价资料及台帐：</w:t>
      </w:r>
    </w:p>
    <w:p w14:paraId="7BE8FF07">
      <w:pPr>
        <w:autoSpaceDE w:val="0"/>
        <w:autoSpaceDN w:val="0"/>
        <w:spacing w:before="0" w:beforeLines="0" w:line="360" w:lineRule="auto"/>
        <w:ind w:firstLine="480"/>
        <w:rPr>
          <w:rFonts w:hAnsi="宋体"/>
        </w:rPr>
      </w:pPr>
      <w:r>
        <w:rPr>
          <w:rFonts w:hint="eastAsia" w:hAnsi="宋体"/>
        </w:rPr>
        <w:t>（1）对于经甲方认可、最终定案的造价成果文件(包括乙方独立计算的过程资料、审核报告等)，乙方需及时向甲方递交相应份数(至少2份，具体以甲方要求为准)的纸质文件（要求签字、盖章完整，不得代签、漏签），同时还需递交电子文件一份（电子文件需与纸质文件完全一致，PDF、EXCEL等格式），以做归档之用。</w:t>
      </w:r>
    </w:p>
    <w:p w14:paraId="1EE2CB31">
      <w:pPr>
        <w:autoSpaceDE w:val="0"/>
        <w:autoSpaceDN w:val="0"/>
        <w:spacing w:before="0" w:beforeLines="0" w:line="360" w:lineRule="auto"/>
        <w:ind w:firstLine="480"/>
        <w:rPr>
          <w:rFonts w:hAnsi="宋体"/>
        </w:rPr>
      </w:pPr>
      <w:r>
        <w:rPr>
          <w:rFonts w:hint="eastAsia" w:hAnsi="宋体"/>
        </w:rPr>
        <w:t>（2）乙方需至少留存纸质与电子文件各一套，并做详细台账，以备随时查阅。</w:t>
      </w:r>
    </w:p>
    <w:p w14:paraId="34132E33">
      <w:pPr>
        <w:autoSpaceDE w:val="0"/>
        <w:autoSpaceDN w:val="0"/>
        <w:spacing w:before="0" w:beforeLines="0" w:line="360" w:lineRule="auto"/>
        <w:ind w:firstLine="480"/>
        <w:rPr>
          <w:rFonts w:hAnsi="宋体"/>
        </w:rPr>
      </w:pPr>
      <w:r>
        <w:rPr>
          <w:rFonts w:hint="eastAsia" w:hAnsi="宋体"/>
        </w:rPr>
        <w:t xml:space="preserve"> 5.2.5.4 价格市场对标分析</w:t>
      </w:r>
    </w:p>
    <w:p w14:paraId="76798DDA">
      <w:pPr>
        <w:autoSpaceDE w:val="0"/>
        <w:autoSpaceDN w:val="0"/>
        <w:spacing w:before="0" w:beforeLines="0" w:line="360" w:lineRule="auto"/>
        <w:ind w:firstLine="480"/>
        <w:rPr>
          <w:rFonts w:hAnsi="宋体"/>
        </w:rPr>
      </w:pPr>
      <w:r>
        <w:rPr>
          <w:rFonts w:hint="eastAsia" w:hAnsi="宋体"/>
        </w:rPr>
        <w:t>（1）对预算价格开展市场调查，并进行对比分析，确保预算价格符合市场水平。</w:t>
      </w:r>
    </w:p>
    <w:p w14:paraId="5CEDEF5D">
      <w:pPr>
        <w:autoSpaceDE w:val="0"/>
        <w:autoSpaceDN w:val="0"/>
        <w:spacing w:before="0" w:beforeLines="0" w:line="360" w:lineRule="auto"/>
        <w:ind w:firstLine="480"/>
        <w:rPr>
          <w:rFonts w:hAnsi="宋体"/>
        </w:rPr>
      </w:pPr>
      <w:r>
        <w:rPr>
          <w:rFonts w:hint="eastAsia" w:hAnsi="宋体"/>
        </w:rPr>
        <w:t>（2）分析定额价格与市场价格之间的差异，出具分析报告支持甲方进行价格决策。</w:t>
      </w:r>
    </w:p>
    <w:p w14:paraId="3D9CD700">
      <w:pPr>
        <w:autoSpaceDE w:val="0"/>
        <w:autoSpaceDN w:val="0"/>
        <w:spacing w:before="0" w:beforeLines="0" w:line="360" w:lineRule="auto"/>
        <w:ind w:firstLine="480"/>
        <w:rPr>
          <w:rFonts w:hAnsi="宋体"/>
        </w:rPr>
      </w:pPr>
      <w:r>
        <w:rPr>
          <w:rFonts w:hint="eastAsia" w:hAnsi="宋体"/>
        </w:rPr>
        <w:t>5.2.5.5 根据甲方的需要，配合甲方的过程审计、工程结算审计工作，主动了解审计进展情况，对政府审计单位提出的疑问予以解答、解决，积极推进审计工作完成。</w:t>
      </w:r>
    </w:p>
    <w:p w14:paraId="5890A897">
      <w:pPr>
        <w:autoSpaceDE w:val="0"/>
        <w:autoSpaceDN w:val="0"/>
        <w:spacing w:before="0" w:beforeLines="0" w:line="360" w:lineRule="auto"/>
        <w:ind w:firstLine="480"/>
        <w:rPr>
          <w:rFonts w:hAnsi="宋体"/>
        </w:rPr>
      </w:pPr>
      <w:r>
        <w:rPr>
          <w:rFonts w:hint="eastAsia" w:hAnsi="宋体"/>
        </w:rPr>
        <w:t>5.2.5.6 图纸、资料、财产以及数据管理</w:t>
      </w:r>
    </w:p>
    <w:p w14:paraId="5C04D548">
      <w:pPr>
        <w:autoSpaceDE w:val="0"/>
        <w:autoSpaceDN w:val="0"/>
        <w:spacing w:before="0" w:beforeLines="0" w:line="360" w:lineRule="auto"/>
        <w:ind w:firstLine="480"/>
        <w:rPr>
          <w:rFonts w:hAnsi="宋体"/>
        </w:rPr>
      </w:pPr>
      <w:r>
        <w:rPr>
          <w:rFonts w:hint="eastAsia" w:hAnsi="宋体"/>
        </w:rPr>
        <w:t>（1）制定有效的项目合同、造价档案管理办法和工作程序，并据此进行档案资料管理，确保项目实施过程中形成的与合约和造价有关的所有资料或信息均完备、清晰并可追溯。</w:t>
      </w:r>
    </w:p>
    <w:p w14:paraId="4BB184E0">
      <w:pPr>
        <w:autoSpaceDE w:val="0"/>
        <w:autoSpaceDN w:val="0"/>
        <w:spacing w:before="0" w:beforeLines="0" w:line="360" w:lineRule="auto"/>
        <w:ind w:firstLine="480"/>
        <w:rPr>
          <w:rFonts w:hAnsi="宋体"/>
        </w:rPr>
      </w:pPr>
      <w:r>
        <w:rPr>
          <w:rFonts w:hint="eastAsia" w:hAnsi="宋体"/>
        </w:rPr>
        <w:t>（2）对于甲方提供的图纸、资料、财产以及需要移交给甲方的档案和资料等，应妥善保管并在项目服务工作全部结束后及时办理移交手续。</w:t>
      </w:r>
    </w:p>
    <w:p w14:paraId="32822084">
      <w:pPr>
        <w:autoSpaceDE w:val="0"/>
        <w:autoSpaceDN w:val="0"/>
        <w:spacing w:before="0" w:beforeLines="0" w:line="360" w:lineRule="auto"/>
        <w:ind w:firstLine="480"/>
        <w:rPr>
          <w:rFonts w:hAnsi="宋体"/>
        </w:rPr>
      </w:pPr>
      <w:r>
        <w:rPr>
          <w:rFonts w:hint="eastAsia" w:hAnsi="宋体"/>
        </w:rPr>
        <w:t>（3）根据甲方数据管理规定，在项目实施过程中，对于任何有价值的数据和信息及时分析、整理并录入到甲方数据库。</w:t>
      </w:r>
    </w:p>
    <w:p w14:paraId="689314DB">
      <w:pPr>
        <w:autoSpaceDE w:val="0"/>
        <w:autoSpaceDN w:val="0"/>
        <w:spacing w:before="0" w:beforeLines="0" w:line="360" w:lineRule="auto"/>
        <w:ind w:firstLine="480"/>
        <w:rPr>
          <w:rFonts w:hAnsi="宋体"/>
          <w:lang w:val="zh-CN"/>
        </w:rPr>
      </w:pPr>
      <w:r>
        <w:rPr>
          <w:rFonts w:hint="eastAsia" w:hAnsi="宋体"/>
        </w:rPr>
        <w:t>5.2.5.7 根据甲方要求完成的其它有关造价服务业务的相关事宜。包含但不限于</w:t>
      </w:r>
      <w:r>
        <w:rPr>
          <w:rFonts w:hint="eastAsia" w:hAnsi="宋体"/>
          <w:lang w:val="zh-CN"/>
        </w:rPr>
        <w:t>审核</w:t>
      </w:r>
      <w:r>
        <w:rPr>
          <w:rFonts w:hint="eastAsia" w:hAnsi="宋体"/>
        </w:rPr>
        <w:t>本</w:t>
      </w:r>
      <w:r>
        <w:rPr>
          <w:rFonts w:hint="eastAsia" w:hAnsi="宋体"/>
          <w:lang w:val="zh-CN"/>
        </w:rPr>
        <w:t>工程服务项目的招标控制价、结算，参加造价</w:t>
      </w:r>
      <w:r>
        <w:rPr>
          <w:rFonts w:hint="eastAsia" w:hAnsi="宋体"/>
        </w:rPr>
        <w:t>服务</w:t>
      </w:r>
      <w:r>
        <w:rPr>
          <w:rFonts w:hint="eastAsia" w:hAnsi="宋体"/>
          <w:lang w:val="zh-CN"/>
        </w:rPr>
        <w:t>管理工作相关的会议，定期组织业务培训，配合甲方做好固定资产投资移交工作，协助甲方配合政府造价管理部门进行定额编制及测算工作等。</w:t>
      </w:r>
    </w:p>
    <w:p w14:paraId="6B6FC9C6">
      <w:pPr>
        <w:adjustRightInd/>
        <w:spacing w:before="0" w:beforeLines="0" w:line="360" w:lineRule="auto"/>
        <w:ind w:firstLine="482"/>
        <w:jc w:val="left"/>
        <w:outlineLvl w:val="2"/>
        <w:rPr>
          <w:rFonts w:hAnsi="宋体"/>
          <w:b/>
          <w:bCs/>
        </w:rPr>
      </w:pPr>
      <w:bookmarkStart w:id="1171" w:name="_Toc193981313"/>
      <w:r>
        <w:rPr>
          <w:rFonts w:hint="eastAsia" w:hAnsi="宋体"/>
          <w:b/>
          <w:bCs/>
        </w:rPr>
        <w:t>6</w:t>
      </w:r>
      <w:r>
        <w:rPr>
          <w:rFonts w:hAnsi="宋体"/>
          <w:b/>
          <w:bCs/>
        </w:rPr>
        <w:t>.服务</w:t>
      </w:r>
      <w:r>
        <w:rPr>
          <w:rFonts w:hint="eastAsia" w:hAnsi="宋体"/>
          <w:b/>
          <w:bCs/>
        </w:rPr>
        <w:t>人员要求</w:t>
      </w:r>
      <w:bookmarkEnd w:id="1171"/>
    </w:p>
    <w:p w14:paraId="57B68AB2">
      <w:pPr>
        <w:autoSpaceDE w:val="0"/>
        <w:autoSpaceDN w:val="0"/>
        <w:spacing w:before="0" w:beforeLines="0" w:line="360" w:lineRule="auto"/>
        <w:ind w:firstLine="480"/>
        <w:rPr>
          <w:rFonts w:hAnsi="宋体" w:cs="宋体"/>
          <w:lang w:val="zh-CN"/>
        </w:rPr>
      </w:pPr>
      <w:r>
        <w:rPr>
          <w:rFonts w:hint="eastAsia" w:hAnsi="宋体"/>
        </w:rPr>
        <w:t xml:space="preserve">6.1 </w:t>
      </w:r>
      <w:r>
        <w:rPr>
          <w:rFonts w:hint="eastAsia" w:hAnsi="宋体" w:cs="宋体"/>
          <w:lang w:val="zh-CN"/>
        </w:rPr>
        <w:t>乙方需按照其投标文件承诺的拟投入人员</w:t>
      </w:r>
      <w:r>
        <w:rPr>
          <w:rFonts w:hint="eastAsia" w:hAnsi="宋体" w:cs="宋体"/>
        </w:rPr>
        <w:t>设立</w:t>
      </w:r>
      <w:r>
        <w:rPr>
          <w:rFonts w:hint="eastAsia" w:hAnsi="宋体" w:cs="宋体"/>
          <w:lang w:val="zh-CN"/>
        </w:rPr>
        <w:t>项目组，配备固定的专职</w:t>
      </w:r>
      <w:r>
        <w:rPr>
          <w:rFonts w:hint="eastAsia" w:hAnsi="宋体" w:cs="宋体"/>
        </w:rPr>
        <w:t>造价</w:t>
      </w:r>
      <w:r>
        <w:rPr>
          <w:rFonts w:hint="eastAsia" w:hAnsi="宋体" w:cs="宋体"/>
          <w:lang w:val="zh-CN"/>
        </w:rPr>
        <w:t>人员，持续跟进本</w:t>
      </w:r>
      <w:r>
        <w:rPr>
          <w:rFonts w:hint="eastAsia" w:hAnsi="宋体" w:cs="宋体"/>
        </w:rPr>
        <w:t>合同</w:t>
      </w:r>
      <w:r>
        <w:rPr>
          <w:rFonts w:hint="eastAsia" w:hAnsi="宋体" w:cs="宋体"/>
          <w:lang w:val="zh-CN"/>
        </w:rPr>
        <w:t>下甲方委托乙方的所有</w:t>
      </w:r>
      <w:r>
        <w:rPr>
          <w:rFonts w:hint="eastAsia" w:hAnsi="宋体" w:cs="宋体"/>
        </w:rPr>
        <w:t>造价业务</w:t>
      </w:r>
      <w:r>
        <w:rPr>
          <w:rFonts w:hint="eastAsia" w:hAnsi="宋体" w:cs="宋体"/>
          <w:lang w:val="zh-CN"/>
        </w:rPr>
        <w:t>服务工作。</w:t>
      </w:r>
      <w:r>
        <w:rPr>
          <w:rFonts w:hint="eastAsia" w:hAnsi="宋体" w:cs="宋体"/>
        </w:rPr>
        <w:t>项目组</w:t>
      </w:r>
      <w:r>
        <w:rPr>
          <w:rFonts w:hint="eastAsia" w:hAnsi="宋体" w:cs="宋体"/>
          <w:lang w:val="zh-CN"/>
        </w:rPr>
        <w:t>人员的数量为</w:t>
      </w:r>
      <w:r>
        <w:rPr>
          <w:rFonts w:hint="eastAsia" w:hAnsi="宋体" w:cs="宋体"/>
          <w:u w:val="single"/>
        </w:rPr>
        <w:t xml:space="preserve">   </w:t>
      </w:r>
      <w:r>
        <w:rPr>
          <w:rFonts w:hint="eastAsia" w:hAnsi="宋体" w:cs="宋体"/>
          <w:lang w:val="zh-CN"/>
        </w:rPr>
        <w:t>人及以上。本工程</w:t>
      </w:r>
      <w:r>
        <w:rPr>
          <w:rFonts w:hint="eastAsia" w:hAnsi="宋体" w:cs="宋体"/>
        </w:rPr>
        <w:t>乙方</w:t>
      </w:r>
      <w:r>
        <w:rPr>
          <w:rFonts w:hint="eastAsia" w:hAnsi="宋体" w:cs="宋体"/>
          <w:lang w:val="zh-CN"/>
        </w:rPr>
        <w:t>项目组</w:t>
      </w:r>
      <w:r>
        <w:rPr>
          <w:rFonts w:hint="eastAsia" w:hAnsi="宋体" w:cs="宋体"/>
        </w:rPr>
        <w:t>造价人员</w:t>
      </w:r>
      <w:r>
        <w:rPr>
          <w:rFonts w:hint="eastAsia" w:hAnsi="宋体" w:cs="宋体"/>
          <w:lang w:val="zh-CN"/>
        </w:rPr>
        <w:t>及其职责如下：</w:t>
      </w:r>
    </w:p>
    <w:p w14:paraId="7061CDB0">
      <w:pPr>
        <w:adjustRightInd/>
        <w:snapToGrid/>
        <w:spacing w:before="0" w:beforeLines="0" w:line="360" w:lineRule="auto"/>
        <w:ind w:firstLine="482"/>
        <w:rPr>
          <w:rFonts w:hAnsi="宋体" w:cs="宋体"/>
          <w:b/>
        </w:rPr>
      </w:pPr>
      <w:r>
        <w:rPr>
          <w:rFonts w:hint="eastAsia" w:hAnsi="宋体" w:cs="宋体"/>
          <w:b/>
          <w:lang w:val="zh-CN"/>
        </w:rPr>
        <w:t>项目负责人：</w:t>
      </w:r>
      <w:r>
        <w:rPr>
          <w:rFonts w:hint="eastAsia" w:hAnsi="宋体" w:cs="宋体"/>
          <w:b/>
          <w:u w:val="single"/>
        </w:rPr>
        <w:t xml:space="preserve"> 1 </w:t>
      </w:r>
      <w:r>
        <w:rPr>
          <w:rFonts w:hint="eastAsia" w:hAnsi="宋体" w:cs="宋体"/>
          <w:b/>
        </w:rPr>
        <w:t>人，</w:t>
      </w:r>
      <w:r>
        <w:rPr>
          <w:rFonts w:hint="eastAsia" w:hAnsi="宋体" w:cs="宋体"/>
          <w:b/>
          <w:u w:val="single"/>
        </w:rPr>
        <w:t xml:space="preserve">（姓名）    </w:t>
      </w:r>
      <w:r>
        <w:rPr>
          <w:rFonts w:hint="eastAsia" w:hAnsi="宋体" w:cs="宋体"/>
          <w:b/>
        </w:rPr>
        <w:t>；</w:t>
      </w:r>
      <w:r>
        <w:rPr>
          <w:rFonts w:hint="eastAsia" w:hAnsi="宋体" w:cs="宋体"/>
          <w:b/>
          <w:lang w:val="zh-CN"/>
        </w:rPr>
        <w:t>技术总负责</w:t>
      </w:r>
      <w:r>
        <w:rPr>
          <w:rFonts w:hint="eastAsia" w:hAnsi="宋体" w:cs="宋体"/>
          <w:b/>
        </w:rPr>
        <w:t>人</w:t>
      </w:r>
      <w:r>
        <w:rPr>
          <w:rFonts w:hint="eastAsia" w:hAnsi="宋体" w:cs="宋体"/>
          <w:b/>
          <w:lang w:val="zh-CN"/>
        </w:rPr>
        <w:t>：</w:t>
      </w:r>
      <w:r>
        <w:rPr>
          <w:rFonts w:hint="eastAsia" w:hAnsi="宋体" w:cs="宋体"/>
          <w:b/>
          <w:u w:val="single"/>
        </w:rPr>
        <w:t xml:space="preserve"> 1 </w:t>
      </w:r>
      <w:r>
        <w:rPr>
          <w:rFonts w:hint="eastAsia" w:hAnsi="宋体" w:cs="宋体"/>
          <w:b/>
        </w:rPr>
        <w:t>人，</w:t>
      </w:r>
      <w:r>
        <w:rPr>
          <w:rFonts w:hint="eastAsia" w:hAnsi="宋体" w:cs="宋体"/>
          <w:b/>
          <w:u w:val="single"/>
        </w:rPr>
        <w:t xml:space="preserve">（姓名）        </w:t>
      </w:r>
      <w:r>
        <w:rPr>
          <w:rFonts w:hint="eastAsia" w:hAnsi="宋体" w:cs="宋体"/>
          <w:b/>
        </w:rPr>
        <w:t>；</w:t>
      </w:r>
    </w:p>
    <w:p w14:paraId="19BF7AEA">
      <w:pPr>
        <w:adjustRightInd/>
        <w:snapToGrid/>
        <w:spacing w:before="0" w:beforeLines="0" w:line="360" w:lineRule="auto"/>
        <w:ind w:firstLine="482"/>
        <w:rPr>
          <w:rFonts w:hAnsi="宋体" w:cs="宋体"/>
          <w:b/>
          <w:lang w:val="zh-CN"/>
        </w:rPr>
      </w:pPr>
      <w:r>
        <w:rPr>
          <w:rFonts w:hint="eastAsia" w:hAnsi="宋体" w:cs="宋体"/>
          <w:b/>
          <w:lang w:val="zh-CN"/>
        </w:rPr>
        <w:t>土建负责人：</w:t>
      </w:r>
      <w:r>
        <w:rPr>
          <w:rFonts w:hint="eastAsia" w:hAnsi="宋体" w:cs="宋体"/>
          <w:b/>
          <w:u w:val="single"/>
        </w:rPr>
        <w:t xml:space="preserve"> 1 </w:t>
      </w:r>
      <w:r>
        <w:rPr>
          <w:rFonts w:hint="eastAsia" w:hAnsi="宋体" w:cs="宋体"/>
          <w:b/>
        </w:rPr>
        <w:t>人，</w:t>
      </w:r>
      <w:r>
        <w:rPr>
          <w:rFonts w:hint="eastAsia" w:hAnsi="宋体" w:cs="宋体"/>
          <w:b/>
          <w:u w:val="single"/>
        </w:rPr>
        <w:t xml:space="preserve"> （姓名）     </w:t>
      </w:r>
      <w:r>
        <w:rPr>
          <w:rFonts w:hint="eastAsia" w:hAnsi="宋体" w:cs="宋体"/>
          <w:b/>
          <w:lang w:val="zh-CN"/>
        </w:rPr>
        <w:t>，土建专业</w:t>
      </w:r>
      <w:r>
        <w:rPr>
          <w:rFonts w:hint="eastAsia" w:hAnsi="宋体" w:cs="宋体"/>
          <w:b/>
        </w:rPr>
        <w:t>人员</w:t>
      </w:r>
      <w:r>
        <w:rPr>
          <w:rFonts w:hint="eastAsia" w:hAnsi="宋体" w:cs="宋体"/>
          <w:b/>
          <w:lang w:val="zh-CN"/>
        </w:rPr>
        <w:t>：</w:t>
      </w:r>
      <w:r>
        <w:rPr>
          <w:rFonts w:hint="eastAsia" w:hAnsi="宋体" w:cs="宋体"/>
          <w:b/>
          <w:u w:val="single"/>
        </w:rPr>
        <w:t xml:space="preserve">   </w:t>
      </w:r>
      <w:r>
        <w:rPr>
          <w:rFonts w:hint="eastAsia" w:hAnsi="宋体" w:cs="宋体"/>
          <w:b/>
        </w:rPr>
        <w:t>人，</w:t>
      </w:r>
      <w:r>
        <w:rPr>
          <w:rFonts w:hint="eastAsia" w:hAnsi="宋体" w:cs="宋体"/>
          <w:b/>
          <w:u w:val="single"/>
        </w:rPr>
        <w:t xml:space="preserve"> （姓名）         </w:t>
      </w:r>
      <w:r>
        <w:rPr>
          <w:rFonts w:hint="eastAsia" w:hAnsi="宋体" w:cs="宋体"/>
          <w:b/>
          <w:lang w:val="zh-CN"/>
        </w:rPr>
        <w:t>；</w:t>
      </w:r>
    </w:p>
    <w:p w14:paraId="7864A1E2">
      <w:pPr>
        <w:adjustRightInd/>
        <w:snapToGrid/>
        <w:spacing w:before="0" w:beforeLines="0" w:line="360" w:lineRule="auto"/>
        <w:ind w:firstLine="482"/>
        <w:rPr>
          <w:rFonts w:hAnsi="宋体" w:cs="宋体"/>
          <w:b/>
        </w:rPr>
      </w:pPr>
      <w:r>
        <w:rPr>
          <w:rFonts w:hint="eastAsia" w:hAnsi="宋体" w:cs="宋体"/>
          <w:b/>
          <w:lang w:val="zh-CN"/>
        </w:rPr>
        <w:t>安装负责人：</w:t>
      </w:r>
      <w:r>
        <w:rPr>
          <w:rFonts w:hint="eastAsia" w:hAnsi="宋体" w:cs="宋体"/>
          <w:b/>
          <w:u w:val="single"/>
        </w:rPr>
        <w:t xml:space="preserve"> 1 </w:t>
      </w:r>
      <w:r>
        <w:rPr>
          <w:rFonts w:hint="eastAsia" w:hAnsi="宋体" w:cs="宋体"/>
          <w:b/>
        </w:rPr>
        <w:t>人，</w:t>
      </w:r>
      <w:r>
        <w:rPr>
          <w:rFonts w:hint="eastAsia" w:hAnsi="宋体" w:cs="宋体"/>
          <w:b/>
          <w:u w:val="single"/>
        </w:rPr>
        <w:t xml:space="preserve">（姓名）       </w:t>
      </w:r>
      <w:r>
        <w:rPr>
          <w:rFonts w:hint="eastAsia" w:hAnsi="宋体" w:cs="宋体"/>
          <w:b/>
          <w:lang w:val="zh-CN"/>
        </w:rPr>
        <w:t>，安装专业</w:t>
      </w:r>
      <w:r>
        <w:rPr>
          <w:rFonts w:hint="eastAsia" w:hAnsi="宋体" w:cs="宋体"/>
          <w:b/>
        </w:rPr>
        <w:t>人员</w:t>
      </w:r>
      <w:r>
        <w:rPr>
          <w:rFonts w:hint="eastAsia" w:hAnsi="宋体" w:cs="宋体"/>
          <w:b/>
          <w:lang w:val="zh-CN"/>
        </w:rPr>
        <w:t>：</w:t>
      </w:r>
      <w:r>
        <w:rPr>
          <w:rFonts w:hint="eastAsia" w:hAnsi="宋体" w:cs="宋体"/>
          <w:b/>
          <w:u w:val="single"/>
        </w:rPr>
        <w:t xml:space="preserve">    </w:t>
      </w:r>
      <w:r>
        <w:rPr>
          <w:rFonts w:hint="eastAsia" w:hAnsi="宋体" w:cs="宋体"/>
          <w:b/>
        </w:rPr>
        <w:t>人，</w:t>
      </w:r>
      <w:r>
        <w:rPr>
          <w:rFonts w:hint="eastAsia" w:hAnsi="宋体" w:cs="宋体"/>
          <w:b/>
          <w:u w:val="single"/>
        </w:rPr>
        <w:t>（姓名）</w:t>
      </w:r>
      <w:r>
        <w:rPr>
          <w:rFonts w:hint="eastAsia" w:hAnsi="宋体" w:cs="宋体"/>
          <w:b/>
          <w:u w:val="single"/>
          <w:lang w:val="zh-CN"/>
        </w:rPr>
        <w:t xml:space="preserve"> </w:t>
      </w:r>
      <w:r>
        <w:rPr>
          <w:rFonts w:hint="eastAsia" w:hAnsi="宋体" w:cs="宋体"/>
          <w:b/>
          <w:u w:val="single"/>
        </w:rPr>
        <w:t xml:space="preserve">         </w:t>
      </w:r>
      <w:r>
        <w:rPr>
          <w:rFonts w:hint="eastAsia" w:hAnsi="宋体" w:cs="宋体"/>
          <w:b/>
        </w:rPr>
        <w:t>；</w:t>
      </w:r>
    </w:p>
    <w:p w14:paraId="12F40E2B">
      <w:pPr>
        <w:adjustRightInd/>
        <w:snapToGrid/>
        <w:spacing w:before="0" w:beforeLines="0" w:line="360" w:lineRule="auto"/>
        <w:ind w:firstLine="482"/>
        <w:rPr>
          <w:rFonts w:hAnsi="宋体" w:cs="宋体"/>
          <w:b/>
        </w:rPr>
      </w:pPr>
      <w:r>
        <w:rPr>
          <w:rFonts w:hint="eastAsia" w:hAnsi="宋体" w:cs="宋体"/>
          <w:b/>
          <w:lang w:val="zh-CN"/>
        </w:rPr>
        <w:t>综合管理</w:t>
      </w:r>
      <w:r>
        <w:rPr>
          <w:rFonts w:hint="eastAsia" w:hAnsi="宋体" w:cs="宋体"/>
          <w:b/>
        </w:rPr>
        <w:t>人员：</w:t>
      </w:r>
      <w:r>
        <w:rPr>
          <w:rFonts w:hint="eastAsia" w:hAnsi="宋体" w:cs="宋体"/>
          <w:b/>
          <w:u w:val="single"/>
        </w:rPr>
        <w:t xml:space="preserve">   </w:t>
      </w:r>
      <w:r>
        <w:rPr>
          <w:rFonts w:hint="eastAsia" w:hAnsi="宋体" w:cs="宋体"/>
          <w:b/>
        </w:rPr>
        <w:t>人，</w:t>
      </w:r>
      <w:r>
        <w:rPr>
          <w:rFonts w:hint="eastAsia" w:hAnsi="宋体" w:cs="宋体"/>
          <w:b/>
          <w:u w:val="single"/>
          <w:lang w:val="zh-CN"/>
        </w:rPr>
        <w:t xml:space="preserve"> </w:t>
      </w:r>
      <w:r>
        <w:rPr>
          <w:rFonts w:hint="eastAsia" w:hAnsi="宋体" w:cs="宋体"/>
          <w:b/>
          <w:u w:val="single"/>
        </w:rPr>
        <w:t xml:space="preserve">（姓名）        </w:t>
      </w:r>
      <w:r>
        <w:rPr>
          <w:rFonts w:hint="eastAsia" w:hAnsi="宋体" w:cs="宋体"/>
          <w:b/>
        </w:rPr>
        <w:t>；</w:t>
      </w:r>
    </w:p>
    <w:p w14:paraId="28276595">
      <w:pPr>
        <w:adjustRightInd/>
        <w:snapToGrid/>
        <w:spacing w:before="0" w:beforeLines="0" w:line="360" w:lineRule="auto"/>
        <w:ind w:firstLine="482"/>
        <w:rPr>
          <w:rFonts w:hAnsi="宋体" w:cs="宋体"/>
          <w:b/>
          <w:lang w:val="zh-CN"/>
        </w:rPr>
      </w:pPr>
      <w:r>
        <w:rPr>
          <w:rFonts w:hint="eastAsia" w:hAnsi="宋体" w:cs="宋体"/>
          <w:b/>
          <w:lang w:val="zh-CN"/>
        </w:rPr>
        <w:t>乙方驻甲方工地代表：</w:t>
      </w:r>
      <w:r>
        <w:rPr>
          <w:rFonts w:hint="eastAsia" w:hAnsi="宋体" w:cs="宋体"/>
          <w:b/>
          <w:u w:val="single"/>
        </w:rPr>
        <w:t xml:space="preserve">  2 </w:t>
      </w:r>
      <w:r>
        <w:rPr>
          <w:rFonts w:hint="eastAsia" w:hAnsi="宋体" w:cs="宋体"/>
          <w:b/>
        </w:rPr>
        <w:t>人，</w:t>
      </w:r>
      <w:r>
        <w:rPr>
          <w:rFonts w:hint="eastAsia" w:hAnsi="宋体" w:cs="宋体"/>
          <w:b/>
          <w:u w:val="single"/>
        </w:rPr>
        <w:t xml:space="preserve"> （姓名1）         、（姓名2）         </w:t>
      </w:r>
      <w:r>
        <w:rPr>
          <w:rFonts w:hint="eastAsia" w:hAnsi="宋体" w:cs="宋体"/>
          <w:b/>
          <w:lang w:val="zh-CN"/>
        </w:rPr>
        <w:t>。</w:t>
      </w:r>
    </w:p>
    <w:p w14:paraId="747CF2F4">
      <w:pPr>
        <w:autoSpaceDE w:val="0"/>
        <w:autoSpaceDN w:val="0"/>
        <w:spacing w:before="0" w:beforeLines="0" w:line="360" w:lineRule="auto"/>
        <w:ind w:firstLine="480"/>
        <w:rPr>
          <w:rFonts w:hAnsi="宋体" w:cs="宋体"/>
        </w:rPr>
      </w:pPr>
      <w:r>
        <w:rPr>
          <w:rFonts w:hAnsi="宋体" w:cs="Calibri"/>
          <w:lang w:val="zh-CN"/>
        </w:rPr>
        <w:t>①</w:t>
      </w:r>
      <w:r>
        <w:rPr>
          <w:rFonts w:hint="eastAsia" w:hAnsi="宋体" w:cs="宋体"/>
          <w:lang w:val="zh-CN"/>
        </w:rPr>
        <w:t>项目负责人（</w:t>
      </w:r>
      <w:r>
        <w:rPr>
          <w:rFonts w:hint="eastAsia" w:hAnsi="宋体" w:cs="宋体"/>
        </w:rPr>
        <w:t>全专业），负责主持本项目造价业务服务的总体策划和组织全面工作，就造价服务过程中重大事宜与甲方沟通和协调并参加重要会议，协调公司内部资源以及接受甲方对乙方的投诉；对地区造价最新政策文件、材料价格信息等资料的搜集和传达工作，确保工作成果与时俱进，符合造价成果时效性要求；负责监督审查造价业务的计划和实施情况，做好三级复核工作，对于工作出现的问题应严格按照甲方制定的考核办法进行分析、复核并记录，并出具最终的工程造价成果报告；为甲方提供合同约定的各项具体服务</w:t>
      </w:r>
      <w:r>
        <w:rPr>
          <w:rFonts w:hint="eastAsia" w:hAnsi="宋体" w:cs="宋体"/>
          <w:lang w:val="zh-CN"/>
        </w:rPr>
        <w:t>。施工期间项目负责人必须应甲方要求参加工作例会，根据甲方需要随叫随到（接到甲方通知4个小时以内到达现场）。</w:t>
      </w:r>
    </w:p>
    <w:p w14:paraId="061DDB68">
      <w:pPr>
        <w:autoSpaceDE w:val="0"/>
        <w:autoSpaceDN w:val="0"/>
        <w:spacing w:before="0" w:beforeLines="0" w:line="360" w:lineRule="auto"/>
        <w:ind w:firstLine="480"/>
        <w:rPr>
          <w:rFonts w:hAnsi="宋体" w:cs="宋体"/>
        </w:rPr>
      </w:pPr>
      <w:r>
        <w:rPr>
          <w:rFonts w:hAnsi="宋体" w:cs="Calibri"/>
          <w:lang w:val="zh-CN"/>
        </w:rPr>
        <w:t>②</w:t>
      </w:r>
      <w:r>
        <w:rPr>
          <w:rFonts w:hint="eastAsia" w:hAnsi="宋体" w:cs="宋体"/>
        </w:rPr>
        <w:t>技术总负责人</w:t>
      </w:r>
      <w:r>
        <w:rPr>
          <w:rFonts w:hint="eastAsia" w:hAnsi="宋体" w:cs="宋体"/>
          <w:lang w:val="zh-CN"/>
        </w:rPr>
        <w:t>，负责按照甲方派发的造价</w:t>
      </w:r>
      <w:r>
        <w:rPr>
          <w:rFonts w:hint="eastAsia" w:hAnsi="宋体" w:cs="宋体"/>
        </w:rPr>
        <w:t>业务</w:t>
      </w:r>
      <w:r>
        <w:rPr>
          <w:rFonts w:hint="eastAsia" w:hAnsi="宋体" w:cs="宋体"/>
          <w:lang w:val="zh-CN"/>
        </w:rPr>
        <w:t>工作要求编制项目的造价</w:t>
      </w:r>
      <w:r>
        <w:rPr>
          <w:rFonts w:hint="eastAsia" w:hAnsi="宋体" w:cs="宋体"/>
        </w:rPr>
        <w:t>服务</w:t>
      </w:r>
      <w:r>
        <w:rPr>
          <w:rFonts w:hint="eastAsia" w:hAnsi="宋体" w:cs="宋体"/>
          <w:lang w:val="zh-CN"/>
        </w:rPr>
        <w:t>实施方案，并组织本项目组专业人员开展编制工作；按照实施方案拟定的原则、风险防范要点、计价依据等要素，规范地开展编制工作；具体负责业务实施过程中相关单位、相关专业人员间的技术协调、组织管理和业务管理工作；按照规定对项目组编制的造价成果做好二级审核后汇总成册并及时提交项目负责人复核；造价成果复核后，负责组织按项目负责人审核意见进行修改；为甲方提供合同约定的各项具体服务</w:t>
      </w:r>
      <w:r>
        <w:rPr>
          <w:rFonts w:hint="eastAsia" w:hAnsi="宋体" w:cs="宋体"/>
        </w:rPr>
        <w:t>。</w:t>
      </w:r>
    </w:p>
    <w:p w14:paraId="54BD5871">
      <w:pPr>
        <w:autoSpaceDE w:val="0"/>
        <w:autoSpaceDN w:val="0"/>
        <w:spacing w:before="0" w:beforeLines="0" w:line="360" w:lineRule="auto"/>
        <w:ind w:firstLine="480"/>
        <w:rPr>
          <w:rFonts w:hAnsi="宋体" w:cs="宋体"/>
          <w:lang w:val="zh-CN"/>
        </w:rPr>
      </w:pPr>
      <w:r>
        <w:rPr>
          <w:rFonts w:hAnsi="宋体" w:cs="Calibri"/>
          <w:lang w:val="zh-CN"/>
        </w:rPr>
        <w:t>③</w:t>
      </w:r>
      <w:r>
        <w:rPr>
          <w:rFonts w:hint="eastAsia" w:hAnsi="宋体" w:cs="宋体"/>
          <w:lang w:val="zh-CN"/>
        </w:rPr>
        <w:t>土建</w:t>
      </w:r>
      <w:r>
        <w:rPr>
          <w:rFonts w:hint="eastAsia" w:hAnsi="宋体" w:cs="宋体"/>
        </w:rPr>
        <w:t>造价</w:t>
      </w:r>
      <w:r>
        <w:rPr>
          <w:rFonts w:hint="eastAsia" w:hAnsi="宋体" w:cs="宋体"/>
          <w:lang w:val="zh-CN"/>
        </w:rPr>
        <w:t>组，</w:t>
      </w:r>
      <w:r>
        <w:rPr>
          <w:rFonts w:hint="eastAsia" w:hAnsi="宋体" w:cs="宋体"/>
        </w:rPr>
        <w:t>土建负责人</w:t>
      </w:r>
      <w:r>
        <w:rPr>
          <w:rFonts w:hint="eastAsia" w:hAnsi="宋体" w:cs="宋体"/>
          <w:lang w:val="zh-CN"/>
        </w:rPr>
        <w:t>负责乙方出具的主要服务成果文件进行内部审核，以保证服务成果文件的质量，分管</w:t>
      </w:r>
      <w:r>
        <w:rPr>
          <w:rFonts w:hint="eastAsia" w:hAnsi="宋体" w:cs="宋体"/>
        </w:rPr>
        <w:t>除机电安装工程外的所有专业内容</w:t>
      </w:r>
      <w:r>
        <w:rPr>
          <w:rFonts w:hint="eastAsia" w:hAnsi="宋体" w:cs="宋体"/>
          <w:lang w:val="zh-CN"/>
        </w:rPr>
        <w:t>，</w:t>
      </w:r>
      <w:r>
        <w:rPr>
          <w:rFonts w:hint="eastAsia" w:hAnsi="宋体" w:cs="宋体"/>
        </w:rPr>
        <w:t>土建专业</w:t>
      </w:r>
      <w:r>
        <w:rPr>
          <w:rFonts w:hint="eastAsia" w:hAnsi="宋体" w:cs="宋体"/>
          <w:lang w:val="zh-CN"/>
        </w:rPr>
        <w:t>造价人员在乙方</w:t>
      </w:r>
      <w:r>
        <w:rPr>
          <w:rFonts w:hint="eastAsia" w:hAnsi="宋体" w:cs="宋体"/>
        </w:rPr>
        <w:t>技术</w:t>
      </w:r>
      <w:r>
        <w:rPr>
          <w:rFonts w:hint="eastAsia" w:hAnsi="宋体" w:cs="宋体"/>
          <w:lang w:val="zh-CN"/>
        </w:rPr>
        <w:t>负责人及组长的组织和领导下，为甲方提供合同约定的各项具体服务。</w:t>
      </w:r>
    </w:p>
    <w:p w14:paraId="608EA837">
      <w:pPr>
        <w:autoSpaceDE w:val="0"/>
        <w:autoSpaceDN w:val="0"/>
        <w:spacing w:before="0" w:beforeLines="0" w:line="360" w:lineRule="auto"/>
        <w:ind w:firstLine="480"/>
        <w:rPr>
          <w:rFonts w:hAnsi="宋体" w:cs="宋体"/>
          <w:lang w:val="zh-CN"/>
        </w:rPr>
      </w:pPr>
      <w:r>
        <w:rPr>
          <w:rFonts w:hAnsi="宋体" w:cs="Calibri"/>
          <w:lang w:val="zh-CN"/>
        </w:rPr>
        <w:t>④</w:t>
      </w:r>
      <w:r>
        <w:rPr>
          <w:rFonts w:hint="eastAsia" w:hAnsi="宋体" w:cs="宋体"/>
          <w:lang w:val="zh-CN"/>
        </w:rPr>
        <w:t>安装</w:t>
      </w:r>
      <w:r>
        <w:rPr>
          <w:rFonts w:hint="eastAsia" w:hAnsi="宋体" w:cs="宋体"/>
        </w:rPr>
        <w:t>造价</w:t>
      </w:r>
      <w:r>
        <w:rPr>
          <w:rFonts w:hint="eastAsia" w:hAnsi="宋体" w:cs="宋体"/>
          <w:lang w:val="zh-CN"/>
        </w:rPr>
        <w:t>组，</w:t>
      </w:r>
      <w:r>
        <w:rPr>
          <w:rFonts w:hint="eastAsia" w:hAnsi="宋体" w:cs="宋体"/>
        </w:rPr>
        <w:t>安装负责人</w:t>
      </w:r>
      <w:r>
        <w:rPr>
          <w:rFonts w:hint="eastAsia" w:hAnsi="宋体" w:cs="宋体"/>
          <w:lang w:val="zh-CN"/>
        </w:rPr>
        <w:t>负责对乙方出具的主要服务成果文件进行内部审核，以保证服务成果文件的质量，分管</w:t>
      </w:r>
      <w:r>
        <w:rPr>
          <w:rFonts w:hint="eastAsia" w:hAnsi="宋体" w:cs="宋体"/>
        </w:rPr>
        <w:t>机电安装工程专业内容</w:t>
      </w:r>
      <w:r>
        <w:rPr>
          <w:rFonts w:hint="eastAsia" w:hAnsi="宋体" w:cs="宋体"/>
          <w:lang w:val="zh-CN"/>
        </w:rPr>
        <w:t>，</w:t>
      </w:r>
      <w:r>
        <w:rPr>
          <w:rFonts w:hint="eastAsia" w:hAnsi="宋体" w:cs="宋体"/>
        </w:rPr>
        <w:t>安装专业</w:t>
      </w:r>
      <w:r>
        <w:rPr>
          <w:rFonts w:hint="eastAsia" w:hAnsi="宋体" w:cs="宋体"/>
          <w:lang w:val="zh-CN"/>
        </w:rPr>
        <w:t>造价人员在乙方</w:t>
      </w:r>
      <w:r>
        <w:rPr>
          <w:rFonts w:hint="eastAsia" w:hAnsi="宋体" w:cs="宋体"/>
        </w:rPr>
        <w:t>技术</w:t>
      </w:r>
      <w:r>
        <w:rPr>
          <w:rFonts w:hint="eastAsia" w:hAnsi="宋体" w:cs="宋体"/>
          <w:lang w:val="zh-CN"/>
        </w:rPr>
        <w:t>负责人及组长的组织和领导下，为甲方提供合同约定的各项具体服务。</w:t>
      </w:r>
    </w:p>
    <w:p w14:paraId="76084E8F">
      <w:pPr>
        <w:autoSpaceDE w:val="0"/>
        <w:autoSpaceDN w:val="0"/>
        <w:spacing w:before="0" w:beforeLines="0" w:line="360" w:lineRule="auto"/>
        <w:ind w:firstLine="480"/>
        <w:rPr>
          <w:rFonts w:hAnsi="宋体" w:cs="Calibri"/>
          <w:lang w:val="zh-CN"/>
        </w:rPr>
      </w:pPr>
      <w:r>
        <w:rPr>
          <w:rFonts w:hAnsi="宋体" w:cs="Calibri"/>
          <w:lang w:val="zh-CN"/>
        </w:rPr>
        <w:t>⑤</w:t>
      </w:r>
      <w:r>
        <w:rPr>
          <w:rFonts w:hint="eastAsia" w:hAnsi="宋体" w:cs="宋体"/>
          <w:lang w:val="zh-CN"/>
        </w:rPr>
        <w:t>综合管理组，主要负责造价</w:t>
      </w:r>
      <w:r>
        <w:rPr>
          <w:rFonts w:hint="eastAsia" w:hAnsi="宋体" w:cs="宋体"/>
        </w:rPr>
        <w:t>业务服务</w:t>
      </w:r>
      <w:r>
        <w:rPr>
          <w:rFonts w:hint="eastAsia" w:hAnsi="宋体" w:cs="宋体"/>
          <w:lang w:val="zh-CN"/>
        </w:rPr>
        <w:t>档案资料的归档工作，为甲方提供合同约</w:t>
      </w:r>
      <w:r>
        <w:rPr>
          <w:rFonts w:hint="eastAsia" w:hAnsi="宋体" w:cs="Calibri"/>
          <w:lang w:val="zh-CN"/>
        </w:rPr>
        <w:t>定的各项具体服务。</w:t>
      </w:r>
    </w:p>
    <w:p w14:paraId="5D740836">
      <w:pPr>
        <w:autoSpaceDE w:val="0"/>
        <w:autoSpaceDN w:val="0"/>
        <w:spacing w:before="0" w:beforeLines="0" w:line="360" w:lineRule="auto"/>
        <w:ind w:firstLine="480"/>
        <w:rPr>
          <w:rFonts w:hAnsi="宋体" w:cs="Calibri"/>
          <w:lang w:val="zh-CN"/>
        </w:rPr>
      </w:pPr>
      <w:r>
        <w:rPr>
          <w:rFonts w:hint="eastAsia" w:hAnsi="宋体" w:cs="Calibri"/>
          <w:lang w:val="zh-CN"/>
        </w:rPr>
        <w:t>⑥乙方驻甲方工地代表</w:t>
      </w:r>
      <w:r>
        <w:rPr>
          <w:rFonts w:hAnsi="宋体" w:cs="Calibri"/>
        </w:rPr>
        <w:t xml:space="preserve"> </w:t>
      </w:r>
      <w:r>
        <w:rPr>
          <w:rFonts w:hAnsi="宋体" w:cs="Calibri"/>
          <w:u w:val="single"/>
        </w:rPr>
        <w:t xml:space="preserve">   </w:t>
      </w:r>
      <w:r>
        <w:rPr>
          <w:rFonts w:hint="eastAsia" w:hAnsi="宋体" w:cs="Calibri"/>
        </w:rPr>
        <w:t>人</w:t>
      </w:r>
      <w:r>
        <w:rPr>
          <w:rFonts w:hint="eastAsia" w:hAnsi="宋体" w:cs="Calibri"/>
          <w:lang w:val="zh-CN"/>
        </w:rPr>
        <w:t>，专职</w:t>
      </w:r>
      <w:r>
        <w:rPr>
          <w:rFonts w:hint="eastAsia" w:hAnsi="宋体" w:cs="Calibri"/>
        </w:rPr>
        <w:t>负责</w:t>
      </w:r>
      <w:r>
        <w:rPr>
          <w:rFonts w:hint="eastAsia" w:hAnsi="宋体" w:cs="Calibri"/>
          <w:lang w:val="zh-CN"/>
        </w:rPr>
        <w:t>处理变更签证资料以及相关工程的测算（估算）、合约的解释工作、参加工地现场周例会、</w:t>
      </w:r>
      <w:r>
        <w:rPr>
          <w:rFonts w:hint="eastAsia" w:hAnsi="宋体" w:cs="Calibri"/>
        </w:rPr>
        <w:t>进度款支付审核，无效成本统计、工程发包约谈、参与材料限价工作、方案分析、项目实测实量、</w:t>
      </w:r>
      <w:r>
        <w:rPr>
          <w:rFonts w:hint="eastAsia" w:hAnsi="宋体" w:cs="Calibri"/>
          <w:lang w:val="zh-CN"/>
        </w:rPr>
        <w:t>协调解决现场问题、预算核对及协调，</w:t>
      </w:r>
      <w:r>
        <w:rPr>
          <w:rFonts w:hint="eastAsia" w:hAnsi="宋体" w:cs="Calibri"/>
        </w:rPr>
        <w:t>项目现场实测实量及收方，</w:t>
      </w:r>
      <w:r>
        <w:rPr>
          <w:rFonts w:hint="eastAsia" w:hAnsi="宋体" w:cs="Calibri"/>
          <w:lang w:val="zh-CN"/>
        </w:rPr>
        <w:t>并接受甲方依本合同约定的其他工作安排，按月总结、汇报完成情况以及原因分析。</w:t>
      </w:r>
    </w:p>
    <w:p w14:paraId="64A68967">
      <w:pPr>
        <w:autoSpaceDE w:val="0"/>
        <w:autoSpaceDN w:val="0"/>
        <w:spacing w:before="0" w:beforeLines="0" w:line="360" w:lineRule="auto"/>
        <w:ind w:firstLine="480"/>
        <w:rPr>
          <w:rFonts w:hAnsi="宋体" w:cs="宋体"/>
          <w:lang w:val="zh-CN"/>
        </w:rPr>
      </w:pPr>
      <w:r>
        <w:rPr>
          <w:rFonts w:hint="eastAsia" w:hAnsi="宋体"/>
        </w:rPr>
        <w:t xml:space="preserve">6.2 </w:t>
      </w:r>
      <w:r>
        <w:rPr>
          <w:rFonts w:hint="eastAsia" w:hAnsi="宋体" w:cs="宋体"/>
          <w:lang w:val="zh-CN"/>
        </w:rPr>
        <w:t>如甲方发现乙方派遣的项目组人员不能满足工程造价</w:t>
      </w:r>
      <w:r>
        <w:rPr>
          <w:rFonts w:hint="eastAsia" w:hAnsi="宋体" w:cs="宋体"/>
        </w:rPr>
        <w:t>业务</w:t>
      </w:r>
      <w:r>
        <w:rPr>
          <w:rFonts w:hint="eastAsia" w:hAnsi="宋体" w:cs="宋体"/>
          <w:lang w:val="zh-CN"/>
        </w:rPr>
        <w:t>任务的需求时，有权要求乙方增加人员以达到完成进度的需要，乙方不得以任何理由拒绝</w:t>
      </w:r>
      <w:r>
        <w:rPr>
          <w:rFonts w:hint="eastAsia" w:hAnsi="宋体" w:cs="宋体"/>
        </w:rPr>
        <w:t>；乙方人员根据甲方需要随叫随到。</w:t>
      </w:r>
      <w:r>
        <w:rPr>
          <w:rFonts w:hint="eastAsia" w:hAnsi="宋体" w:cs="宋体"/>
          <w:lang w:val="zh-CN"/>
        </w:rPr>
        <w:t>否则，由此造成的损失由乙方负责。</w:t>
      </w:r>
    </w:p>
    <w:p w14:paraId="6D8F02F3">
      <w:pPr>
        <w:autoSpaceDE w:val="0"/>
        <w:autoSpaceDN w:val="0"/>
        <w:spacing w:before="0" w:beforeLines="0" w:line="360" w:lineRule="auto"/>
        <w:ind w:firstLine="480"/>
        <w:rPr>
          <w:rFonts w:hAnsi="宋体" w:cs="宋体"/>
          <w:lang w:val="zh-CN"/>
        </w:rPr>
      </w:pPr>
      <w:r>
        <w:rPr>
          <w:rFonts w:hint="eastAsia" w:hAnsi="宋体"/>
        </w:rPr>
        <w:t xml:space="preserve">6.3 </w:t>
      </w:r>
      <w:r>
        <w:rPr>
          <w:rFonts w:hint="eastAsia" w:hAnsi="宋体" w:cs="宋体"/>
          <w:lang w:val="zh-CN"/>
        </w:rPr>
        <w:t>乙方委派的</w:t>
      </w:r>
      <w:r>
        <w:rPr>
          <w:rFonts w:hint="eastAsia" w:hAnsi="宋体" w:cs="宋体"/>
        </w:rPr>
        <w:t>拟投入本项目人员</w:t>
      </w:r>
      <w:r>
        <w:rPr>
          <w:rFonts w:hint="eastAsia" w:hAnsi="宋体" w:cs="宋体"/>
          <w:lang w:val="zh-CN"/>
        </w:rPr>
        <w:t>必须与投标时承诺的人员一致（增加不限，但不增加服务报酬），未经甲方书面批准，擅自更换投标时承诺的</w:t>
      </w:r>
      <w:r>
        <w:rPr>
          <w:rFonts w:hint="eastAsia" w:hAnsi="宋体" w:cs="宋体"/>
        </w:rPr>
        <w:t>项目负责人、</w:t>
      </w:r>
      <w:r>
        <w:rPr>
          <w:rFonts w:hint="eastAsia" w:hAnsi="宋体" w:cs="宋体"/>
          <w:lang w:val="zh-CN"/>
        </w:rPr>
        <w:t>技术</w:t>
      </w:r>
      <w:r>
        <w:rPr>
          <w:rFonts w:hint="eastAsia" w:hAnsi="宋体" w:cs="宋体"/>
        </w:rPr>
        <w:t>总</w:t>
      </w:r>
      <w:r>
        <w:rPr>
          <w:rFonts w:hint="eastAsia" w:hAnsi="宋体" w:cs="宋体"/>
          <w:lang w:val="zh-CN"/>
        </w:rPr>
        <w:t>负责人和造价人员的，甲方有权解除合同并拒绝支付服务酬金，乙方不得追索其他赔偿。若乙方确实需要对人员进行调整，应在调整前7日内书面报告甲方，并征得甲方书面批准后方可调整，同时调整后的人员之学历、专业技术职称、专业工作经验不得底于调整前的人员。乙方代表</w:t>
      </w:r>
      <w:r>
        <w:rPr>
          <w:rFonts w:hint="eastAsia" w:hAnsi="宋体" w:cs="宋体"/>
        </w:rPr>
        <w:t>换</w:t>
      </w:r>
      <w:r>
        <w:rPr>
          <w:rFonts w:hint="eastAsia" w:hAnsi="宋体" w:cs="宋体"/>
          <w:lang w:val="zh-CN"/>
        </w:rPr>
        <w:t>人，其后任必须无条件全面继续承担前任应负的责任。</w:t>
      </w:r>
    </w:p>
    <w:p w14:paraId="1727BE2C">
      <w:pPr>
        <w:autoSpaceDE w:val="0"/>
        <w:autoSpaceDN w:val="0"/>
        <w:spacing w:before="0" w:beforeLines="0" w:line="360" w:lineRule="auto"/>
        <w:ind w:firstLine="480"/>
        <w:rPr>
          <w:rFonts w:hAnsi="宋体" w:cs="宋体"/>
          <w:lang w:val="zh-CN"/>
        </w:rPr>
      </w:pPr>
      <w:r>
        <w:rPr>
          <w:rFonts w:hint="eastAsia" w:hAnsi="宋体"/>
        </w:rPr>
        <w:t xml:space="preserve">6.4 </w:t>
      </w:r>
      <w:r>
        <w:rPr>
          <w:rFonts w:hint="eastAsia" w:hAnsi="宋体" w:cs="宋体"/>
          <w:lang w:val="zh-CN"/>
        </w:rPr>
        <w:t>如果甲方认为乙方派遣的项目组人员不能满足甲方要求，或发现小组成员中出现业务能力</w:t>
      </w:r>
      <w:r>
        <w:rPr>
          <w:rFonts w:hint="eastAsia" w:hAnsi="宋体" w:cs="宋体"/>
        </w:rPr>
        <w:t>水平</w:t>
      </w:r>
      <w:r>
        <w:rPr>
          <w:rFonts w:hint="eastAsia" w:hAnsi="宋体" w:cs="宋体"/>
          <w:lang w:val="zh-CN"/>
        </w:rPr>
        <w:t>较低、工作出现重大失误或配合不力的</w:t>
      </w:r>
      <w:r>
        <w:rPr>
          <w:rFonts w:hint="eastAsia" w:hAnsi="宋体" w:cs="宋体"/>
        </w:rPr>
        <w:t>造价</w:t>
      </w:r>
      <w:r>
        <w:rPr>
          <w:rFonts w:hint="eastAsia" w:hAnsi="宋体" w:cs="宋体"/>
          <w:lang w:val="zh-CN"/>
        </w:rPr>
        <w:t>人员时，甲方可要求乙方进行替换，乙方在接到甲方的要求后7日内完成相关的人员替换，替换人员必须经甲方组织的考评后才能上岗，三个月试用期后正式上岗，如替换人员试用期内仍未合格，乙方应在甲方限定的时间内替换相应人员，直至甲方考评合格。</w:t>
      </w:r>
    </w:p>
    <w:p w14:paraId="646A724D">
      <w:pPr>
        <w:autoSpaceDE w:val="0"/>
        <w:autoSpaceDN w:val="0"/>
        <w:spacing w:before="0" w:beforeLines="0" w:line="360" w:lineRule="auto"/>
        <w:ind w:firstLine="480"/>
        <w:rPr>
          <w:rFonts w:hAnsi="宋体" w:cs="宋体"/>
        </w:rPr>
      </w:pPr>
      <w:r>
        <w:rPr>
          <w:rFonts w:hint="eastAsia" w:hAnsi="宋体"/>
        </w:rPr>
        <w:t xml:space="preserve">6.5 </w:t>
      </w:r>
      <w:r>
        <w:rPr>
          <w:rFonts w:hint="eastAsia" w:hAnsi="宋体" w:cs="宋体"/>
          <w:lang w:val="zh-CN"/>
        </w:rPr>
        <w:t>乙方驻甲方工地</w:t>
      </w:r>
      <w:r>
        <w:rPr>
          <w:rFonts w:hint="eastAsia" w:hAnsi="宋体" w:cs="宋体"/>
        </w:rPr>
        <w:t>人员要求</w:t>
      </w:r>
    </w:p>
    <w:p w14:paraId="2CFD0CF3">
      <w:pPr>
        <w:autoSpaceDE w:val="0"/>
        <w:autoSpaceDN w:val="0"/>
        <w:spacing w:before="0" w:beforeLines="0" w:line="360" w:lineRule="auto"/>
        <w:ind w:firstLine="480"/>
        <w:rPr>
          <w:rFonts w:hAnsi="宋体" w:cs="宋体"/>
          <w:lang w:val="zh-CN"/>
        </w:rPr>
      </w:pPr>
      <w:r>
        <w:rPr>
          <w:rFonts w:hint="eastAsia" w:hAnsi="宋体" w:cs="宋体"/>
        </w:rPr>
        <w:t xml:space="preserve">6.5.1 </w:t>
      </w:r>
      <w:r>
        <w:rPr>
          <w:rFonts w:hint="eastAsia" w:hAnsi="宋体" w:cs="宋体"/>
          <w:lang w:val="zh-CN"/>
        </w:rPr>
        <w:t>乙方驻甲方工地代表须从事造价相关工作不少于5年</w:t>
      </w:r>
      <w:r>
        <w:rPr>
          <w:rFonts w:hAnsi="宋体" w:cs="宋体"/>
        </w:rPr>
        <w:t>且不少于2人</w:t>
      </w:r>
      <w:r>
        <w:rPr>
          <w:rFonts w:hint="eastAsia" w:hAnsi="宋体" w:cs="宋体"/>
          <w:lang w:val="zh-CN"/>
        </w:rPr>
        <w:t>，</w:t>
      </w:r>
      <w:r>
        <w:rPr>
          <w:rFonts w:hint="eastAsia" w:hAnsi="宋体" w:cs="Calibri"/>
          <w:lang w:val="zh-CN"/>
        </w:rPr>
        <w:t>必须熟悉土建、机电安装、市政园林专业造价业务，在合同项目施工期间（桩基开工到入伙）需要来甲方公司及项目部</w:t>
      </w:r>
      <w:r>
        <w:rPr>
          <w:rFonts w:hint="eastAsia" w:hAnsi="宋体" w:cs="宋体"/>
          <w:lang w:val="zh-CN"/>
        </w:rPr>
        <w:t>常驻</w:t>
      </w:r>
      <w:r>
        <w:rPr>
          <w:rFonts w:hint="eastAsia" w:hAnsi="宋体" w:cs="Calibri"/>
          <w:lang w:val="zh-CN"/>
        </w:rPr>
        <w:t>，且为乙方的专职人员</w:t>
      </w:r>
      <w:r>
        <w:rPr>
          <w:rFonts w:hint="eastAsia" w:hAnsi="宋体" w:cs="宋体"/>
          <w:lang w:val="zh-CN"/>
        </w:rPr>
        <w:t>，负责日常的造价顾问服务，</w:t>
      </w:r>
      <w:r>
        <w:rPr>
          <w:rFonts w:hint="eastAsia" w:hAnsi="宋体" w:cs="Calibri"/>
          <w:lang w:val="zh-CN"/>
        </w:rPr>
        <w:t>并能做到甲方有疑问时即时响应</w:t>
      </w:r>
      <w:r>
        <w:rPr>
          <w:rFonts w:hint="eastAsia" w:hAnsi="宋体" w:cs="宋体"/>
          <w:lang w:val="zh-CN"/>
        </w:rPr>
        <w:t>。乙方不得以任何理由拒绝常驻办公，驻勤人员费用由乙方负责。</w:t>
      </w:r>
    </w:p>
    <w:p w14:paraId="37C2A78E">
      <w:pPr>
        <w:autoSpaceDE w:val="0"/>
        <w:autoSpaceDN w:val="0"/>
        <w:spacing w:before="0" w:beforeLines="0" w:line="360" w:lineRule="auto"/>
        <w:ind w:firstLine="480"/>
        <w:rPr>
          <w:rFonts w:hAnsi="宋体" w:cs="宋体"/>
          <w:lang w:val="zh-CN"/>
        </w:rPr>
      </w:pPr>
      <w:r>
        <w:rPr>
          <w:rFonts w:hint="eastAsia" w:hAnsi="宋体" w:cs="宋体"/>
        </w:rPr>
        <w:t xml:space="preserve">6.5.2 </w:t>
      </w:r>
      <w:r>
        <w:rPr>
          <w:rFonts w:hint="eastAsia" w:hAnsi="宋体" w:cs="宋体"/>
          <w:lang w:val="zh-CN"/>
        </w:rPr>
        <w:t>乙方驻甲方工地代表驻场工作时间与甲方上班时间同步，如果乙方派驻甲方造价人员迟到或者出现其他违反考勤制度的情况，甲方有权向乙方索赔100元/人/次。如甲方因工期紧急需要加班，乙方选派的人员需要加班以完成甲方交付的工作。</w:t>
      </w:r>
      <w:bookmarkStart w:id="1172" w:name="OLE_LINK3"/>
    </w:p>
    <w:p w14:paraId="72E4B7F0">
      <w:pPr>
        <w:autoSpaceDE w:val="0"/>
        <w:autoSpaceDN w:val="0"/>
        <w:spacing w:before="0" w:beforeLines="0" w:line="360" w:lineRule="auto"/>
        <w:ind w:firstLine="480"/>
        <w:rPr>
          <w:rFonts w:hAnsi="宋体" w:cs="宋体"/>
        </w:rPr>
      </w:pPr>
      <w:r>
        <w:rPr>
          <w:rFonts w:hint="eastAsia" w:hAnsi="宋体" w:cs="宋体"/>
        </w:rPr>
        <w:t xml:space="preserve">6.5.3 </w:t>
      </w:r>
      <w:r>
        <w:rPr>
          <w:rFonts w:hint="eastAsia" w:hAnsi="宋体" w:cs="宋体"/>
          <w:lang w:val="zh-CN"/>
        </w:rPr>
        <w:t>乙方驻甲方工地代表</w:t>
      </w:r>
      <w:r>
        <w:rPr>
          <w:rFonts w:hint="eastAsia" w:hAnsi="宋体" w:cs="宋体"/>
        </w:rPr>
        <w:t>应甲方要求，根据风险程度和项目复杂程度灵活调整工作要求，如桩基施工关键工序环节，工地代表应进行全时旁站，仔细记录桩径、桩长和放置位置等关键参数；桩基施工一般性工序环节，如场地平整、钻机就位等前期准备工作，</w:t>
      </w:r>
      <w:r>
        <w:rPr>
          <w:rFonts w:hint="eastAsia" w:hAnsi="宋体" w:cs="宋体"/>
          <w:lang w:val="zh-CN"/>
        </w:rPr>
        <w:t>工地代表</w:t>
      </w:r>
      <w:r>
        <w:rPr>
          <w:rFonts w:hint="eastAsia" w:hAnsi="宋体" w:cs="宋体"/>
        </w:rPr>
        <w:t>可以采用定期旁站的方式。</w:t>
      </w:r>
    </w:p>
    <w:bookmarkEnd w:id="1172"/>
    <w:p w14:paraId="4B6B3AB2">
      <w:pPr>
        <w:autoSpaceDE w:val="0"/>
        <w:autoSpaceDN w:val="0"/>
        <w:spacing w:before="0" w:beforeLines="0" w:line="360" w:lineRule="auto"/>
        <w:ind w:firstLine="480"/>
        <w:rPr>
          <w:rFonts w:hAnsi="宋体" w:cs="宋体"/>
          <w:lang w:val="zh-CN"/>
        </w:rPr>
      </w:pPr>
      <w:r>
        <w:rPr>
          <w:rFonts w:hint="eastAsia" w:hAnsi="宋体" w:cs="宋体"/>
        </w:rPr>
        <w:t xml:space="preserve">6.5.4 </w:t>
      </w:r>
      <w:r>
        <w:rPr>
          <w:rFonts w:hint="eastAsia" w:hAnsi="宋体" w:cs="宋体"/>
          <w:lang w:val="zh-CN"/>
        </w:rPr>
        <w:t>乙方派驻甲方工地代表在完成本合同工作前，未经甲方事先书面同意不得更换，否则，视为乙方违约，甲方有权向乙方索赔人民币壹万元/次，之后双方重新协商合作；协商不成，甲方有权单方解除本合同，乙方剩余合同价款不予支付。</w:t>
      </w:r>
    </w:p>
    <w:p w14:paraId="73164006">
      <w:pPr>
        <w:autoSpaceDE w:val="0"/>
        <w:autoSpaceDN w:val="0"/>
        <w:spacing w:before="0" w:beforeLines="0" w:line="360" w:lineRule="auto"/>
        <w:ind w:firstLine="480"/>
        <w:rPr>
          <w:rFonts w:hAnsi="宋体" w:cs="宋体"/>
          <w:lang w:val="zh-CN"/>
        </w:rPr>
      </w:pPr>
      <w:r>
        <w:rPr>
          <w:rFonts w:hint="eastAsia" w:hAnsi="宋体" w:cs="宋体"/>
        </w:rPr>
        <w:t xml:space="preserve">6.5.5 </w:t>
      </w:r>
      <w:bookmarkStart w:id="1173" w:name="OLE_LINK9"/>
      <w:r>
        <w:rPr>
          <w:rFonts w:hint="eastAsia" w:hAnsi="宋体" w:cs="宋体"/>
          <w:lang w:val="zh-CN"/>
        </w:rPr>
        <w:t>乙方驻甲方的人员</w:t>
      </w:r>
      <w:bookmarkEnd w:id="1173"/>
      <w:r>
        <w:rPr>
          <w:rFonts w:hint="eastAsia" w:hAnsi="宋体" w:cs="宋体"/>
          <w:lang w:val="zh-CN"/>
        </w:rPr>
        <w:t>必须经过甲方面试同意后方可确定, 乙方驻甲方的人员如需请假，必须经过甲方同意并安排好后续工作后方可休假，否则甲方将有权向乙方索赔1000元/人/次。</w:t>
      </w:r>
    </w:p>
    <w:p w14:paraId="386EDF21">
      <w:pPr>
        <w:adjustRightInd/>
        <w:snapToGrid/>
        <w:spacing w:before="0" w:beforeLines="0" w:line="360" w:lineRule="auto"/>
        <w:ind w:firstLine="480"/>
        <w:rPr>
          <w:rFonts w:hAnsi="宋体"/>
          <w:sz w:val="21"/>
        </w:rPr>
      </w:pPr>
      <w:r>
        <w:rPr>
          <w:rFonts w:hint="eastAsia" w:hAnsi="宋体" w:cs="宋体"/>
        </w:rPr>
        <w:t>6.5.6</w:t>
      </w:r>
      <w:r>
        <w:rPr>
          <w:rFonts w:hint="eastAsia" w:hAnsi="宋体" w:cs="宋体"/>
          <w:lang w:val="zh-CN"/>
        </w:rPr>
        <w:t>合同服务周期为自合同签订之日起至项目竣工结算审计完成之日止，乙方驻场服务时间不得少于36个月。乙方累计驻场服务36个月后若甲方仍需乙方安排人员驻场的，另行协商。</w:t>
      </w:r>
    </w:p>
    <w:p w14:paraId="57C0F0D6">
      <w:pPr>
        <w:adjustRightInd/>
        <w:spacing w:before="0" w:beforeLines="0" w:line="360" w:lineRule="auto"/>
        <w:ind w:firstLine="482"/>
        <w:jc w:val="left"/>
        <w:outlineLvl w:val="2"/>
        <w:rPr>
          <w:rFonts w:hAnsi="宋体"/>
          <w:b/>
          <w:bCs/>
        </w:rPr>
      </w:pPr>
      <w:bookmarkStart w:id="1174" w:name="_Toc193981314"/>
      <w:r>
        <w:rPr>
          <w:rFonts w:hint="eastAsia" w:hAnsi="宋体"/>
          <w:b/>
          <w:bCs/>
        </w:rPr>
        <w:t>7.工作时限要求</w:t>
      </w:r>
      <w:bookmarkEnd w:id="1174"/>
    </w:p>
    <w:p w14:paraId="5E5E1E46">
      <w:pPr>
        <w:adjustRightInd/>
        <w:snapToGrid/>
        <w:spacing w:before="0" w:beforeLines="0" w:line="360" w:lineRule="auto"/>
        <w:ind w:firstLine="480"/>
        <w:rPr>
          <w:rFonts w:hAnsi="宋体" w:cs="宋体"/>
        </w:rPr>
      </w:pPr>
      <w:r>
        <w:rPr>
          <w:rFonts w:hAnsi="宋体" w:cs="宋体"/>
        </w:rPr>
        <w:t>乙方必须在规定的时限内完成工程造价服务的编审工作，并提交造价成果文件。</w:t>
      </w:r>
    </w:p>
    <w:tbl>
      <w:tblPr>
        <w:tblStyle w:val="48"/>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291"/>
        <w:gridCol w:w="2634"/>
        <w:gridCol w:w="5470"/>
      </w:tblGrid>
      <w:tr w14:paraId="3513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69" w:hRule="atLeast"/>
          <w:jc w:val="center"/>
        </w:trPr>
        <w:tc>
          <w:tcPr>
            <w:tcW w:w="1291" w:type="dxa"/>
            <w:shd w:val="clear" w:color="auto" w:fill="FFFFFF"/>
            <w:noWrap w:val="0"/>
            <w:vAlign w:val="center"/>
          </w:tcPr>
          <w:p w14:paraId="393C1A83">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项目类别</w:t>
            </w:r>
          </w:p>
        </w:tc>
        <w:tc>
          <w:tcPr>
            <w:tcW w:w="2634" w:type="dxa"/>
            <w:shd w:val="clear" w:color="auto" w:fill="FFFFFF"/>
            <w:noWrap w:val="0"/>
            <w:vAlign w:val="center"/>
          </w:tcPr>
          <w:p w14:paraId="035A6A7A">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工作内容</w:t>
            </w:r>
          </w:p>
        </w:tc>
        <w:tc>
          <w:tcPr>
            <w:tcW w:w="5470" w:type="dxa"/>
            <w:shd w:val="clear" w:color="auto" w:fill="FFFFFF"/>
            <w:noWrap w:val="0"/>
            <w:vAlign w:val="center"/>
          </w:tcPr>
          <w:p w14:paraId="103664D9">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完成时限</w:t>
            </w:r>
          </w:p>
        </w:tc>
      </w:tr>
      <w:tr w14:paraId="136CB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1291" w:type="dxa"/>
            <w:vMerge w:val="restart"/>
            <w:shd w:val="clear" w:color="auto" w:fill="FFFFFF"/>
            <w:noWrap w:val="0"/>
            <w:vAlign w:val="center"/>
          </w:tcPr>
          <w:p w14:paraId="2C39F891">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实施阶段</w:t>
            </w:r>
          </w:p>
        </w:tc>
        <w:tc>
          <w:tcPr>
            <w:tcW w:w="2634" w:type="dxa"/>
            <w:shd w:val="clear" w:color="auto" w:fill="FFFFFF"/>
            <w:noWrap w:val="0"/>
            <w:vAlign w:val="center"/>
          </w:tcPr>
          <w:p w14:paraId="1D4A97B3">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招标控制价、预算编制、预算审核</w:t>
            </w:r>
          </w:p>
        </w:tc>
        <w:tc>
          <w:tcPr>
            <w:tcW w:w="5470" w:type="dxa"/>
            <w:shd w:val="clear" w:color="auto" w:fill="FFFFFF"/>
            <w:noWrap w:val="0"/>
            <w:vAlign w:val="center"/>
          </w:tcPr>
          <w:p w14:paraId="66A785B4">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Times New Roman"/>
              </w:rPr>
              <w:t>无需与第三方进行造价核对的，工程造价在100万元以下（含100万），5天内完成；100～1000万元（含1000万），10天完成； 1000万元以上，15天内完成；需要与第三方进行造价核对的，在上述时限内增加5天。</w:t>
            </w:r>
          </w:p>
        </w:tc>
      </w:tr>
      <w:tr w14:paraId="2484D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770" w:hRule="atLeast"/>
          <w:jc w:val="center"/>
        </w:trPr>
        <w:tc>
          <w:tcPr>
            <w:tcW w:w="1291" w:type="dxa"/>
            <w:vMerge w:val="continue"/>
            <w:shd w:val="clear" w:color="auto" w:fill="FFFFFF"/>
            <w:noWrap w:val="0"/>
            <w:vAlign w:val="center"/>
          </w:tcPr>
          <w:p w14:paraId="6F79C6C4">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p>
        </w:tc>
        <w:tc>
          <w:tcPr>
            <w:tcW w:w="2634" w:type="dxa"/>
            <w:shd w:val="clear" w:color="auto" w:fill="FFFFFF"/>
            <w:noWrap w:val="0"/>
            <w:vAlign w:val="center"/>
          </w:tcPr>
          <w:p w14:paraId="57D06C0B">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对计量支付进行审核</w:t>
            </w:r>
          </w:p>
        </w:tc>
        <w:tc>
          <w:tcPr>
            <w:tcW w:w="5470" w:type="dxa"/>
            <w:shd w:val="clear" w:color="auto" w:fill="FFFFFF"/>
            <w:noWrap w:val="0"/>
            <w:vAlign w:val="center"/>
          </w:tcPr>
          <w:p w14:paraId="6EBBB324">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5天内</w:t>
            </w:r>
          </w:p>
        </w:tc>
      </w:tr>
      <w:tr w14:paraId="713EB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jc w:val="center"/>
        </w:trPr>
        <w:tc>
          <w:tcPr>
            <w:tcW w:w="1291" w:type="dxa"/>
            <w:vMerge w:val="continue"/>
            <w:shd w:val="clear" w:color="auto" w:fill="FFFFFF"/>
            <w:noWrap w:val="0"/>
            <w:vAlign w:val="center"/>
          </w:tcPr>
          <w:p w14:paraId="79B9C31D">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p>
        </w:tc>
        <w:tc>
          <w:tcPr>
            <w:tcW w:w="2634" w:type="dxa"/>
            <w:shd w:val="clear" w:color="auto" w:fill="FFFFFF"/>
            <w:noWrap w:val="0"/>
            <w:vAlign w:val="center"/>
          </w:tcPr>
          <w:p w14:paraId="40D00575">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对变更、签证、调差、洽商、索赔等工程量及工程造价进行估算</w:t>
            </w:r>
          </w:p>
        </w:tc>
        <w:tc>
          <w:tcPr>
            <w:tcW w:w="5470" w:type="dxa"/>
            <w:shd w:val="clear" w:color="auto" w:fill="FFFFFF"/>
            <w:noWrap w:val="0"/>
            <w:vAlign w:val="center"/>
          </w:tcPr>
          <w:p w14:paraId="391590BA">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1-2天内</w:t>
            </w:r>
          </w:p>
        </w:tc>
      </w:tr>
      <w:tr w14:paraId="4F5B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1291" w:type="dxa"/>
            <w:vMerge w:val="continue"/>
            <w:shd w:val="clear" w:color="auto" w:fill="FFFFFF"/>
            <w:noWrap w:val="0"/>
            <w:vAlign w:val="center"/>
          </w:tcPr>
          <w:p w14:paraId="5FCCC85F">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p>
        </w:tc>
        <w:tc>
          <w:tcPr>
            <w:tcW w:w="2634" w:type="dxa"/>
            <w:shd w:val="clear" w:color="auto" w:fill="FFFFFF"/>
            <w:noWrap w:val="0"/>
            <w:vAlign w:val="center"/>
          </w:tcPr>
          <w:p w14:paraId="532FE23A">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方案测算、优化比选</w:t>
            </w:r>
          </w:p>
        </w:tc>
        <w:tc>
          <w:tcPr>
            <w:tcW w:w="5470" w:type="dxa"/>
            <w:shd w:val="clear" w:color="auto" w:fill="FFFFFF"/>
            <w:noWrap w:val="0"/>
            <w:vAlign w:val="center"/>
          </w:tcPr>
          <w:p w14:paraId="489B53F7">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2天内</w:t>
            </w:r>
          </w:p>
        </w:tc>
      </w:tr>
      <w:tr w14:paraId="6323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9" w:hRule="atLeast"/>
          <w:jc w:val="center"/>
        </w:trPr>
        <w:tc>
          <w:tcPr>
            <w:tcW w:w="1291" w:type="dxa"/>
            <w:shd w:val="clear" w:color="auto" w:fill="FFFFFF"/>
            <w:noWrap w:val="0"/>
            <w:vAlign w:val="center"/>
          </w:tcPr>
          <w:p w14:paraId="29E515F5">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结算阶段</w:t>
            </w:r>
          </w:p>
        </w:tc>
        <w:tc>
          <w:tcPr>
            <w:tcW w:w="2634" w:type="dxa"/>
            <w:shd w:val="clear" w:color="auto" w:fill="FFFFFF"/>
            <w:noWrap w:val="0"/>
            <w:vAlign w:val="center"/>
          </w:tcPr>
          <w:p w14:paraId="251C209D">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工程项目中的单项工程结算的审核</w:t>
            </w:r>
          </w:p>
        </w:tc>
        <w:tc>
          <w:tcPr>
            <w:tcW w:w="5470" w:type="dxa"/>
            <w:shd w:val="clear" w:color="auto" w:fill="FFFFFF"/>
            <w:noWrap w:val="0"/>
            <w:vAlign w:val="center"/>
          </w:tcPr>
          <w:p w14:paraId="6E8AC3F5">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Times New Roman"/>
              </w:rPr>
              <w:t>②结算工作：工程造价在100万元以下（含100万元），10天完成；100～1000万元（含1000万元），15天完成； 1000～5000万元（含5000万元），20天内完成；5000万元以上，30天。</w:t>
            </w:r>
          </w:p>
        </w:tc>
      </w:tr>
      <w:tr w14:paraId="29A0A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1291" w:type="dxa"/>
            <w:shd w:val="clear" w:color="auto" w:fill="FFFFFF"/>
            <w:noWrap w:val="0"/>
            <w:vAlign w:val="center"/>
          </w:tcPr>
          <w:p w14:paraId="71A03927">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其他工作</w:t>
            </w:r>
          </w:p>
        </w:tc>
        <w:tc>
          <w:tcPr>
            <w:tcW w:w="2634" w:type="dxa"/>
            <w:shd w:val="clear" w:color="auto" w:fill="FFFFFF"/>
            <w:noWrap w:val="0"/>
            <w:vAlign w:val="center"/>
          </w:tcPr>
          <w:p w14:paraId="2D993FE1">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p>
        </w:tc>
        <w:tc>
          <w:tcPr>
            <w:tcW w:w="5470" w:type="dxa"/>
            <w:shd w:val="clear" w:color="auto" w:fill="FFFFFF"/>
            <w:noWrap w:val="0"/>
            <w:vAlign w:val="center"/>
          </w:tcPr>
          <w:p w14:paraId="57D26219">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以甲方通知期限为准</w:t>
            </w:r>
          </w:p>
        </w:tc>
      </w:tr>
    </w:tbl>
    <w:p w14:paraId="115C4FE2">
      <w:pPr>
        <w:adjustRightInd/>
        <w:snapToGrid/>
        <w:spacing w:before="0" w:beforeLines="0" w:line="360" w:lineRule="auto"/>
        <w:ind w:firstLine="480"/>
        <w:rPr>
          <w:rFonts w:hAnsi="宋体" w:cs="宋体"/>
        </w:rPr>
      </w:pPr>
      <w:r>
        <w:rPr>
          <w:rFonts w:hAnsi="宋体" w:cs="宋体"/>
        </w:rPr>
        <w:t>注：完成时间从乙方收到相关资料或甲方通知之日起计算。上述工作时限如与甲方通知不一致时，以通知规定的时限为准。</w:t>
      </w:r>
    </w:p>
    <w:p w14:paraId="269FA42D">
      <w:pPr>
        <w:adjustRightInd/>
        <w:spacing w:before="0" w:beforeLines="0" w:line="360" w:lineRule="auto"/>
        <w:ind w:firstLine="482"/>
        <w:jc w:val="left"/>
        <w:outlineLvl w:val="2"/>
        <w:rPr>
          <w:rFonts w:hAnsi="宋体"/>
          <w:b/>
          <w:bCs/>
        </w:rPr>
      </w:pPr>
      <w:bookmarkStart w:id="1175" w:name="_Toc193981315"/>
      <w:r>
        <w:rPr>
          <w:rFonts w:hint="eastAsia" w:hAnsi="宋体"/>
          <w:b/>
          <w:bCs/>
        </w:rPr>
        <w:t>8</w:t>
      </w:r>
      <w:r>
        <w:rPr>
          <w:rFonts w:hAnsi="宋体"/>
          <w:b/>
          <w:bCs/>
        </w:rPr>
        <w:t>.造价</w:t>
      </w:r>
      <w:r>
        <w:rPr>
          <w:rFonts w:hint="eastAsia" w:hAnsi="宋体"/>
          <w:b/>
          <w:bCs/>
        </w:rPr>
        <w:t>服务</w:t>
      </w:r>
      <w:r>
        <w:rPr>
          <w:rFonts w:hAnsi="宋体"/>
          <w:b/>
          <w:bCs/>
        </w:rPr>
        <w:t>实施程序</w:t>
      </w:r>
      <w:bookmarkEnd w:id="1175"/>
    </w:p>
    <w:p w14:paraId="2812F9E9">
      <w:pPr>
        <w:autoSpaceDE w:val="0"/>
        <w:autoSpaceDN w:val="0"/>
        <w:spacing w:before="0" w:beforeLines="0" w:line="360" w:lineRule="auto"/>
        <w:ind w:firstLine="480"/>
        <w:rPr>
          <w:rFonts w:hAnsi="宋体" w:cs="宋体"/>
        </w:rPr>
      </w:pPr>
      <w:r>
        <w:rPr>
          <w:rFonts w:hint="eastAsia" w:hAnsi="宋体" w:cs="宋体"/>
        </w:rPr>
        <w:t>8.1 任务编制或审核前，甲方负责填写《造价服务任务单》，同时收集并向乙方提供相关资料，包括但不限于《造价服务任务单》、招标相关文件、合同相关文件、设计图纸、设计资料、施工组织设计以及计量计价资料。</w:t>
      </w:r>
    </w:p>
    <w:p w14:paraId="38660298">
      <w:pPr>
        <w:autoSpaceDE w:val="0"/>
        <w:autoSpaceDN w:val="0"/>
        <w:spacing w:before="0" w:beforeLines="0" w:line="360" w:lineRule="auto"/>
        <w:ind w:firstLine="480"/>
        <w:rPr>
          <w:rFonts w:hAnsi="宋体"/>
          <w:sz w:val="21"/>
        </w:rPr>
      </w:pPr>
      <w:r>
        <w:rPr>
          <w:rFonts w:hint="eastAsia" w:hAnsi="宋体"/>
        </w:rPr>
        <w:t xml:space="preserve">8.2 </w:t>
      </w:r>
      <w:bookmarkStart w:id="1176" w:name="OLE_LINK1"/>
      <w:r>
        <w:rPr>
          <w:rFonts w:hint="eastAsia" w:hAnsi="宋体"/>
        </w:rPr>
        <w:t>乙方在接到甲方的正式任务委托后2日内，向甲方提交详细的任务进度计划、人员调配计划</w:t>
      </w:r>
      <w:bookmarkEnd w:id="1176"/>
      <w:r>
        <w:rPr>
          <w:rFonts w:hint="eastAsia" w:hAnsi="宋体"/>
        </w:rPr>
        <w:t>，并严格按照经甲方批准的计划执行。</w:t>
      </w:r>
    </w:p>
    <w:p w14:paraId="60C1B0F4">
      <w:pPr>
        <w:autoSpaceDE w:val="0"/>
        <w:autoSpaceDN w:val="0"/>
        <w:spacing w:before="0" w:beforeLines="0" w:line="360" w:lineRule="auto"/>
        <w:ind w:firstLine="480"/>
        <w:rPr>
          <w:rFonts w:hAnsi="宋体" w:cs="宋体"/>
        </w:rPr>
      </w:pPr>
      <w:r>
        <w:rPr>
          <w:rFonts w:hint="eastAsia" w:hAnsi="宋体" w:cs="宋体"/>
        </w:rPr>
        <w:t>8.3 乙方接到甲方提供的造价资料时，应认真清点资料，如甲方提供的图纸和资料不完整，乙方应在3天内以书面形式向甲方进行提示，若因乙方未能及时提出以上要求而致使工作延误及错误，所引起的损失概由乙方负责。同时，乙方应保管好甲方提供的资料并在完成工作后及时归还。</w:t>
      </w:r>
    </w:p>
    <w:p w14:paraId="63D6F708">
      <w:pPr>
        <w:autoSpaceDE w:val="0"/>
        <w:autoSpaceDN w:val="0"/>
        <w:spacing w:before="0" w:beforeLines="0" w:line="360" w:lineRule="auto"/>
        <w:ind w:firstLine="480"/>
        <w:rPr>
          <w:rFonts w:hAnsi="宋体" w:cs="宋体"/>
        </w:rPr>
      </w:pPr>
      <w:r>
        <w:rPr>
          <w:rFonts w:hint="eastAsia" w:hAnsi="宋体" w:cs="宋体"/>
        </w:rPr>
        <w:t>8.4 任务编制或审核过程中，乙方应主动与甲方保持沟通，及时反馈工作中存在的问题以及进度情况，由甲方组织相关部门协调编制审核中存在的问题，并组织提供相关补充资料。甲方针对其中部分项目的工程造价情况需要了解时，乙方应无条件及时地向甲方提供有关的经济造价数据。甲方根据工程需要，增加或修改部分数据资料时，乙方应无条件接受并在约定的时间内完成提供给甲方。</w:t>
      </w:r>
    </w:p>
    <w:p w14:paraId="6A1F1850">
      <w:pPr>
        <w:autoSpaceDE w:val="0"/>
        <w:autoSpaceDN w:val="0"/>
        <w:spacing w:before="0" w:beforeLines="0" w:line="360" w:lineRule="auto"/>
        <w:ind w:firstLine="480"/>
        <w:rPr>
          <w:rFonts w:hAnsi="宋体" w:cs="宋体"/>
        </w:rPr>
      </w:pPr>
      <w:r>
        <w:rPr>
          <w:rFonts w:hint="eastAsia" w:hAnsi="宋体" w:cs="宋体"/>
        </w:rPr>
        <w:t>8.5 乙方完成造价业务成果文件后提交给甲方，甲方组织相关部门复核及审核。由甲方将审核意见反馈给乙方，乙方根据反馈意见修改，通过甲方审核确认后的成果文件书面形式报送甲方。</w:t>
      </w:r>
    </w:p>
    <w:p w14:paraId="2A3F8D39">
      <w:pPr>
        <w:autoSpaceDE w:val="0"/>
        <w:autoSpaceDN w:val="0"/>
        <w:spacing w:before="0" w:beforeLines="0" w:line="360" w:lineRule="auto"/>
        <w:ind w:firstLine="480"/>
        <w:rPr>
          <w:rFonts w:hAnsi="宋体" w:cs="宋体"/>
        </w:rPr>
      </w:pPr>
      <w:r>
        <w:rPr>
          <w:rFonts w:hint="eastAsia" w:hAnsi="宋体" w:cs="宋体"/>
        </w:rPr>
        <w:t>8.6 如需报审，造价成果文件由甲方报审，乙方配合甲方对政府管理部门完成审核工作，并按政府管理部门意见修改完成最终造价成果文件。</w:t>
      </w:r>
    </w:p>
    <w:p w14:paraId="2F92D86D">
      <w:pPr>
        <w:autoSpaceDE w:val="0"/>
        <w:autoSpaceDN w:val="0"/>
        <w:spacing w:before="0" w:beforeLines="0" w:line="360" w:lineRule="auto"/>
        <w:ind w:firstLine="480"/>
        <w:rPr>
          <w:rFonts w:hAnsi="宋体" w:cs="宋体"/>
        </w:rPr>
      </w:pPr>
      <w:r>
        <w:rPr>
          <w:rFonts w:hint="eastAsia" w:hAnsi="宋体" w:cs="宋体"/>
        </w:rPr>
        <w:t>8.7 任务完成后，乙方应填写完成任务完成情况，并由甲方确认完成情况。</w:t>
      </w:r>
    </w:p>
    <w:p w14:paraId="1A0DF37C">
      <w:pPr>
        <w:autoSpaceDE w:val="0"/>
        <w:autoSpaceDN w:val="0"/>
        <w:spacing w:before="0" w:beforeLines="0" w:line="360" w:lineRule="auto"/>
        <w:ind w:firstLine="480"/>
        <w:rPr>
          <w:rFonts w:hAnsi="宋体" w:cs="宋体"/>
        </w:rPr>
      </w:pPr>
      <w:r>
        <w:rPr>
          <w:rFonts w:hint="eastAsia" w:hAnsi="宋体" w:cs="宋体"/>
        </w:rPr>
        <w:t>8.8 由甲方成本管理部门每月就任务完成效率、质量等工作内容对乙方进行评分。</w:t>
      </w:r>
    </w:p>
    <w:p w14:paraId="28863D85">
      <w:pPr>
        <w:autoSpaceDE w:val="0"/>
        <w:autoSpaceDN w:val="0"/>
        <w:spacing w:before="0" w:beforeLines="0" w:line="360" w:lineRule="auto"/>
        <w:ind w:firstLine="480"/>
        <w:rPr>
          <w:rFonts w:hAnsi="宋体" w:cs="宋体"/>
        </w:rPr>
      </w:pPr>
      <w:r>
        <w:rPr>
          <w:rFonts w:hint="eastAsia" w:hAnsi="宋体" w:cs="宋体"/>
        </w:rPr>
        <w:t>8.9 乙方审核各类文件，应一次性全面提出审核意见。造价成果文件应有经办人（或审核人）、复核人、项目负责人签字并盖注册章及公司印章。</w:t>
      </w:r>
    </w:p>
    <w:p w14:paraId="152D1255">
      <w:pPr>
        <w:adjustRightInd/>
        <w:spacing w:before="0" w:beforeLines="0" w:line="360" w:lineRule="auto"/>
        <w:ind w:firstLine="482"/>
        <w:jc w:val="left"/>
        <w:outlineLvl w:val="2"/>
        <w:rPr>
          <w:rFonts w:hAnsi="宋体"/>
          <w:b/>
          <w:bCs/>
        </w:rPr>
      </w:pPr>
      <w:bookmarkStart w:id="1177" w:name="_Toc193981316"/>
      <w:r>
        <w:rPr>
          <w:rFonts w:hint="eastAsia" w:hAnsi="宋体"/>
          <w:b/>
          <w:bCs/>
        </w:rPr>
        <w:t>9</w:t>
      </w:r>
      <w:r>
        <w:rPr>
          <w:rFonts w:hAnsi="宋体"/>
          <w:b/>
          <w:bCs/>
        </w:rPr>
        <w:t>.服务酬金及支付</w:t>
      </w:r>
      <w:bookmarkEnd w:id="1177"/>
    </w:p>
    <w:p w14:paraId="6DD993D2">
      <w:pPr>
        <w:adjustRightInd/>
        <w:spacing w:before="0" w:beforeLines="0" w:line="360" w:lineRule="auto"/>
        <w:ind w:firstLine="422" w:firstLineChars="0"/>
        <w:jc w:val="left"/>
        <w:rPr>
          <w:rFonts w:ascii="Times New Roman"/>
          <w:b/>
          <w:bCs/>
        </w:rPr>
      </w:pPr>
      <w:r>
        <w:rPr>
          <w:rFonts w:hint="eastAsia" w:ascii="Times New Roman"/>
          <w:b/>
          <w:bCs/>
        </w:rPr>
        <w:t>9</w:t>
      </w:r>
      <w:r>
        <w:rPr>
          <w:rFonts w:ascii="Times New Roman"/>
          <w:b/>
          <w:bCs/>
        </w:rPr>
        <w:t>.1</w:t>
      </w:r>
      <w:r>
        <w:rPr>
          <w:rFonts w:hint="eastAsia" w:ascii="Times New Roman"/>
          <w:b/>
          <w:bCs/>
        </w:rPr>
        <w:t>合同价款</w:t>
      </w:r>
    </w:p>
    <w:p w14:paraId="4521074D">
      <w:pPr>
        <w:numPr>
          <w:ilvl w:val="0"/>
          <w:numId w:val="47"/>
        </w:numPr>
        <w:autoSpaceDE w:val="0"/>
        <w:autoSpaceDN w:val="0"/>
        <w:adjustRightInd/>
        <w:snapToGrid/>
        <w:spacing w:before="0" w:beforeLines="0" w:line="360" w:lineRule="auto"/>
        <w:ind w:firstLine="487" w:firstLineChars="0"/>
        <w:rPr>
          <w:rFonts w:hAnsi="宋体" w:cs="宋体"/>
        </w:rPr>
      </w:pPr>
      <w:r>
        <w:rPr>
          <w:rFonts w:hint="eastAsia" w:hAnsi="宋体" w:cs="宋体"/>
          <w:b/>
          <w:bCs/>
        </w:rPr>
        <w:t>造价服务费：本工程采用总价包干模式，合同含税价¥</w:t>
      </w:r>
      <w:r>
        <w:rPr>
          <w:rFonts w:hint="eastAsia" w:hAnsi="宋体" w:cs="宋体"/>
          <w:b/>
          <w:bCs/>
          <w:u w:val="single"/>
        </w:rPr>
        <w:t xml:space="preserve">         </w:t>
      </w:r>
      <w:r>
        <w:rPr>
          <w:rFonts w:hint="eastAsia" w:hAnsi="宋体" w:cs="宋体"/>
          <w:b/>
          <w:bCs/>
        </w:rPr>
        <w:t>元（大写人民币：</w:t>
      </w:r>
      <w:r>
        <w:rPr>
          <w:rFonts w:hint="eastAsia" w:hAnsi="宋体" w:cs="宋体"/>
          <w:b/>
          <w:bCs/>
          <w:u w:val="single"/>
        </w:rPr>
        <w:t xml:space="preserve">          </w:t>
      </w:r>
      <w:r>
        <w:rPr>
          <w:rFonts w:hint="eastAsia" w:hAnsi="宋体" w:cs="宋体"/>
          <w:b/>
          <w:bCs/>
        </w:rPr>
        <w:t>），其中不含税价¥</w:t>
      </w:r>
      <w:r>
        <w:rPr>
          <w:rFonts w:hint="eastAsia" w:hAnsi="宋体" w:cs="宋体"/>
          <w:b/>
          <w:bCs/>
          <w:u w:val="single"/>
        </w:rPr>
        <w:t xml:space="preserve">            </w:t>
      </w:r>
      <w:r>
        <w:rPr>
          <w:rFonts w:hint="eastAsia" w:hAnsi="宋体" w:cs="宋体"/>
          <w:b/>
          <w:bCs/>
        </w:rPr>
        <w:t>元，税额¥</w:t>
      </w:r>
      <w:r>
        <w:rPr>
          <w:rFonts w:hint="eastAsia" w:hAnsi="宋体" w:cs="宋体"/>
          <w:b/>
          <w:bCs/>
          <w:u w:val="single"/>
        </w:rPr>
        <w:t xml:space="preserve">       </w:t>
      </w:r>
      <w:r>
        <w:rPr>
          <w:rFonts w:hint="eastAsia" w:hAnsi="宋体" w:cs="宋体"/>
          <w:b/>
          <w:bCs/>
        </w:rPr>
        <w:t>元，税率</w:t>
      </w:r>
      <w:r>
        <w:rPr>
          <w:rFonts w:hint="eastAsia" w:hAnsi="宋体" w:cs="宋体"/>
          <w:b/>
          <w:bCs/>
          <w:u w:val="single"/>
        </w:rPr>
        <w:t xml:space="preserve">      </w:t>
      </w:r>
      <w:r>
        <w:rPr>
          <w:rFonts w:hint="eastAsia" w:hAnsi="宋体" w:cs="宋体"/>
          <w:b/>
          <w:bCs/>
        </w:rPr>
        <w:t>%。</w:t>
      </w:r>
    </w:p>
    <w:p w14:paraId="7A825221">
      <w:pPr>
        <w:numPr>
          <w:ilvl w:val="0"/>
          <w:numId w:val="47"/>
        </w:numPr>
        <w:autoSpaceDE w:val="0"/>
        <w:autoSpaceDN w:val="0"/>
        <w:adjustRightInd/>
        <w:snapToGrid/>
        <w:spacing w:before="0" w:beforeLines="0" w:line="360" w:lineRule="auto"/>
        <w:ind w:firstLine="484" w:firstLineChars="202"/>
        <w:jc w:val="left"/>
        <w:rPr>
          <w:rFonts w:ascii="Times New Roman"/>
        </w:rPr>
      </w:pPr>
      <w:r>
        <w:rPr>
          <w:rFonts w:hint="eastAsia" w:hAnsi="宋体" w:cs="宋体"/>
        </w:rPr>
        <w:t>本项目最终结算金额为：</w:t>
      </w:r>
      <w:r>
        <w:rPr>
          <w:rFonts w:hAnsi="宋体"/>
          <w:szCs w:val="21"/>
        </w:rPr>
        <w:t>合同总额+补充协议额</w:t>
      </w:r>
      <w:r>
        <w:rPr>
          <w:rFonts w:hint="eastAsia" w:hAnsi="宋体"/>
          <w:szCs w:val="21"/>
        </w:rPr>
        <w:t>（如有）</w:t>
      </w:r>
      <w:r>
        <w:rPr>
          <w:rFonts w:hAnsi="宋体"/>
          <w:szCs w:val="21"/>
        </w:rPr>
        <w:t>+</w:t>
      </w:r>
      <w:r>
        <w:rPr>
          <w:rFonts w:hint="eastAsia" w:hAnsi="宋体"/>
          <w:szCs w:val="21"/>
        </w:rPr>
        <w:t>罚款。</w:t>
      </w:r>
    </w:p>
    <w:p w14:paraId="32B3F9CA">
      <w:pPr>
        <w:autoSpaceDE w:val="0"/>
        <w:autoSpaceDN w:val="0"/>
        <w:spacing w:before="0" w:beforeLines="0" w:line="360" w:lineRule="auto"/>
        <w:ind w:firstLine="484" w:firstLineChars="202"/>
        <w:rPr>
          <w:rFonts w:hAnsi="宋体" w:cs="宋体"/>
        </w:rPr>
      </w:pPr>
      <w:r>
        <w:rPr>
          <w:rFonts w:hint="eastAsia" w:hAnsi="宋体" w:cs="宋体"/>
        </w:rPr>
        <w:t>（3）在合同履约过程中，本合同税率必须遵照国家现行税法执行。本合同最终税金在结算阶段，按实际产生的税金进行核算，但合同不含税价格不因国家税率调整而调整。</w:t>
      </w:r>
    </w:p>
    <w:p w14:paraId="50D11D96">
      <w:pPr>
        <w:adjustRightInd/>
        <w:spacing w:before="0" w:beforeLines="0" w:line="360" w:lineRule="auto"/>
        <w:ind w:firstLine="422" w:firstLineChars="0"/>
        <w:jc w:val="left"/>
        <w:rPr>
          <w:rFonts w:ascii="Times New Roman"/>
          <w:b/>
          <w:bCs/>
        </w:rPr>
      </w:pPr>
      <w:r>
        <w:rPr>
          <w:rFonts w:hint="eastAsia" w:ascii="Times New Roman"/>
          <w:b/>
          <w:bCs/>
        </w:rPr>
        <w:t>9</w:t>
      </w:r>
      <w:r>
        <w:rPr>
          <w:rFonts w:ascii="Times New Roman"/>
          <w:b/>
          <w:bCs/>
        </w:rPr>
        <w:t>.2 付款时间及周期</w:t>
      </w:r>
    </w:p>
    <w:p w14:paraId="3A2267E7">
      <w:pPr>
        <w:autoSpaceDE w:val="0"/>
        <w:autoSpaceDN w:val="0"/>
        <w:snapToGrid/>
        <w:spacing w:before="0" w:beforeLines="0" w:line="360" w:lineRule="auto"/>
        <w:ind w:firstLine="484" w:firstLineChars="202"/>
        <w:rPr>
          <w:rFonts w:hint="eastAsia" w:hAnsi="宋体" w:cs="宋体"/>
        </w:rPr>
      </w:pPr>
      <w:r>
        <w:rPr>
          <w:rFonts w:hint="eastAsia" w:hAnsi="宋体" w:cs="宋体"/>
        </w:rPr>
        <w:t>9.2.1根据项目需求按实际进度支付：（1）</w:t>
      </w:r>
      <w:r>
        <w:rPr>
          <w:rFonts w:hint="eastAsia" w:hAnsi="宋体" w:cs="宋体"/>
          <w:lang w:val="en-US" w:eastAsia="zh-CN"/>
        </w:rPr>
        <w:t>从本合同签订之日起</w:t>
      </w:r>
      <w:r>
        <w:rPr>
          <w:rFonts w:hint="eastAsia" w:hAnsi="宋体" w:cs="宋体"/>
        </w:rPr>
        <w:t>每两个月支付合同总额的8%作为进度款，最高支付至合同总额的72%；（2）每完成一个总包</w:t>
      </w:r>
      <w:r>
        <w:rPr>
          <w:rFonts w:hint="eastAsia" w:hAnsi="宋体" w:cs="宋体"/>
          <w:lang w:val="en-US" w:eastAsia="zh-CN"/>
        </w:rPr>
        <w:t>合同</w:t>
      </w:r>
      <w:r>
        <w:rPr>
          <w:rFonts w:hint="eastAsia" w:hAnsi="宋体" w:cs="宋体"/>
        </w:rPr>
        <w:t>结算支付合同总额的10%；（3）本项目</w:t>
      </w:r>
      <w:r>
        <w:rPr>
          <w:rFonts w:hint="eastAsia" w:hAnsi="宋体" w:cs="宋体"/>
          <w:lang w:val="en-US" w:eastAsia="zh-CN"/>
        </w:rPr>
        <w:t>累计支付至</w:t>
      </w:r>
      <w:r>
        <w:rPr>
          <w:rFonts w:hint="eastAsia" w:hAnsi="宋体" w:cs="宋体"/>
        </w:rPr>
        <w:t>合同总额</w:t>
      </w:r>
      <w:r>
        <w:rPr>
          <w:rFonts w:hint="eastAsia" w:hAnsi="宋体" w:cs="宋体"/>
          <w:lang w:val="en-US" w:eastAsia="zh-CN"/>
        </w:rPr>
        <w:t>的</w:t>
      </w:r>
      <w:r>
        <w:rPr>
          <w:rFonts w:hint="eastAsia" w:hAnsi="宋体" w:cs="宋体"/>
        </w:rPr>
        <w:t>92%</w:t>
      </w:r>
      <w:r>
        <w:rPr>
          <w:rFonts w:hint="eastAsia" w:hAnsi="宋体" w:cs="宋体"/>
          <w:lang w:val="en-US" w:eastAsia="zh-CN"/>
        </w:rPr>
        <w:t>后</w:t>
      </w:r>
      <w:r>
        <w:rPr>
          <w:rFonts w:hint="eastAsia" w:hAnsi="宋体" w:cs="宋体"/>
        </w:rPr>
        <w:t>，乙方须完成</w:t>
      </w:r>
      <w:r>
        <w:rPr>
          <w:rFonts w:hint="eastAsia" w:hAnsi="宋体" w:cs="宋体"/>
          <w:lang w:val="en-US" w:eastAsia="zh-CN"/>
        </w:rPr>
        <w:t>本项目</w:t>
      </w:r>
      <w:r>
        <w:rPr>
          <w:rFonts w:hint="eastAsia" w:hAnsi="宋体" w:cs="宋体"/>
        </w:rPr>
        <w:t>所有造价结算服务工作，甲乙双方办理造价服务费最终结算，结算完成后支付合同剩余款项。</w:t>
      </w:r>
    </w:p>
    <w:p w14:paraId="3A0E21FC">
      <w:pPr>
        <w:autoSpaceDE w:val="0"/>
        <w:autoSpaceDN w:val="0"/>
        <w:adjustRightInd/>
        <w:snapToGrid/>
        <w:spacing w:before="0" w:beforeLines="0" w:line="360" w:lineRule="auto"/>
        <w:ind w:left="485" w:firstLine="0" w:firstLineChars="0"/>
        <w:rPr>
          <w:rFonts w:hAnsi="宋体" w:cs="宋体"/>
        </w:rPr>
      </w:pPr>
      <w:r>
        <w:rPr>
          <w:rFonts w:hint="eastAsia" w:hAnsi="宋体" w:cs="宋体"/>
        </w:rPr>
        <w:t>9.2.2</w:t>
      </w:r>
      <w:r>
        <w:rPr>
          <w:rFonts w:hAnsi="宋体" w:cs="宋体"/>
        </w:rPr>
        <w:t xml:space="preserve"> </w:t>
      </w:r>
      <w:r>
        <w:rPr>
          <w:rFonts w:hint="eastAsia" w:hAnsi="宋体" w:cs="宋体"/>
        </w:rPr>
        <w:t>乙方提出书面申请上报造价服务费，按甲方提供的格式填写支付申请表格并加盖法人公章，送甲方签认。服务费经双方确认后由乙方出具与支付金额等额的增值税专用发票，甲方在收到有效发票后30工作日内付清。</w:t>
      </w:r>
    </w:p>
    <w:p w14:paraId="4B7CC205">
      <w:pPr>
        <w:autoSpaceDE w:val="0"/>
        <w:autoSpaceDN w:val="0"/>
        <w:adjustRightInd/>
        <w:snapToGrid/>
        <w:spacing w:before="0" w:beforeLines="0" w:line="360" w:lineRule="auto"/>
        <w:ind w:left="485" w:firstLine="0" w:firstLineChars="0"/>
        <w:rPr>
          <w:rFonts w:ascii="Times New Roman"/>
          <w:sz w:val="21"/>
        </w:rPr>
      </w:pPr>
      <w:r>
        <w:rPr>
          <w:rFonts w:ascii="Times New Roman"/>
          <w:sz w:val="21"/>
        </w:rPr>
        <w:t xml:space="preserve"> </w:t>
      </w:r>
    </w:p>
    <w:p w14:paraId="71190BBF">
      <w:pPr>
        <w:autoSpaceDE w:val="0"/>
        <w:autoSpaceDN w:val="0"/>
        <w:spacing w:before="0" w:beforeLines="0" w:line="360" w:lineRule="auto"/>
        <w:ind w:firstLine="484" w:firstLineChars="202"/>
        <w:rPr>
          <w:rFonts w:hAnsi="宋体" w:cs="宋体"/>
        </w:rPr>
      </w:pPr>
      <w:r>
        <w:rPr>
          <w:rFonts w:hint="eastAsia" w:hAnsi="宋体" w:cs="宋体"/>
        </w:rPr>
        <w:t>9.2.3 甲乙双方办理造价服务费最终结算，经双方确认后由乙方出具与余款等额的增值税专用发票，甲方在收到有效发票后30个工作日内付清余款；合同履行期间，如乙方存在违法行为，在相关监督管理部门调查期间、被行政处罚期间，甲方可视情况解除合同。涉及到所承接工程项目的造价服务费，甲方可延期或拒绝支付。</w:t>
      </w:r>
    </w:p>
    <w:p w14:paraId="0C773277">
      <w:pPr>
        <w:autoSpaceDE w:val="0"/>
        <w:autoSpaceDN w:val="0"/>
        <w:spacing w:before="0" w:beforeLines="0" w:line="360" w:lineRule="auto"/>
        <w:ind w:firstLine="480"/>
        <w:rPr>
          <w:rFonts w:hAnsi="宋体" w:cs="宋体"/>
        </w:rPr>
      </w:pPr>
      <w:r>
        <w:rPr>
          <w:rFonts w:hint="eastAsia" w:hAnsi="宋体" w:cs="宋体"/>
        </w:rPr>
        <w:t>9.2.4乙方应在要求甲方付款前先开具增值税专用发票给甲方，如未开具相应足额增值税专用发票的，甲方有权予以相应延长付款时间且无须承担违约责任。</w:t>
      </w:r>
    </w:p>
    <w:p w14:paraId="626E3285">
      <w:pPr>
        <w:tabs>
          <w:tab w:val="center" w:pos="4153"/>
          <w:tab w:val="right" w:pos="8306"/>
        </w:tabs>
        <w:adjustRightInd/>
        <w:spacing w:before="0" w:beforeLines="0" w:line="360" w:lineRule="auto"/>
        <w:ind w:firstLine="482"/>
        <w:jc w:val="left"/>
        <w:rPr>
          <w:rFonts w:ascii="Times New Roman"/>
          <w:b/>
          <w:bCs/>
        </w:rPr>
      </w:pPr>
      <w:r>
        <w:rPr>
          <w:rFonts w:hint="eastAsia" w:ascii="Times New Roman"/>
          <w:b/>
          <w:bCs/>
        </w:rPr>
        <w:t>9</w:t>
      </w:r>
      <w:r>
        <w:rPr>
          <w:rFonts w:ascii="Times New Roman"/>
          <w:b/>
          <w:bCs/>
        </w:rPr>
        <w:t>.3结算款支付条件</w:t>
      </w:r>
    </w:p>
    <w:p w14:paraId="26869925">
      <w:pPr>
        <w:autoSpaceDE w:val="0"/>
        <w:autoSpaceDN w:val="0"/>
        <w:spacing w:before="0" w:beforeLines="0" w:line="360" w:lineRule="auto"/>
        <w:ind w:firstLine="480"/>
        <w:rPr>
          <w:rFonts w:hAnsi="宋体" w:cs="宋体"/>
        </w:rPr>
      </w:pPr>
      <w:r>
        <w:rPr>
          <w:rFonts w:hint="eastAsia" w:hAnsi="宋体" w:cs="宋体"/>
        </w:rPr>
        <w:t>（1）乙方根据甲方要求完成所有工程的结算报审并经甲方审定。</w:t>
      </w:r>
    </w:p>
    <w:p w14:paraId="5E25E96E">
      <w:pPr>
        <w:autoSpaceDE w:val="0"/>
        <w:autoSpaceDN w:val="0"/>
        <w:spacing w:before="0" w:beforeLines="0" w:line="360" w:lineRule="auto"/>
        <w:ind w:firstLine="480"/>
        <w:rPr>
          <w:rFonts w:hAnsi="宋体" w:cs="宋体"/>
        </w:rPr>
      </w:pPr>
      <w:r>
        <w:rPr>
          <w:rFonts w:hint="eastAsia" w:hAnsi="宋体" w:cs="宋体"/>
        </w:rPr>
        <w:t>（2）乙方向甲方提供以下合格材料，并经甲方审核无误：</w:t>
      </w:r>
    </w:p>
    <w:p w14:paraId="6FC09738">
      <w:pPr>
        <w:autoSpaceDE w:val="0"/>
        <w:autoSpaceDN w:val="0"/>
        <w:spacing w:before="0" w:beforeLines="0" w:line="360" w:lineRule="auto"/>
        <w:ind w:firstLine="480"/>
        <w:rPr>
          <w:rFonts w:hAnsi="宋体" w:cs="宋体"/>
        </w:rPr>
      </w:pPr>
      <w:r>
        <w:rPr>
          <w:rFonts w:hint="eastAsia" w:hAnsi="宋体" w:cs="宋体"/>
        </w:rPr>
        <w:t>①乙方开具相应金额的增值税专用发票。</w:t>
      </w:r>
    </w:p>
    <w:p w14:paraId="6F962772">
      <w:pPr>
        <w:autoSpaceDE w:val="0"/>
        <w:autoSpaceDN w:val="0"/>
        <w:spacing w:before="0" w:beforeLines="0" w:line="360" w:lineRule="auto"/>
        <w:ind w:firstLine="480"/>
        <w:rPr>
          <w:rFonts w:hAnsi="宋体" w:cs="宋体"/>
        </w:rPr>
      </w:pPr>
      <w:r>
        <w:rPr>
          <w:rFonts w:hint="eastAsia" w:hAnsi="宋体" w:cs="宋体"/>
        </w:rPr>
        <w:t>②乙方出具的支付申请书。</w:t>
      </w:r>
    </w:p>
    <w:p w14:paraId="658E1F45">
      <w:pPr>
        <w:autoSpaceDE w:val="0"/>
        <w:autoSpaceDN w:val="0"/>
        <w:spacing w:before="0" w:beforeLines="0" w:line="360" w:lineRule="auto"/>
        <w:ind w:firstLine="480"/>
        <w:rPr>
          <w:rFonts w:hAnsi="宋体" w:cs="宋体"/>
        </w:rPr>
      </w:pPr>
      <w:r>
        <w:rPr>
          <w:rFonts w:hint="eastAsia" w:hAnsi="宋体" w:cs="宋体"/>
        </w:rPr>
        <w:t>③结算审定材料。</w:t>
      </w:r>
    </w:p>
    <w:p w14:paraId="427D5291">
      <w:pPr>
        <w:autoSpaceDE w:val="0"/>
        <w:autoSpaceDN w:val="0"/>
        <w:spacing w:before="0" w:beforeLines="0" w:line="360" w:lineRule="auto"/>
        <w:ind w:firstLine="482"/>
        <w:rPr>
          <w:rFonts w:ascii="Times New Roman"/>
          <w:b/>
          <w:bCs/>
        </w:rPr>
      </w:pPr>
      <w:r>
        <w:rPr>
          <w:rFonts w:hint="eastAsia" w:ascii="Times New Roman"/>
          <w:b/>
          <w:bCs/>
        </w:rPr>
        <w:t>9</w:t>
      </w:r>
      <w:r>
        <w:rPr>
          <w:rFonts w:ascii="Times New Roman"/>
          <w:b/>
          <w:bCs/>
        </w:rPr>
        <w:t>.4</w:t>
      </w:r>
      <w:r>
        <w:rPr>
          <w:rFonts w:hint="eastAsia" w:ascii="Times New Roman"/>
          <w:b/>
          <w:bCs/>
        </w:rPr>
        <w:t xml:space="preserve"> </w:t>
      </w:r>
      <w:r>
        <w:rPr>
          <w:rFonts w:ascii="Times New Roman"/>
          <w:b/>
          <w:bCs/>
        </w:rPr>
        <w:t>结算条件：</w:t>
      </w:r>
    </w:p>
    <w:p w14:paraId="37FD229D">
      <w:pPr>
        <w:autoSpaceDE w:val="0"/>
        <w:autoSpaceDN w:val="0"/>
        <w:spacing w:before="0" w:beforeLines="0" w:line="360" w:lineRule="auto"/>
        <w:ind w:firstLine="480"/>
        <w:rPr>
          <w:rFonts w:hAnsi="宋体" w:cs="宋体"/>
        </w:rPr>
      </w:pPr>
      <w:r>
        <w:rPr>
          <w:rFonts w:hint="eastAsia" w:hAnsi="宋体" w:cs="宋体"/>
        </w:rPr>
        <w:t>（1）乙方完成合同约定所有的工作内容且经甲方终验合格。</w:t>
      </w:r>
    </w:p>
    <w:p w14:paraId="4E928BE3">
      <w:pPr>
        <w:autoSpaceDE w:val="0"/>
        <w:autoSpaceDN w:val="0"/>
        <w:spacing w:before="0" w:beforeLines="0" w:line="360" w:lineRule="auto"/>
        <w:ind w:firstLine="480"/>
        <w:rPr>
          <w:rFonts w:hAnsi="宋体" w:cs="宋体"/>
        </w:rPr>
      </w:pPr>
      <w:r>
        <w:rPr>
          <w:rFonts w:hint="eastAsia" w:hAnsi="宋体" w:cs="宋体"/>
        </w:rPr>
        <w:t>（2）乙方根据甲方要求完成项目档案归档。</w:t>
      </w:r>
    </w:p>
    <w:p w14:paraId="0A2FD53A">
      <w:pPr>
        <w:autoSpaceDE w:val="0"/>
        <w:autoSpaceDN w:val="0"/>
        <w:spacing w:before="0" w:beforeLines="0" w:line="360" w:lineRule="auto"/>
        <w:ind w:firstLine="480"/>
        <w:rPr>
          <w:rFonts w:hAnsi="宋体" w:cs="宋体"/>
        </w:rPr>
      </w:pPr>
      <w:r>
        <w:rPr>
          <w:rFonts w:hint="eastAsia" w:hAnsi="宋体" w:cs="宋体"/>
        </w:rPr>
        <w:t>（3）乙方按照甲方的结算管理办法提供如下合格材料，并经甲方审核无误：</w:t>
      </w:r>
    </w:p>
    <w:p w14:paraId="094F8ED1">
      <w:pPr>
        <w:autoSpaceDE w:val="0"/>
        <w:autoSpaceDN w:val="0"/>
        <w:spacing w:before="0" w:beforeLines="0" w:line="360" w:lineRule="auto"/>
        <w:ind w:firstLine="480"/>
        <w:rPr>
          <w:rFonts w:hAnsi="宋体" w:cs="宋体"/>
        </w:rPr>
      </w:pPr>
      <w:r>
        <w:rPr>
          <w:rFonts w:hint="eastAsia" w:hAnsi="宋体" w:cs="宋体"/>
        </w:rPr>
        <w:t>①甲方管理办法规定的结算审核套表（包括但不限于合同结算委托联系函（原件）、合同结算表（如有，原件）、投标报价表（如有，复印件）、《合同履行验收单》（原件）、合同履行情况证明资料（如有，原件或复印件）、合同变更资料（如有，原件或复印件）、合同及补充协议（复印件））</w:t>
      </w:r>
    </w:p>
    <w:p w14:paraId="1EDAC954">
      <w:pPr>
        <w:autoSpaceDE w:val="0"/>
        <w:autoSpaceDN w:val="0"/>
        <w:spacing w:before="0" w:beforeLines="0" w:line="360" w:lineRule="auto"/>
        <w:ind w:firstLine="480"/>
        <w:rPr>
          <w:rFonts w:hAnsi="宋体" w:cs="宋体"/>
        </w:rPr>
      </w:pPr>
      <w:r>
        <w:rPr>
          <w:rFonts w:hint="eastAsia" w:hAnsi="宋体" w:cs="宋体"/>
        </w:rPr>
        <w:t>②合同约定的其他证明资料。</w:t>
      </w:r>
    </w:p>
    <w:p w14:paraId="6FB01EBC">
      <w:pPr>
        <w:adjustRightInd/>
        <w:spacing w:before="0" w:beforeLines="0" w:line="360" w:lineRule="auto"/>
        <w:ind w:firstLine="482"/>
        <w:jc w:val="left"/>
        <w:outlineLvl w:val="2"/>
        <w:rPr>
          <w:rFonts w:hint="eastAsia" w:hAnsi="宋体"/>
          <w:b/>
          <w:bCs/>
        </w:rPr>
      </w:pPr>
      <w:bookmarkStart w:id="1178" w:name="_Toc193981317"/>
      <w:r>
        <w:rPr>
          <w:rFonts w:hAnsi="宋体"/>
          <w:b/>
          <w:bCs/>
        </w:rPr>
        <w:t>1</w:t>
      </w:r>
      <w:r>
        <w:rPr>
          <w:rFonts w:hint="eastAsia" w:hAnsi="宋体"/>
          <w:b/>
          <w:bCs/>
        </w:rPr>
        <w:t>0</w:t>
      </w:r>
      <w:r>
        <w:rPr>
          <w:rFonts w:hAnsi="宋体"/>
          <w:b/>
          <w:bCs/>
        </w:rPr>
        <w:t>.履约保证金</w:t>
      </w:r>
      <w:bookmarkEnd w:id="1178"/>
    </w:p>
    <w:p w14:paraId="25736041">
      <w:pPr>
        <w:adjustRightInd/>
        <w:spacing w:before="0" w:beforeLines="0" w:line="360" w:lineRule="auto"/>
        <w:ind w:firstLine="482"/>
        <w:jc w:val="left"/>
        <w:rPr>
          <w:rFonts w:hAnsi="宋体"/>
          <w:b/>
          <w:bCs/>
        </w:rPr>
      </w:pPr>
      <w:r>
        <w:rPr>
          <w:rFonts w:hint="eastAsia" w:hAnsi="宋体"/>
          <w:b/>
          <w:bCs/>
        </w:rPr>
        <w:t>本合同履约保证金按照下列第</w:t>
      </w:r>
      <w:r>
        <w:rPr>
          <w:rFonts w:hint="eastAsia" w:hAnsi="宋体"/>
          <w:b/>
          <w:bCs/>
          <w:u w:val="single"/>
        </w:rPr>
        <w:t xml:space="preserve">     （1）     </w:t>
      </w:r>
      <w:r>
        <w:rPr>
          <w:rFonts w:hint="eastAsia" w:hAnsi="宋体"/>
          <w:b/>
          <w:bCs/>
        </w:rPr>
        <w:t>项的约定执行：</w:t>
      </w:r>
    </w:p>
    <w:p w14:paraId="2B7F58D4">
      <w:pPr>
        <w:autoSpaceDE w:val="0"/>
        <w:autoSpaceDN w:val="0"/>
        <w:spacing w:before="0" w:beforeLines="0" w:line="360" w:lineRule="auto"/>
        <w:ind w:firstLine="480"/>
        <w:rPr>
          <w:rFonts w:hAnsi="宋体" w:cs="宋体"/>
        </w:rPr>
      </w:pPr>
      <w:r>
        <w:rPr>
          <w:rFonts w:hint="eastAsia" w:hAnsi="宋体" w:cs="宋体"/>
        </w:rPr>
        <w:t>（1）本项目未缴纳履约保证金；</w:t>
      </w:r>
    </w:p>
    <w:p w14:paraId="75A2F8B1">
      <w:pPr>
        <w:autoSpaceDE w:val="0"/>
        <w:autoSpaceDN w:val="0"/>
        <w:spacing w:before="0" w:beforeLines="0" w:line="360" w:lineRule="auto"/>
        <w:ind w:firstLine="480"/>
        <w:rPr>
          <w:rFonts w:ascii="Times New Roman"/>
          <w:sz w:val="21"/>
        </w:rPr>
      </w:pPr>
      <w:r>
        <w:rPr>
          <w:rFonts w:hint="eastAsia" w:hAnsi="宋体" w:cs="宋体"/>
        </w:rPr>
        <w:t>（2）乙方应在签订本合同之前向甲方交纳人民币（大写）</w:t>
      </w:r>
      <w:r>
        <w:rPr>
          <w:rFonts w:hint="eastAsia" w:hAnsi="宋体" w:cs="宋体"/>
          <w:u w:val="single"/>
        </w:rPr>
        <w:t xml:space="preserve">  /  元整（¥ / 元）</w:t>
      </w:r>
      <w:r>
        <w:rPr>
          <w:rFonts w:hint="eastAsia" w:hAnsi="宋体" w:cs="宋体"/>
        </w:rPr>
        <w:t>或同等金额的银行履约保函作为履约保证金。甲乙双方办理完成造价服务费最终结算并完成支付后30日退还（无息）。如乙方在合同履行过程中出现违约行为的，甲方有权以履约保证金直接抵扣乙方应承担的违约金或应赔偿的损失，履约保证金不足以弥补违约金及赔偿损失的，乙方还应另行赔付。履约保证金抵扣后，乙方应在五个工作日内补足，逾期未补足的，每逾期一日按未补足履约保证金的万分之二向甲方支付违约金。</w:t>
      </w:r>
    </w:p>
    <w:p w14:paraId="3FAA684C">
      <w:pPr>
        <w:adjustRightInd/>
        <w:spacing w:before="0" w:beforeLines="0" w:line="360" w:lineRule="auto"/>
        <w:ind w:firstLine="482"/>
        <w:jc w:val="left"/>
        <w:outlineLvl w:val="2"/>
        <w:rPr>
          <w:rFonts w:hAnsi="宋体"/>
          <w:b/>
          <w:bCs/>
        </w:rPr>
      </w:pPr>
      <w:bookmarkStart w:id="1179" w:name="_Toc28687"/>
      <w:bookmarkStart w:id="1180" w:name="_Toc13536"/>
      <w:bookmarkStart w:id="1181" w:name="_Toc193981318"/>
      <w:bookmarkStart w:id="1182" w:name="_Toc28857"/>
      <w:bookmarkStart w:id="1183" w:name="_Toc30348"/>
      <w:bookmarkStart w:id="1184" w:name="_Toc19297"/>
      <w:bookmarkStart w:id="1185" w:name="_Toc15525"/>
      <w:bookmarkStart w:id="1186" w:name="_Toc491534475"/>
      <w:bookmarkStart w:id="1187" w:name="_Toc19354"/>
      <w:bookmarkStart w:id="1188" w:name="_Toc25505"/>
      <w:r>
        <w:rPr>
          <w:rFonts w:hint="eastAsia" w:hAnsi="宋体"/>
          <w:b/>
          <w:bCs/>
        </w:rPr>
        <w:t>11</w:t>
      </w:r>
      <w:r>
        <w:rPr>
          <w:rFonts w:hAnsi="宋体"/>
          <w:b/>
          <w:bCs/>
        </w:rPr>
        <w:t>.甲方的权利和义务</w:t>
      </w:r>
      <w:bookmarkEnd w:id="1179"/>
      <w:bookmarkEnd w:id="1180"/>
      <w:bookmarkEnd w:id="1181"/>
      <w:bookmarkEnd w:id="1182"/>
      <w:bookmarkEnd w:id="1183"/>
      <w:bookmarkEnd w:id="1184"/>
      <w:bookmarkEnd w:id="1185"/>
      <w:bookmarkEnd w:id="1186"/>
      <w:bookmarkEnd w:id="1187"/>
      <w:bookmarkEnd w:id="1188"/>
    </w:p>
    <w:p w14:paraId="5B78D122">
      <w:pPr>
        <w:autoSpaceDE w:val="0"/>
        <w:autoSpaceDN w:val="0"/>
        <w:spacing w:before="0" w:beforeLines="0" w:line="360" w:lineRule="auto"/>
        <w:ind w:firstLine="480"/>
        <w:rPr>
          <w:rFonts w:hAnsi="宋体" w:cs="宋体"/>
        </w:rPr>
      </w:pPr>
      <w:r>
        <w:rPr>
          <w:rFonts w:hint="eastAsia" w:hAnsi="宋体"/>
        </w:rPr>
        <w:t xml:space="preserve">11.1 </w:t>
      </w:r>
      <w:r>
        <w:rPr>
          <w:rFonts w:hint="eastAsia" w:hAnsi="宋体" w:cs="宋体"/>
        </w:rPr>
        <w:t>甲方应遵循诚实信用的原则，按照本合同的约定</w:t>
      </w:r>
      <w:r>
        <w:rPr>
          <w:rFonts w:hint="eastAsia" w:hAnsi="宋体"/>
        </w:rPr>
        <w:t>支付酬金并</w:t>
      </w:r>
      <w:r>
        <w:rPr>
          <w:rFonts w:hint="eastAsia" w:hAnsi="宋体" w:cs="宋体"/>
        </w:rPr>
        <w:t>履行合同责任和义务。</w:t>
      </w:r>
    </w:p>
    <w:p w14:paraId="4CD34754">
      <w:pPr>
        <w:autoSpaceDE w:val="0"/>
        <w:autoSpaceDN w:val="0"/>
        <w:spacing w:before="0" w:beforeLines="0" w:line="360" w:lineRule="auto"/>
        <w:ind w:firstLine="480"/>
        <w:rPr>
          <w:rFonts w:hAnsi="宋体" w:cs="宋体"/>
        </w:rPr>
      </w:pPr>
      <w:r>
        <w:rPr>
          <w:rFonts w:hint="eastAsia" w:hAnsi="宋体"/>
        </w:rPr>
        <w:t xml:space="preserve">11.2 </w:t>
      </w:r>
      <w:r>
        <w:rPr>
          <w:rFonts w:hint="eastAsia" w:hAnsi="宋体" w:cs="宋体"/>
        </w:rPr>
        <w:t>按合同约定，及时且如实地向乙方提供与本项目造价业务有关的图纸、文件和资料，并以不影响乙方履行本合同为原则，甲方应及时对乙方书面提交并要求做出答复的事宜做出书面答复。</w:t>
      </w:r>
    </w:p>
    <w:p w14:paraId="48FE5342">
      <w:pPr>
        <w:autoSpaceDE w:val="0"/>
        <w:autoSpaceDN w:val="0"/>
        <w:spacing w:before="0" w:beforeLines="0" w:line="360" w:lineRule="auto"/>
        <w:ind w:firstLine="480"/>
        <w:rPr>
          <w:rFonts w:hAnsi="宋体" w:cs="宋体"/>
        </w:rPr>
      </w:pPr>
      <w:r>
        <w:rPr>
          <w:rFonts w:hint="eastAsia" w:hAnsi="宋体"/>
        </w:rPr>
        <w:t xml:space="preserve">11.3 </w:t>
      </w:r>
      <w:r>
        <w:rPr>
          <w:rFonts w:hint="eastAsia" w:hAnsi="宋体" w:cs="宋体"/>
        </w:rPr>
        <w:t>甲方应负责与本工程造价业务有关的第三人的协调，为乙方工作提供必要的外部条件。</w:t>
      </w:r>
    </w:p>
    <w:p w14:paraId="06F1EF99">
      <w:pPr>
        <w:autoSpaceDE w:val="0"/>
        <w:autoSpaceDN w:val="0"/>
        <w:spacing w:before="0" w:beforeLines="0" w:line="360" w:lineRule="auto"/>
        <w:ind w:firstLine="480"/>
        <w:rPr>
          <w:rFonts w:hAnsi="宋体" w:cs="宋体"/>
        </w:rPr>
      </w:pPr>
      <w:r>
        <w:rPr>
          <w:rFonts w:hint="eastAsia" w:hAnsi="宋体"/>
        </w:rPr>
        <w:t xml:space="preserve">11.4 </w:t>
      </w:r>
      <w:r>
        <w:rPr>
          <w:rFonts w:hint="eastAsia" w:hAnsi="宋体" w:cs="宋体"/>
        </w:rPr>
        <w:t>甲方有权向乙方询问工作进展情况及相关内容；甲方有权阐述对具体问题的意见和建议。</w:t>
      </w:r>
    </w:p>
    <w:p w14:paraId="25765C85">
      <w:pPr>
        <w:autoSpaceDE w:val="0"/>
        <w:autoSpaceDN w:val="0"/>
        <w:spacing w:before="0" w:beforeLines="0" w:line="360" w:lineRule="auto"/>
        <w:ind w:firstLine="480"/>
        <w:rPr>
          <w:rFonts w:hAnsi="宋体" w:cs="宋体"/>
        </w:rPr>
      </w:pPr>
      <w:r>
        <w:rPr>
          <w:rFonts w:hint="eastAsia" w:hAnsi="宋体" w:cs="宋体"/>
        </w:rPr>
        <w:t>11.5当甲方认定乙方专业人员不按造价服务合同履行其职责，或在责任期内因工作疏忽、失误与第三人串通给甲方造成经济损失的，甲方有权要求更换乙方专业人员，直至解除合同并要求乙方承担相应的赔偿责任。</w:t>
      </w:r>
    </w:p>
    <w:p w14:paraId="7C49FCBB">
      <w:pPr>
        <w:autoSpaceDE w:val="0"/>
        <w:autoSpaceDN w:val="0"/>
        <w:spacing w:before="0" w:beforeLines="0" w:line="360" w:lineRule="auto"/>
        <w:ind w:firstLine="480"/>
        <w:rPr>
          <w:rFonts w:hAnsi="宋体" w:cs="宋体"/>
        </w:rPr>
      </w:pPr>
      <w:r>
        <w:rPr>
          <w:rFonts w:hint="eastAsia" w:hAnsi="宋体" w:cs="宋体"/>
        </w:rPr>
        <w:t>11.6因乙方把关不严等原因造成重大损失，或乙方与设备供应商或承包人有串通欺诈行为，甲方有权随时解除本合同并要求乙方承担相应的赔偿责任。</w:t>
      </w:r>
    </w:p>
    <w:p w14:paraId="58AB72D4">
      <w:pPr>
        <w:autoSpaceDE w:val="0"/>
        <w:autoSpaceDN w:val="0"/>
        <w:spacing w:before="0" w:beforeLines="0" w:line="360" w:lineRule="auto"/>
        <w:ind w:firstLine="480"/>
        <w:rPr>
          <w:rFonts w:hAnsi="宋体" w:cs="宋体"/>
        </w:rPr>
      </w:pPr>
      <w:r>
        <w:rPr>
          <w:rFonts w:hint="eastAsia" w:hAnsi="宋体" w:cs="宋体"/>
        </w:rPr>
        <w:t>11.7因乙方未按造价服务合同要求时间完成工作内容，达不到甲方的要求，甲方有权随时解除本合同并要求乙方承担相应的赔偿责任。乙方未按造价服务合同按时按质完成工作内容包含以下几种情形：</w:t>
      </w:r>
    </w:p>
    <w:p w14:paraId="404393B1">
      <w:pPr>
        <w:autoSpaceDE w:val="0"/>
        <w:autoSpaceDN w:val="0"/>
        <w:spacing w:before="0" w:beforeLines="0" w:line="360" w:lineRule="auto"/>
        <w:ind w:firstLine="480"/>
        <w:rPr>
          <w:rFonts w:hAnsi="宋体" w:cs="宋体"/>
        </w:rPr>
      </w:pPr>
      <w:r>
        <w:rPr>
          <w:rFonts w:hint="eastAsia" w:hAnsi="宋体" w:cs="宋体"/>
        </w:rPr>
        <w:t>11.7.1乙方未按照甲方规定的完成时限内完成各项造价服务工作，单次逾期15天以上（含15天）不能提交造价成果报告；或者乙方每季度累计3次未在甲方要求的合理时间内完成工作；</w:t>
      </w:r>
    </w:p>
    <w:p w14:paraId="6542FEF4">
      <w:pPr>
        <w:autoSpaceDE w:val="0"/>
        <w:autoSpaceDN w:val="0"/>
        <w:spacing w:before="0" w:beforeLines="0" w:line="360" w:lineRule="auto"/>
        <w:ind w:firstLine="480"/>
        <w:rPr>
          <w:rFonts w:hAnsi="宋体" w:cs="宋体"/>
        </w:rPr>
      </w:pPr>
      <w:r>
        <w:rPr>
          <w:rFonts w:hint="eastAsia" w:hAnsi="宋体" w:cs="宋体"/>
        </w:rPr>
        <w:t>11.7.2单项工程造价服务结果与甲方审核结果的偏差在±10%以上；</w:t>
      </w:r>
    </w:p>
    <w:p w14:paraId="49A84D64">
      <w:pPr>
        <w:autoSpaceDE w:val="0"/>
        <w:autoSpaceDN w:val="0"/>
        <w:spacing w:before="0" w:beforeLines="0" w:line="360" w:lineRule="auto"/>
        <w:ind w:firstLine="480"/>
        <w:rPr>
          <w:rFonts w:hAnsi="宋体" w:cs="宋体"/>
        </w:rPr>
      </w:pPr>
      <w:r>
        <w:rPr>
          <w:rFonts w:hint="eastAsia" w:hAnsi="宋体" w:cs="宋体"/>
        </w:rPr>
        <w:t>11.7.3每季度因乙方原因造成的差错（偏差）次数累计达10次以上；</w:t>
      </w:r>
    </w:p>
    <w:p w14:paraId="3F8EA3C5">
      <w:pPr>
        <w:autoSpaceDE w:val="0"/>
        <w:autoSpaceDN w:val="0"/>
        <w:spacing w:before="0" w:beforeLines="0" w:line="360" w:lineRule="auto"/>
        <w:ind w:firstLine="480"/>
        <w:rPr>
          <w:rFonts w:hAnsi="宋体" w:cs="宋体"/>
        </w:rPr>
      </w:pPr>
      <w:r>
        <w:rPr>
          <w:rFonts w:hint="eastAsia" w:hAnsi="宋体" w:cs="宋体"/>
        </w:rPr>
        <w:t>11.7.4每月甲方对造价服务进行考核时，乙方得分在70分以下；</w:t>
      </w:r>
    </w:p>
    <w:p w14:paraId="44BFD295">
      <w:pPr>
        <w:autoSpaceDE w:val="0"/>
        <w:autoSpaceDN w:val="0"/>
        <w:spacing w:before="0" w:beforeLines="0" w:line="360" w:lineRule="auto"/>
        <w:ind w:firstLine="480"/>
        <w:rPr>
          <w:rFonts w:hAnsi="宋体" w:cs="宋体"/>
        </w:rPr>
      </w:pPr>
      <w:r>
        <w:rPr>
          <w:rFonts w:hint="eastAsia" w:hAnsi="宋体" w:cs="宋体"/>
        </w:rPr>
        <w:t>11.7.5甲方认为乙方存在违反本合同约定义务的其他情形。</w:t>
      </w:r>
    </w:p>
    <w:p w14:paraId="2352DDCB">
      <w:pPr>
        <w:autoSpaceDE w:val="0"/>
        <w:autoSpaceDN w:val="0"/>
        <w:spacing w:before="0" w:beforeLines="0" w:line="360" w:lineRule="auto"/>
        <w:ind w:firstLine="480"/>
        <w:jc w:val="left"/>
        <w:rPr>
          <w:rFonts w:hAnsi="宋体"/>
        </w:rPr>
      </w:pPr>
      <w:r>
        <w:rPr>
          <w:rFonts w:hint="eastAsia" w:hAnsi="宋体" w:cs="宋体"/>
        </w:rPr>
        <w:t>11.8合同履行过程中乙方连续出现本条第7款所述的情况5次及以上，甲方有权解除合同，并视情况有权直接将剩余全部工作委托给其他单位实施，并从造价服务费中扣除对应费用支付给其他单位，并要求乙方承担相应的赔偿责任。</w:t>
      </w:r>
    </w:p>
    <w:p w14:paraId="59A78C31">
      <w:pPr>
        <w:adjustRightInd/>
        <w:spacing w:before="0" w:beforeLines="0" w:line="360" w:lineRule="auto"/>
        <w:ind w:firstLine="482"/>
        <w:jc w:val="left"/>
        <w:outlineLvl w:val="2"/>
        <w:rPr>
          <w:rFonts w:hAnsi="宋体"/>
          <w:b/>
          <w:bCs/>
        </w:rPr>
      </w:pPr>
      <w:bookmarkStart w:id="1189" w:name="_Toc15603"/>
      <w:bookmarkStart w:id="1190" w:name="_Toc18114"/>
      <w:bookmarkStart w:id="1191" w:name="_Toc32071"/>
      <w:bookmarkStart w:id="1192" w:name="_Toc193981319"/>
      <w:bookmarkStart w:id="1193" w:name="_Toc7405"/>
      <w:bookmarkStart w:id="1194" w:name="_Toc17278"/>
      <w:r>
        <w:rPr>
          <w:rFonts w:hint="eastAsia" w:hAnsi="宋体"/>
          <w:b/>
          <w:bCs/>
        </w:rPr>
        <w:t>12</w:t>
      </w:r>
      <w:r>
        <w:rPr>
          <w:rFonts w:hAnsi="宋体"/>
          <w:b/>
          <w:bCs/>
        </w:rPr>
        <w:t>.乙方的权利和义务</w:t>
      </w:r>
      <w:bookmarkEnd w:id="1189"/>
      <w:bookmarkEnd w:id="1190"/>
      <w:bookmarkEnd w:id="1191"/>
      <w:bookmarkEnd w:id="1192"/>
      <w:bookmarkEnd w:id="1193"/>
      <w:bookmarkEnd w:id="1194"/>
    </w:p>
    <w:p w14:paraId="78C6267F">
      <w:pPr>
        <w:adjustRightInd/>
        <w:spacing w:before="0" w:beforeLines="0" w:line="360" w:lineRule="auto"/>
        <w:ind w:firstLine="480"/>
        <w:jc w:val="left"/>
        <w:rPr>
          <w:rFonts w:hAnsi="宋体" w:cs="宋体"/>
        </w:rPr>
      </w:pPr>
      <w:r>
        <w:rPr>
          <w:rFonts w:hint="eastAsia" w:hAnsi="宋体" w:cs="宋体"/>
        </w:rPr>
        <w:t>12.1乙方应严格按照甲方移交乙方的资料和工程现场的实际施工情况，按要求完成受托工作，并按商定时间将有关造价成果资料提交甲方。需要时，根据甲方及政府有关部门意见对成果文件进行必要的调整补充。</w:t>
      </w:r>
    </w:p>
    <w:p w14:paraId="2DD33C06">
      <w:pPr>
        <w:autoSpaceDE w:val="0"/>
        <w:autoSpaceDN w:val="0"/>
        <w:spacing w:before="0" w:beforeLines="0" w:line="360" w:lineRule="auto"/>
        <w:ind w:firstLine="480"/>
        <w:rPr>
          <w:rFonts w:hAnsi="宋体" w:cs="宋体"/>
        </w:rPr>
      </w:pPr>
      <w:r>
        <w:rPr>
          <w:rFonts w:hint="eastAsia" w:hAnsi="宋体" w:cs="宋体"/>
        </w:rPr>
        <w:t>12.2 如乙方需根据甲方与任何第三方之间签署的合同而行使某些权力或者某些授权职责，则乙方应当事先经甲方专项授权。</w:t>
      </w:r>
    </w:p>
    <w:p w14:paraId="09D4A96B">
      <w:pPr>
        <w:autoSpaceDE w:val="0"/>
        <w:autoSpaceDN w:val="0"/>
        <w:spacing w:before="0" w:beforeLines="0" w:line="360" w:lineRule="auto"/>
        <w:ind w:firstLine="480"/>
        <w:rPr>
          <w:rFonts w:hAnsi="宋体" w:cs="宋体"/>
        </w:rPr>
      </w:pPr>
      <w:r>
        <w:rPr>
          <w:rFonts w:hint="eastAsia" w:hAnsi="宋体" w:cs="宋体"/>
        </w:rPr>
        <w:t>13.3 乙方在项目所在地必须设有满足办公条件的固定办公场所，并保持通讯、网络的畅通；乙方人员的日常办公用品以及生活开支由乙方自行负责。</w:t>
      </w:r>
    </w:p>
    <w:p w14:paraId="72573730">
      <w:pPr>
        <w:autoSpaceDE w:val="0"/>
        <w:autoSpaceDN w:val="0"/>
        <w:spacing w:before="0" w:beforeLines="0" w:line="360" w:lineRule="auto"/>
        <w:ind w:firstLine="480"/>
        <w:rPr>
          <w:rFonts w:hAnsi="宋体" w:cs="宋体"/>
        </w:rPr>
      </w:pPr>
      <w:r>
        <w:rPr>
          <w:rFonts w:hint="eastAsia" w:hAnsi="宋体" w:cs="宋体"/>
        </w:rPr>
        <w:t>12.4 制定有效的项目档案管理办法和工作程序，并据此进行档案资料管理，确保项目实施过程中形成的与合约和造价有关的所有资料或信息均完备、清晰并可追溯。</w:t>
      </w:r>
    </w:p>
    <w:p w14:paraId="003BB529">
      <w:pPr>
        <w:autoSpaceDE w:val="0"/>
        <w:autoSpaceDN w:val="0"/>
        <w:spacing w:before="0" w:beforeLines="0" w:line="360" w:lineRule="auto"/>
        <w:ind w:firstLine="480"/>
        <w:rPr>
          <w:rFonts w:hAnsi="宋体" w:cs="宋体"/>
        </w:rPr>
      </w:pPr>
      <w:r>
        <w:rPr>
          <w:rFonts w:hint="eastAsia" w:hAnsi="宋体" w:cs="宋体"/>
        </w:rPr>
        <w:t>12.5 对于甲方提供的图纸、资料、财产以及需要移交给甲方的档案和资料等，应妥善保管并在项目服务工作全部结束后及时办理移交手续。</w:t>
      </w:r>
    </w:p>
    <w:p w14:paraId="1C492EE1">
      <w:pPr>
        <w:autoSpaceDE w:val="0"/>
        <w:autoSpaceDN w:val="0"/>
        <w:spacing w:before="0" w:beforeLines="0" w:line="360" w:lineRule="auto"/>
        <w:ind w:firstLine="480"/>
        <w:rPr>
          <w:rFonts w:hAnsi="宋体" w:cs="宋体"/>
        </w:rPr>
      </w:pPr>
      <w:r>
        <w:rPr>
          <w:rFonts w:hint="eastAsia" w:hAnsi="宋体" w:cs="宋体"/>
        </w:rPr>
        <w:t>12.6 乙方应在服务范围内与甲方委托的其他专业顾问单位充分合作及协调，及时参与甲方、专业顾问的现场会议。</w:t>
      </w:r>
    </w:p>
    <w:p w14:paraId="4FD5DCB1">
      <w:pPr>
        <w:autoSpaceDE w:val="0"/>
        <w:autoSpaceDN w:val="0"/>
        <w:spacing w:before="0" w:beforeLines="0" w:line="360" w:lineRule="auto"/>
        <w:ind w:firstLine="480"/>
        <w:rPr>
          <w:rFonts w:hAnsi="宋体" w:cs="宋体"/>
        </w:rPr>
      </w:pPr>
      <w:r>
        <w:rPr>
          <w:rFonts w:hint="eastAsia" w:hAnsi="宋体" w:cs="宋体"/>
        </w:rPr>
        <w:t>12.7 乙方应根据甲方对本项目服务要求，组织有经验、有能力的专业团队为本项目提供优质服务。由乙方指派的从事项目工作人员均应接受资格、资质审查，使其适合并胜任工作。乙方委派的人员应具有国家认可的相应等级的资质、专业资格，同时他们的资格能被甲方接受，具体团队成员名单详见附件。</w:t>
      </w:r>
    </w:p>
    <w:p w14:paraId="683C31CA">
      <w:pPr>
        <w:autoSpaceDE w:val="0"/>
        <w:autoSpaceDN w:val="0"/>
        <w:spacing w:before="0" w:beforeLines="0" w:line="360" w:lineRule="auto"/>
        <w:ind w:firstLine="480"/>
        <w:rPr>
          <w:rFonts w:hAnsi="宋体" w:cs="宋体"/>
        </w:rPr>
      </w:pPr>
      <w:r>
        <w:rPr>
          <w:rFonts w:hint="eastAsia" w:hAnsi="宋体" w:cs="宋体"/>
        </w:rPr>
        <w:t>12.8 如果乙方委派的人员不具有国家认可的相应等级的资质、专业资格或不被甲方接受，而甲方认为这些服务专业资格是圆满履行服务所必需的前提，甲方有权要求乙方更换，若乙方拒绝更换的，甲方有权解除合同。</w:t>
      </w:r>
    </w:p>
    <w:p w14:paraId="1088F8EF">
      <w:pPr>
        <w:autoSpaceDE w:val="0"/>
        <w:autoSpaceDN w:val="0"/>
        <w:spacing w:before="0" w:beforeLines="0" w:line="360" w:lineRule="auto"/>
        <w:ind w:firstLine="480"/>
        <w:rPr>
          <w:rFonts w:hAnsi="宋体" w:cs="宋体"/>
        </w:rPr>
      </w:pPr>
      <w:r>
        <w:rPr>
          <w:rFonts w:hint="eastAsia" w:hAnsi="宋体" w:cs="宋体"/>
        </w:rPr>
        <w:t>12.9 在解决问题前，乙方有义务向甲方代表汇报解决问题的方式或办法。</w:t>
      </w:r>
    </w:p>
    <w:p w14:paraId="022E4A81">
      <w:pPr>
        <w:autoSpaceDE w:val="0"/>
        <w:autoSpaceDN w:val="0"/>
        <w:spacing w:before="0" w:beforeLines="0" w:line="360" w:lineRule="auto"/>
        <w:ind w:firstLine="480"/>
        <w:rPr>
          <w:rFonts w:hAnsi="宋体" w:cs="宋体"/>
        </w:rPr>
      </w:pPr>
      <w:r>
        <w:rPr>
          <w:rFonts w:hint="eastAsia" w:hAnsi="宋体" w:cs="宋体"/>
        </w:rPr>
        <w:t>12.10 乙方应无条件遵守甲方制定的本项目造价业务工作流程及相关规定；对甲方提出有关造价服务成果的质疑，乙方应给予及时、细致、合理的书面解答。</w:t>
      </w:r>
    </w:p>
    <w:p w14:paraId="0E006F79">
      <w:pPr>
        <w:autoSpaceDE w:val="0"/>
        <w:autoSpaceDN w:val="0"/>
        <w:spacing w:before="0" w:beforeLines="0" w:line="360" w:lineRule="auto"/>
        <w:ind w:firstLine="480"/>
        <w:rPr>
          <w:rFonts w:hAnsi="宋体" w:cs="宋体"/>
        </w:rPr>
      </w:pPr>
      <w:r>
        <w:rPr>
          <w:rFonts w:hint="eastAsia" w:hAnsi="宋体" w:cs="宋体"/>
        </w:rPr>
        <w:t>12.11 乙方应遵守本合同之保密要求，并采取相应的保密措施，以防泄露造价服务成果；保密义务在本合同有效期内及本合同终止后持续存在。</w:t>
      </w:r>
    </w:p>
    <w:p w14:paraId="62065AC1">
      <w:pPr>
        <w:autoSpaceDE w:val="0"/>
        <w:autoSpaceDN w:val="0"/>
        <w:spacing w:before="0" w:beforeLines="0" w:line="360" w:lineRule="auto"/>
        <w:ind w:firstLine="480"/>
        <w:rPr>
          <w:rFonts w:hAnsi="宋体" w:cs="宋体"/>
        </w:rPr>
      </w:pPr>
      <w:r>
        <w:rPr>
          <w:rFonts w:hint="eastAsia" w:hAnsi="宋体" w:cs="宋体"/>
        </w:rPr>
        <w:t>12.12 乙方与甲方以外的第三方 (不包括乙方聘用的顾问单位) 交换资料、文件均需经过甲方批准，并通过甲方交付第三方。未经甲方书面同意，乙方不得向第三方披露、转让甲方提供的包括但不限于图纸、文件等乙方因提供服务而获知的资料、商业秘密和乙方向甲方提供的全部成果资料。</w:t>
      </w:r>
    </w:p>
    <w:p w14:paraId="22FD6C22">
      <w:pPr>
        <w:autoSpaceDE w:val="0"/>
        <w:autoSpaceDN w:val="0"/>
        <w:spacing w:before="0" w:beforeLines="0" w:line="360" w:lineRule="auto"/>
        <w:ind w:firstLine="480"/>
        <w:rPr>
          <w:rFonts w:hAnsi="宋体" w:cs="宋体"/>
        </w:rPr>
      </w:pPr>
      <w:r>
        <w:rPr>
          <w:rFonts w:hint="eastAsia" w:hAnsi="宋体" w:cs="宋体"/>
        </w:rPr>
        <w:t>12.13 乙方为履行本合同不得从事可能与甲方的利益有冲突的任何活动。</w:t>
      </w:r>
    </w:p>
    <w:p w14:paraId="0A77A88F">
      <w:pPr>
        <w:autoSpaceDE w:val="0"/>
        <w:autoSpaceDN w:val="0"/>
        <w:spacing w:before="0" w:beforeLines="0" w:line="360" w:lineRule="auto"/>
        <w:ind w:firstLine="480"/>
        <w:rPr>
          <w:rFonts w:hAnsi="宋体" w:cs="宋体"/>
        </w:rPr>
      </w:pPr>
      <w:r>
        <w:rPr>
          <w:rFonts w:hint="eastAsia" w:hAnsi="宋体" w:cs="宋体"/>
        </w:rPr>
        <w:t>12.14 为保证乙方提交的工作成果的质量，乙方必须建立保证工作质量的相关制度。</w:t>
      </w:r>
    </w:p>
    <w:p w14:paraId="25F530F3">
      <w:pPr>
        <w:autoSpaceDE w:val="0"/>
        <w:autoSpaceDN w:val="0"/>
        <w:spacing w:before="0" w:beforeLines="0" w:line="360" w:lineRule="auto"/>
        <w:ind w:firstLine="480"/>
        <w:rPr>
          <w:rFonts w:hAnsi="宋体" w:cs="宋体"/>
        </w:rPr>
      </w:pPr>
      <w:r>
        <w:rPr>
          <w:rFonts w:hint="eastAsia" w:hAnsi="宋体" w:cs="宋体"/>
        </w:rPr>
        <w:t>12.15 乙方承诺，在提供本合同服务过程中，乙方将竭诚为甲方服务，向甲方提出各种相关工期、质量、成本方面的合理化建议，保障甲方之最大利益。</w:t>
      </w:r>
    </w:p>
    <w:p w14:paraId="6A005A87">
      <w:pPr>
        <w:autoSpaceDE w:val="0"/>
        <w:autoSpaceDN w:val="0"/>
        <w:spacing w:before="0" w:beforeLines="0" w:line="360" w:lineRule="auto"/>
        <w:ind w:firstLine="480"/>
        <w:rPr>
          <w:rFonts w:hAnsi="宋体" w:cs="宋体"/>
          <w:lang w:val="zh-CN"/>
        </w:rPr>
      </w:pPr>
      <w:r>
        <w:rPr>
          <w:rFonts w:hint="eastAsia" w:hAnsi="宋体" w:cs="宋体"/>
        </w:rPr>
        <w:t>12.16</w:t>
      </w:r>
      <w:r>
        <w:rPr>
          <w:rFonts w:hint="eastAsia" w:hAnsi="宋体" w:cs="宋体"/>
          <w:lang w:val="zh-CN"/>
        </w:rPr>
        <w:t xml:space="preserve"> 乙方要严格遵守国家、地方、行业的法律、法规和有关规章制度，严格遵守《工程造价咨询单位</w:t>
      </w:r>
      <w:r>
        <w:rPr>
          <w:rFonts w:hint="eastAsia" w:hAnsi="宋体" w:cs="宋体"/>
        </w:rPr>
        <w:t>执业</w:t>
      </w:r>
      <w:r>
        <w:rPr>
          <w:rFonts w:hint="eastAsia" w:hAnsi="宋体" w:cs="宋体"/>
          <w:lang w:val="zh-CN"/>
        </w:rPr>
        <w:t>行为准则》、《造价工程师职业道德行为准则》。</w:t>
      </w:r>
    </w:p>
    <w:p w14:paraId="4A7D64D5">
      <w:pPr>
        <w:autoSpaceDE w:val="0"/>
        <w:autoSpaceDN w:val="0"/>
        <w:spacing w:before="0" w:beforeLines="0" w:line="360" w:lineRule="auto"/>
        <w:ind w:firstLine="480"/>
        <w:rPr>
          <w:rFonts w:hAnsi="宋体" w:cs="宋体"/>
          <w:lang w:val="zh-CN"/>
        </w:rPr>
      </w:pPr>
      <w:r>
        <w:rPr>
          <w:rFonts w:hint="eastAsia" w:hAnsi="宋体" w:cs="宋体"/>
        </w:rPr>
        <w:t xml:space="preserve">12.17 </w:t>
      </w:r>
      <w:r>
        <w:rPr>
          <w:rFonts w:hint="eastAsia" w:hAnsi="宋体" w:cs="宋体"/>
          <w:lang w:val="zh-CN"/>
        </w:rPr>
        <w:t>乙方在进行造价成果文件编制时，对图纸不清或把握不准的要向甲方进行反映并沟通；对工程量清单要进行描述并表述清楚，不能含糊不清或模棱两可。</w:t>
      </w:r>
    </w:p>
    <w:p w14:paraId="6288D75B">
      <w:pPr>
        <w:autoSpaceDE w:val="0"/>
        <w:autoSpaceDN w:val="0"/>
        <w:spacing w:before="0" w:beforeLines="0" w:line="360" w:lineRule="auto"/>
        <w:ind w:firstLine="480"/>
        <w:rPr>
          <w:rFonts w:hAnsi="宋体" w:cs="宋体"/>
          <w:lang w:val="zh-CN"/>
        </w:rPr>
      </w:pPr>
      <w:r>
        <w:rPr>
          <w:rFonts w:hint="eastAsia" w:hAnsi="宋体" w:cs="宋体"/>
        </w:rPr>
        <w:t>12.18</w:t>
      </w:r>
      <w:r>
        <w:rPr>
          <w:rFonts w:hint="eastAsia" w:hAnsi="宋体" w:cs="宋体"/>
          <w:lang w:val="zh-CN"/>
        </w:rPr>
        <w:t xml:space="preserve"> 乙方应在规定的时间向甲方提供造价成果文件和工程量计算式，甲方进行审核，发现有疑问或工程量数据有出入，可向乙方提出异议以及合理的意见和建议，乙方应积极解答或与甲方（或其委托的专业造价顾问机构）核对，根据审查意见和终审意见并依据工程项目的客观实际情况修改后，乙方出具最符合独立、客观、公正、正确等要求的正式造价</w:t>
      </w:r>
      <w:r>
        <w:rPr>
          <w:rFonts w:hint="eastAsia" w:hAnsi="宋体" w:cs="宋体"/>
        </w:rPr>
        <w:t>服务成果</w:t>
      </w:r>
      <w:r>
        <w:rPr>
          <w:rFonts w:hint="eastAsia" w:hAnsi="宋体" w:cs="宋体"/>
          <w:lang w:val="zh-CN"/>
        </w:rPr>
        <w:t>文件（含书面文件及电子文件）。</w:t>
      </w:r>
    </w:p>
    <w:p w14:paraId="52476F98">
      <w:pPr>
        <w:autoSpaceDE w:val="0"/>
        <w:autoSpaceDN w:val="0"/>
        <w:spacing w:before="0" w:beforeLines="0" w:line="360" w:lineRule="auto"/>
        <w:ind w:firstLine="480"/>
        <w:rPr>
          <w:rFonts w:hAnsi="宋体" w:cs="宋体"/>
          <w:lang w:val="zh-CN"/>
        </w:rPr>
      </w:pPr>
      <w:r>
        <w:rPr>
          <w:rFonts w:hint="eastAsia" w:hAnsi="宋体" w:cs="宋体"/>
        </w:rPr>
        <w:t>12.19</w:t>
      </w:r>
      <w:r>
        <w:rPr>
          <w:rFonts w:hint="eastAsia" w:hAnsi="宋体" w:cs="宋体"/>
          <w:lang w:val="zh-CN"/>
        </w:rPr>
        <w:t xml:space="preserve"> 乙方应服从甲方的安排，参加造价服务所需数据采集过程中需要乙方到场参与的工作（如现场收方、工程量实地测量等）。</w:t>
      </w:r>
    </w:p>
    <w:p w14:paraId="18D2C042">
      <w:pPr>
        <w:autoSpaceDE w:val="0"/>
        <w:autoSpaceDN w:val="0"/>
        <w:spacing w:before="0" w:beforeLines="0" w:line="360" w:lineRule="auto"/>
        <w:ind w:firstLine="480"/>
        <w:rPr>
          <w:rFonts w:hAnsi="宋体" w:cs="宋体"/>
          <w:lang w:val="zh-CN"/>
        </w:rPr>
      </w:pPr>
      <w:r>
        <w:rPr>
          <w:rFonts w:hint="eastAsia" w:hAnsi="宋体" w:cs="宋体"/>
        </w:rPr>
        <w:t>12.20</w:t>
      </w:r>
      <w:r>
        <w:rPr>
          <w:rFonts w:hint="eastAsia" w:hAnsi="宋体" w:cs="宋体"/>
          <w:lang w:val="zh-CN"/>
        </w:rPr>
        <w:t xml:space="preserve"> 乙方应服从甲方的安排，在进行工程造价服务过程中与第三方进行造价核对。</w:t>
      </w:r>
    </w:p>
    <w:p w14:paraId="5A16F64C">
      <w:pPr>
        <w:autoSpaceDE w:val="0"/>
        <w:autoSpaceDN w:val="0"/>
        <w:spacing w:before="0" w:beforeLines="0" w:line="360" w:lineRule="auto"/>
        <w:ind w:firstLine="480"/>
        <w:rPr>
          <w:rFonts w:hAnsi="宋体" w:cs="宋体"/>
          <w:lang w:val="zh-CN"/>
        </w:rPr>
      </w:pPr>
      <w:r>
        <w:rPr>
          <w:rFonts w:hint="eastAsia" w:hAnsi="宋体" w:cs="宋体"/>
        </w:rPr>
        <w:t>12.21</w:t>
      </w:r>
      <w:r>
        <w:rPr>
          <w:rFonts w:hint="eastAsia" w:hAnsi="宋体" w:cs="宋体"/>
          <w:lang w:val="zh-CN"/>
        </w:rPr>
        <w:t xml:space="preserve"> 乙方必须对工程造价</w:t>
      </w:r>
      <w:r>
        <w:rPr>
          <w:rFonts w:hint="eastAsia" w:hAnsi="宋体" w:cs="宋体"/>
        </w:rPr>
        <w:t>服务</w:t>
      </w:r>
      <w:r>
        <w:rPr>
          <w:rFonts w:hint="eastAsia" w:hAnsi="宋体" w:cs="宋体"/>
          <w:lang w:val="zh-CN"/>
        </w:rPr>
        <w:t>成果实行审核，审核人须为执业注册造价工程师，并及时备份</w:t>
      </w:r>
      <w:r>
        <w:rPr>
          <w:rFonts w:hint="eastAsia" w:hAnsi="宋体" w:cs="宋体"/>
        </w:rPr>
        <w:t>造价</w:t>
      </w:r>
      <w:r>
        <w:rPr>
          <w:rFonts w:hint="eastAsia" w:hAnsi="宋体" w:cs="宋体"/>
          <w:lang w:val="zh-CN"/>
        </w:rPr>
        <w:t>成果文件。</w:t>
      </w:r>
    </w:p>
    <w:p w14:paraId="3D746E0B">
      <w:pPr>
        <w:autoSpaceDE w:val="0"/>
        <w:autoSpaceDN w:val="0"/>
        <w:spacing w:before="0" w:beforeLines="0" w:line="360" w:lineRule="auto"/>
        <w:ind w:firstLine="480"/>
        <w:rPr>
          <w:rFonts w:hAnsi="宋体" w:cs="宋体"/>
          <w:lang w:val="zh-CN"/>
        </w:rPr>
      </w:pPr>
      <w:r>
        <w:rPr>
          <w:rFonts w:hint="eastAsia" w:hAnsi="宋体" w:cs="宋体"/>
        </w:rPr>
        <w:t xml:space="preserve">12.22 </w:t>
      </w:r>
      <w:r>
        <w:rPr>
          <w:rFonts w:hint="eastAsia" w:hAnsi="宋体" w:cs="宋体"/>
          <w:lang w:val="zh-CN"/>
        </w:rPr>
        <w:t>最终完整造价成果文件必须由编制人、审核人签名并加盖执业章，单位法定代表人（或委托代理人）签名并加盖法人公章；</w:t>
      </w:r>
    </w:p>
    <w:p w14:paraId="69B3F17F">
      <w:pPr>
        <w:autoSpaceDE w:val="0"/>
        <w:autoSpaceDN w:val="0"/>
        <w:snapToGrid/>
        <w:spacing w:before="0" w:beforeLines="0" w:line="360" w:lineRule="auto"/>
        <w:ind w:firstLine="480"/>
        <w:rPr>
          <w:rFonts w:ascii="Times New Roman"/>
        </w:rPr>
      </w:pPr>
      <w:r>
        <w:rPr>
          <w:rFonts w:hint="eastAsia" w:hAnsi="宋体" w:cs="宋体"/>
        </w:rPr>
        <w:t>12.23</w:t>
      </w:r>
      <w:r>
        <w:rPr>
          <w:rFonts w:hint="eastAsia" w:hAnsi="宋体" w:cs="宋体"/>
          <w:lang w:val="zh-CN"/>
        </w:rPr>
        <w:t xml:space="preserve"> 乙方须配合甲方对工程造价相关指标进行分析，提供类似工程相关参考数据。</w:t>
      </w:r>
    </w:p>
    <w:p w14:paraId="029A1664">
      <w:pPr>
        <w:autoSpaceDE w:val="0"/>
        <w:autoSpaceDN w:val="0"/>
        <w:spacing w:before="0" w:beforeLines="0" w:line="360" w:lineRule="auto"/>
        <w:ind w:firstLine="480"/>
        <w:rPr>
          <w:rFonts w:hAnsi="宋体" w:cs="宋体"/>
          <w:lang w:val="zh-CN"/>
        </w:rPr>
      </w:pPr>
      <w:r>
        <w:rPr>
          <w:rFonts w:hint="eastAsia" w:hAnsi="宋体" w:cs="宋体"/>
        </w:rPr>
        <w:t xml:space="preserve">12.24 </w:t>
      </w:r>
      <w:r>
        <w:rPr>
          <w:rFonts w:hint="eastAsia" w:hAnsi="宋体" w:cs="宋体"/>
          <w:lang w:val="zh-CN"/>
        </w:rPr>
        <w:t>招标控制价文件的编制质量及签署、装订、保密措施和送审等，均应符合有关法律、法规以及政府工程造价管理部门和招标管理机构的有关规定。</w:t>
      </w:r>
    </w:p>
    <w:p w14:paraId="194657A8">
      <w:pPr>
        <w:adjustRightInd/>
        <w:spacing w:before="0" w:beforeLines="0" w:line="360" w:lineRule="auto"/>
        <w:ind w:firstLine="480"/>
        <w:rPr>
          <w:rFonts w:hAnsi="宋体" w:cs="宋体"/>
          <w:lang w:val="zh-CN"/>
        </w:rPr>
      </w:pPr>
      <w:r>
        <w:rPr>
          <w:rFonts w:hint="eastAsia" w:hAnsi="宋体" w:cs="宋体"/>
        </w:rPr>
        <w:t>12.25</w:t>
      </w:r>
      <w:r>
        <w:rPr>
          <w:rFonts w:hint="eastAsia" w:hAnsi="宋体" w:cs="宋体"/>
          <w:lang w:val="zh-CN"/>
        </w:rPr>
        <w:t xml:space="preserve"> 如因甲方提供的资料不完整，影响造价</w:t>
      </w:r>
      <w:r>
        <w:rPr>
          <w:rFonts w:hint="eastAsia" w:hAnsi="宋体" w:cs="宋体"/>
        </w:rPr>
        <w:t>服务</w:t>
      </w:r>
      <w:r>
        <w:rPr>
          <w:rFonts w:hint="eastAsia" w:hAnsi="宋体" w:cs="宋体"/>
          <w:lang w:val="zh-CN"/>
        </w:rPr>
        <w:t>工作开展的，乙方应及时向甲方书面提出补充相关资料的要求，从乙方提出补充资料的要求至甲方补全资料前的时间不计入乙方的工作时限，除此之外的累计工作时限不得超过甲方要求的工作时限。</w:t>
      </w:r>
    </w:p>
    <w:p w14:paraId="5116FF90">
      <w:pPr>
        <w:adjustRightInd/>
        <w:spacing w:before="0" w:beforeLines="0" w:line="360" w:lineRule="auto"/>
        <w:ind w:firstLine="482"/>
        <w:jc w:val="left"/>
        <w:outlineLvl w:val="2"/>
        <w:rPr>
          <w:rFonts w:hAnsi="宋体"/>
          <w:b/>
          <w:bCs/>
        </w:rPr>
      </w:pPr>
      <w:bookmarkStart w:id="1195" w:name="_Toc13715"/>
      <w:bookmarkStart w:id="1196" w:name="_Toc76"/>
      <w:bookmarkStart w:id="1197" w:name="_Toc7009"/>
      <w:bookmarkStart w:id="1198" w:name="_Toc491534477"/>
      <w:bookmarkStart w:id="1199" w:name="_Toc193981320"/>
      <w:bookmarkStart w:id="1200" w:name="_Toc31543"/>
      <w:bookmarkStart w:id="1201" w:name="_Toc30905"/>
      <w:bookmarkStart w:id="1202" w:name="_Toc16104"/>
      <w:bookmarkStart w:id="1203" w:name="_Toc10729"/>
      <w:bookmarkStart w:id="1204" w:name="_Toc14425"/>
      <w:r>
        <w:rPr>
          <w:rFonts w:hint="eastAsia" w:hAnsi="宋体"/>
          <w:b/>
          <w:bCs/>
        </w:rPr>
        <w:t>13</w:t>
      </w:r>
      <w:r>
        <w:rPr>
          <w:rFonts w:hAnsi="宋体"/>
          <w:b/>
          <w:bCs/>
        </w:rPr>
        <w:t>.违约责任</w:t>
      </w:r>
      <w:bookmarkEnd w:id="1195"/>
      <w:bookmarkEnd w:id="1196"/>
      <w:bookmarkEnd w:id="1197"/>
      <w:bookmarkEnd w:id="1198"/>
      <w:bookmarkEnd w:id="1199"/>
      <w:bookmarkEnd w:id="1200"/>
      <w:bookmarkEnd w:id="1201"/>
      <w:bookmarkEnd w:id="1202"/>
      <w:bookmarkEnd w:id="1203"/>
      <w:bookmarkEnd w:id="1204"/>
    </w:p>
    <w:p w14:paraId="4E77C6F2">
      <w:pPr>
        <w:adjustRightInd/>
        <w:spacing w:before="0" w:beforeLines="0" w:line="360" w:lineRule="auto"/>
        <w:ind w:firstLine="480"/>
        <w:jc w:val="left"/>
        <w:rPr>
          <w:rFonts w:hAnsi="宋体"/>
        </w:rPr>
      </w:pPr>
      <w:r>
        <w:rPr>
          <w:rFonts w:hint="eastAsia" w:hAnsi="宋体"/>
        </w:rPr>
        <w:t>13.1甲方应当履行造价服务合同约定的义务，如有违反则应当承担违约责任，赔偿给乙方造成的损失。</w:t>
      </w:r>
    </w:p>
    <w:p w14:paraId="3374B904">
      <w:pPr>
        <w:adjustRightInd/>
        <w:spacing w:before="0" w:beforeLines="0" w:line="360" w:lineRule="auto"/>
        <w:ind w:firstLine="480"/>
        <w:jc w:val="left"/>
        <w:rPr>
          <w:rFonts w:hAnsi="宋体"/>
        </w:rPr>
      </w:pPr>
      <w:bookmarkStart w:id="1205" w:name="_Toc9009"/>
      <w:r>
        <w:rPr>
          <w:rFonts w:hint="eastAsia" w:hAnsi="宋体"/>
        </w:rPr>
        <w:t>13.2甲方如果向乙方提出赔偿或其他要求不能成立时，则应补偿由于该赔偿或其他要求所导致乙方的各种合理费用的支出。</w:t>
      </w:r>
      <w:bookmarkEnd w:id="1205"/>
      <w:bookmarkStart w:id="1206" w:name="_Toc3523"/>
    </w:p>
    <w:bookmarkEnd w:id="1206"/>
    <w:p w14:paraId="669AB082">
      <w:pPr>
        <w:adjustRightInd/>
        <w:spacing w:before="0" w:beforeLines="0" w:line="360" w:lineRule="auto"/>
        <w:ind w:firstLine="480"/>
        <w:jc w:val="left"/>
        <w:rPr>
          <w:rFonts w:hAnsi="宋体"/>
        </w:rPr>
      </w:pPr>
      <w:r>
        <w:rPr>
          <w:rFonts w:hint="eastAsia" w:hAnsi="宋体"/>
        </w:rPr>
        <w:t>13.3乙方的责任期与本项目建设工程造价服务的目的相适应。如因非乙方的责任造成进度的推迟或延误而超过约定的日期，双方应进一步约定相应延长合同期限。</w:t>
      </w:r>
    </w:p>
    <w:p w14:paraId="32461BD4">
      <w:pPr>
        <w:adjustRightInd/>
        <w:spacing w:before="0" w:beforeLines="0" w:line="360" w:lineRule="auto"/>
        <w:ind w:firstLine="480"/>
        <w:jc w:val="left"/>
        <w:rPr>
          <w:rFonts w:hAnsi="宋体"/>
        </w:rPr>
      </w:pPr>
      <w:r>
        <w:rPr>
          <w:rFonts w:hint="eastAsia" w:hAnsi="宋体"/>
        </w:rPr>
        <w:t>13.4乙方责任期内，应当履行建设工程造价服务合同中约定的义务，因乙方的单方过失造成的经济损失，应当按造成的相关损失金额向甲方进行照价赔偿。</w:t>
      </w:r>
    </w:p>
    <w:p w14:paraId="745D4B94">
      <w:pPr>
        <w:adjustRightInd/>
        <w:spacing w:before="0" w:beforeLines="0" w:line="360" w:lineRule="auto"/>
        <w:ind w:firstLine="480"/>
        <w:jc w:val="left"/>
        <w:rPr>
          <w:rFonts w:hAnsi="宋体"/>
        </w:rPr>
      </w:pPr>
      <w:r>
        <w:rPr>
          <w:rFonts w:hint="eastAsia" w:hAnsi="宋体"/>
        </w:rPr>
        <w:t>13.5乙方对甲方或第三人所提出的问题不能及时核对或答复，导致合同不能全部或部分履行，乙方应承担相关责任及损失。</w:t>
      </w:r>
    </w:p>
    <w:p w14:paraId="1EADD8FC">
      <w:pPr>
        <w:adjustRightInd/>
        <w:spacing w:before="0" w:beforeLines="0" w:line="360" w:lineRule="auto"/>
        <w:ind w:firstLine="480"/>
        <w:jc w:val="left"/>
        <w:rPr>
          <w:rFonts w:hAnsi="宋体"/>
        </w:rPr>
      </w:pPr>
      <w:r>
        <w:rPr>
          <w:rFonts w:hint="eastAsia" w:hAnsi="宋体"/>
        </w:rPr>
        <w:t>13.6乙方向甲方提出赔偿要求不能成立时，则应补偿由于该赔偿或其他要求所导致甲方的各种合理费用的支出。</w:t>
      </w:r>
    </w:p>
    <w:p w14:paraId="6F4E954D">
      <w:pPr>
        <w:adjustRightInd/>
        <w:spacing w:before="0" w:beforeLines="0" w:line="360" w:lineRule="auto"/>
        <w:ind w:firstLine="480"/>
        <w:jc w:val="left"/>
        <w:rPr>
          <w:rFonts w:hAnsi="宋体"/>
        </w:rPr>
      </w:pPr>
      <w:bookmarkStart w:id="1207" w:name="_Toc12048"/>
      <w:r>
        <w:rPr>
          <w:rFonts w:hint="eastAsia" w:hAnsi="宋体"/>
        </w:rPr>
        <w:t>13.7乙方应积极配合甲方的工作，服从甲方的安排，如果因乙方的原因给甲方造成财产损失或乙方有违反职业道德或欺骗甲方的行为，甲方有权单方终止合同并有权终止向乙方支付一切费用。</w:t>
      </w:r>
      <w:bookmarkEnd w:id="1207"/>
      <w:bookmarkStart w:id="1208" w:name="_Toc8742"/>
      <w:bookmarkStart w:id="1209" w:name="_Toc14453"/>
      <w:bookmarkStart w:id="1210" w:name="_Toc13816"/>
      <w:bookmarkStart w:id="1211" w:name="_Toc491534479"/>
      <w:bookmarkStart w:id="1212" w:name="_Toc11628"/>
    </w:p>
    <w:p w14:paraId="33EABF2D">
      <w:pPr>
        <w:adjustRightInd/>
        <w:spacing w:before="0" w:beforeLines="0" w:line="360" w:lineRule="auto"/>
        <w:ind w:firstLine="480"/>
        <w:jc w:val="left"/>
        <w:rPr>
          <w:rFonts w:hAnsi="宋体"/>
        </w:rPr>
      </w:pPr>
      <w:r>
        <w:rPr>
          <w:rFonts w:hint="eastAsia" w:hAnsi="宋体"/>
        </w:rPr>
        <w:t>13.8乙方存在不良信用行为的，甲方有权将乙方列入甲方的不良信用名单，并按《南宁轨道地产集团有限责任公司不良信用名单管理办法》《南宁轨道地产集团有限责任公司不良信息名单实施细则》对乙方进行处理。</w:t>
      </w:r>
    </w:p>
    <w:p w14:paraId="4B9AE4C6">
      <w:pPr>
        <w:adjustRightInd/>
        <w:spacing w:before="0" w:beforeLines="0" w:line="360" w:lineRule="auto"/>
        <w:ind w:firstLine="480"/>
        <w:jc w:val="left"/>
        <w:rPr>
          <w:rFonts w:hAnsi="宋体"/>
        </w:rPr>
      </w:pPr>
      <w:r>
        <w:rPr>
          <w:rFonts w:hint="eastAsia" w:hAnsi="宋体"/>
        </w:rPr>
        <w:t>13.9</w:t>
      </w:r>
      <w:r>
        <w:rPr>
          <w:rFonts w:hAnsi="宋体"/>
        </w:rPr>
        <w:t>因乙方原因导致合同解除或终止，乙方须按合同总额的20%向甲方支付违约金，并承担因此给甲方造成的所有损失。</w:t>
      </w:r>
    </w:p>
    <w:p w14:paraId="1B65A947">
      <w:pPr>
        <w:autoSpaceDE w:val="0"/>
        <w:autoSpaceDN w:val="0"/>
        <w:spacing w:before="0" w:beforeLines="0" w:line="360" w:lineRule="auto"/>
        <w:ind w:firstLine="480"/>
        <w:rPr>
          <w:rFonts w:hAnsi="宋体" w:cs="宋体"/>
        </w:rPr>
      </w:pPr>
      <w:r>
        <w:rPr>
          <w:rFonts w:hint="eastAsia" w:hAnsi="宋体"/>
        </w:rPr>
        <w:t>13.10</w:t>
      </w:r>
      <w:r>
        <w:rPr>
          <w:rFonts w:hint="eastAsia" w:hAnsi="宋体" w:cs="宋体"/>
        </w:rPr>
        <w:t>乙方必须按照招标文件的规定安排项目负责人、技术总负责人、土建安装负责人及各造价服务人员，并保证在合同执行过程中人员的稳定，如确须更换人员，需报甲方批准后方可调整，更换人员条件与原人员资格要求条件相当。出现如下情况，将视为违约，甲方将视情况向乙方收取违约金，严重时甲方有权解除合同：</w:t>
      </w:r>
    </w:p>
    <w:tbl>
      <w:tblPr>
        <w:tblStyle w:val="4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27"/>
        <w:gridCol w:w="3941"/>
        <w:gridCol w:w="3854"/>
      </w:tblGrid>
      <w:tr w14:paraId="1755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69" w:hRule="atLeast"/>
          <w:jc w:val="center"/>
        </w:trPr>
        <w:tc>
          <w:tcPr>
            <w:tcW w:w="427" w:type="pct"/>
            <w:shd w:val="clear" w:color="auto" w:fill="FFFFFF"/>
            <w:noWrap w:val="0"/>
            <w:vAlign w:val="center"/>
          </w:tcPr>
          <w:p w14:paraId="0BD21ECE">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序号</w:t>
            </w:r>
          </w:p>
        </w:tc>
        <w:tc>
          <w:tcPr>
            <w:tcW w:w="2312" w:type="pct"/>
            <w:shd w:val="clear" w:color="auto" w:fill="FFFFFF"/>
            <w:noWrap w:val="0"/>
            <w:vAlign w:val="center"/>
          </w:tcPr>
          <w:p w14:paraId="202FF1AB">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违约情形</w:t>
            </w:r>
          </w:p>
        </w:tc>
        <w:tc>
          <w:tcPr>
            <w:tcW w:w="2261" w:type="pct"/>
            <w:shd w:val="clear" w:color="auto" w:fill="FFFFFF"/>
            <w:noWrap w:val="0"/>
            <w:vAlign w:val="center"/>
          </w:tcPr>
          <w:p w14:paraId="797917A3">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考核金额</w:t>
            </w:r>
          </w:p>
        </w:tc>
      </w:tr>
      <w:tr w14:paraId="401B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40" w:hRule="atLeast"/>
          <w:jc w:val="center"/>
        </w:trPr>
        <w:tc>
          <w:tcPr>
            <w:tcW w:w="427" w:type="pct"/>
            <w:shd w:val="clear" w:color="auto" w:fill="FFFFFF"/>
            <w:noWrap w:val="0"/>
            <w:vAlign w:val="center"/>
          </w:tcPr>
          <w:p w14:paraId="045CC247">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1</w:t>
            </w:r>
          </w:p>
        </w:tc>
        <w:tc>
          <w:tcPr>
            <w:tcW w:w="2312" w:type="pct"/>
            <w:shd w:val="clear" w:color="auto" w:fill="FFFFFF"/>
            <w:noWrap w:val="0"/>
            <w:vAlign w:val="center"/>
          </w:tcPr>
          <w:p w14:paraId="3EF5956A">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未经甲方批准，乙方更换项目负责人、技术总负责人</w:t>
            </w:r>
          </w:p>
        </w:tc>
        <w:tc>
          <w:tcPr>
            <w:tcW w:w="2261" w:type="pct"/>
            <w:shd w:val="clear" w:color="auto" w:fill="FFFFFF"/>
            <w:noWrap w:val="0"/>
            <w:vAlign w:val="center"/>
          </w:tcPr>
          <w:p w14:paraId="1972CBD2">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10万元/人·次</w:t>
            </w:r>
          </w:p>
        </w:tc>
      </w:tr>
      <w:tr w14:paraId="5575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922" w:hRule="atLeast"/>
          <w:jc w:val="center"/>
        </w:trPr>
        <w:tc>
          <w:tcPr>
            <w:tcW w:w="427" w:type="pct"/>
            <w:shd w:val="clear" w:color="auto" w:fill="FFFFFF"/>
            <w:noWrap w:val="0"/>
            <w:vAlign w:val="center"/>
          </w:tcPr>
          <w:p w14:paraId="465E7BB1">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2</w:t>
            </w:r>
          </w:p>
        </w:tc>
        <w:tc>
          <w:tcPr>
            <w:tcW w:w="2312" w:type="pct"/>
            <w:shd w:val="clear" w:color="auto" w:fill="FFFFFF"/>
            <w:noWrap w:val="0"/>
            <w:vAlign w:val="center"/>
          </w:tcPr>
          <w:p w14:paraId="2DD565D0">
            <w:pPr>
              <w:keepNext w:val="0"/>
              <w:keepLines w:val="0"/>
              <w:suppressLineNumbers w:val="0"/>
              <w:adjustRightIn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未经甲方批准，乙方更换土建负责人、安装负责人</w:t>
            </w:r>
          </w:p>
        </w:tc>
        <w:tc>
          <w:tcPr>
            <w:tcW w:w="2261" w:type="pct"/>
            <w:shd w:val="clear" w:color="auto" w:fill="FFFFFF"/>
            <w:noWrap w:val="0"/>
            <w:vAlign w:val="center"/>
          </w:tcPr>
          <w:p w14:paraId="09B162EF">
            <w:pPr>
              <w:keepNext w:val="0"/>
              <w:keepLines w:val="0"/>
              <w:suppressLineNumbers w:val="0"/>
              <w:adjustRightInd/>
              <w:spacing w:before="0" w:beforeLines="0" w:beforeAutospacing="0" w:after="0" w:afterAutospacing="0" w:line="240" w:lineRule="auto"/>
              <w:ind w:left="0" w:right="-26" w:rightChars="-11" w:firstLine="0" w:firstLineChars="0"/>
              <w:jc w:val="left"/>
              <w:rPr>
                <w:rFonts w:hAnsi="宋体" w:eastAsia="宋体" w:cs="宋体"/>
              </w:rPr>
            </w:pPr>
            <w:r>
              <w:rPr>
                <w:rFonts w:hint="eastAsia" w:hAnsi="宋体" w:eastAsia="宋体" w:cs="宋体"/>
              </w:rPr>
              <w:t>5万元/人·次</w:t>
            </w:r>
          </w:p>
        </w:tc>
      </w:tr>
      <w:tr w14:paraId="5B8F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77" w:hRule="atLeast"/>
          <w:jc w:val="center"/>
        </w:trPr>
        <w:tc>
          <w:tcPr>
            <w:tcW w:w="427" w:type="pct"/>
            <w:shd w:val="clear" w:color="auto" w:fill="FFFFFF"/>
            <w:noWrap w:val="0"/>
            <w:vAlign w:val="center"/>
          </w:tcPr>
          <w:p w14:paraId="4E0A9D8C">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3</w:t>
            </w:r>
          </w:p>
        </w:tc>
        <w:tc>
          <w:tcPr>
            <w:tcW w:w="2312" w:type="pct"/>
            <w:shd w:val="clear" w:color="auto" w:fill="FFFFFF"/>
            <w:noWrap w:val="0"/>
            <w:vAlign w:val="center"/>
          </w:tcPr>
          <w:p w14:paraId="03C6B591">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未经甲方批准，乙方更换其它造价人员</w:t>
            </w:r>
          </w:p>
        </w:tc>
        <w:tc>
          <w:tcPr>
            <w:tcW w:w="2261" w:type="pct"/>
            <w:shd w:val="clear" w:color="auto" w:fill="FFFFFF"/>
            <w:noWrap w:val="0"/>
            <w:vAlign w:val="center"/>
          </w:tcPr>
          <w:p w14:paraId="179C396D">
            <w:pPr>
              <w:keepNext w:val="0"/>
              <w:keepLines w:val="0"/>
              <w:suppressLineNumbers w:val="0"/>
              <w:autoSpaceDE w:val="0"/>
              <w:autoSpaceDN w:val="0"/>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1万元/人·次</w:t>
            </w:r>
          </w:p>
        </w:tc>
      </w:tr>
      <w:tr w14:paraId="313CB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77" w:hRule="atLeast"/>
          <w:jc w:val="center"/>
        </w:trPr>
        <w:tc>
          <w:tcPr>
            <w:tcW w:w="427" w:type="pct"/>
            <w:shd w:val="clear" w:color="auto" w:fill="FFFFFF"/>
            <w:noWrap w:val="0"/>
            <w:vAlign w:val="center"/>
          </w:tcPr>
          <w:p w14:paraId="793FA40F">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4</w:t>
            </w:r>
          </w:p>
        </w:tc>
        <w:tc>
          <w:tcPr>
            <w:tcW w:w="2312" w:type="pct"/>
            <w:shd w:val="clear" w:color="auto" w:fill="FFFFFF"/>
            <w:noWrap w:val="0"/>
            <w:vAlign w:val="center"/>
          </w:tcPr>
          <w:p w14:paraId="39ACFCF8">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rPr>
            </w:pPr>
            <w:r>
              <w:rPr>
                <w:rFonts w:hint="eastAsia" w:hAnsi="宋体" w:eastAsia="宋体" w:cs="宋体"/>
              </w:rPr>
              <w:t>乙方实际进场人员不能与投标文件的承诺一致或造价人员不能按工程需要到位</w:t>
            </w:r>
          </w:p>
        </w:tc>
        <w:tc>
          <w:tcPr>
            <w:tcW w:w="2261" w:type="pct"/>
            <w:shd w:val="clear" w:color="auto" w:fill="FFFFFF"/>
            <w:noWrap w:val="0"/>
            <w:vAlign w:val="center"/>
          </w:tcPr>
          <w:p w14:paraId="4A964038">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rPr>
            </w:pPr>
            <w:r>
              <w:rPr>
                <w:rFonts w:hAnsi="宋体" w:eastAsia="宋体" w:cs="宋体"/>
                <w:kern w:val="0"/>
                <w:lang w:bidi="ar"/>
              </w:rPr>
              <w:t>项目负责人</w:t>
            </w:r>
            <w:r>
              <w:rPr>
                <w:rFonts w:hint="eastAsia" w:hAnsi="宋体" w:eastAsia="宋体" w:cs="宋体"/>
                <w:kern w:val="0"/>
                <w:lang w:bidi="ar"/>
              </w:rPr>
              <w:t>及技术总负责人</w:t>
            </w:r>
            <w:r>
              <w:rPr>
                <w:rFonts w:hAnsi="宋体" w:eastAsia="宋体" w:cs="宋体"/>
                <w:kern w:val="0"/>
                <w:lang w:bidi="ar"/>
              </w:rPr>
              <w:t>1000元/ 人</w:t>
            </w:r>
            <w:r>
              <w:rPr>
                <w:rFonts w:hint="eastAsia" w:ascii="MS Gothic" w:hAnsi="MS Gothic" w:eastAsia="MS Gothic" w:cs="MS Gothic"/>
                <w:kern w:val="0"/>
                <w:lang w:bidi="ar"/>
              </w:rPr>
              <w:t>・</w:t>
            </w:r>
            <w:r>
              <w:rPr>
                <w:rFonts w:hint="eastAsia" w:hAnsi="宋体" w:eastAsia="宋体" w:cs="宋体"/>
                <w:kern w:val="0"/>
                <w:lang w:bidi="ar"/>
              </w:rPr>
              <w:t>天，土建及安装负责人</w:t>
            </w:r>
            <w:r>
              <w:rPr>
                <w:rFonts w:hAnsi="宋体" w:eastAsia="宋体" w:cs="宋体"/>
                <w:kern w:val="0"/>
                <w:lang w:bidi="ar"/>
              </w:rPr>
              <w:t>500元/人</w:t>
            </w:r>
            <w:r>
              <w:rPr>
                <w:rFonts w:hint="eastAsia" w:ascii="MS Gothic" w:hAnsi="MS Gothic" w:eastAsia="MS Gothic" w:cs="MS Gothic"/>
                <w:kern w:val="0"/>
                <w:lang w:bidi="ar"/>
              </w:rPr>
              <w:t>・</w:t>
            </w:r>
            <w:r>
              <w:rPr>
                <w:rFonts w:hint="eastAsia" w:hAnsi="宋体" w:eastAsia="宋体" w:cs="宋体"/>
                <w:kern w:val="0"/>
                <w:lang w:bidi="ar"/>
              </w:rPr>
              <w:t>天，其他人员</w:t>
            </w:r>
            <w:r>
              <w:rPr>
                <w:rFonts w:hAnsi="宋体" w:eastAsia="宋体" w:cs="宋体"/>
                <w:kern w:val="0"/>
                <w:lang w:bidi="ar"/>
              </w:rPr>
              <w:t>100元/人</w:t>
            </w:r>
            <w:r>
              <w:rPr>
                <w:rFonts w:hint="eastAsia" w:ascii="MS Gothic" w:hAnsi="MS Gothic" w:eastAsia="MS Gothic" w:cs="MS Gothic"/>
                <w:kern w:val="0"/>
                <w:lang w:bidi="ar"/>
              </w:rPr>
              <w:t>・</w:t>
            </w:r>
            <w:r>
              <w:rPr>
                <w:rFonts w:hint="eastAsia" w:hAnsi="宋体" w:eastAsia="宋体" w:cs="宋体"/>
                <w:kern w:val="0"/>
                <w:lang w:bidi="ar"/>
              </w:rPr>
              <w:t>天，并赔偿甲方损失</w:t>
            </w:r>
          </w:p>
        </w:tc>
      </w:tr>
      <w:tr w14:paraId="3620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77" w:hRule="atLeast"/>
          <w:jc w:val="center"/>
        </w:trPr>
        <w:tc>
          <w:tcPr>
            <w:tcW w:w="427" w:type="pct"/>
            <w:shd w:val="clear" w:color="auto" w:fill="FFFFFF"/>
            <w:noWrap w:val="0"/>
            <w:vAlign w:val="center"/>
          </w:tcPr>
          <w:p w14:paraId="5E1035E6">
            <w:pPr>
              <w:keepNext w:val="0"/>
              <w:keepLines w:val="0"/>
              <w:suppressLineNumbers w:val="0"/>
              <w:adjustRightInd/>
              <w:spacing w:before="0" w:beforeLines="0" w:beforeAutospacing="0" w:after="0" w:afterAutospacing="0" w:line="240" w:lineRule="auto"/>
              <w:ind w:left="0" w:right="0" w:firstLine="0" w:firstLineChars="0"/>
              <w:jc w:val="center"/>
              <w:rPr>
                <w:rFonts w:hAnsi="宋体" w:eastAsia="宋体" w:cs="宋体"/>
              </w:rPr>
            </w:pPr>
            <w:r>
              <w:rPr>
                <w:rFonts w:hint="eastAsia" w:hAnsi="宋体" w:eastAsia="宋体" w:cs="宋体"/>
              </w:rPr>
              <w:t>5</w:t>
            </w:r>
          </w:p>
        </w:tc>
        <w:tc>
          <w:tcPr>
            <w:tcW w:w="2312" w:type="pct"/>
            <w:shd w:val="clear" w:color="auto" w:fill="FFFFFF"/>
            <w:noWrap w:val="0"/>
            <w:vAlign w:val="center"/>
          </w:tcPr>
          <w:p w14:paraId="2065CD03">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rPr>
            </w:pPr>
            <w:r>
              <w:rPr>
                <w:rFonts w:hAnsi="宋体" w:eastAsia="宋体" w:cs="宋体"/>
                <w:kern w:val="0"/>
                <w:lang w:bidi="ar"/>
              </w:rPr>
              <w:t>乙方合同承诺人员资历</w:t>
            </w:r>
            <w:r>
              <w:rPr>
                <w:rFonts w:hint="eastAsia" w:hAnsi="宋体" w:eastAsia="宋体" w:cs="宋体"/>
              </w:rPr>
              <w:t>（资历是指人员的学历、职称、资格条件（注册证书或上岗证书）、从事工作经验、岗位要求等响应内容）</w:t>
            </w:r>
            <w:r>
              <w:rPr>
                <w:rFonts w:hAnsi="宋体" w:eastAsia="宋体" w:cs="宋体"/>
                <w:kern w:val="0"/>
                <w:lang w:bidi="ar"/>
              </w:rPr>
              <w:t>与实际严重不符</w:t>
            </w:r>
          </w:p>
        </w:tc>
        <w:tc>
          <w:tcPr>
            <w:tcW w:w="2261" w:type="pct"/>
            <w:shd w:val="clear" w:color="auto" w:fill="FFFFFF"/>
            <w:noWrap w:val="0"/>
            <w:vAlign w:val="center"/>
          </w:tcPr>
          <w:p w14:paraId="6DAC6D01">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lang w:bidi="ar"/>
              </w:rPr>
            </w:pPr>
            <w:r>
              <w:rPr>
                <w:rFonts w:hAnsi="宋体" w:eastAsia="宋体" w:cs="宋体"/>
                <w:kern w:val="0"/>
                <w:lang w:bidi="ar"/>
              </w:rPr>
              <w:t>项目负责人</w:t>
            </w:r>
            <w:r>
              <w:rPr>
                <w:rFonts w:hint="eastAsia" w:hAnsi="宋体" w:eastAsia="宋体" w:cs="宋体"/>
                <w:kern w:val="0"/>
                <w:lang w:bidi="ar"/>
              </w:rPr>
              <w:t>及技术总负责人</w:t>
            </w:r>
            <w:r>
              <w:rPr>
                <w:rFonts w:hAnsi="宋体" w:eastAsia="宋体" w:cs="宋体"/>
                <w:kern w:val="0"/>
                <w:lang w:bidi="ar"/>
              </w:rPr>
              <w:t>5000元/ 人</w:t>
            </w:r>
            <w:r>
              <w:rPr>
                <w:rFonts w:hint="eastAsia" w:ascii="MS Gothic" w:hAnsi="MS Gothic" w:eastAsia="MS Gothic" w:cs="MS Gothic"/>
                <w:kern w:val="0"/>
                <w:lang w:bidi="ar"/>
              </w:rPr>
              <w:t>・</w:t>
            </w:r>
            <w:r>
              <w:rPr>
                <w:rFonts w:hint="eastAsia" w:hAnsi="宋体" w:eastAsia="宋体" w:cs="宋体"/>
                <w:kern w:val="0"/>
                <w:lang w:bidi="ar"/>
              </w:rPr>
              <w:t>次，土建及安装负责人</w:t>
            </w:r>
            <w:r>
              <w:rPr>
                <w:rFonts w:hAnsi="宋体" w:eastAsia="宋体" w:cs="宋体"/>
                <w:kern w:val="0"/>
                <w:lang w:bidi="ar"/>
              </w:rPr>
              <w:t>2000元/人</w:t>
            </w:r>
            <w:r>
              <w:rPr>
                <w:rFonts w:hint="eastAsia" w:ascii="MS Gothic" w:hAnsi="MS Gothic" w:eastAsia="MS Gothic" w:cs="MS Gothic"/>
                <w:kern w:val="0"/>
                <w:lang w:bidi="ar"/>
              </w:rPr>
              <w:t>・</w:t>
            </w:r>
            <w:r>
              <w:rPr>
                <w:rFonts w:hint="eastAsia" w:hAnsi="宋体" w:eastAsia="宋体" w:cs="宋体"/>
                <w:kern w:val="0"/>
                <w:lang w:bidi="ar"/>
              </w:rPr>
              <w:t>次，其他人员</w:t>
            </w:r>
            <w:r>
              <w:rPr>
                <w:rFonts w:hAnsi="宋体" w:eastAsia="宋体" w:cs="宋体"/>
                <w:kern w:val="0"/>
                <w:lang w:bidi="ar"/>
              </w:rPr>
              <w:t>500元/人</w:t>
            </w:r>
            <w:r>
              <w:rPr>
                <w:rFonts w:hint="eastAsia" w:ascii="MS Gothic" w:hAnsi="MS Gothic" w:eastAsia="MS Gothic" w:cs="MS Gothic"/>
                <w:kern w:val="0"/>
                <w:lang w:bidi="ar"/>
              </w:rPr>
              <w:t>・</w:t>
            </w:r>
            <w:r>
              <w:rPr>
                <w:rFonts w:hint="eastAsia" w:hAnsi="宋体" w:eastAsia="宋体" w:cs="宋体"/>
                <w:kern w:val="0"/>
                <w:lang w:bidi="ar"/>
              </w:rPr>
              <w:t>次</w:t>
            </w:r>
          </w:p>
        </w:tc>
      </w:tr>
    </w:tbl>
    <w:p w14:paraId="20A3954A">
      <w:pPr>
        <w:autoSpaceDE w:val="0"/>
        <w:autoSpaceDN w:val="0"/>
        <w:spacing w:before="0" w:beforeLines="0" w:line="360" w:lineRule="auto"/>
        <w:ind w:firstLine="480"/>
        <w:rPr>
          <w:rFonts w:hAnsi="宋体" w:cs="宋体"/>
        </w:rPr>
      </w:pPr>
      <w:r>
        <w:rPr>
          <w:rFonts w:hint="eastAsia" w:hAnsi="宋体"/>
        </w:rPr>
        <w:t xml:space="preserve">13.11 </w:t>
      </w:r>
      <w:r>
        <w:rPr>
          <w:rFonts w:hint="eastAsia" w:hAnsi="宋体" w:cs="宋体"/>
        </w:rPr>
        <w:t>未经甲方同意，乙方擅自做主通知被审核单位修改申报资料（如调差、变更资料等），一经发现，视情况，每次向甲方支付10000元违约金。乙方与被审核单位串通，提供虚假资料，一经发现，每次向甲方支付10000元违约金，并有权要求乙方清退相应人员。</w:t>
      </w:r>
    </w:p>
    <w:p w14:paraId="2B4CE46C">
      <w:pPr>
        <w:autoSpaceDE w:val="0"/>
        <w:autoSpaceDN w:val="0"/>
        <w:spacing w:before="0" w:beforeLines="0" w:line="360" w:lineRule="auto"/>
        <w:ind w:firstLine="484" w:firstLineChars="202"/>
        <w:rPr>
          <w:rFonts w:hAnsi="宋体" w:cs="宋体"/>
        </w:rPr>
      </w:pPr>
      <w:r>
        <w:rPr>
          <w:rFonts w:hint="eastAsia" w:hAnsi="宋体"/>
        </w:rPr>
        <w:t xml:space="preserve">13.12 </w:t>
      </w:r>
      <w:r>
        <w:rPr>
          <w:rFonts w:hint="eastAsia" w:hAnsi="宋体" w:cs="宋体"/>
        </w:rPr>
        <w:t>未经甲方批准，乙方缺席与工程造价有关的工作会议等合同约定的服务，甲方有权要求乙方支付违约金；每出现一次上述违约行为，乙方须向甲方支付500元/次的违约金。</w:t>
      </w:r>
    </w:p>
    <w:p w14:paraId="674B6001">
      <w:pPr>
        <w:autoSpaceDE w:val="0"/>
        <w:autoSpaceDN w:val="0"/>
        <w:spacing w:before="0" w:beforeLines="0" w:line="360" w:lineRule="auto"/>
        <w:ind w:firstLine="484" w:firstLineChars="202"/>
        <w:rPr>
          <w:rFonts w:hAnsi="宋体" w:cs="宋体"/>
        </w:rPr>
      </w:pPr>
      <w:r>
        <w:rPr>
          <w:rFonts w:hint="eastAsia" w:hAnsi="宋体"/>
        </w:rPr>
        <w:t xml:space="preserve">13.13 </w:t>
      </w:r>
      <w:r>
        <w:rPr>
          <w:rFonts w:hint="eastAsia" w:hAnsi="宋体" w:cs="宋体"/>
        </w:rPr>
        <w:t>乙方不得接受与本项目工程有关的承包人或设备材料供应商宴请或收受礼品或其它利益输送，若甲方发现乙方存在此类违规行为，乙方应按10万元/人·次向甲方支付违约金，违规人员必须即刻更换，同时乙方公司需向甲方呈交书面检讨书及承诺书，若乙方再次出现类似违规行为，甲方有权单方面解除本合同，并保留依法追究乙方责任的权利，由此产生的一切损失由乙方承担。</w:t>
      </w:r>
    </w:p>
    <w:p w14:paraId="44E46078">
      <w:pPr>
        <w:autoSpaceDE w:val="0"/>
        <w:autoSpaceDN w:val="0"/>
        <w:spacing w:before="0" w:beforeLines="0" w:line="360" w:lineRule="auto"/>
        <w:ind w:firstLine="484" w:firstLineChars="202"/>
        <w:rPr>
          <w:rFonts w:hAnsi="宋体" w:cs="宋体"/>
        </w:rPr>
      </w:pPr>
      <w:r>
        <w:rPr>
          <w:rFonts w:hint="eastAsia" w:hAnsi="宋体"/>
        </w:rPr>
        <w:t xml:space="preserve">13.14 </w:t>
      </w:r>
      <w:r>
        <w:rPr>
          <w:rFonts w:hint="eastAsia" w:hAnsi="宋体" w:cs="宋体"/>
        </w:rPr>
        <w:t>乙方应妥善保管其接受或工作所需的各项文件资料，若由于乙方原因造成的资料遗漏或丢失，乙方务必在15个工作日内自行补齐，否则乙方应承担以下违约责任：</w:t>
      </w:r>
    </w:p>
    <w:p w14:paraId="787B7D5A">
      <w:pPr>
        <w:autoSpaceDE w:val="0"/>
        <w:autoSpaceDN w:val="0"/>
        <w:spacing w:before="0" w:beforeLines="0" w:line="360" w:lineRule="auto"/>
        <w:ind w:firstLine="484" w:firstLineChars="202"/>
        <w:rPr>
          <w:rFonts w:hAnsi="宋体" w:cs="宋体"/>
        </w:rPr>
      </w:pPr>
      <w:r>
        <w:rPr>
          <w:rFonts w:hint="eastAsia" w:hAnsi="宋体" w:cs="宋体"/>
        </w:rPr>
        <w:t>（1）遗漏或丢失资料的，按1000元/份向甲方支付违约金；</w:t>
      </w:r>
    </w:p>
    <w:p w14:paraId="43177066">
      <w:pPr>
        <w:autoSpaceDE w:val="0"/>
        <w:autoSpaceDN w:val="0"/>
        <w:spacing w:before="0" w:beforeLines="0" w:line="360" w:lineRule="auto"/>
        <w:ind w:firstLine="484" w:firstLineChars="202"/>
        <w:rPr>
          <w:rFonts w:hAnsi="宋体" w:cs="宋体"/>
        </w:rPr>
      </w:pPr>
      <w:r>
        <w:rPr>
          <w:rFonts w:hint="eastAsia" w:hAnsi="宋体" w:cs="宋体"/>
        </w:rPr>
        <w:t>（2）若合同履行期间乙方累计遗漏或丢失资料达3次或以上的，甲方有权与乙方解除合同且不退还履约保证金。</w:t>
      </w:r>
    </w:p>
    <w:p w14:paraId="400437EF">
      <w:pPr>
        <w:autoSpaceDE w:val="0"/>
        <w:autoSpaceDN w:val="0"/>
        <w:spacing w:before="0" w:beforeLines="0" w:line="360" w:lineRule="auto"/>
        <w:ind w:firstLine="484" w:firstLineChars="202"/>
        <w:rPr>
          <w:rFonts w:hAnsi="宋体" w:cs="宋体"/>
        </w:rPr>
      </w:pPr>
      <w:r>
        <w:rPr>
          <w:rFonts w:hint="eastAsia" w:hAnsi="宋体"/>
        </w:rPr>
        <w:t xml:space="preserve">13.15 </w:t>
      </w:r>
      <w:r>
        <w:rPr>
          <w:rFonts w:hint="eastAsia" w:hAnsi="宋体" w:cs="宋体"/>
        </w:rPr>
        <w:t>乙方应按甲方提供的资料在甲方规定的时间内完成合同文本的拟稿，未在规定时间内完成的，单个合同按100元/天向甲方支付违约金。</w:t>
      </w:r>
    </w:p>
    <w:bookmarkEnd w:id="1208"/>
    <w:bookmarkEnd w:id="1209"/>
    <w:bookmarkEnd w:id="1210"/>
    <w:bookmarkEnd w:id="1211"/>
    <w:bookmarkEnd w:id="1212"/>
    <w:p w14:paraId="01C0E065">
      <w:pPr>
        <w:autoSpaceDE w:val="0"/>
        <w:autoSpaceDN w:val="0"/>
        <w:spacing w:before="0" w:beforeLines="0" w:line="360" w:lineRule="auto"/>
        <w:ind w:firstLine="484" w:firstLineChars="202"/>
        <w:rPr>
          <w:rFonts w:hAnsi="宋体" w:cs="宋体"/>
          <w:lang w:val="zh-CN"/>
        </w:rPr>
      </w:pPr>
      <w:r>
        <w:rPr>
          <w:rFonts w:hint="eastAsia" w:hAnsi="宋体" w:cs="Calibri"/>
          <w:kern w:val="0"/>
        </w:rPr>
        <w:t>13.16</w:t>
      </w:r>
      <w:r>
        <w:rPr>
          <w:rFonts w:hint="eastAsia" w:hAnsi="宋体" w:cs="宋体"/>
          <w:lang w:val="zh-CN"/>
        </w:rPr>
        <w:t xml:space="preserve"> 甲方对乙方出具的造价成果有异议并提出了合理意见和建议，但乙方拒绝复查，并无正当理由拒绝修改的，甲方有权解除合同，并拒付乙方应付未付的酬金，同时乙方向甲方支付</w:t>
      </w:r>
      <w:r>
        <w:rPr>
          <w:rFonts w:hint="eastAsia" w:hAnsi="宋体" w:cs="宋体"/>
        </w:rPr>
        <w:t>该项工程造价2‰</w:t>
      </w:r>
      <w:r>
        <w:rPr>
          <w:rFonts w:hint="eastAsia" w:hAnsi="宋体" w:cs="宋体"/>
          <w:lang w:val="zh-CN"/>
        </w:rPr>
        <w:t>的违约金，由此造成甲方的损失超过乙方酬金和违约金合计总额的，仍由乙方对甲方进行赔偿。</w:t>
      </w:r>
    </w:p>
    <w:p w14:paraId="75426ADC">
      <w:pPr>
        <w:autoSpaceDE w:val="0"/>
        <w:autoSpaceDN w:val="0"/>
        <w:spacing w:before="0" w:beforeLines="0" w:line="360" w:lineRule="auto"/>
        <w:ind w:firstLine="484" w:firstLineChars="202"/>
        <w:rPr>
          <w:rFonts w:hAnsi="宋体" w:cs="宋体"/>
          <w:lang w:val="zh-CN"/>
        </w:rPr>
      </w:pPr>
      <w:r>
        <w:rPr>
          <w:rFonts w:hint="eastAsia" w:hAnsi="宋体" w:cs="Calibri"/>
          <w:kern w:val="0"/>
        </w:rPr>
        <w:t xml:space="preserve">13.17 </w:t>
      </w:r>
      <w:r>
        <w:rPr>
          <w:rFonts w:hint="eastAsia" w:hAnsi="宋体" w:cs="宋体"/>
          <w:lang w:val="zh-CN"/>
        </w:rPr>
        <w:t>因乙方编制造价成果文件的缺陷或过失造成甲方的损失，由乙方免费更正，并赔偿由此给甲方带来的损失，赔偿金额从乙方该项目造价服务费中扣除。</w:t>
      </w:r>
    </w:p>
    <w:p w14:paraId="27C2C752">
      <w:pPr>
        <w:autoSpaceDE w:val="0"/>
        <w:autoSpaceDN w:val="0"/>
        <w:spacing w:before="0" w:beforeLines="0" w:line="360" w:lineRule="auto"/>
        <w:ind w:firstLine="484" w:firstLineChars="202"/>
        <w:rPr>
          <w:rFonts w:hAnsi="宋体" w:cs="宋体"/>
          <w:lang w:val="zh-CN"/>
        </w:rPr>
      </w:pPr>
      <w:r>
        <w:rPr>
          <w:rFonts w:hint="eastAsia" w:hAnsi="宋体" w:cs="Calibri"/>
          <w:kern w:val="0"/>
        </w:rPr>
        <w:t xml:space="preserve">13.18 </w:t>
      </w:r>
      <w:r>
        <w:rPr>
          <w:rFonts w:hint="eastAsia" w:hAnsi="宋体" w:cs="宋体"/>
          <w:lang w:val="zh-CN"/>
        </w:rPr>
        <w:t>乙方应按照甲方规定的完成时限内完成各项服务</w:t>
      </w:r>
      <w:r>
        <w:rPr>
          <w:rFonts w:hint="eastAsia" w:hAnsi="宋体" w:cs="宋体"/>
        </w:rPr>
        <w:t>业务</w:t>
      </w:r>
      <w:r>
        <w:rPr>
          <w:rFonts w:hint="eastAsia" w:hAnsi="宋体" w:cs="宋体"/>
          <w:lang w:val="zh-CN"/>
        </w:rPr>
        <w:t>工作，由于乙方自身原因逾期不能提交</w:t>
      </w:r>
      <w:r>
        <w:rPr>
          <w:rFonts w:hint="eastAsia" w:hAnsi="宋体" w:cs="宋体"/>
        </w:rPr>
        <w:t>服务业务</w:t>
      </w:r>
      <w:r>
        <w:rPr>
          <w:rFonts w:hint="eastAsia" w:hAnsi="宋体" w:cs="宋体"/>
          <w:lang w:val="zh-CN"/>
        </w:rPr>
        <w:t>成果报告，每逾期一天，甲方有权按照500元/天·次向乙方收取违约金；若乙方逾期达到15天或3次未在甲方要求的合理时间内完成工作的，则甲方可解除合同，另请他人完成工作，因此支出的费用由乙方承担，同时乙方还应承担因此给甲方造成的所有损失。</w:t>
      </w:r>
    </w:p>
    <w:p w14:paraId="475377A1">
      <w:pPr>
        <w:autoSpaceDE w:val="0"/>
        <w:autoSpaceDN w:val="0"/>
        <w:spacing w:before="0" w:beforeLines="0" w:line="360" w:lineRule="auto"/>
        <w:ind w:firstLine="484" w:firstLineChars="202"/>
        <w:rPr>
          <w:rFonts w:hAnsi="宋体" w:cs="宋体"/>
          <w:lang w:val="zh-CN"/>
        </w:rPr>
      </w:pPr>
      <w:r>
        <w:rPr>
          <w:rFonts w:hint="eastAsia" w:hAnsi="宋体" w:cs="Calibri"/>
          <w:kern w:val="0"/>
        </w:rPr>
        <w:t xml:space="preserve">13.19 </w:t>
      </w:r>
      <w:r>
        <w:rPr>
          <w:rFonts w:hint="eastAsia" w:hAnsi="宋体" w:cs="宋体"/>
          <w:lang w:val="zh-CN"/>
        </w:rPr>
        <w:t>乙方拒绝配合甲方出具的造价相关指标，或出具的造价指标不准确的，乙方须按5000元/次向甲方支付违约金。</w:t>
      </w:r>
    </w:p>
    <w:p w14:paraId="34A47DCB">
      <w:pPr>
        <w:widowControl/>
        <w:autoSpaceDE w:val="0"/>
        <w:autoSpaceDN w:val="0"/>
        <w:spacing w:before="0" w:beforeLines="0" w:line="360" w:lineRule="auto"/>
        <w:ind w:firstLine="484" w:firstLineChars="202"/>
        <w:jc w:val="left"/>
        <w:rPr>
          <w:rFonts w:hAnsi="宋体" w:cs="宋体"/>
          <w:lang w:val="zh-CN"/>
        </w:rPr>
      </w:pPr>
      <w:r>
        <w:rPr>
          <w:rFonts w:hint="eastAsia" w:hAnsi="宋体" w:cs="Calibri"/>
          <w:kern w:val="0"/>
        </w:rPr>
        <w:t xml:space="preserve">13.20 </w:t>
      </w:r>
      <w:r>
        <w:rPr>
          <w:rFonts w:hint="eastAsia" w:hAnsi="宋体" w:cs="宋体"/>
          <w:lang w:val="zh-CN"/>
        </w:rPr>
        <w:t>项目各分项招标阶段，除甲方同意顺延，因乙方原因未能按合同约定时间提交招标成果（含分析）</w:t>
      </w:r>
      <w:r>
        <w:rPr>
          <w:rFonts w:hint="eastAsia" w:hAnsi="宋体" w:cs="宋体"/>
        </w:rPr>
        <w:t>或提交的成果有误造成延期的</w:t>
      </w:r>
      <w:r>
        <w:rPr>
          <w:rFonts w:hint="eastAsia" w:hAnsi="宋体" w:cs="宋体"/>
          <w:lang w:val="zh-CN"/>
        </w:rPr>
        <w:t>，乙方接受如下违约金处罚：</w:t>
      </w:r>
    </w:p>
    <w:tbl>
      <w:tblPr>
        <w:tblStyle w:val="48"/>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813"/>
        <w:gridCol w:w="2263"/>
        <w:gridCol w:w="2292"/>
        <w:gridCol w:w="2154"/>
      </w:tblGrid>
      <w:tr w14:paraId="78C029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064" w:type="pct"/>
            <w:tcBorders>
              <w:left w:val="single" w:color="auto" w:sz="4" w:space="0"/>
            </w:tcBorders>
            <w:noWrap w:val="0"/>
            <w:vAlign w:val="center"/>
          </w:tcPr>
          <w:p w14:paraId="2B42B9A8">
            <w:pPr>
              <w:keepNext w:val="0"/>
              <w:keepLines w:val="0"/>
              <w:widowControl/>
              <w:suppressLineNumbers w:val="0"/>
              <w:autoSpaceDE w:val="0"/>
              <w:autoSpaceDN w:val="0"/>
              <w:spacing w:before="0" w:beforeLines="0" w:beforeAutospacing="0" w:after="0" w:afterAutospacing="0" w:line="360" w:lineRule="auto"/>
              <w:ind w:left="0" w:right="0" w:firstLine="484" w:firstLineChars="202"/>
              <w:jc w:val="center"/>
              <w:rPr>
                <w:rFonts w:hAnsi="宋体" w:eastAsia="宋体" w:cs="宋体"/>
              </w:rPr>
            </w:pPr>
            <w:r>
              <w:rPr>
                <w:rFonts w:hint="eastAsia" w:hAnsi="宋体" w:eastAsia="宋体" w:cs="宋体"/>
              </w:rPr>
              <w:t>类型</w:t>
            </w:r>
          </w:p>
        </w:tc>
        <w:tc>
          <w:tcPr>
            <w:tcW w:w="1328" w:type="pct"/>
            <w:noWrap w:val="0"/>
            <w:vAlign w:val="center"/>
          </w:tcPr>
          <w:p w14:paraId="3FD0545E">
            <w:pPr>
              <w:keepNext w:val="0"/>
              <w:keepLines w:val="0"/>
              <w:widowControl/>
              <w:suppressLineNumbers w:val="0"/>
              <w:autoSpaceDE w:val="0"/>
              <w:autoSpaceDN w:val="0"/>
              <w:spacing w:before="0" w:beforeLines="0" w:beforeAutospacing="0" w:after="0" w:afterAutospacing="0" w:line="360" w:lineRule="auto"/>
              <w:ind w:left="0" w:right="0" w:firstLine="0" w:firstLineChars="0"/>
              <w:jc w:val="center"/>
              <w:rPr>
                <w:rFonts w:hAnsi="宋体" w:eastAsia="宋体" w:cs="宋体"/>
                <w:lang w:val="zh-CN"/>
              </w:rPr>
            </w:pPr>
            <w:r>
              <w:rPr>
                <w:rFonts w:hint="eastAsia" w:hAnsi="宋体" w:eastAsia="宋体" w:cs="宋体"/>
                <w:lang w:val="zh-CN"/>
              </w:rPr>
              <w:t>延期1</w:t>
            </w:r>
            <w:r>
              <w:rPr>
                <w:rFonts w:hint="eastAsia" w:hAnsi="宋体" w:eastAsia="宋体" w:cs="宋体"/>
              </w:rPr>
              <w:t>-</w:t>
            </w:r>
            <w:r>
              <w:rPr>
                <w:rFonts w:hint="eastAsia" w:hAnsi="宋体" w:eastAsia="宋体" w:cs="宋体"/>
                <w:lang w:val="zh-CN"/>
              </w:rPr>
              <w:t>4天违约金</w:t>
            </w:r>
          </w:p>
        </w:tc>
        <w:tc>
          <w:tcPr>
            <w:tcW w:w="1345" w:type="pct"/>
            <w:noWrap w:val="0"/>
            <w:vAlign w:val="center"/>
          </w:tcPr>
          <w:p w14:paraId="6AFFCE54">
            <w:pPr>
              <w:keepNext w:val="0"/>
              <w:keepLines w:val="0"/>
              <w:widowControl/>
              <w:suppressLineNumbers w:val="0"/>
              <w:autoSpaceDE w:val="0"/>
              <w:autoSpaceDN w:val="0"/>
              <w:spacing w:before="0" w:beforeLines="0" w:beforeAutospacing="0" w:after="0" w:afterAutospacing="0" w:line="360" w:lineRule="auto"/>
              <w:ind w:left="0" w:right="0" w:firstLine="0" w:firstLineChars="0"/>
              <w:jc w:val="center"/>
              <w:rPr>
                <w:rFonts w:hAnsi="宋体" w:eastAsia="宋体" w:cs="宋体"/>
                <w:lang w:val="zh-CN"/>
              </w:rPr>
            </w:pPr>
            <w:r>
              <w:rPr>
                <w:rFonts w:hint="eastAsia" w:hAnsi="宋体" w:eastAsia="宋体" w:cs="宋体"/>
                <w:lang w:val="zh-CN"/>
              </w:rPr>
              <w:t>延期5</w:t>
            </w:r>
            <w:r>
              <w:rPr>
                <w:rFonts w:hint="eastAsia" w:hAnsi="宋体" w:eastAsia="宋体" w:cs="宋体"/>
              </w:rPr>
              <w:t>-</w:t>
            </w:r>
            <w:r>
              <w:rPr>
                <w:rFonts w:hint="eastAsia" w:hAnsi="宋体" w:eastAsia="宋体" w:cs="宋体"/>
                <w:lang w:val="zh-CN"/>
              </w:rPr>
              <w:t>9天违约金</w:t>
            </w:r>
          </w:p>
        </w:tc>
        <w:tc>
          <w:tcPr>
            <w:tcW w:w="1263" w:type="pct"/>
            <w:noWrap w:val="0"/>
            <w:vAlign w:val="center"/>
          </w:tcPr>
          <w:p w14:paraId="0123E5D1">
            <w:pPr>
              <w:keepNext w:val="0"/>
              <w:keepLines w:val="0"/>
              <w:widowControl/>
              <w:suppressLineNumbers w:val="0"/>
              <w:autoSpaceDE w:val="0"/>
              <w:autoSpaceDN w:val="0"/>
              <w:spacing w:before="0" w:beforeLines="0" w:beforeAutospacing="0" w:after="0" w:afterAutospacing="0" w:line="360" w:lineRule="auto"/>
              <w:ind w:left="0" w:right="0" w:firstLine="0" w:firstLineChars="0"/>
              <w:jc w:val="center"/>
              <w:rPr>
                <w:rFonts w:hAnsi="宋体" w:eastAsia="宋体" w:cs="宋体"/>
                <w:lang w:val="zh-CN"/>
              </w:rPr>
            </w:pPr>
            <w:r>
              <w:rPr>
                <w:rFonts w:hint="eastAsia" w:hAnsi="宋体" w:eastAsia="宋体" w:cs="宋体"/>
                <w:lang w:val="zh-CN"/>
              </w:rPr>
              <w:t>延期10天及以上</w:t>
            </w:r>
          </w:p>
        </w:tc>
      </w:tr>
      <w:tr w14:paraId="3C0A804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064" w:type="pct"/>
            <w:tcBorders>
              <w:left w:val="single" w:color="auto" w:sz="4" w:space="0"/>
            </w:tcBorders>
            <w:noWrap w:val="0"/>
            <w:vAlign w:val="center"/>
          </w:tcPr>
          <w:p w14:paraId="44EF29F4">
            <w:pPr>
              <w:keepNext w:val="0"/>
              <w:keepLines w:val="0"/>
              <w:widowControl/>
              <w:suppressLineNumbers w:val="0"/>
              <w:autoSpaceDE w:val="0"/>
              <w:autoSpaceDN w:val="0"/>
              <w:spacing w:before="0" w:beforeLines="0" w:beforeAutospacing="0" w:after="0" w:afterAutospacing="0" w:line="360" w:lineRule="auto"/>
              <w:ind w:left="0" w:right="0" w:firstLine="0" w:firstLineChars="0"/>
              <w:jc w:val="center"/>
              <w:rPr>
                <w:rFonts w:hAnsi="宋体" w:eastAsia="宋体" w:cs="宋体"/>
                <w:lang w:val="zh-CN"/>
              </w:rPr>
            </w:pPr>
            <w:r>
              <w:rPr>
                <w:rFonts w:hint="eastAsia" w:hAnsi="宋体" w:eastAsia="宋体" w:cs="宋体"/>
                <w:lang w:val="zh-CN"/>
              </w:rPr>
              <w:t>总包招标</w:t>
            </w:r>
          </w:p>
        </w:tc>
        <w:tc>
          <w:tcPr>
            <w:tcW w:w="1328" w:type="pct"/>
            <w:noWrap w:val="0"/>
            <w:vAlign w:val="center"/>
          </w:tcPr>
          <w:p w14:paraId="480F440E">
            <w:pPr>
              <w:keepNext w:val="0"/>
              <w:keepLines w:val="0"/>
              <w:suppressLineNumbers w:val="0"/>
              <w:adjustRightInd/>
              <w:snapToGrid/>
              <w:spacing w:before="0" w:beforeLines="0" w:beforeAutospacing="0" w:after="0" w:afterAutospacing="0" w:line="240" w:lineRule="exact"/>
              <w:ind w:left="0" w:right="0" w:firstLine="0" w:firstLineChars="0"/>
              <w:jc w:val="center"/>
              <w:rPr>
                <w:rFonts w:hAnsi="宋体" w:eastAsia="宋体" w:cs="宋体"/>
              </w:rPr>
            </w:pPr>
            <w:r>
              <w:rPr>
                <w:rFonts w:hint="eastAsia" w:hAnsi="宋体" w:eastAsia="宋体" w:cs="宋体"/>
              </w:rPr>
              <w:t>2000元/天</w:t>
            </w:r>
          </w:p>
        </w:tc>
        <w:tc>
          <w:tcPr>
            <w:tcW w:w="1345" w:type="pct"/>
            <w:noWrap w:val="0"/>
            <w:vAlign w:val="center"/>
          </w:tcPr>
          <w:p w14:paraId="06B9CE9F">
            <w:pPr>
              <w:keepNext w:val="0"/>
              <w:keepLines w:val="0"/>
              <w:suppressLineNumbers w:val="0"/>
              <w:adjustRightInd/>
              <w:snapToGrid/>
              <w:spacing w:before="0" w:beforeLines="0" w:beforeAutospacing="0" w:after="0" w:afterAutospacing="0" w:line="240" w:lineRule="exact"/>
              <w:ind w:left="0" w:right="0" w:firstLine="0" w:firstLineChars="0"/>
              <w:jc w:val="center"/>
              <w:rPr>
                <w:rFonts w:hAnsi="宋体" w:eastAsia="宋体" w:cs="宋体"/>
              </w:rPr>
            </w:pPr>
            <w:r>
              <w:rPr>
                <w:rFonts w:hint="eastAsia" w:hAnsi="宋体" w:eastAsia="宋体" w:cs="宋体"/>
              </w:rPr>
              <w:t>5000元/天</w:t>
            </w:r>
          </w:p>
        </w:tc>
        <w:tc>
          <w:tcPr>
            <w:tcW w:w="1263" w:type="pct"/>
            <w:noWrap w:val="0"/>
            <w:vAlign w:val="center"/>
          </w:tcPr>
          <w:p w14:paraId="58ED34CA">
            <w:pPr>
              <w:keepNext w:val="0"/>
              <w:keepLines w:val="0"/>
              <w:suppressLineNumbers w:val="0"/>
              <w:adjustRightInd/>
              <w:snapToGrid/>
              <w:spacing w:before="0" w:beforeLines="0" w:beforeAutospacing="0" w:after="0" w:afterAutospacing="0" w:line="240" w:lineRule="exact"/>
              <w:ind w:left="0" w:right="0" w:firstLine="0" w:firstLineChars="0"/>
              <w:jc w:val="center"/>
              <w:rPr>
                <w:rFonts w:hAnsi="宋体" w:eastAsia="宋体" w:cs="宋体"/>
                <w:lang w:val="zh-CN"/>
              </w:rPr>
            </w:pPr>
            <w:r>
              <w:rPr>
                <w:rFonts w:hint="eastAsia" w:hAnsi="宋体" w:eastAsia="宋体" w:cs="宋体"/>
                <w:lang w:val="zh-CN"/>
              </w:rPr>
              <w:t>甲方有权解除合同</w:t>
            </w:r>
          </w:p>
        </w:tc>
      </w:tr>
      <w:tr w14:paraId="03E14C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064" w:type="pct"/>
            <w:tcBorders>
              <w:left w:val="single" w:color="auto" w:sz="4" w:space="0"/>
            </w:tcBorders>
            <w:noWrap w:val="0"/>
            <w:vAlign w:val="center"/>
          </w:tcPr>
          <w:p w14:paraId="735542D2">
            <w:pPr>
              <w:keepNext w:val="0"/>
              <w:keepLines w:val="0"/>
              <w:widowControl/>
              <w:suppressLineNumbers w:val="0"/>
              <w:autoSpaceDE w:val="0"/>
              <w:autoSpaceDN w:val="0"/>
              <w:spacing w:before="0" w:beforeLines="0" w:beforeAutospacing="0" w:after="0" w:afterAutospacing="0" w:line="360" w:lineRule="auto"/>
              <w:ind w:left="0" w:right="0" w:firstLine="0" w:firstLineChars="0"/>
              <w:jc w:val="center"/>
              <w:rPr>
                <w:rFonts w:hAnsi="宋体" w:eastAsia="宋体" w:cs="宋体"/>
                <w:lang w:val="zh-CN"/>
              </w:rPr>
            </w:pPr>
            <w:r>
              <w:rPr>
                <w:rFonts w:hint="eastAsia" w:hAnsi="宋体" w:eastAsia="宋体" w:cs="宋体"/>
                <w:lang w:val="zh-CN"/>
              </w:rPr>
              <w:t>精装修招标</w:t>
            </w:r>
          </w:p>
        </w:tc>
        <w:tc>
          <w:tcPr>
            <w:tcW w:w="1328" w:type="pct"/>
            <w:noWrap w:val="0"/>
            <w:vAlign w:val="center"/>
          </w:tcPr>
          <w:p w14:paraId="30EA26F7">
            <w:pPr>
              <w:keepNext w:val="0"/>
              <w:keepLines w:val="0"/>
              <w:suppressLineNumbers w:val="0"/>
              <w:adjustRightInd/>
              <w:snapToGrid/>
              <w:spacing w:before="0" w:beforeLines="0" w:beforeAutospacing="0" w:after="0" w:afterAutospacing="0" w:line="240" w:lineRule="exact"/>
              <w:ind w:left="0" w:right="0" w:firstLine="0" w:firstLineChars="0"/>
              <w:jc w:val="center"/>
              <w:rPr>
                <w:rFonts w:hAnsi="宋体" w:eastAsia="宋体" w:cs="宋体"/>
                <w:lang w:val="zh-CN"/>
              </w:rPr>
            </w:pPr>
            <w:r>
              <w:rPr>
                <w:rFonts w:hint="eastAsia" w:hAnsi="宋体" w:eastAsia="宋体" w:cs="宋体"/>
              </w:rPr>
              <w:t>1000元/天</w:t>
            </w:r>
          </w:p>
        </w:tc>
        <w:tc>
          <w:tcPr>
            <w:tcW w:w="1345" w:type="pct"/>
            <w:noWrap w:val="0"/>
            <w:vAlign w:val="center"/>
          </w:tcPr>
          <w:p w14:paraId="772BDDC4">
            <w:pPr>
              <w:keepNext w:val="0"/>
              <w:keepLines w:val="0"/>
              <w:suppressLineNumbers w:val="0"/>
              <w:adjustRightInd/>
              <w:snapToGrid/>
              <w:spacing w:before="0" w:beforeLines="0" w:beforeAutospacing="0" w:after="0" w:afterAutospacing="0" w:line="240" w:lineRule="exact"/>
              <w:ind w:left="0" w:right="0" w:firstLine="0" w:firstLineChars="0"/>
              <w:jc w:val="center"/>
              <w:rPr>
                <w:rFonts w:hAnsi="宋体" w:eastAsia="宋体" w:cs="宋体"/>
                <w:lang w:val="zh-CN"/>
              </w:rPr>
            </w:pPr>
            <w:r>
              <w:rPr>
                <w:rFonts w:hint="eastAsia" w:hAnsi="宋体" w:eastAsia="宋体" w:cs="宋体"/>
              </w:rPr>
              <w:t>2000元/天</w:t>
            </w:r>
          </w:p>
        </w:tc>
        <w:tc>
          <w:tcPr>
            <w:tcW w:w="1263" w:type="pct"/>
            <w:noWrap w:val="0"/>
            <w:vAlign w:val="center"/>
          </w:tcPr>
          <w:p w14:paraId="5126FAD0">
            <w:pPr>
              <w:keepNext w:val="0"/>
              <w:keepLines w:val="0"/>
              <w:suppressLineNumbers w:val="0"/>
              <w:adjustRightInd/>
              <w:snapToGrid/>
              <w:spacing w:before="0" w:beforeLines="0" w:beforeAutospacing="0" w:after="0" w:afterAutospacing="0" w:line="240" w:lineRule="exact"/>
              <w:ind w:left="0" w:right="0" w:firstLine="0" w:firstLineChars="0"/>
              <w:jc w:val="center"/>
              <w:rPr>
                <w:rFonts w:hAnsi="宋体" w:eastAsia="宋体" w:cs="宋体"/>
                <w:lang w:val="zh-CN"/>
              </w:rPr>
            </w:pPr>
            <w:r>
              <w:rPr>
                <w:rFonts w:hint="eastAsia" w:hAnsi="宋体" w:eastAsia="宋体" w:cs="宋体"/>
                <w:lang w:val="zh-CN"/>
              </w:rPr>
              <w:t>甲方有权解除合同</w:t>
            </w:r>
          </w:p>
        </w:tc>
      </w:tr>
      <w:tr w14:paraId="4011031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064" w:type="pct"/>
            <w:tcBorders>
              <w:left w:val="single" w:color="auto" w:sz="4" w:space="0"/>
            </w:tcBorders>
            <w:noWrap w:val="0"/>
            <w:vAlign w:val="center"/>
          </w:tcPr>
          <w:p w14:paraId="49499BD2">
            <w:pPr>
              <w:keepNext w:val="0"/>
              <w:keepLines w:val="0"/>
              <w:widowControl/>
              <w:suppressLineNumbers w:val="0"/>
              <w:autoSpaceDE w:val="0"/>
              <w:autoSpaceDN w:val="0"/>
              <w:spacing w:before="0" w:beforeLines="0" w:beforeAutospacing="0" w:after="0" w:afterAutospacing="0" w:line="360" w:lineRule="auto"/>
              <w:ind w:left="0" w:right="0" w:firstLine="0" w:firstLineChars="0"/>
              <w:jc w:val="center"/>
              <w:rPr>
                <w:rFonts w:hAnsi="宋体" w:eastAsia="宋体" w:cs="宋体"/>
                <w:lang w:val="zh-CN"/>
              </w:rPr>
            </w:pPr>
            <w:r>
              <w:rPr>
                <w:rFonts w:hint="eastAsia" w:hAnsi="宋体" w:eastAsia="宋体" w:cs="宋体"/>
                <w:lang w:val="zh-CN"/>
              </w:rPr>
              <w:t>其他分项招标</w:t>
            </w:r>
          </w:p>
        </w:tc>
        <w:tc>
          <w:tcPr>
            <w:tcW w:w="1328" w:type="pct"/>
            <w:noWrap w:val="0"/>
            <w:vAlign w:val="center"/>
          </w:tcPr>
          <w:p w14:paraId="7719136B">
            <w:pPr>
              <w:keepNext w:val="0"/>
              <w:keepLines w:val="0"/>
              <w:suppressLineNumbers w:val="0"/>
              <w:adjustRightInd/>
              <w:snapToGrid/>
              <w:spacing w:before="0" w:beforeLines="0" w:beforeAutospacing="0" w:after="0" w:afterAutospacing="0" w:line="240" w:lineRule="exact"/>
              <w:ind w:left="0" w:right="0" w:firstLine="0" w:firstLineChars="0"/>
              <w:jc w:val="center"/>
              <w:rPr>
                <w:rFonts w:hAnsi="宋体" w:eastAsia="宋体" w:cs="宋体"/>
                <w:lang w:val="zh-CN"/>
              </w:rPr>
            </w:pPr>
            <w:r>
              <w:rPr>
                <w:rFonts w:hint="eastAsia" w:hAnsi="宋体" w:eastAsia="宋体" w:cs="宋体"/>
              </w:rPr>
              <w:t>500元/天</w:t>
            </w:r>
          </w:p>
        </w:tc>
        <w:tc>
          <w:tcPr>
            <w:tcW w:w="1345" w:type="pct"/>
            <w:noWrap w:val="0"/>
            <w:vAlign w:val="center"/>
          </w:tcPr>
          <w:p w14:paraId="2677066A">
            <w:pPr>
              <w:keepNext w:val="0"/>
              <w:keepLines w:val="0"/>
              <w:suppressLineNumbers w:val="0"/>
              <w:adjustRightInd/>
              <w:snapToGrid/>
              <w:spacing w:before="0" w:beforeLines="0" w:beforeAutospacing="0" w:after="0" w:afterAutospacing="0" w:line="240" w:lineRule="exact"/>
              <w:ind w:left="0" w:right="0" w:firstLine="0" w:firstLineChars="0"/>
              <w:jc w:val="center"/>
              <w:rPr>
                <w:rFonts w:hAnsi="宋体" w:eastAsia="宋体" w:cs="宋体"/>
                <w:lang w:val="zh-CN"/>
              </w:rPr>
            </w:pPr>
            <w:r>
              <w:rPr>
                <w:rFonts w:hint="eastAsia" w:hAnsi="宋体" w:eastAsia="宋体" w:cs="宋体"/>
              </w:rPr>
              <w:t>1000元/天</w:t>
            </w:r>
          </w:p>
        </w:tc>
        <w:tc>
          <w:tcPr>
            <w:tcW w:w="1263" w:type="pct"/>
            <w:noWrap w:val="0"/>
            <w:vAlign w:val="center"/>
          </w:tcPr>
          <w:p w14:paraId="7F1A4C0F">
            <w:pPr>
              <w:keepNext w:val="0"/>
              <w:keepLines w:val="0"/>
              <w:suppressLineNumbers w:val="0"/>
              <w:adjustRightInd/>
              <w:snapToGrid/>
              <w:spacing w:before="0" w:beforeLines="0" w:beforeAutospacing="0" w:after="0" w:afterAutospacing="0" w:line="240" w:lineRule="exact"/>
              <w:ind w:left="0" w:right="0" w:firstLine="0" w:firstLineChars="0"/>
              <w:jc w:val="center"/>
              <w:rPr>
                <w:rFonts w:hAnsi="宋体" w:eastAsia="宋体" w:cs="宋体"/>
                <w:lang w:val="zh-CN"/>
              </w:rPr>
            </w:pPr>
            <w:r>
              <w:rPr>
                <w:rFonts w:hint="eastAsia" w:hAnsi="宋体" w:eastAsia="宋体" w:cs="宋体"/>
                <w:lang w:val="zh-CN"/>
              </w:rPr>
              <w:t>甲方有权解除合同</w:t>
            </w:r>
          </w:p>
        </w:tc>
      </w:tr>
    </w:tbl>
    <w:p w14:paraId="37F9DD3B">
      <w:pPr>
        <w:autoSpaceDE w:val="0"/>
        <w:autoSpaceDN w:val="0"/>
        <w:spacing w:before="0" w:beforeLines="0" w:line="360" w:lineRule="auto"/>
        <w:ind w:firstLine="480"/>
        <w:rPr>
          <w:rFonts w:hAnsi="宋体" w:cs="宋体"/>
        </w:rPr>
      </w:pPr>
      <w:bookmarkStart w:id="1213" w:name="OLE_LINK4"/>
      <w:bookmarkStart w:id="1214" w:name="OLE_LINK6"/>
      <w:r>
        <w:rPr>
          <w:rFonts w:hint="eastAsia" w:hAnsi="宋体"/>
        </w:rPr>
        <w:t>13.21</w:t>
      </w:r>
      <w:r>
        <w:rPr>
          <w:rFonts w:hint="eastAsia" w:hAnsi="宋体" w:cs="宋体"/>
        </w:rPr>
        <w:t xml:space="preserve"> 因乙方违约而应向甲方赔偿损失的范围包括但不限于诉讼费、保险公司提供诉讼保全担保的保险费、甲方聘请律师的费用、差旅费、鉴定费、公证费、甲方向第三方赔偿的款项、行政罚款、补开发票产生的税款、可得利益等。</w:t>
      </w:r>
    </w:p>
    <w:bookmarkEnd w:id="1213"/>
    <w:bookmarkEnd w:id="1214"/>
    <w:p w14:paraId="10237C0D">
      <w:pPr>
        <w:adjustRightInd/>
        <w:spacing w:before="0" w:beforeLines="0" w:line="360" w:lineRule="auto"/>
        <w:ind w:firstLine="482"/>
        <w:jc w:val="left"/>
        <w:outlineLvl w:val="2"/>
        <w:rPr>
          <w:rFonts w:hAnsi="宋体"/>
          <w:b/>
          <w:bCs/>
        </w:rPr>
      </w:pPr>
      <w:bookmarkStart w:id="1215" w:name="_Toc193981321"/>
      <w:r>
        <w:rPr>
          <w:rFonts w:hint="eastAsia" w:hAnsi="宋体"/>
          <w:b/>
          <w:bCs/>
        </w:rPr>
        <w:t>14 服务期间质量要求</w:t>
      </w:r>
      <w:bookmarkEnd w:id="1215"/>
    </w:p>
    <w:p w14:paraId="48FB515E">
      <w:pPr>
        <w:adjustRightInd/>
        <w:spacing w:before="0" w:beforeLines="0" w:line="360" w:lineRule="auto"/>
        <w:ind w:firstLine="482"/>
        <w:jc w:val="left"/>
        <w:rPr>
          <w:rFonts w:hAnsi="宋体"/>
          <w:b/>
          <w:bCs/>
        </w:rPr>
      </w:pPr>
      <w:r>
        <w:rPr>
          <w:rFonts w:hint="eastAsia" w:hAnsi="宋体"/>
          <w:b/>
          <w:bCs/>
        </w:rPr>
        <w:t>14.1 乙方服务结果的质量（准确率）</w:t>
      </w:r>
    </w:p>
    <w:p w14:paraId="34B88F84">
      <w:pPr>
        <w:autoSpaceDE w:val="0"/>
        <w:autoSpaceDN w:val="0"/>
        <w:spacing w:before="0" w:beforeLines="0" w:line="360" w:lineRule="auto"/>
        <w:ind w:firstLine="480"/>
        <w:rPr>
          <w:rFonts w:hAnsi="宋体" w:cs="宋体"/>
        </w:rPr>
      </w:pPr>
      <w:r>
        <w:rPr>
          <w:rFonts w:hint="eastAsia" w:hAnsi="宋体" w:cs="宋体"/>
        </w:rPr>
        <w:t>14.1.1 复审质量控制</w:t>
      </w:r>
    </w:p>
    <w:p w14:paraId="04809C29">
      <w:pPr>
        <w:autoSpaceDE w:val="0"/>
        <w:autoSpaceDN w:val="0"/>
        <w:spacing w:before="0" w:beforeLines="0" w:line="360" w:lineRule="auto"/>
        <w:ind w:firstLine="484" w:firstLineChars="202"/>
        <w:rPr>
          <w:rFonts w:hAnsi="宋体"/>
        </w:rPr>
      </w:pPr>
      <w:r>
        <w:rPr>
          <w:rFonts w:hint="eastAsia" w:hAnsi="宋体"/>
        </w:rPr>
        <w:t>乙方本着为甲方负责的原则完成甲方指定的工作，以成果反映质量。在甲方提供资料齐全、施工单位报价与乙方计算范围、口径一致情况下，乙方报送给甲方的（与施工单位核对完成的）成果，经甲方</w:t>
      </w:r>
      <w:r>
        <w:rPr>
          <w:rFonts w:hAnsi="宋体"/>
        </w:rPr>
        <w:t>（</w:t>
      </w:r>
      <w:r>
        <w:rPr>
          <w:rFonts w:hint="eastAsia" w:hAnsi="宋体"/>
        </w:rPr>
        <w:t>或甲方</w:t>
      </w:r>
      <w:r>
        <w:rPr>
          <w:rFonts w:hAnsi="宋体"/>
        </w:rPr>
        <w:t>委托的审核</w:t>
      </w:r>
      <w:r>
        <w:rPr>
          <w:rFonts w:hint="eastAsia" w:hAnsi="宋体"/>
        </w:rPr>
        <w:t>单位</w:t>
      </w:r>
      <w:r>
        <w:rPr>
          <w:rFonts w:hAnsi="宋体"/>
        </w:rPr>
        <w:t>）复审</w:t>
      </w:r>
      <w:r>
        <w:rPr>
          <w:rFonts w:hint="eastAsia" w:hAnsi="宋体"/>
        </w:rPr>
        <w:t>后，如出现以下情况，则将有相应的处罚：</w:t>
      </w:r>
    </w:p>
    <w:p w14:paraId="634224E2">
      <w:pPr>
        <w:adjustRightInd/>
        <w:snapToGrid/>
        <w:spacing w:before="0" w:beforeLines="0" w:line="360" w:lineRule="auto"/>
        <w:ind w:firstLine="480"/>
        <w:rPr>
          <w:rFonts w:hAnsi="宋体"/>
        </w:rPr>
      </w:pPr>
      <w:r>
        <w:rPr>
          <w:rFonts w:hint="eastAsia" w:hAnsi="宋体"/>
        </w:rPr>
        <w:t>①总包合同复审后，审减率≥1.5%，处罚金额按（</w:t>
      </w:r>
      <w:r>
        <w:rPr>
          <w:rFonts w:hAnsi="宋体"/>
        </w:rPr>
        <w:t>一审预/结算造价</w:t>
      </w:r>
      <w:r>
        <w:rPr>
          <w:rFonts w:hint="eastAsia" w:hAnsi="宋体"/>
        </w:rPr>
        <w:t>-</w:t>
      </w:r>
      <w:r>
        <w:rPr>
          <w:rFonts w:hAnsi="宋体"/>
        </w:rPr>
        <w:t>复审后经甲方认定的审定预/结算造价</w:t>
      </w:r>
      <w:r>
        <w:rPr>
          <w:rFonts w:hint="eastAsia" w:hAnsi="宋体"/>
        </w:rPr>
        <w:t>*（1+1.5%）</w:t>
      </w:r>
      <w:r>
        <w:rPr>
          <w:rFonts w:hAnsi="宋体"/>
        </w:rPr>
        <w:t>）*5%进行罚扣；</w:t>
      </w:r>
    </w:p>
    <w:p w14:paraId="2C17828C">
      <w:pPr>
        <w:adjustRightInd/>
        <w:snapToGrid/>
        <w:spacing w:before="0" w:beforeLines="0" w:line="360" w:lineRule="auto"/>
        <w:ind w:firstLine="480"/>
        <w:rPr>
          <w:rFonts w:hAnsi="宋体"/>
        </w:rPr>
      </w:pPr>
      <w:r>
        <w:rPr>
          <w:rFonts w:hint="eastAsia" w:hAnsi="宋体"/>
        </w:rPr>
        <w:t>②其他合同复审后，审减率≥3%，处罚金额按（</w:t>
      </w:r>
      <w:r>
        <w:rPr>
          <w:rFonts w:hAnsi="宋体"/>
        </w:rPr>
        <w:t>一审预/结算造价</w:t>
      </w:r>
      <w:r>
        <w:rPr>
          <w:rFonts w:hint="eastAsia" w:hAnsi="宋体"/>
        </w:rPr>
        <w:t>-</w:t>
      </w:r>
      <w:r>
        <w:rPr>
          <w:rFonts w:hAnsi="宋体"/>
        </w:rPr>
        <w:t>复审后经甲方认定的审定预/结算造价</w:t>
      </w:r>
      <w:r>
        <w:rPr>
          <w:rFonts w:hint="eastAsia" w:hAnsi="宋体"/>
        </w:rPr>
        <w:t>*（1+3%）</w:t>
      </w:r>
      <w:r>
        <w:rPr>
          <w:rFonts w:hAnsi="宋体"/>
        </w:rPr>
        <w:t>）*5%进行罚扣；</w:t>
      </w:r>
    </w:p>
    <w:p w14:paraId="6DE828BA">
      <w:pPr>
        <w:autoSpaceDE w:val="0"/>
        <w:autoSpaceDN w:val="0"/>
        <w:spacing w:before="0" w:beforeLines="0" w:line="360" w:lineRule="auto"/>
        <w:ind w:firstLine="480"/>
        <w:rPr>
          <w:rFonts w:hAnsi="宋体" w:cs="宋体"/>
        </w:rPr>
      </w:pPr>
      <w:r>
        <w:rPr>
          <w:rFonts w:hint="eastAsia" w:hAnsi="宋体" w:cs="宋体"/>
        </w:rPr>
        <w:t>14.2.3 进度控制</w:t>
      </w:r>
    </w:p>
    <w:p w14:paraId="5BEE1FEC">
      <w:pPr>
        <w:autoSpaceDE w:val="0"/>
        <w:autoSpaceDN w:val="0"/>
        <w:spacing w:before="0" w:beforeLines="0" w:line="360" w:lineRule="auto"/>
        <w:ind w:firstLine="484" w:firstLineChars="202"/>
        <w:rPr>
          <w:rFonts w:hAnsi="宋体"/>
          <w:lang w:val="zh-CN"/>
        </w:rPr>
      </w:pPr>
      <w:r>
        <w:rPr>
          <w:rFonts w:hint="eastAsia" w:hAnsi="宋体"/>
        </w:rPr>
        <w:t>乙方须按第7条款【工作时限要求】所要求时间完成相关甲方指定工作，否则乙方支付违约金每项每天300元；逾期超过5日，甲方有权终止合同，乙方应按照相应项目造价服务费总额的15%支付违约金。若非乙方原因造成的延误，乙方须及时办理工期延长申请，经甲方审核同意后按延长工期执行。</w:t>
      </w:r>
    </w:p>
    <w:p w14:paraId="41A3B5DD">
      <w:pPr>
        <w:adjustRightInd/>
        <w:spacing w:before="0" w:beforeLines="0" w:line="360" w:lineRule="auto"/>
        <w:ind w:firstLine="482"/>
        <w:jc w:val="left"/>
        <w:outlineLvl w:val="2"/>
        <w:rPr>
          <w:rFonts w:hAnsi="宋体"/>
          <w:b/>
          <w:bCs/>
        </w:rPr>
      </w:pPr>
      <w:bookmarkStart w:id="1216" w:name="_Toc9133"/>
      <w:bookmarkStart w:id="1217" w:name="_Toc8096"/>
      <w:bookmarkStart w:id="1218" w:name="_Toc32600"/>
      <w:bookmarkStart w:id="1219" w:name="_Toc29212"/>
      <w:bookmarkStart w:id="1220" w:name="_Toc4062"/>
      <w:bookmarkStart w:id="1221" w:name="_Toc193981322"/>
      <w:bookmarkStart w:id="1222" w:name="_Toc25392"/>
      <w:bookmarkStart w:id="1223" w:name="_Toc491534485"/>
      <w:bookmarkStart w:id="1224" w:name="_Toc18087"/>
      <w:bookmarkStart w:id="1225" w:name="_Toc21511"/>
      <w:r>
        <w:rPr>
          <w:rFonts w:hint="eastAsia" w:hAnsi="宋体"/>
          <w:b/>
          <w:bCs/>
        </w:rPr>
        <w:t>15</w:t>
      </w:r>
      <w:r>
        <w:rPr>
          <w:rFonts w:hAnsi="宋体"/>
          <w:b/>
          <w:bCs/>
        </w:rPr>
        <w:t>.合同变更和终止</w:t>
      </w:r>
      <w:bookmarkEnd w:id="1216"/>
      <w:bookmarkEnd w:id="1217"/>
      <w:bookmarkEnd w:id="1218"/>
      <w:bookmarkEnd w:id="1219"/>
      <w:bookmarkEnd w:id="1220"/>
      <w:bookmarkEnd w:id="1221"/>
      <w:bookmarkEnd w:id="1222"/>
      <w:bookmarkEnd w:id="1223"/>
      <w:bookmarkEnd w:id="1224"/>
      <w:bookmarkEnd w:id="1225"/>
    </w:p>
    <w:p w14:paraId="35D05675">
      <w:pPr>
        <w:autoSpaceDE w:val="0"/>
        <w:autoSpaceDN w:val="0"/>
        <w:spacing w:before="0" w:beforeLines="0" w:line="360" w:lineRule="auto"/>
        <w:ind w:firstLine="480"/>
        <w:rPr>
          <w:rFonts w:hAnsi="宋体" w:cs="宋体"/>
        </w:rPr>
      </w:pPr>
      <w:r>
        <w:rPr>
          <w:rFonts w:hint="eastAsia" w:hAnsi="宋体" w:cs="宋体"/>
        </w:rPr>
        <w:t>15.1未经甲方书面同意，乙方不得把本合同转让或分包给其他单位或个人。</w:t>
      </w:r>
    </w:p>
    <w:p w14:paraId="3D64D81F">
      <w:pPr>
        <w:autoSpaceDE w:val="0"/>
        <w:autoSpaceDN w:val="0"/>
        <w:spacing w:before="0" w:beforeLines="0" w:line="360" w:lineRule="auto"/>
        <w:ind w:firstLine="480"/>
        <w:rPr>
          <w:rFonts w:hAnsi="宋体" w:cs="宋体"/>
        </w:rPr>
      </w:pPr>
      <w:r>
        <w:rPr>
          <w:rFonts w:hint="eastAsia" w:hAnsi="宋体" w:cs="宋体"/>
        </w:rPr>
        <w:t>15.2因甲方原因导致合同解除，甲方须按合同约定，就乙方已提供的服务相应支付服务费。</w:t>
      </w:r>
    </w:p>
    <w:p w14:paraId="329447C6">
      <w:pPr>
        <w:autoSpaceDE w:val="0"/>
        <w:autoSpaceDN w:val="0"/>
        <w:spacing w:before="0" w:beforeLines="0" w:line="360" w:lineRule="auto"/>
        <w:ind w:firstLine="480"/>
        <w:rPr>
          <w:rFonts w:hAnsi="宋体" w:cs="宋体"/>
        </w:rPr>
      </w:pPr>
      <w:r>
        <w:rPr>
          <w:rFonts w:hint="eastAsia" w:hAnsi="宋体" w:cs="宋体"/>
        </w:rPr>
        <w:t>15.3无论因何种原因导致合同解除，合同双方应相互合作，以便本工程项目顺利交接。</w:t>
      </w:r>
    </w:p>
    <w:p w14:paraId="78189ECC">
      <w:pPr>
        <w:autoSpaceDE w:val="0"/>
        <w:autoSpaceDN w:val="0"/>
        <w:spacing w:before="0" w:beforeLines="0" w:line="360" w:lineRule="auto"/>
        <w:ind w:firstLine="480"/>
        <w:rPr>
          <w:rFonts w:hAnsi="宋体" w:cs="宋体"/>
        </w:rPr>
      </w:pPr>
      <w:r>
        <w:rPr>
          <w:rFonts w:hint="eastAsia" w:hAnsi="宋体" w:cs="宋体"/>
        </w:rPr>
        <w:t>15.4合同一方要求变更或解除合同时，则应当至少提前14日书面通知对方；因变更或解除合同使一方遭受损失的，应由责任方负责赔偿。</w:t>
      </w:r>
    </w:p>
    <w:p w14:paraId="7C0A6B81">
      <w:pPr>
        <w:autoSpaceDE w:val="0"/>
        <w:autoSpaceDN w:val="0"/>
        <w:spacing w:before="0" w:beforeLines="0" w:line="360" w:lineRule="auto"/>
        <w:ind w:firstLine="480"/>
        <w:rPr>
          <w:rFonts w:hAnsi="宋体" w:cs="宋体"/>
        </w:rPr>
      </w:pPr>
      <w:r>
        <w:rPr>
          <w:rFonts w:hint="eastAsia" w:hAnsi="宋体" w:cs="宋体"/>
        </w:rPr>
        <w:t>15.5乙方由于非自身原因暂停或终止执行工程造价服务工作，由此而增加的恢复执行工程造价服务工作，应视为额外服务，有权得到额外的时间和酬金，具体由双方协商确定。</w:t>
      </w:r>
    </w:p>
    <w:p w14:paraId="34C2BF91">
      <w:pPr>
        <w:autoSpaceDE w:val="0"/>
        <w:autoSpaceDN w:val="0"/>
        <w:spacing w:before="0" w:beforeLines="0" w:line="360" w:lineRule="auto"/>
        <w:ind w:firstLine="480"/>
        <w:rPr>
          <w:rFonts w:hAnsi="宋体" w:cs="宋体"/>
        </w:rPr>
      </w:pPr>
      <w:r>
        <w:rPr>
          <w:rFonts w:hint="eastAsia" w:hAnsi="宋体" w:cs="宋体"/>
        </w:rPr>
        <w:t>15.6变更或解除合同的通知或协议，应当采取书面形式，新的协议未达成之前，原合同仍然有效。</w:t>
      </w:r>
    </w:p>
    <w:p w14:paraId="13CBC5AD">
      <w:pPr>
        <w:autoSpaceDE w:val="0"/>
        <w:autoSpaceDN w:val="0"/>
        <w:spacing w:before="0" w:beforeLines="0" w:line="360" w:lineRule="auto"/>
        <w:ind w:firstLine="480"/>
        <w:rPr>
          <w:rFonts w:hAnsi="宋体" w:cs="宋体"/>
        </w:rPr>
      </w:pPr>
      <w:r>
        <w:rPr>
          <w:rFonts w:hint="eastAsia" w:hAnsi="宋体" w:cs="宋体"/>
        </w:rPr>
        <w:t>15.7因工程造价服务业务的需要，乙方在合同约定外的外出考察，经甲方同意，其所需费用各自负责。</w:t>
      </w:r>
    </w:p>
    <w:p w14:paraId="36824B24">
      <w:pPr>
        <w:autoSpaceDE w:val="0"/>
        <w:autoSpaceDN w:val="0"/>
        <w:spacing w:before="0" w:beforeLines="0" w:line="360" w:lineRule="auto"/>
        <w:ind w:firstLine="480"/>
        <w:rPr>
          <w:rFonts w:hAnsi="宋体" w:cs="宋体"/>
        </w:rPr>
      </w:pPr>
      <w:r>
        <w:rPr>
          <w:rFonts w:hint="eastAsia" w:hAnsi="宋体" w:cs="宋体"/>
        </w:rPr>
        <w:t>15.8乙方如需外聘专家协助，在委托的工程造价服务业务范围内其费用由乙方承担；在委托的工程造价服务业务范围以外，经甲方认可其费用由甲方承担。</w:t>
      </w:r>
    </w:p>
    <w:p w14:paraId="16E153C4">
      <w:pPr>
        <w:adjustRightInd/>
        <w:spacing w:before="0" w:beforeLines="0" w:line="360" w:lineRule="auto"/>
        <w:ind w:firstLine="482"/>
        <w:jc w:val="left"/>
        <w:outlineLvl w:val="2"/>
        <w:rPr>
          <w:rFonts w:hAnsi="宋体"/>
          <w:b/>
          <w:bCs/>
        </w:rPr>
      </w:pPr>
      <w:bookmarkStart w:id="1226" w:name="_Toc23907"/>
      <w:bookmarkStart w:id="1227" w:name="_Toc29493"/>
      <w:bookmarkStart w:id="1228" w:name="_Toc743"/>
      <w:bookmarkStart w:id="1229" w:name="_Toc193981323"/>
      <w:bookmarkStart w:id="1230" w:name="_Toc30658"/>
      <w:bookmarkStart w:id="1231" w:name="_Toc491534486"/>
      <w:bookmarkStart w:id="1232" w:name="_Toc18084"/>
      <w:bookmarkStart w:id="1233" w:name="_Toc828"/>
      <w:bookmarkStart w:id="1234" w:name="_Toc12994"/>
      <w:bookmarkStart w:id="1235" w:name="_Toc20935"/>
      <w:r>
        <w:rPr>
          <w:rFonts w:hint="eastAsia" w:hAnsi="宋体"/>
          <w:b/>
          <w:bCs/>
        </w:rPr>
        <w:t>16</w:t>
      </w:r>
      <w:r>
        <w:rPr>
          <w:rFonts w:hAnsi="宋体"/>
          <w:b/>
          <w:bCs/>
        </w:rPr>
        <w:t>.争议处理</w:t>
      </w:r>
      <w:bookmarkEnd w:id="1226"/>
      <w:bookmarkEnd w:id="1227"/>
      <w:bookmarkEnd w:id="1228"/>
      <w:bookmarkEnd w:id="1229"/>
      <w:bookmarkEnd w:id="1230"/>
      <w:bookmarkEnd w:id="1231"/>
      <w:bookmarkEnd w:id="1232"/>
      <w:bookmarkEnd w:id="1233"/>
      <w:bookmarkEnd w:id="1234"/>
      <w:bookmarkEnd w:id="1235"/>
    </w:p>
    <w:p w14:paraId="4566B524">
      <w:pPr>
        <w:autoSpaceDE w:val="0"/>
        <w:autoSpaceDN w:val="0"/>
        <w:spacing w:before="0" w:beforeLines="0" w:line="360" w:lineRule="auto"/>
        <w:ind w:firstLine="480"/>
        <w:rPr>
          <w:rFonts w:hAnsi="宋体" w:cs="宋体"/>
        </w:rPr>
      </w:pPr>
      <w:bookmarkStart w:id="1236" w:name="_Toc31119"/>
      <w:bookmarkStart w:id="1237" w:name="_Toc5515"/>
      <w:bookmarkStart w:id="1238" w:name="_Toc23644"/>
      <w:bookmarkStart w:id="1239" w:name="_Toc491534487"/>
      <w:bookmarkStart w:id="1240" w:name="_Toc28928"/>
      <w:bookmarkStart w:id="1241" w:name="_Toc12650"/>
      <w:bookmarkStart w:id="1242" w:name="_Toc11534"/>
      <w:bookmarkStart w:id="1243" w:name="_Toc6342"/>
      <w:bookmarkStart w:id="1244" w:name="_Toc28699"/>
      <w:r>
        <w:rPr>
          <w:rFonts w:hint="eastAsia" w:hAnsi="宋体" w:cs="宋体"/>
        </w:rPr>
        <w:t>在履行本合同过程中如发生争议，甲乙双方可协商解决；如协商不成需提起诉讼的，应向甲方营业执照记载的住所地有管辖权的人民法院管辖。</w:t>
      </w:r>
    </w:p>
    <w:p w14:paraId="6A813761">
      <w:pPr>
        <w:adjustRightInd/>
        <w:spacing w:before="0" w:beforeLines="0" w:line="360" w:lineRule="auto"/>
        <w:ind w:firstLine="482"/>
        <w:jc w:val="left"/>
        <w:outlineLvl w:val="2"/>
        <w:rPr>
          <w:rFonts w:hAnsi="宋体"/>
          <w:b/>
          <w:bCs/>
        </w:rPr>
      </w:pPr>
      <w:bookmarkStart w:id="1245" w:name="_Toc193981324"/>
      <w:r>
        <w:rPr>
          <w:rFonts w:hint="eastAsia" w:hAnsi="宋体"/>
          <w:b/>
          <w:bCs/>
        </w:rPr>
        <w:t>17</w:t>
      </w:r>
      <w:r>
        <w:rPr>
          <w:rFonts w:hAnsi="宋体"/>
          <w:b/>
          <w:bCs/>
        </w:rPr>
        <w:t>.附则</w:t>
      </w:r>
      <w:bookmarkEnd w:id="1236"/>
      <w:bookmarkEnd w:id="1237"/>
      <w:bookmarkEnd w:id="1238"/>
      <w:bookmarkEnd w:id="1239"/>
      <w:bookmarkEnd w:id="1240"/>
      <w:bookmarkEnd w:id="1241"/>
      <w:bookmarkEnd w:id="1242"/>
      <w:bookmarkEnd w:id="1243"/>
      <w:bookmarkEnd w:id="1244"/>
      <w:bookmarkEnd w:id="1245"/>
    </w:p>
    <w:p w14:paraId="7661C175">
      <w:pPr>
        <w:adjustRightInd/>
        <w:spacing w:before="0" w:beforeLines="0" w:line="360" w:lineRule="auto"/>
        <w:ind w:firstLine="480"/>
        <w:jc w:val="left"/>
        <w:rPr>
          <w:rFonts w:hAnsi="宋体"/>
        </w:rPr>
      </w:pPr>
      <w:r>
        <w:rPr>
          <w:rFonts w:hint="eastAsia" w:hAnsi="宋体"/>
        </w:rPr>
        <w:t>17</w:t>
      </w:r>
      <w:r>
        <w:rPr>
          <w:rFonts w:hAnsi="宋体"/>
        </w:rPr>
        <w:t>.1本合同订立时间：</w:t>
      </w:r>
      <w:r>
        <w:rPr>
          <w:rFonts w:hAnsi="宋体"/>
          <w:u w:val="single"/>
        </w:rPr>
        <w:t xml:space="preserve"> </w:t>
      </w:r>
      <w:r>
        <w:rPr>
          <w:rFonts w:hint="eastAsia" w:hAnsi="宋体"/>
          <w:u w:val="single"/>
        </w:rPr>
        <w:t xml:space="preserve">      </w:t>
      </w:r>
      <w:r>
        <w:rPr>
          <w:rFonts w:hAnsi="宋体"/>
        </w:rPr>
        <w:t xml:space="preserve"> 年</w:t>
      </w:r>
      <w:r>
        <w:rPr>
          <w:rFonts w:hint="eastAsia" w:hAnsi="宋体"/>
          <w:u w:val="single"/>
        </w:rPr>
        <w:t xml:space="preserve">    </w:t>
      </w:r>
      <w:r>
        <w:rPr>
          <w:rFonts w:hAnsi="宋体"/>
          <w:u w:val="single"/>
        </w:rPr>
        <w:t xml:space="preserve">  </w:t>
      </w:r>
      <w:r>
        <w:rPr>
          <w:rFonts w:hAnsi="宋体"/>
        </w:rPr>
        <w:t>月</w:t>
      </w:r>
      <w:r>
        <w:rPr>
          <w:rFonts w:hAnsi="宋体"/>
          <w:u w:val="single"/>
        </w:rPr>
        <w:t xml:space="preserve"> </w:t>
      </w:r>
      <w:r>
        <w:rPr>
          <w:rFonts w:hint="eastAsia" w:hAnsi="宋体"/>
          <w:u w:val="single"/>
        </w:rPr>
        <w:t xml:space="preserve">   </w:t>
      </w:r>
      <w:r>
        <w:rPr>
          <w:rFonts w:hAnsi="宋体"/>
          <w:u w:val="single"/>
        </w:rPr>
        <w:t xml:space="preserve"> </w:t>
      </w:r>
      <w:r>
        <w:rPr>
          <w:rFonts w:hAnsi="宋体"/>
        </w:rPr>
        <w:t>日。</w:t>
      </w:r>
    </w:p>
    <w:p w14:paraId="33B2B76A">
      <w:pPr>
        <w:adjustRightInd/>
        <w:snapToGrid/>
        <w:spacing w:before="0" w:beforeLines="0" w:line="360" w:lineRule="auto"/>
        <w:ind w:firstLine="480"/>
        <w:rPr>
          <w:rFonts w:hAnsi="宋体"/>
        </w:rPr>
      </w:pPr>
      <w:r>
        <w:rPr>
          <w:rFonts w:hint="eastAsia" w:hAnsi="宋体"/>
        </w:rPr>
        <w:t>17.2合同签订地：广西南宁市青秀区凤岭北路111号。</w:t>
      </w:r>
    </w:p>
    <w:p w14:paraId="4DA2B9E3">
      <w:pPr>
        <w:adjustRightInd/>
        <w:spacing w:before="0" w:beforeLines="0" w:line="360" w:lineRule="auto"/>
        <w:ind w:firstLine="480"/>
        <w:jc w:val="left"/>
        <w:rPr>
          <w:rFonts w:hAnsi="宋体"/>
        </w:rPr>
      </w:pPr>
      <w:r>
        <w:rPr>
          <w:rFonts w:hint="eastAsia" w:hAnsi="宋体"/>
        </w:rPr>
        <w:t>17</w:t>
      </w:r>
      <w:r>
        <w:rPr>
          <w:rFonts w:hAnsi="宋体"/>
        </w:rPr>
        <w:t>.</w:t>
      </w:r>
      <w:r>
        <w:rPr>
          <w:rFonts w:hint="eastAsia" w:hAnsi="宋体"/>
        </w:rPr>
        <w:t>3</w:t>
      </w:r>
      <w:r>
        <w:rPr>
          <w:rFonts w:hAnsi="宋体"/>
        </w:rPr>
        <w:t>本合同经</w:t>
      </w:r>
      <w:r>
        <w:rPr>
          <w:rFonts w:hint="eastAsia" w:hAnsi="宋体"/>
        </w:rPr>
        <w:t>甲乙</w:t>
      </w:r>
      <w:r>
        <w:rPr>
          <w:rFonts w:hAnsi="宋体"/>
        </w:rPr>
        <w:t>双方法定代表人或授权代理人签字或（盖章）并加盖双方单位公章（或合同专用章）后生效。</w:t>
      </w:r>
    </w:p>
    <w:p w14:paraId="348CFA1B">
      <w:pPr>
        <w:adjustRightInd/>
        <w:spacing w:before="0" w:beforeLines="0" w:line="360" w:lineRule="auto"/>
        <w:ind w:firstLine="480"/>
        <w:jc w:val="left"/>
        <w:rPr>
          <w:rFonts w:hAnsi="宋体"/>
        </w:rPr>
      </w:pPr>
      <w:r>
        <w:rPr>
          <w:rFonts w:hint="eastAsia" w:hAnsi="宋体"/>
        </w:rPr>
        <w:t>17.4本合同一式</w:t>
      </w:r>
      <w:r>
        <w:rPr>
          <w:rFonts w:hint="eastAsia" w:hAnsi="宋体"/>
          <w:u w:val="single"/>
        </w:rPr>
        <w:t xml:space="preserve">     </w:t>
      </w:r>
      <w:r>
        <w:rPr>
          <w:rFonts w:hint="eastAsia" w:hAnsi="宋体"/>
        </w:rPr>
        <w:t>份，甲方执</w:t>
      </w:r>
      <w:r>
        <w:rPr>
          <w:rFonts w:hint="eastAsia" w:hAnsi="宋体"/>
          <w:u w:val="single"/>
        </w:rPr>
        <w:t xml:space="preserve">     </w:t>
      </w:r>
      <w:r>
        <w:rPr>
          <w:rFonts w:hint="eastAsia" w:hAnsi="宋体"/>
        </w:rPr>
        <w:t>份，乙方执</w:t>
      </w:r>
      <w:r>
        <w:rPr>
          <w:rFonts w:hint="eastAsia" w:hAnsi="宋体"/>
          <w:u w:val="single"/>
        </w:rPr>
        <w:t xml:space="preserve">     </w:t>
      </w:r>
      <w:r>
        <w:rPr>
          <w:rFonts w:hint="eastAsia" w:hAnsi="宋体"/>
        </w:rPr>
        <w:t>份，</w:t>
      </w:r>
      <w:r>
        <w:rPr>
          <w:rFonts w:hint="eastAsia" w:hAnsi="宋体"/>
          <w:lang w:val="zh-CN"/>
        </w:rPr>
        <w:t>具有同等法律效力。</w:t>
      </w:r>
    </w:p>
    <w:p w14:paraId="4130B2AF">
      <w:pPr>
        <w:adjustRightInd/>
        <w:spacing w:before="0" w:beforeLines="0" w:line="360" w:lineRule="auto"/>
        <w:ind w:firstLine="480"/>
        <w:jc w:val="left"/>
        <w:rPr>
          <w:rFonts w:hAnsi="宋体"/>
        </w:rPr>
      </w:pPr>
      <w:r>
        <w:rPr>
          <w:rFonts w:hint="eastAsia" w:hAnsi="宋体"/>
        </w:rPr>
        <w:t>17.5其他未尽事宜双方在友好协商的基础上另行约定。</w:t>
      </w:r>
      <w:bookmarkStart w:id="1246" w:name="_Toc23939"/>
      <w:bookmarkStart w:id="1247" w:name="_Toc491534488"/>
      <w:bookmarkStart w:id="1248" w:name="_Toc14117"/>
      <w:bookmarkStart w:id="1249" w:name="_Toc4390"/>
      <w:bookmarkStart w:id="1250" w:name="_Toc359573043"/>
    </w:p>
    <w:p w14:paraId="3ED96819">
      <w:pPr>
        <w:adjustRightInd/>
        <w:spacing w:before="0" w:beforeLines="0" w:line="360" w:lineRule="auto"/>
        <w:ind w:firstLine="480"/>
        <w:jc w:val="left"/>
        <w:rPr>
          <w:rFonts w:hAnsi="宋体"/>
        </w:rPr>
      </w:pPr>
      <w:r>
        <w:rPr>
          <w:rFonts w:hint="eastAsia" w:hAnsi="宋体"/>
        </w:rPr>
        <w:t>17.6合同附件</w:t>
      </w:r>
    </w:p>
    <w:p w14:paraId="64E2AAFD">
      <w:pPr>
        <w:adjustRightInd/>
        <w:spacing w:before="0" w:beforeLines="0" w:line="360" w:lineRule="auto"/>
        <w:ind w:firstLine="420" w:firstLineChars="0"/>
        <w:jc w:val="left"/>
        <w:rPr>
          <w:rFonts w:ascii="Times New Roman"/>
        </w:rPr>
      </w:pPr>
      <w:r>
        <w:rPr>
          <w:rFonts w:hint="eastAsia" w:ascii="Times New Roman"/>
        </w:rPr>
        <w:t>附件一：承诺函</w:t>
      </w:r>
    </w:p>
    <w:p w14:paraId="0A5E0FD5">
      <w:pPr>
        <w:adjustRightInd/>
        <w:spacing w:before="0" w:beforeLines="0" w:line="360" w:lineRule="auto"/>
        <w:ind w:firstLine="420" w:firstLineChars="0"/>
        <w:jc w:val="left"/>
        <w:rPr>
          <w:rFonts w:ascii="Times New Roman"/>
        </w:rPr>
      </w:pPr>
      <w:r>
        <w:rPr>
          <w:rFonts w:hint="eastAsia" w:ascii="Times New Roman"/>
        </w:rPr>
        <w:t>附件二：</w:t>
      </w:r>
      <w:r>
        <w:rPr>
          <w:rFonts w:hint="eastAsia" w:hAnsi="宋体"/>
        </w:rPr>
        <w:t>结算阶段</w:t>
      </w:r>
      <w:r>
        <w:rPr>
          <w:rFonts w:hint="eastAsia" w:ascii="Times New Roman"/>
        </w:rPr>
        <w:t>月度管理工作考核表</w:t>
      </w:r>
    </w:p>
    <w:p w14:paraId="29BAE572">
      <w:pPr>
        <w:adjustRightInd/>
        <w:spacing w:before="0" w:beforeLines="0" w:line="360" w:lineRule="auto"/>
        <w:ind w:firstLine="420" w:firstLineChars="0"/>
        <w:jc w:val="left"/>
        <w:rPr>
          <w:rFonts w:ascii="Times New Roman"/>
        </w:rPr>
      </w:pPr>
      <w:r>
        <w:rPr>
          <w:rFonts w:hint="eastAsia" w:ascii="Times New Roman"/>
        </w:rPr>
        <w:t>附件三：工地派驻人员月度管理考评表</w:t>
      </w:r>
    </w:p>
    <w:p w14:paraId="0C89C67F">
      <w:pPr>
        <w:adjustRightInd/>
        <w:spacing w:before="0" w:beforeLines="0" w:line="360" w:lineRule="auto"/>
        <w:ind w:firstLine="420" w:firstLineChars="0"/>
        <w:jc w:val="left"/>
        <w:rPr>
          <w:rFonts w:ascii="Times New Roman"/>
        </w:rPr>
      </w:pPr>
      <w:r>
        <w:rPr>
          <w:rFonts w:hint="eastAsia" w:ascii="Times New Roman"/>
        </w:rPr>
        <w:t>附件四：季度造价服务任务情况汇总表</w:t>
      </w:r>
    </w:p>
    <w:p w14:paraId="2E01A8BC">
      <w:pPr>
        <w:adjustRightInd/>
        <w:spacing w:before="0" w:beforeLines="0" w:line="360" w:lineRule="auto"/>
        <w:ind w:firstLine="420" w:firstLineChars="0"/>
        <w:jc w:val="left"/>
        <w:rPr>
          <w:rFonts w:ascii="Times New Roman"/>
        </w:rPr>
      </w:pPr>
      <w:r>
        <w:rPr>
          <w:rFonts w:hint="eastAsia" w:ascii="Times New Roman"/>
        </w:rPr>
        <w:t>附件五：公司组织架构</w:t>
      </w:r>
    </w:p>
    <w:p w14:paraId="5C8769C1">
      <w:pPr>
        <w:adjustRightInd/>
        <w:spacing w:before="0" w:beforeLines="0" w:line="360" w:lineRule="auto"/>
        <w:ind w:firstLine="420" w:firstLineChars="0"/>
        <w:jc w:val="left"/>
        <w:rPr>
          <w:rFonts w:ascii="Times New Roman"/>
        </w:rPr>
      </w:pPr>
      <w:r>
        <w:rPr>
          <w:rFonts w:hint="eastAsia" w:ascii="Times New Roman"/>
        </w:rPr>
        <w:t>附件六：拟投入本项目造价人员表</w:t>
      </w:r>
    </w:p>
    <w:p w14:paraId="2A4485EF">
      <w:pPr>
        <w:tabs>
          <w:tab w:val="center" w:pos="4153"/>
          <w:tab w:val="right" w:pos="8306"/>
        </w:tabs>
        <w:adjustRightInd/>
        <w:spacing w:before="0" w:beforeLines="0" w:line="240" w:lineRule="auto"/>
        <w:ind w:firstLine="0" w:firstLineChars="0"/>
        <w:rPr>
          <w:rFonts w:hAnsi="宋体" w:cs="宋体"/>
        </w:rPr>
      </w:pPr>
      <w:r>
        <w:rPr>
          <w:rFonts w:hint="eastAsia" w:hAnsi="宋体" w:cs="宋体"/>
        </w:rPr>
        <w:t>（以下为签章页，无正文）</w:t>
      </w:r>
    </w:p>
    <w:p w14:paraId="45A50993">
      <w:pPr>
        <w:tabs>
          <w:tab w:val="center" w:pos="4153"/>
          <w:tab w:val="right" w:pos="8306"/>
        </w:tabs>
        <w:adjustRightInd/>
        <w:spacing w:before="0" w:beforeLines="0" w:line="240" w:lineRule="auto"/>
        <w:ind w:firstLine="0" w:firstLineChars="0"/>
        <w:rPr>
          <w:rFonts w:hAnsi="宋体" w:cs="宋体"/>
        </w:rPr>
      </w:pPr>
      <w:r>
        <w:rPr>
          <w:rFonts w:hAnsi="宋体" w:cs="宋体"/>
        </w:rPr>
        <w:br w:type="page"/>
      </w:r>
    </w:p>
    <w:tbl>
      <w:tblPr>
        <w:tblStyle w:val="48"/>
        <w:tblW w:w="9356" w:type="dxa"/>
        <w:tblInd w:w="-176" w:type="dxa"/>
        <w:tblLayout w:type="fixed"/>
        <w:tblCellMar>
          <w:top w:w="0" w:type="dxa"/>
          <w:left w:w="108" w:type="dxa"/>
          <w:bottom w:w="0" w:type="dxa"/>
          <w:right w:w="108" w:type="dxa"/>
        </w:tblCellMar>
      </w:tblPr>
      <w:tblGrid>
        <w:gridCol w:w="4679"/>
        <w:gridCol w:w="4677"/>
      </w:tblGrid>
      <w:tr w14:paraId="04A93517">
        <w:tblPrEx>
          <w:tblCellMar>
            <w:top w:w="0" w:type="dxa"/>
            <w:left w:w="108" w:type="dxa"/>
            <w:bottom w:w="0" w:type="dxa"/>
            <w:right w:w="108" w:type="dxa"/>
          </w:tblCellMar>
        </w:tblPrEx>
        <w:trPr>
          <w:trHeight w:val="1015" w:hRule="atLeast"/>
        </w:trPr>
        <w:tc>
          <w:tcPr>
            <w:tcW w:w="4679" w:type="dxa"/>
            <w:noWrap w:val="0"/>
            <w:vAlign w:val="top"/>
          </w:tcPr>
          <w:p w14:paraId="24B4EC77">
            <w:pPr>
              <w:keepNext w:val="0"/>
              <w:keepLines w:val="0"/>
              <w:suppressLineNumbers w:val="0"/>
              <w:adjustRightInd/>
              <w:snapToGrid/>
              <w:spacing w:before="0" w:beforeLines="0" w:beforeAutospacing="0" w:after="0" w:afterAutospacing="0" w:line="360" w:lineRule="auto"/>
              <w:ind w:left="1200" w:right="0" w:hanging="1200" w:hangingChars="500"/>
              <w:rPr>
                <w:rFonts w:hAnsi="宋体" w:eastAsia="宋体" w:cs="宋体"/>
                <w:kern w:val="0"/>
              </w:rPr>
            </w:pPr>
            <w:r>
              <w:rPr>
                <w:rFonts w:hint="eastAsia" w:hAnsi="宋体" w:eastAsia="宋体" w:cs="宋体"/>
              </w:rPr>
              <w:t xml:space="preserve">甲方：       </w:t>
            </w:r>
          </w:p>
          <w:p w14:paraId="5BF24FDB">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（盖章）</w:t>
            </w:r>
          </w:p>
        </w:tc>
        <w:tc>
          <w:tcPr>
            <w:tcW w:w="4677" w:type="dxa"/>
            <w:noWrap w:val="0"/>
            <w:vAlign w:val="top"/>
          </w:tcPr>
          <w:p w14:paraId="335F1F7E">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乙方：</w:t>
            </w:r>
          </w:p>
          <w:p w14:paraId="326B6714">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u w:val="single"/>
              </w:rPr>
            </w:pPr>
            <w:r>
              <w:rPr>
                <w:rFonts w:hint="eastAsia" w:hAnsi="宋体" w:eastAsia="宋体" w:cs="宋体"/>
              </w:rPr>
              <w:t>（盖章）</w:t>
            </w:r>
          </w:p>
        </w:tc>
      </w:tr>
      <w:tr w14:paraId="47AE68C2">
        <w:tblPrEx>
          <w:tblCellMar>
            <w:top w:w="0" w:type="dxa"/>
            <w:left w:w="108" w:type="dxa"/>
            <w:bottom w:w="0" w:type="dxa"/>
            <w:right w:w="108" w:type="dxa"/>
          </w:tblCellMar>
        </w:tblPrEx>
        <w:trPr>
          <w:trHeight w:val="815" w:hRule="atLeast"/>
        </w:trPr>
        <w:tc>
          <w:tcPr>
            <w:tcW w:w="4679" w:type="dxa"/>
            <w:noWrap w:val="0"/>
            <w:vAlign w:val="top"/>
          </w:tcPr>
          <w:p w14:paraId="3B1AED12">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法定代表人(签章)：</w:t>
            </w:r>
          </w:p>
        </w:tc>
        <w:tc>
          <w:tcPr>
            <w:tcW w:w="4677" w:type="dxa"/>
            <w:noWrap w:val="0"/>
            <w:vAlign w:val="top"/>
          </w:tcPr>
          <w:p w14:paraId="1415878C">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法定代表人(签章)：</w:t>
            </w:r>
          </w:p>
        </w:tc>
      </w:tr>
      <w:tr w14:paraId="7E590572">
        <w:tblPrEx>
          <w:tblCellMar>
            <w:top w:w="0" w:type="dxa"/>
            <w:left w:w="108" w:type="dxa"/>
            <w:bottom w:w="0" w:type="dxa"/>
            <w:right w:w="108" w:type="dxa"/>
          </w:tblCellMar>
        </w:tblPrEx>
        <w:trPr>
          <w:trHeight w:val="856" w:hRule="atLeast"/>
        </w:trPr>
        <w:tc>
          <w:tcPr>
            <w:tcW w:w="4679" w:type="dxa"/>
            <w:noWrap w:val="0"/>
            <w:vAlign w:val="top"/>
          </w:tcPr>
          <w:p w14:paraId="6D94C09B">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委托代理人(签章)：</w:t>
            </w:r>
          </w:p>
        </w:tc>
        <w:tc>
          <w:tcPr>
            <w:tcW w:w="4677" w:type="dxa"/>
            <w:noWrap w:val="0"/>
            <w:vAlign w:val="top"/>
          </w:tcPr>
          <w:p w14:paraId="7E3DF4D2">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委托代理人(签章)：</w:t>
            </w:r>
          </w:p>
        </w:tc>
      </w:tr>
      <w:tr w14:paraId="53A127F0">
        <w:tblPrEx>
          <w:tblCellMar>
            <w:top w:w="0" w:type="dxa"/>
            <w:left w:w="108" w:type="dxa"/>
            <w:bottom w:w="0" w:type="dxa"/>
            <w:right w:w="108" w:type="dxa"/>
          </w:tblCellMar>
        </w:tblPrEx>
        <w:trPr>
          <w:trHeight w:val="928" w:hRule="atLeast"/>
        </w:trPr>
        <w:tc>
          <w:tcPr>
            <w:tcW w:w="4679" w:type="dxa"/>
            <w:noWrap w:val="0"/>
            <w:vAlign w:val="top"/>
          </w:tcPr>
          <w:p w14:paraId="5F306372">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地址：</w:t>
            </w:r>
          </w:p>
        </w:tc>
        <w:tc>
          <w:tcPr>
            <w:tcW w:w="4677" w:type="dxa"/>
            <w:noWrap w:val="0"/>
            <w:vAlign w:val="top"/>
          </w:tcPr>
          <w:p w14:paraId="6CE9551C">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地址：</w:t>
            </w:r>
          </w:p>
        </w:tc>
      </w:tr>
      <w:tr w14:paraId="149ED4EE">
        <w:tblPrEx>
          <w:tblCellMar>
            <w:top w:w="0" w:type="dxa"/>
            <w:left w:w="108" w:type="dxa"/>
            <w:bottom w:w="0" w:type="dxa"/>
            <w:right w:w="108" w:type="dxa"/>
          </w:tblCellMar>
        </w:tblPrEx>
        <w:trPr>
          <w:trHeight w:val="908" w:hRule="atLeast"/>
        </w:trPr>
        <w:tc>
          <w:tcPr>
            <w:tcW w:w="4679" w:type="dxa"/>
            <w:noWrap w:val="0"/>
            <w:vAlign w:val="top"/>
          </w:tcPr>
          <w:p w14:paraId="361739D0">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电话：</w:t>
            </w:r>
          </w:p>
        </w:tc>
        <w:tc>
          <w:tcPr>
            <w:tcW w:w="4677" w:type="dxa"/>
            <w:noWrap w:val="0"/>
            <w:vAlign w:val="top"/>
          </w:tcPr>
          <w:p w14:paraId="0E61FA87">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电话：</w:t>
            </w:r>
          </w:p>
        </w:tc>
      </w:tr>
      <w:tr w14:paraId="0483F082">
        <w:tblPrEx>
          <w:tblCellMar>
            <w:top w:w="0" w:type="dxa"/>
            <w:left w:w="108" w:type="dxa"/>
            <w:bottom w:w="0" w:type="dxa"/>
            <w:right w:w="108" w:type="dxa"/>
          </w:tblCellMar>
        </w:tblPrEx>
        <w:trPr>
          <w:trHeight w:val="948" w:hRule="atLeast"/>
        </w:trPr>
        <w:tc>
          <w:tcPr>
            <w:tcW w:w="4679" w:type="dxa"/>
            <w:noWrap w:val="0"/>
            <w:vAlign w:val="top"/>
          </w:tcPr>
          <w:p w14:paraId="729E386A">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传真：</w:t>
            </w:r>
          </w:p>
        </w:tc>
        <w:tc>
          <w:tcPr>
            <w:tcW w:w="4677" w:type="dxa"/>
            <w:noWrap w:val="0"/>
            <w:vAlign w:val="top"/>
          </w:tcPr>
          <w:p w14:paraId="5EE2877C">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传真：</w:t>
            </w:r>
          </w:p>
        </w:tc>
      </w:tr>
      <w:tr w14:paraId="3016C870">
        <w:tblPrEx>
          <w:tblCellMar>
            <w:top w:w="0" w:type="dxa"/>
            <w:left w:w="108" w:type="dxa"/>
            <w:bottom w:w="0" w:type="dxa"/>
            <w:right w:w="108" w:type="dxa"/>
          </w:tblCellMar>
        </w:tblPrEx>
        <w:trPr>
          <w:trHeight w:val="843" w:hRule="atLeast"/>
        </w:trPr>
        <w:tc>
          <w:tcPr>
            <w:tcW w:w="4679" w:type="dxa"/>
            <w:noWrap w:val="0"/>
            <w:vAlign w:val="top"/>
          </w:tcPr>
          <w:p w14:paraId="25A4D50B">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开户银行：</w:t>
            </w:r>
          </w:p>
        </w:tc>
        <w:tc>
          <w:tcPr>
            <w:tcW w:w="4677" w:type="dxa"/>
            <w:noWrap w:val="0"/>
            <w:vAlign w:val="top"/>
          </w:tcPr>
          <w:p w14:paraId="3FB47ECC">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开户银行：</w:t>
            </w:r>
          </w:p>
          <w:p w14:paraId="4600EBC3">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p>
        </w:tc>
      </w:tr>
      <w:tr w14:paraId="6158E701">
        <w:tblPrEx>
          <w:tblCellMar>
            <w:top w:w="0" w:type="dxa"/>
            <w:left w:w="108" w:type="dxa"/>
            <w:bottom w:w="0" w:type="dxa"/>
            <w:right w:w="108" w:type="dxa"/>
          </w:tblCellMar>
        </w:tblPrEx>
        <w:trPr>
          <w:trHeight w:val="975" w:hRule="atLeast"/>
        </w:trPr>
        <w:tc>
          <w:tcPr>
            <w:tcW w:w="4679" w:type="dxa"/>
            <w:noWrap w:val="0"/>
            <w:vAlign w:val="top"/>
          </w:tcPr>
          <w:p w14:paraId="5A9DD939">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bCs/>
              </w:rPr>
            </w:pPr>
            <w:r>
              <w:rPr>
                <w:rFonts w:hint="eastAsia" w:hAnsi="宋体" w:eastAsia="宋体" w:cs="宋体"/>
              </w:rPr>
              <w:t>账号：</w:t>
            </w:r>
          </w:p>
        </w:tc>
        <w:tc>
          <w:tcPr>
            <w:tcW w:w="4677" w:type="dxa"/>
            <w:noWrap w:val="0"/>
            <w:vAlign w:val="top"/>
          </w:tcPr>
          <w:p w14:paraId="74D4FC7F">
            <w:pPr>
              <w:keepNext w:val="0"/>
              <w:keepLines w:val="0"/>
              <w:suppressLineNumbers w:val="0"/>
              <w:adjustRightInd/>
              <w:snapToGrid/>
              <w:spacing w:before="0" w:beforeLines="0" w:beforeAutospacing="0" w:after="0" w:afterAutospacing="0" w:line="360" w:lineRule="auto"/>
              <w:ind w:left="0" w:right="0" w:firstLine="0" w:firstLineChars="0"/>
              <w:rPr>
                <w:rFonts w:hAnsi="宋体" w:eastAsia="宋体" w:cs="宋体"/>
              </w:rPr>
            </w:pPr>
            <w:r>
              <w:rPr>
                <w:rFonts w:hint="eastAsia" w:hAnsi="宋体" w:eastAsia="宋体" w:cs="宋体"/>
              </w:rPr>
              <w:t>账号：</w:t>
            </w:r>
          </w:p>
        </w:tc>
      </w:tr>
    </w:tbl>
    <w:p w14:paraId="374CBD23">
      <w:pPr>
        <w:tabs>
          <w:tab w:val="center" w:pos="4153"/>
          <w:tab w:val="right" w:pos="8306"/>
        </w:tabs>
        <w:adjustRightInd/>
        <w:spacing w:before="0" w:beforeLines="0" w:line="240" w:lineRule="auto"/>
        <w:ind w:firstLine="0" w:firstLineChars="0"/>
        <w:rPr>
          <w:rFonts w:ascii="Times New Roman"/>
        </w:rPr>
      </w:pPr>
    </w:p>
    <w:p w14:paraId="7147A241">
      <w:pPr>
        <w:adjustRightInd/>
        <w:snapToGrid/>
        <w:spacing w:before="0" w:beforeLines="0" w:line="240" w:lineRule="auto"/>
        <w:ind w:firstLine="0" w:firstLineChars="0"/>
        <w:jc w:val="center"/>
        <w:rPr>
          <w:rFonts w:ascii="Times New Roman"/>
          <w:b/>
          <w:bCs/>
          <w:spacing w:val="7"/>
        </w:rPr>
      </w:pPr>
      <w:bookmarkStart w:id="1251" w:name="_Toc16084"/>
      <w:bookmarkStart w:id="1252" w:name="_Toc4988"/>
      <w:r>
        <w:rPr>
          <w:rFonts w:hint="eastAsia" w:ascii="Times New Roman"/>
          <w:b/>
          <w:bCs/>
          <w:spacing w:val="7"/>
        </w:rPr>
        <w:br w:type="page"/>
      </w:r>
      <w:bookmarkStart w:id="1253" w:name="_Toc24617"/>
      <w:bookmarkStart w:id="1254" w:name="_Toc8516"/>
      <w:r>
        <w:rPr>
          <w:rFonts w:ascii="Times New Roman"/>
          <w:b/>
          <w:bCs/>
          <w:spacing w:val="7"/>
        </w:rPr>
        <w:t>合同附件</w:t>
      </w:r>
      <w:bookmarkEnd w:id="1246"/>
      <w:bookmarkEnd w:id="1247"/>
      <w:bookmarkEnd w:id="1248"/>
      <w:bookmarkEnd w:id="1249"/>
      <w:bookmarkEnd w:id="1251"/>
      <w:bookmarkEnd w:id="1252"/>
      <w:bookmarkEnd w:id="1253"/>
      <w:bookmarkEnd w:id="1254"/>
    </w:p>
    <w:bookmarkEnd w:id="1250"/>
    <w:p w14:paraId="0D584FA7">
      <w:pPr>
        <w:adjustRightInd/>
        <w:spacing w:before="0" w:beforeLines="0" w:line="360" w:lineRule="auto"/>
        <w:ind w:firstLine="0" w:firstLineChars="0"/>
        <w:rPr>
          <w:rFonts w:ascii="Times New Roman"/>
          <w:lang w:val="zh-CN"/>
        </w:rPr>
      </w:pPr>
      <w:bookmarkStart w:id="1255" w:name="_Toc20535"/>
      <w:bookmarkStart w:id="1256" w:name="_Toc8389"/>
      <w:bookmarkStart w:id="1257" w:name="_Toc27812"/>
      <w:bookmarkStart w:id="1258" w:name="_Toc10939"/>
      <w:bookmarkStart w:id="1259" w:name="_Toc5067"/>
      <w:r>
        <w:rPr>
          <w:rFonts w:hint="eastAsia" w:ascii="Times New Roman"/>
        </w:rPr>
        <w:t>附件一</w:t>
      </w:r>
      <w:bookmarkEnd w:id="1255"/>
      <w:bookmarkEnd w:id="1256"/>
      <w:bookmarkEnd w:id="1257"/>
      <w:bookmarkEnd w:id="1258"/>
      <w:bookmarkEnd w:id="1259"/>
    </w:p>
    <w:p w14:paraId="50B113C0">
      <w:pPr>
        <w:adjustRightInd/>
        <w:snapToGrid/>
        <w:spacing w:before="0" w:beforeLines="0" w:line="360" w:lineRule="auto"/>
        <w:ind w:firstLine="0" w:firstLineChars="0"/>
        <w:jc w:val="center"/>
        <w:textAlignment w:val="baseline"/>
        <w:rPr>
          <w:rFonts w:ascii="Times New Roman"/>
          <w:b/>
        </w:rPr>
      </w:pPr>
      <w:r>
        <w:rPr>
          <w:rFonts w:ascii="Times New Roman"/>
          <w:b/>
        </w:rPr>
        <w:t>承诺函（中标后提供）</w:t>
      </w:r>
    </w:p>
    <w:p w14:paraId="50601AD4">
      <w:pPr>
        <w:adjustRightInd/>
        <w:spacing w:before="0" w:beforeLines="0" w:line="360" w:lineRule="auto"/>
        <w:ind w:firstLine="0" w:firstLineChars="0"/>
        <w:rPr>
          <w:rFonts w:ascii="Times New Roman"/>
          <w:lang w:val="zh-CN"/>
        </w:rPr>
      </w:pPr>
      <w:r>
        <w:rPr>
          <w:rFonts w:hint="eastAsia" w:ascii="Times New Roman"/>
          <w:u w:val="single"/>
        </w:rPr>
        <w:t xml:space="preserve">                       （委托人）</w:t>
      </w:r>
      <w:r>
        <w:rPr>
          <w:rFonts w:ascii="Times New Roman"/>
          <w:lang w:val="zh-CN"/>
        </w:rPr>
        <w:t>：</w:t>
      </w:r>
    </w:p>
    <w:p w14:paraId="2DA3C80D">
      <w:pPr>
        <w:adjustRightInd/>
        <w:spacing w:before="0" w:beforeLines="0" w:line="360" w:lineRule="auto"/>
        <w:ind w:firstLine="0" w:firstLineChars="0"/>
        <w:rPr>
          <w:rFonts w:ascii="Times New Roman"/>
        </w:rPr>
      </w:pPr>
      <w:r>
        <w:rPr>
          <w:rFonts w:ascii="Times New Roman"/>
          <w:lang w:val="zh-CN"/>
        </w:rPr>
        <w:t xml:space="preserve">    </w:t>
      </w:r>
      <w:r>
        <w:rPr>
          <w:rFonts w:ascii="Times New Roman"/>
          <w:u w:val="single"/>
          <w:lang w:val="zh-CN"/>
        </w:rPr>
        <w:t xml:space="preserve">      </w:t>
      </w:r>
      <w:r>
        <w:rPr>
          <w:rFonts w:hint="eastAsia" w:ascii="Times New Roman"/>
          <w:u w:val="single"/>
        </w:rPr>
        <w:t xml:space="preserve">     </w:t>
      </w:r>
      <w:r>
        <w:rPr>
          <w:rFonts w:ascii="Times New Roman"/>
          <w:u w:val="single"/>
          <w:lang w:val="zh-CN"/>
        </w:rPr>
        <w:t xml:space="preserve">    </w:t>
      </w:r>
      <w:r>
        <w:rPr>
          <w:rFonts w:ascii="Times New Roman"/>
          <w:lang w:val="zh-CN"/>
        </w:rPr>
        <w:t>（以下称“本公司”）现已中标贵</w:t>
      </w:r>
      <w:r>
        <w:rPr>
          <w:rFonts w:hint="eastAsia" w:ascii="Times New Roman"/>
          <w:lang w:val="zh-CN"/>
        </w:rPr>
        <w:t>公</w:t>
      </w:r>
      <w:r>
        <w:rPr>
          <w:rFonts w:ascii="Times New Roman"/>
          <w:lang w:val="zh-CN"/>
        </w:rPr>
        <w:t>司招标的</w:t>
      </w:r>
      <w:r>
        <w:rPr>
          <w:rFonts w:ascii="Times New Roman"/>
          <w:u w:val="single"/>
          <w:lang w:val="zh-CN"/>
        </w:rPr>
        <w:t xml:space="preserve">      （项目名称）</w:t>
      </w:r>
      <w:r>
        <w:rPr>
          <w:rFonts w:ascii="Times New Roman"/>
          <w:lang w:val="zh-CN"/>
        </w:rPr>
        <w:t>，并拟签订正式合同，按合同规定需向贵</w:t>
      </w:r>
      <w:r>
        <w:rPr>
          <w:rFonts w:hint="eastAsia" w:ascii="Times New Roman"/>
          <w:lang w:val="zh-CN"/>
        </w:rPr>
        <w:t>公</w:t>
      </w:r>
      <w:r>
        <w:rPr>
          <w:rFonts w:ascii="Times New Roman"/>
          <w:lang w:val="zh-CN"/>
        </w:rPr>
        <w:t>司提供一份履约担保金额为人民币：</w:t>
      </w:r>
      <w:r>
        <w:rPr>
          <w:rFonts w:ascii="Times New Roman"/>
          <w:u w:val="single"/>
          <w:lang w:val="zh-CN"/>
        </w:rPr>
        <w:t xml:space="preserve">            </w:t>
      </w:r>
      <w:r>
        <w:rPr>
          <w:rFonts w:ascii="Times New Roman"/>
          <w:lang w:val="zh-CN"/>
        </w:rPr>
        <w:t>（</w:t>
      </w:r>
      <w:r>
        <w:rPr>
          <w:rFonts w:hint="eastAsia" w:ascii="Times New Roman"/>
          <w:u w:val="single"/>
        </w:rPr>
        <w:t>¥</w:t>
      </w:r>
      <w:r>
        <w:rPr>
          <w:rFonts w:ascii="Times New Roman"/>
          <w:u w:val="single"/>
        </w:rPr>
        <w:t xml:space="preserve">   </w:t>
      </w:r>
      <w:r>
        <w:rPr>
          <w:rFonts w:ascii="Times New Roman"/>
          <w:lang w:val="zh-CN"/>
        </w:rPr>
        <w:t>）的履约保函</w:t>
      </w:r>
      <w:r>
        <w:rPr>
          <w:rFonts w:ascii="Times New Roman"/>
        </w:rPr>
        <w:t>（保函编号：</w:t>
      </w:r>
      <w:r>
        <w:rPr>
          <w:rFonts w:ascii="Times New Roman"/>
          <w:u w:val="single"/>
        </w:rPr>
        <w:t xml:space="preserve">       </w:t>
      </w:r>
      <w:r>
        <w:rPr>
          <w:rFonts w:ascii="Times New Roman"/>
        </w:rPr>
        <w:t>）</w:t>
      </w:r>
      <w:r>
        <w:rPr>
          <w:rFonts w:ascii="Times New Roman"/>
          <w:lang w:val="zh-CN"/>
        </w:rPr>
        <w:t>，有效期至</w:t>
      </w:r>
      <w:r>
        <w:rPr>
          <w:rFonts w:ascii="Times New Roman"/>
        </w:rPr>
        <w:t>X年X月X日。</w:t>
      </w:r>
    </w:p>
    <w:p w14:paraId="627AE6E1">
      <w:pPr>
        <w:adjustRightInd/>
        <w:spacing w:before="0" w:beforeLines="0" w:line="360" w:lineRule="auto"/>
        <w:ind w:firstLine="420" w:firstLineChars="0"/>
        <w:rPr>
          <w:rFonts w:ascii="Times New Roman"/>
        </w:rPr>
      </w:pPr>
      <w:r>
        <w:rPr>
          <w:rFonts w:ascii="Times New Roman"/>
        </w:rPr>
        <w:t>本公司现向贵</w:t>
      </w:r>
      <w:r>
        <w:rPr>
          <w:rFonts w:hint="eastAsia" w:ascii="Times New Roman"/>
        </w:rPr>
        <w:t>公</w:t>
      </w:r>
      <w:r>
        <w:rPr>
          <w:rFonts w:ascii="Times New Roman"/>
        </w:rPr>
        <w:t>司郑重承诺，如上述保函到期日仍未到合同约定的时间（</w:t>
      </w:r>
      <w:r>
        <w:rPr>
          <w:rFonts w:ascii="Times New Roman"/>
          <w:u w:val="single"/>
        </w:rPr>
        <w:t>竣工验收证书签署之日后四十五（45）天</w:t>
      </w:r>
      <w:r>
        <w:rPr>
          <w:rFonts w:ascii="Times New Roman"/>
        </w:rPr>
        <w:t>），本公司将在保函到期前60天，无条件延长保函有效期。如未及时向贵</w:t>
      </w:r>
      <w:r>
        <w:rPr>
          <w:rFonts w:hint="eastAsia" w:ascii="Times New Roman"/>
        </w:rPr>
        <w:t>公</w:t>
      </w:r>
      <w:r>
        <w:rPr>
          <w:rFonts w:ascii="Times New Roman"/>
        </w:rPr>
        <w:t>司提供符合规定的履约保函，</w:t>
      </w:r>
      <w:r>
        <w:rPr>
          <w:rFonts w:hint="eastAsia" w:ascii="Times New Roman"/>
        </w:rPr>
        <w:t>本公</w:t>
      </w:r>
      <w:r>
        <w:rPr>
          <w:rFonts w:ascii="Times New Roman"/>
        </w:rPr>
        <w:t>司承担违约责任的一切后果。</w:t>
      </w:r>
    </w:p>
    <w:p w14:paraId="08DE3CE5">
      <w:pPr>
        <w:adjustRightInd/>
        <w:spacing w:before="0" w:beforeLines="0" w:line="360" w:lineRule="auto"/>
        <w:ind w:firstLine="420" w:firstLineChars="0"/>
        <w:rPr>
          <w:rFonts w:ascii="Times New Roman"/>
        </w:rPr>
      </w:pPr>
      <w:r>
        <w:rPr>
          <w:rFonts w:ascii="Times New Roman"/>
        </w:rPr>
        <w:t>特此承诺</w:t>
      </w:r>
    </w:p>
    <w:p w14:paraId="0734DB3F">
      <w:pPr>
        <w:adjustRightInd/>
        <w:spacing w:before="0" w:beforeLines="0" w:line="360" w:lineRule="auto"/>
        <w:ind w:left="5760" w:leftChars="50" w:hanging="5640" w:hangingChars="2350"/>
        <w:rPr>
          <w:rFonts w:ascii="Times New Roman"/>
        </w:rPr>
      </w:pPr>
      <w:r>
        <w:rPr>
          <w:rFonts w:ascii="Times New Roman"/>
        </w:rPr>
        <w:t xml:space="preserve">                                                              承诺人：</w:t>
      </w:r>
    </w:p>
    <w:p w14:paraId="1B64D364">
      <w:pPr>
        <w:adjustRightInd/>
        <w:spacing w:before="0" w:beforeLines="0" w:line="360" w:lineRule="auto"/>
        <w:ind w:firstLine="0" w:firstLineChars="0"/>
        <w:rPr>
          <w:rFonts w:ascii="Times New Roman"/>
        </w:rPr>
      </w:pPr>
      <w:r>
        <w:rPr>
          <w:rFonts w:ascii="Times New Roman"/>
        </w:rPr>
        <w:t xml:space="preserve">                                             </w:t>
      </w:r>
      <w:r>
        <w:rPr>
          <w:rFonts w:hint="eastAsia" w:ascii="Times New Roman"/>
        </w:rPr>
        <w:t xml:space="preserve">  </w:t>
      </w:r>
      <w:r>
        <w:rPr>
          <w:rFonts w:ascii="Times New Roman"/>
        </w:rPr>
        <w:t xml:space="preserve">            X年X月X日</w:t>
      </w:r>
    </w:p>
    <w:p w14:paraId="298AFBAB">
      <w:pPr>
        <w:adjustRightInd/>
        <w:snapToGrid/>
        <w:spacing w:before="0" w:beforeLines="0" w:line="360" w:lineRule="auto"/>
        <w:ind w:firstLine="0" w:firstLineChars="0"/>
        <w:rPr>
          <w:rFonts w:ascii="Times New Roman"/>
        </w:rPr>
      </w:pPr>
    </w:p>
    <w:p w14:paraId="34EBCC52">
      <w:pPr>
        <w:tabs>
          <w:tab w:val="left" w:pos="840"/>
          <w:tab w:val="left" w:pos="1080"/>
        </w:tabs>
        <w:adjustRightInd/>
        <w:spacing w:before="0" w:beforeLines="0" w:line="240" w:lineRule="auto"/>
        <w:ind w:firstLine="0" w:firstLineChars="0"/>
        <w:rPr>
          <w:rFonts w:ascii="Times New Roman"/>
          <w:sz w:val="21"/>
        </w:rPr>
      </w:pPr>
      <w:bookmarkStart w:id="1260" w:name="_Toc491534490"/>
      <w:r>
        <w:rPr>
          <w:rFonts w:ascii="Times New Roman"/>
          <w:b/>
          <w:bCs/>
        </w:rPr>
        <w:br w:type="page"/>
      </w:r>
      <w:bookmarkEnd w:id="1260"/>
      <w:r>
        <w:rPr>
          <w:rFonts w:hint="eastAsia" w:ascii="Times New Roman"/>
          <w:sz w:val="21"/>
        </w:rPr>
        <w:t>考核表二</w:t>
      </w:r>
    </w:p>
    <w:tbl>
      <w:tblPr>
        <w:tblStyle w:val="48"/>
        <w:tblW w:w="52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
        <w:gridCol w:w="1039"/>
        <w:gridCol w:w="6"/>
        <w:gridCol w:w="2447"/>
        <w:gridCol w:w="426"/>
        <w:gridCol w:w="426"/>
        <w:gridCol w:w="648"/>
        <w:gridCol w:w="644"/>
        <w:gridCol w:w="2379"/>
        <w:gridCol w:w="660"/>
      </w:tblGrid>
      <w:tr w14:paraId="5DA2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626" w:type="pct"/>
            <w:gridSpan w:val="9"/>
            <w:shd w:val="clear" w:color="000000" w:fill="FFFFFF"/>
            <w:noWrap w:val="0"/>
            <w:vAlign w:val="center"/>
          </w:tcPr>
          <w:p w14:paraId="34D71B4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1"/>
                <w:szCs w:val="21"/>
              </w:rPr>
            </w:pPr>
            <w:bookmarkStart w:id="1261" w:name="OLE_LINK2"/>
            <w:r>
              <w:rPr>
                <w:rFonts w:hint="eastAsia" w:hAnsi="宋体" w:eastAsia="宋体" w:cs="宋体"/>
                <w:bCs/>
                <w:kern w:val="0"/>
                <w:sz w:val="21"/>
                <w:szCs w:val="21"/>
              </w:rPr>
              <w:t>全过程服务月度管理工作考核</w:t>
            </w:r>
            <w:bookmarkEnd w:id="1261"/>
            <w:r>
              <w:rPr>
                <w:rFonts w:hint="eastAsia" w:hAnsi="宋体" w:eastAsia="宋体" w:cs="宋体"/>
                <w:bCs/>
                <w:kern w:val="0"/>
                <w:sz w:val="21"/>
                <w:szCs w:val="21"/>
              </w:rPr>
              <w:t>表</w:t>
            </w:r>
          </w:p>
        </w:tc>
        <w:tc>
          <w:tcPr>
            <w:tcW w:w="374" w:type="pct"/>
            <w:shd w:val="clear" w:color="000000" w:fill="FFFFFF"/>
            <w:noWrap w:val="0"/>
            <w:vAlign w:val="center"/>
          </w:tcPr>
          <w:p w14:paraId="4110D882">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w:t>
            </w:r>
          </w:p>
        </w:tc>
      </w:tr>
      <w:tr w14:paraId="29C4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771" w:type="pct"/>
            <w:gridSpan w:val="3"/>
            <w:vMerge w:val="restart"/>
            <w:noWrap w:val="0"/>
            <w:vAlign w:val="center"/>
          </w:tcPr>
          <w:p w14:paraId="6A30976C">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项目</w:t>
            </w:r>
          </w:p>
        </w:tc>
        <w:tc>
          <w:tcPr>
            <w:tcW w:w="2166" w:type="pct"/>
            <w:gridSpan w:val="4"/>
            <w:noWrap w:val="0"/>
            <w:vAlign w:val="center"/>
          </w:tcPr>
          <w:p w14:paraId="11D66C4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评     估</w:t>
            </w:r>
          </w:p>
        </w:tc>
        <w:tc>
          <w:tcPr>
            <w:tcW w:w="363" w:type="pct"/>
            <w:vMerge w:val="restart"/>
            <w:noWrap w:val="0"/>
            <w:vAlign w:val="center"/>
          </w:tcPr>
          <w:p w14:paraId="648E30FD">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换算得分</w:t>
            </w:r>
          </w:p>
        </w:tc>
        <w:tc>
          <w:tcPr>
            <w:tcW w:w="1326" w:type="pct"/>
            <w:vMerge w:val="restart"/>
            <w:noWrap w:val="0"/>
            <w:vAlign w:val="center"/>
          </w:tcPr>
          <w:p w14:paraId="2F9A7FC7">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评估细则</w:t>
            </w:r>
          </w:p>
        </w:tc>
        <w:tc>
          <w:tcPr>
            <w:tcW w:w="374" w:type="pct"/>
            <w:vMerge w:val="restart"/>
            <w:noWrap w:val="0"/>
            <w:vAlign w:val="center"/>
          </w:tcPr>
          <w:p w14:paraId="4565658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扣分说明</w:t>
            </w:r>
          </w:p>
        </w:tc>
      </w:tr>
      <w:tr w14:paraId="54FD6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71" w:type="pct"/>
            <w:gridSpan w:val="3"/>
            <w:vMerge w:val="continue"/>
            <w:noWrap w:val="0"/>
            <w:vAlign w:val="center"/>
          </w:tcPr>
          <w:p w14:paraId="711CCA6A">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1368" w:type="pct"/>
            <w:vMerge w:val="restart"/>
            <w:noWrap w:val="0"/>
            <w:vAlign w:val="center"/>
          </w:tcPr>
          <w:p w14:paraId="3329E1F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评估标准</w:t>
            </w:r>
          </w:p>
        </w:tc>
        <w:tc>
          <w:tcPr>
            <w:tcW w:w="216" w:type="pct"/>
            <w:vMerge w:val="restart"/>
            <w:noWrap w:val="0"/>
            <w:vAlign w:val="center"/>
          </w:tcPr>
          <w:p w14:paraId="7188ADAB">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权重</w:t>
            </w:r>
          </w:p>
        </w:tc>
        <w:tc>
          <w:tcPr>
            <w:tcW w:w="217" w:type="pct"/>
            <w:vMerge w:val="restart"/>
            <w:noWrap w:val="0"/>
            <w:vAlign w:val="center"/>
          </w:tcPr>
          <w:p w14:paraId="4C700E7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等级</w:t>
            </w:r>
          </w:p>
        </w:tc>
        <w:tc>
          <w:tcPr>
            <w:tcW w:w="364" w:type="pct"/>
            <w:vMerge w:val="restart"/>
            <w:noWrap w:val="0"/>
            <w:vAlign w:val="center"/>
          </w:tcPr>
          <w:p w14:paraId="0C554E68">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实得分率</w:t>
            </w:r>
          </w:p>
        </w:tc>
        <w:tc>
          <w:tcPr>
            <w:tcW w:w="363" w:type="pct"/>
            <w:vMerge w:val="continue"/>
            <w:noWrap w:val="0"/>
            <w:vAlign w:val="center"/>
          </w:tcPr>
          <w:p w14:paraId="40F508D9">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1326" w:type="pct"/>
            <w:vMerge w:val="continue"/>
            <w:noWrap w:val="0"/>
            <w:vAlign w:val="center"/>
          </w:tcPr>
          <w:p w14:paraId="40A0D119">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374" w:type="pct"/>
            <w:vMerge w:val="continue"/>
            <w:noWrap w:val="0"/>
            <w:vAlign w:val="center"/>
          </w:tcPr>
          <w:p w14:paraId="51662FA4">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r>
      <w:tr w14:paraId="112D6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71" w:type="pct"/>
            <w:gridSpan w:val="3"/>
            <w:vMerge w:val="continue"/>
            <w:noWrap w:val="0"/>
            <w:vAlign w:val="center"/>
          </w:tcPr>
          <w:p w14:paraId="2DF79D52">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1368" w:type="pct"/>
            <w:vMerge w:val="continue"/>
            <w:noWrap w:val="0"/>
            <w:vAlign w:val="center"/>
          </w:tcPr>
          <w:p w14:paraId="6A46646A">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216" w:type="pct"/>
            <w:vMerge w:val="continue"/>
            <w:noWrap w:val="0"/>
            <w:vAlign w:val="center"/>
          </w:tcPr>
          <w:p w14:paraId="3B7CD08A">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217" w:type="pct"/>
            <w:vMerge w:val="continue"/>
            <w:noWrap w:val="0"/>
            <w:vAlign w:val="center"/>
          </w:tcPr>
          <w:p w14:paraId="3B81FE2A">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364" w:type="pct"/>
            <w:vMerge w:val="continue"/>
            <w:noWrap w:val="0"/>
            <w:vAlign w:val="center"/>
          </w:tcPr>
          <w:p w14:paraId="3ADED121">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363" w:type="pct"/>
            <w:vMerge w:val="continue"/>
            <w:noWrap w:val="0"/>
            <w:vAlign w:val="center"/>
          </w:tcPr>
          <w:p w14:paraId="2BED40AB">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1326" w:type="pct"/>
            <w:vMerge w:val="continue"/>
            <w:noWrap w:val="0"/>
            <w:vAlign w:val="center"/>
          </w:tcPr>
          <w:p w14:paraId="09A44320">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374" w:type="pct"/>
            <w:vMerge w:val="continue"/>
            <w:noWrap w:val="0"/>
            <w:vAlign w:val="center"/>
          </w:tcPr>
          <w:p w14:paraId="4591C348">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r>
      <w:tr w14:paraId="117B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71" w:type="pct"/>
            <w:gridSpan w:val="3"/>
            <w:shd w:val="clear" w:color="auto" w:fill="auto"/>
            <w:noWrap w:val="0"/>
            <w:vAlign w:val="center"/>
          </w:tcPr>
          <w:p w14:paraId="0FB444AB">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1"/>
                <w:szCs w:val="21"/>
              </w:rPr>
            </w:pPr>
            <w:r>
              <w:rPr>
                <w:rFonts w:hint="eastAsia" w:hAnsi="宋体" w:eastAsia="宋体" w:cs="宋体"/>
                <w:b/>
                <w:bCs/>
                <w:kern w:val="0"/>
                <w:sz w:val="21"/>
                <w:szCs w:val="21"/>
              </w:rPr>
              <w:t>专业成果指标</w:t>
            </w:r>
          </w:p>
        </w:tc>
        <w:tc>
          <w:tcPr>
            <w:tcW w:w="1368" w:type="pct"/>
            <w:shd w:val="clear" w:color="auto" w:fill="auto"/>
            <w:noWrap w:val="0"/>
            <w:vAlign w:val="center"/>
          </w:tcPr>
          <w:p w14:paraId="0B8A27C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w:t>
            </w:r>
          </w:p>
        </w:tc>
        <w:tc>
          <w:tcPr>
            <w:tcW w:w="216" w:type="pct"/>
            <w:shd w:val="clear" w:color="auto" w:fill="auto"/>
            <w:noWrap w:val="0"/>
            <w:vAlign w:val="center"/>
          </w:tcPr>
          <w:p w14:paraId="18337EC0">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w:t>
            </w:r>
          </w:p>
        </w:tc>
        <w:tc>
          <w:tcPr>
            <w:tcW w:w="217" w:type="pct"/>
            <w:shd w:val="clear" w:color="auto" w:fill="auto"/>
            <w:noWrap w:val="0"/>
            <w:vAlign w:val="center"/>
          </w:tcPr>
          <w:p w14:paraId="0D1CECAA">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w:t>
            </w:r>
          </w:p>
        </w:tc>
        <w:tc>
          <w:tcPr>
            <w:tcW w:w="364" w:type="pct"/>
            <w:shd w:val="clear" w:color="auto" w:fill="auto"/>
            <w:noWrap w:val="0"/>
            <w:vAlign w:val="center"/>
          </w:tcPr>
          <w:p w14:paraId="0B7A39C3">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w:t>
            </w:r>
          </w:p>
        </w:tc>
        <w:tc>
          <w:tcPr>
            <w:tcW w:w="363" w:type="pct"/>
            <w:shd w:val="clear" w:color="auto" w:fill="auto"/>
            <w:noWrap w:val="0"/>
            <w:vAlign w:val="center"/>
          </w:tcPr>
          <w:p w14:paraId="21AA6220">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xml:space="preserve"> </w:t>
            </w:r>
          </w:p>
        </w:tc>
        <w:tc>
          <w:tcPr>
            <w:tcW w:w="1326" w:type="pct"/>
            <w:shd w:val="clear" w:color="000000" w:fill="FFFFFF"/>
            <w:noWrap w:val="0"/>
            <w:vAlign w:val="center"/>
          </w:tcPr>
          <w:p w14:paraId="748FCDF4">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w:t>
            </w:r>
          </w:p>
        </w:tc>
        <w:tc>
          <w:tcPr>
            <w:tcW w:w="374" w:type="pct"/>
            <w:shd w:val="clear" w:color="000000" w:fill="FFFFFF"/>
            <w:noWrap w:val="0"/>
            <w:vAlign w:val="center"/>
          </w:tcPr>
          <w:p w14:paraId="03C0EF63">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w:t>
            </w:r>
          </w:p>
        </w:tc>
      </w:tr>
      <w:tr w14:paraId="5694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81" w:type="pct"/>
            <w:shd w:val="clear" w:color="000000" w:fill="FFFFFF"/>
            <w:noWrap w:val="0"/>
            <w:vAlign w:val="center"/>
          </w:tcPr>
          <w:p w14:paraId="5D0C629C">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1</w:t>
            </w:r>
          </w:p>
        </w:tc>
        <w:tc>
          <w:tcPr>
            <w:tcW w:w="591" w:type="pct"/>
            <w:gridSpan w:val="2"/>
            <w:shd w:val="clear" w:color="000000" w:fill="FFFFFF"/>
            <w:noWrap w:val="0"/>
            <w:vAlign w:val="center"/>
          </w:tcPr>
          <w:p w14:paraId="3C33600A">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招标、预算清单编写完整性</w:t>
            </w:r>
          </w:p>
        </w:tc>
        <w:tc>
          <w:tcPr>
            <w:tcW w:w="1368" w:type="pct"/>
            <w:shd w:val="clear" w:color="000000" w:fill="FFFFFF"/>
            <w:noWrap w:val="0"/>
            <w:vAlign w:val="center"/>
          </w:tcPr>
          <w:p w14:paraId="0A7AF67B">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1报价要求</w:t>
            </w:r>
            <w:r>
              <w:rPr>
                <w:rFonts w:hint="eastAsia" w:hAnsi="宋体" w:eastAsia="宋体" w:cs="宋体"/>
                <w:kern w:val="0"/>
                <w:sz w:val="21"/>
                <w:szCs w:val="21"/>
              </w:rPr>
              <w:br w:type="textWrapping"/>
            </w:r>
            <w:r>
              <w:rPr>
                <w:rFonts w:hint="eastAsia" w:hAnsi="宋体" w:eastAsia="宋体" w:cs="宋体"/>
                <w:kern w:val="0"/>
                <w:sz w:val="21"/>
                <w:szCs w:val="21"/>
              </w:rPr>
              <w:t>2招标清单的完整性</w:t>
            </w:r>
            <w:r>
              <w:rPr>
                <w:rFonts w:hint="eastAsia" w:hAnsi="宋体" w:eastAsia="宋体" w:cs="宋体"/>
                <w:kern w:val="0"/>
                <w:sz w:val="21"/>
                <w:szCs w:val="21"/>
              </w:rPr>
              <w:br w:type="textWrapping"/>
            </w:r>
            <w:r>
              <w:rPr>
                <w:rFonts w:hint="eastAsia" w:hAnsi="宋体" w:eastAsia="宋体" w:cs="宋体"/>
                <w:kern w:val="0"/>
                <w:sz w:val="21"/>
                <w:szCs w:val="21"/>
              </w:rPr>
              <w:t>按错漏次数统计</w:t>
            </w:r>
          </w:p>
        </w:tc>
        <w:tc>
          <w:tcPr>
            <w:tcW w:w="216" w:type="pct"/>
            <w:noWrap w:val="0"/>
            <w:vAlign w:val="center"/>
          </w:tcPr>
          <w:p w14:paraId="5FCF3613">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217" w:type="pct"/>
            <w:noWrap w:val="0"/>
            <w:vAlign w:val="center"/>
          </w:tcPr>
          <w:p w14:paraId="489DE2D2">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w:t>
            </w:r>
          </w:p>
        </w:tc>
        <w:tc>
          <w:tcPr>
            <w:tcW w:w="364" w:type="pct"/>
            <w:noWrap w:val="0"/>
            <w:vAlign w:val="center"/>
          </w:tcPr>
          <w:p w14:paraId="52A8B10F">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xml:space="preserve"> </w:t>
            </w:r>
          </w:p>
        </w:tc>
        <w:tc>
          <w:tcPr>
            <w:tcW w:w="363" w:type="pct"/>
            <w:noWrap w:val="0"/>
            <w:vAlign w:val="center"/>
          </w:tcPr>
          <w:p w14:paraId="6856CD35">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xml:space="preserve"> </w:t>
            </w:r>
          </w:p>
        </w:tc>
        <w:tc>
          <w:tcPr>
            <w:tcW w:w="1326" w:type="pct"/>
            <w:noWrap w:val="0"/>
            <w:vAlign w:val="center"/>
          </w:tcPr>
          <w:p w14:paraId="00A1BD36">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A、无任何错误(100分)；B、有1~3处错误（80分）；C、有4~5处错误（60分）；D超过5处错误（0分）</w:t>
            </w:r>
          </w:p>
        </w:tc>
        <w:tc>
          <w:tcPr>
            <w:tcW w:w="374" w:type="pct"/>
            <w:noWrap w:val="0"/>
            <w:vAlign w:val="center"/>
          </w:tcPr>
          <w:p w14:paraId="4FDB4288">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w:t>
            </w:r>
          </w:p>
        </w:tc>
      </w:tr>
      <w:tr w14:paraId="5EA4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181" w:type="pct"/>
            <w:shd w:val="clear" w:color="000000" w:fill="FFFFFF"/>
            <w:noWrap w:val="0"/>
            <w:vAlign w:val="center"/>
          </w:tcPr>
          <w:p w14:paraId="2A1AE769">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2</w:t>
            </w:r>
          </w:p>
        </w:tc>
        <w:tc>
          <w:tcPr>
            <w:tcW w:w="591" w:type="pct"/>
            <w:gridSpan w:val="2"/>
            <w:shd w:val="clear" w:color="000000" w:fill="FFFFFF"/>
            <w:noWrap w:val="0"/>
            <w:vAlign w:val="center"/>
          </w:tcPr>
          <w:p w14:paraId="234E6236">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招标采购完成及时性</w:t>
            </w:r>
          </w:p>
        </w:tc>
        <w:tc>
          <w:tcPr>
            <w:tcW w:w="1368" w:type="pct"/>
            <w:shd w:val="clear" w:color="000000" w:fill="FFFFFF"/>
            <w:noWrap w:val="0"/>
            <w:vAlign w:val="center"/>
          </w:tcPr>
          <w:p w14:paraId="6726DF69">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每月采购计划完成及时性：按照每月采购部下发的采购计划及完成情况归属顾问责任的</w:t>
            </w:r>
          </w:p>
        </w:tc>
        <w:tc>
          <w:tcPr>
            <w:tcW w:w="216" w:type="pct"/>
            <w:noWrap w:val="0"/>
            <w:vAlign w:val="center"/>
          </w:tcPr>
          <w:p w14:paraId="5F897089">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217" w:type="pct"/>
            <w:noWrap w:val="0"/>
            <w:vAlign w:val="center"/>
          </w:tcPr>
          <w:p w14:paraId="0CB7C5A9">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w:t>
            </w:r>
          </w:p>
        </w:tc>
        <w:tc>
          <w:tcPr>
            <w:tcW w:w="364" w:type="pct"/>
            <w:noWrap w:val="0"/>
            <w:vAlign w:val="center"/>
          </w:tcPr>
          <w:p w14:paraId="1D690A82">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xml:space="preserve"> </w:t>
            </w:r>
          </w:p>
        </w:tc>
        <w:tc>
          <w:tcPr>
            <w:tcW w:w="363" w:type="pct"/>
            <w:noWrap w:val="0"/>
            <w:vAlign w:val="center"/>
          </w:tcPr>
          <w:p w14:paraId="10E956AD">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xml:space="preserve"> </w:t>
            </w:r>
          </w:p>
        </w:tc>
        <w:tc>
          <w:tcPr>
            <w:tcW w:w="1326" w:type="pct"/>
            <w:noWrap w:val="0"/>
            <w:vAlign w:val="center"/>
          </w:tcPr>
          <w:p w14:paraId="2FC1CC80">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A、全部及时完成(100分)；B、有1单未及时完成（80分）；C、有2单未及时完成（60分）；D超过3单未及时完成（0分）</w:t>
            </w:r>
          </w:p>
        </w:tc>
        <w:tc>
          <w:tcPr>
            <w:tcW w:w="374" w:type="pct"/>
            <w:noWrap w:val="0"/>
            <w:vAlign w:val="center"/>
          </w:tcPr>
          <w:p w14:paraId="59484083">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w:t>
            </w:r>
          </w:p>
        </w:tc>
      </w:tr>
      <w:tr w14:paraId="4BBF0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81" w:type="pct"/>
            <w:shd w:val="clear" w:color="000000" w:fill="FFFFFF"/>
            <w:noWrap w:val="0"/>
            <w:vAlign w:val="center"/>
          </w:tcPr>
          <w:p w14:paraId="702E1447">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3</w:t>
            </w:r>
          </w:p>
        </w:tc>
        <w:tc>
          <w:tcPr>
            <w:tcW w:w="591" w:type="pct"/>
            <w:gridSpan w:val="2"/>
            <w:shd w:val="clear" w:color="000000" w:fill="FFFFFF"/>
            <w:noWrap w:val="0"/>
            <w:vAlign w:val="center"/>
          </w:tcPr>
          <w:p w14:paraId="5C9E41D8">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结算完成及时性</w:t>
            </w:r>
          </w:p>
        </w:tc>
        <w:tc>
          <w:tcPr>
            <w:tcW w:w="1368" w:type="pct"/>
            <w:shd w:val="clear" w:color="000000" w:fill="FFFFFF"/>
            <w:noWrap w:val="0"/>
            <w:vAlign w:val="center"/>
          </w:tcPr>
          <w:p w14:paraId="0ECAC177">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每月项目成本工程师委托的结算任务是否及时完成</w:t>
            </w:r>
          </w:p>
        </w:tc>
        <w:tc>
          <w:tcPr>
            <w:tcW w:w="216" w:type="pct"/>
            <w:noWrap w:val="0"/>
            <w:vAlign w:val="center"/>
          </w:tcPr>
          <w:p w14:paraId="5C1AB832">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217" w:type="pct"/>
            <w:noWrap w:val="0"/>
            <w:vAlign w:val="center"/>
          </w:tcPr>
          <w:p w14:paraId="6A8AFCCB">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364" w:type="pct"/>
            <w:noWrap w:val="0"/>
            <w:vAlign w:val="center"/>
          </w:tcPr>
          <w:p w14:paraId="125A0C6A">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xml:space="preserve">     </w:t>
            </w:r>
          </w:p>
        </w:tc>
        <w:tc>
          <w:tcPr>
            <w:tcW w:w="363" w:type="pct"/>
            <w:noWrap w:val="0"/>
            <w:vAlign w:val="center"/>
          </w:tcPr>
          <w:p w14:paraId="38098DB4">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xml:space="preserve"> </w:t>
            </w:r>
          </w:p>
        </w:tc>
        <w:tc>
          <w:tcPr>
            <w:tcW w:w="1326" w:type="pct"/>
            <w:noWrap w:val="0"/>
            <w:vAlign w:val="center"/>
          </w:tcPr>
          <w:p w14:paraId="444FED4E">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A、全部及时完成(100分)；B、有1单未及时完成（80分）；C、有2单未及时完成（60分）；D超过3单未及时完成（0分）</w:t>
            </w:r>
          </w:p>
        </w:tc>
        <w:tc>
          <w:tcPr>
            <w:tcW w:w="374" w:type="pct"/>
            <w:noWrap w:val="0"/>
            <w:vAlign w:val="center"/>
          </w:tcPr>
          <w:p w14:paraId="6E0C63C3">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b/>
                <w:bCs/>
                <w:kern w:val="0"/>
                <w:sz w:val="21"/>
                <w:szCs w:val="21"/>
              </w:rPr>
            </w:pPr>
            <w:r>
              <w:rPr>
                <w:rFonts w:hint="eastAsia" w:hAnsi="宋体" w:eastAsia="宋体" w:cs="宋体"/>
                <w:b/>
                <w:bCs/>
                <w:kern w:val="0"/>
                <w:sz w:val="21"/>
                <w:szCs w:val="21"/>
              </w:rPr>
              <w:t>　</w:t>
            </w:r>
          </w:p>
        </w:tc>
      </w:tr>
      <w:tr w14:paraId="5362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81" w:type="pct"/>
            <w:shd w:val="clear" w:color="000000" w:fill="FFFFFF"/>
            <w:noWrap w:val="0"/>
            <w:vAlign w:val="center"/>
          </w:tcPr>
          <w:p w14:paraId="154C8A78">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4</w:t>
            </w:r>
          </w:p>
        </w:tc>
        <w:tc>
          <w:tcPr>
            <w:tcW w:w="591" w:type="pct"/>
            <w:gridSpan w:val="2"/>
            <w:shd w:val="clear" w:color="auto" w:fill="auto"/>
            <w:noWrap w:val="0"/>
            <w:vAlign w:val="center"/>
          </w:tcPr>
          <w:p w14:paraId="36931FC0">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结算争议解决</w:t>
            </w:r>
          </w:p>
        </w:tc>
        <w:tc>
          <w:tcPr>
            <w:tcW w:w="1368" w:type="pct"/>
            <w:shd w:val="clear" w:color="000000" w:fill="FFFFFF"/>
            <w:noWrap w:val="0"/>
            <w:vAlign w:val="center"/>
          </w:tcPr>
          <w:p w14:paraId="2D70B949">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结算争议问题表述准确，条理清晰，需符合以下要求：</w:t>
            </w:r>
            <w:r>
              <w:rPr>
                <w:rFonts w:hint="eastAsia" w:hAnsi="宋体" w:eastAsia="宋体" w:cs="宋体"/>
                <w:kern w:val="0"/>
                <w:sz w:val="21"/>
                <w:szCs w:val="21"/>
              </w:rPr>
              <w:br w:type="textWrapping"/>
            </w:r>
            <w:r>
              <w:rPr>
                <w:rFonts w:hint="eastAsia" w:hAnsi="宋体" w:eastAsia="宋体" w:cs="宋体"/>
                <w:kern w:val="0"/>
                <w:sz w:val="21"/>
                <w:szCs w:val="21"/>
              </w:rPr>
              <w:t>1）双方意见描述清楚；</w:t>
            </w:r>
            <w:r>
              <w:rPr>
                <w:rFonts w:hint="eastAsia" w:hAnsi="宋体" w:eastAsia="宋体" w:cs="宋体"/>
                <w:kern w:val="0"/>
                <w:sz w:val="21"/>
                <w:szCs w:val="21"/>
              </w:rPr>
              <w:br w:type="textWrapping"/>
            </w:r>
            <w:r>
              <w:rPr>
                <w:rFonts w:hint="eastAsia" w:hAnsi="宋体" w:eastAsia="宋体" w:cs="宋体"/>
                <w:kern w:val="0"/>
                <w:sz w:val="21"/>
                <w:szCs w:val="21"/>
              </w:rPr>
              <w:t>2)争议金额准确；</w:t>
            </w:r>
            <w:r>
              <w:rPr>
                <w:rFonts w:hint="eastAsia" w:hAnsi="宋体" w:eastAsia="宋体" w:cs="宋体"/>
                <w:kern w:val="0"/>
                <w:sz w:val="21"/>
                <w:szCs w:val="21"/>
              </w:rPr>
              <w:br w:type="textWrapping"/>
            </w:r>
            <w:r>
              <w:rPr>
                <w:rFonts w:hint="eastAsia" w:hAnsi="宋体" w:eastAsia="宋体" w:cs="宋体"/>
                <w:kern w:val="0"/>
                <w:sz w:val="21"/>
                <w:szCs w:val="21"/>
              </w:rPr>
              <w:t>3）处理意见客观公正、资料齐全；</w:t>
            </w:r>
            <w:r>
              <w:rPr>
                <w:rFonts w:hint="eastAsia" w:hAnsi="宋体" w:eastAsia="宋体" w:cs="宋体"/>
                <w:kern w:val="0"/>
                <w:sz w:val="21"/>
                <w:szCs w:val="21"/>
              </w:rPr>
              <w:br w:type="textWrapping"/>
            </w:r>
            <w:r>
              <w:rPr>
                <w:rFonts w:hint="eastAsia" w:hAnsi="宋体" w:eastAsia="宋体" w:cs="宋体"/>
                <w:kern w:val="0"/>
                <w:sz w:val="21"/>
                <w:szCs w:val="21"/>
              </w:rPr>
              <w:t>4）积极组织三方约谈，处理争议问题</w:t>
            </w:r>
          </w:p>
        </w:tc>
        <w:tc>
          <w:tcPr>
            <w:tcW w:w="216" w:type="pct"/>
            <w:noWrap w:val="0"/>
            <w:vAlign w:val="center"/>
          </w:tcPr>
          <w:p w14:paraId="7BB3C651">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217" w:type="pct"/>
            <w:noWrap w:val="0"/>
            <w:vAlign w:val="center"/>
          </w:tcPr>
          <w:p w14:paraId="194B9970">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364" w:type="pct"/>
            <w:noWrap w:val="0"/>
            <w:vAlign w:val="center"/>
          </w:tcPr>
          <w:p w14:paraId="46DFC530">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xml:space="preserve">     </w:t>
            </w:r>
          </w:p>
        </w:tc>
        <w:tc>
          <w:tcPr>
            <w:tcW w:w="363" w:type="pct"/>
            <w:noWrap w:val="0"/>
            <w:vAlign w:val="center"/>
          </w:tcPr>
          <w:p w14:paraId="3E608A6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1326" w:type="pct"/>
            <w:noWrap w:val="0"/>
            <w:vAlign w:val="center"/>
          </w:tcPr>
          <w:p w14:paraId="39B5DCB4">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A、四条全部符合(100分)；B、有一项不符合（80分）；C、有两项不符合（60分）；D、有3项及3项以上不符合要求（0分）</w:t>
            </w:r>
          </w:p>
        </w:tc>
        <w:tc>
          <w:tcPr>
            <w:tcW w:w="374" w:type="pct"/>
            <w:noWrap w:val="0"/>
            <w:vAlign w:val="center"/>
          </w:tcPr>
          <w:p w14:paraId="22E39723">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w:t>
            </w:r>
          </w:p>
        </w:tc>
      </w:tr>
      <w:tr w14:paraId="5EA51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181" w:type="pct"/>
            <w:shd w:val="clear" w:color="000000" w:fill="FFFFFF"/>
            <w:noWrap w:val="0"/>
            <w:vAlign w:val="center"/>
          </w:tcPr>
          <w:p w14:paraId="1645F044">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5</w:t>
            </w:r>
          </w:p>
        </w:tc>
        <w:tc>
          <w:tcPr>
            <w:tcW w:w="591" w:type="pct"/>
            <w:gridSpan w:val="2"/>
            <w:shd w:val="clear" w:color="auto" w:fill="auto"/>
            <w:noWrap w:val="0"/>
            <w:vAlign w:val="center"/>
          </w:tcPr>
          <w:p w14:paraId="70204A8B">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招标清单优化提案</w:t>
            </w:r>
          </w:p>
        </w:tc>
        <w:tc>
          <w:tcPr>
            <w:tcW w:w="1368" w:type="pct"/>
            <w:shd w:val="clear" w:color="000000" w:fill="FFFFFF"/>
            <w:noWrap w:val="0"/>
            <w:vAlign w:val="center"/>
          </w:tcPr>
          <w:p w14:paraId="2782F87B">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优化金额</w:t>
            </w:r>
          </w:p>
        </w:tc>
        <w:tc>
          <w:tcPr>
            <w:tcW w:w="216" w:type="pct"/>
            <w:noWrap w:val="0"/>
            <w:vAlign w:val="center"/>
          </w:tcPr>
          <w:p w14:paraId="5DD868AC">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217" w:type="pct"/>
            <w:noWrap w:val="0"/>
            <w:vAlign w:val="center"/>
          </w:tcPr>
          <w:p w14:paraId="561CB6A5">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364" w:type="pct"/>
            <w:noWrap w:val="0"/>
            <w:vAlign w:val="center"/>
          </w:tcPr>
          <w:p w14:paraId="686407D6">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xml:space="preserve"> </w:t>
            </w:r>
          </w:p>
        </w:tc>
        <w:tc>
          <w:tcPr>
            <w:tcW w:w="363" w:type="pct"/>
            <w:noWrap w:val="0"/>
            <w:vAlign w:val="center"/>
          </w:tcPr>
          <w:p w14:paraId="3BBFF319">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1326" w:type="pct"/>
            <w:noWrap w:val="0"/>
            <w:vAlign w:val="center"/>
          </w:tcPr>
          <w:p w14:paraId="70C891A0">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A、优化方案金额≥50万(100分)；B、50万＞优化方案金额≥20万（80分）；C、20万＞优化方案金额＞0(50分)；D、无优化成本（0分）</w:t>
            </w:r>
          </w:p>
        </w:tc>
        <w:tc>
          <w:tcPr>
            <w:tcW w:w="374" w:type="pct"/>
            <w:noWrap w:val="0"/>
            <w:vAlign w:val="center"/>
          </w:tcPr>
          <w:p w14:paraId="07533F3E">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w:t>
            </w:r>
          </w:p>
        </w:tc>
      </w:tr>
      <w:tr w14:paraId="05D9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2139" w:type="pct"/>
            <w:gridSpan w:val="4"/>
            <w:noWrap w:val="0"/>
            <w:vAlign w:val="center"/>
          </w:tcPr>
          <w:p w14:paraId="0EF2117D">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b/>
                <w:bCs/>
                <w:kern w:val="0"/>
                <w:sz w:val="21"/>
                <w:szCs w:val="21"/>
              </w:rPr>
              <w:t>合计</w:t>
            </w:r>
          </w:p>
        </w:tc>
        <w:tc>
          <w:tcPr>
            <w:tcW w:w="216" w:type="pct"/>
            <w:noWrap w:val="0"/>
            <w:vAlign w:val="center"/>
          </w:tcPr>
          <w:p w14:paraId="092D131F">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217" w:type="pct"/>
            <w:noWrap w:val="0"/>
            <w:vAlign w:val="center"/>
          </w:tcPr>
          <w:p w14:paraId="046EA959">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364" w:type="pct"/>
            <w:noWrap w:val="0"/>
            <w:vAlign w:val="center"/>
          </w:tcPr>
          <w:p w14:paraId="62181535">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363" w:type="pct"/>
            <w:noWrap w:val="0"/>
            <w:vAlign w:val="center"/>
          </w:tcPr>
          <w:p w14:paraId="41BABBBA">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1326" w:type="pct"/>
            <w:noWrap w:val="0"/>
            <w:vAlign w:val="center"/>
          </w:tcPr>
          <w:p w14:paraId="5EC70BA1">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374" w:type="pct"/>
            <w:noWrap w:val="0"/>
            <w:vAlign w:val="center"/>
          </w:tcPr>
          <w:p w14:paraId="7EEAE812">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r>
      <w:tr w14:paraId="080AA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765" w:type="pct"/>
            <w:gridSpan w:val="2"/>
            <w:shd w:val="clear" w:color="auto" w:fill="auto"/>
            <w:noWrap w:val="0"/>
            <w:vAlign w:val="center"/>
          </w:tcPr>
          <w:p w14:paraId="3A5CF438">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1"/>
                <w:szCs w:val="21"/>
              </w:rPr>
            </w:pPr>
            <w:r>
              <w:rPr>
                <w:rFonts w:hint="eastAsia" w:hAnsi="宋体" w:eastAsia="宋体" w:cs="宋体"/>
                <w:b/>
                <w:bCs/>
                <w:kern w:val="0"/>
                <w:sz w:val="21"/>
                <w:szCs w:val="21"/>
              </w:rPr>
              <w:t>管理指标</w:t>
            </w:r>
          </w:p>
        </w:tc>
        <w:tc>
          <w:tcPr>
            <w:tcW w:w="1374" w:type="pct"/>
            <w:gridSpan w:val="2"/>
            <w:shd w:val="clear" w:color="000000" w:fill="FFFFFF"/>
            <w:noWrap w:val="0"/>
            <w:vAlign w:val="center"/>
          </w:tcPr>
          <w:p w14:paraId="2C461720">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w:t>
            </w:r>
          </w:p>
        </w:tc>
        <w:tc>
          <w:tcPr>
            <w:tcW w:w="216" w:type="pct"/>
            <w:noWrap w:val="0"/>
            <w:vAlign w:val="center"/>
          </w:tcPr>
          <w:p w14:paraId="7F027E42">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w:t>
            </w:r>
          </w:p>
        </w:tc>
        <w:tc>
          <w:tcPr>
            <w:tcW w:w="217" w:type="pct"/>
            <w:noWrap w:val="0"/>
            <w:vAlign w:val="center"/>
          </w:tcPr>
          <w:p w14:paraId="26810E04">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w:t>
            </w:r>
          </w:p>
        </w:tc>
        <w:tc>
          <w:tcPr>
            <w:tcW w:w="364" w:type="pct"/>
            <w:noWrap w:val="0"/>
            <w:vAlign w:val="center"/>
          </w:tcPr>
          <w:p w14:paraId="1FCA4047">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w:t>
            </w:r>
          </w:p>
        </w:tc>
        <w:tc>
          <w:tcPr>
            <w:tcW w:w="363" w:type="pct"/>
            <w:noWrap w:val="0"/>
            <w:vAlign w:val="center"/>
          </w:tcPr>
          <w:p w14:paraId="580C32CD">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1326" w:type="pct"/>
            <w:noWrap w:val="0"/>
            <w:vAlign w:val="center"/>
          </w:tcPr>
          <w:p w14:paraId="68664B83">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w:t>
            </w:r>
          </w:p>
        </w:tc>
        <w:tc>
          <w:tcPr>
            <w:tcW w:w="374" w:type="pct"/>
            <w:noWrap w:val="0"/>
            <w:vAlign w:val="center"/>
          </w:tcPr>
          <w:p w14:paraId="101C4F06">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w:t>
            </w:r>
          </w:p>
        </w:tc>
      </w:tr>
      <w:tr w14:paraId="68A26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181" w:type="pct"/>
            <w:shd w:val="clear" w:color="auto" w:fill="auto"/>
            <w:noWrap w:val="0"/>
            <w:vAlign w:val="center"/>
          </w:tcPr>
          <w:p w14:paraId="77FE442A">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1</w:t>
            </w:r>
          </w:p>
        </w:tc>
        <w:tc>
          <w:tcPr>
            <w:tcW w:w="585" w:type="pct"/>
            <w:shd w:val="clear" w:color="000000" w:fill="FFFFFF"/>
            <w:noWrap w:val="0"/>
            <w:vAlign w:val="center"/>
          </w:tcPr>
          <w:p w14:paraId="75E52A6F">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后台人员管理</w:t>
            </w:r>
          </w:p>
        </w:tc>
        <w:tc>
          <w:tcPr>
            <w:tcW w:w="1374" w:type="pct"/>
            <w:gridSpan w:val="2"/>
            <w:shd w:val="clear" w:color="000000" w:fill="FFFFFF"/>
            <w:noWrap w:val="0"/>
            <w:vAlign w:val="center"/>
          </w:tcPr>
          <w:p w14:paraId="7ACDF5E3">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1、后台对前台的支持力度（前后台工作分工是否合理，是否有固定后台人员）；</w:t>
            </w:r>
            <w:r>
              <w:rPr>
                <w:rFonts w:hint="eastAsia" w:hAnsi="宋体" w:eastAsia="宋体" w:cs="宋体"/>
                <w:kern w:val="0"/>
                <w:sz w:val="21"/>
                <w:szCs w:val="21"/>
              </w:rPr>
              <w:br w:type="textWrapping"/>
            </w:r>
            <w:r>
              <w:rPr>
                <w:rFonts w:hint="eastAsia" w:hAnsi="宋体" w:eastAsia="宋体" w:cs="宋体"/>
                <w:kern w:val="0"/>
                <w:sz w:val="21"/>
                <w:szCs w:val="21"/>
              </w:rPr>
              <w:t>2、后台在总包方面的推进力度是否到位等</w:t>
            </w:r>
            <w:r>
              <w:rPr>
                <w:rFonts w:hint="eastAsia" w:hAnsi="宋体" w:eastAsia="宋体" w:cs="宋体"/>
                <w:kern w:val="0"/>
                <w:sz w:val="21"/>
                <w:szCs w:val="21"/>
              </w:rPr>
              <w:br w:type="textWrapping"/>
            </w:r>
            <w:r>
              <w:rPr>
                <w:rFonts w:hint="eastAsia" w:hAnsi="宋体" w:eastAsia="宋体" w:cs="宋体"/>
                <w:kern w:val="0"/>
                <w:sz w:val="21"/>
                <w:szCs w:val="21"/>
              </w:rPr>
              <w:t>3、在管理方面的创新举措</w:t>
            </w:r>
          </w:p>
        </w:tc>
        <w:tc>
          <w:tcPr>
            <w:tcW w:w="216" w:type="pct"/>
            <w:shd w:val="clear" w:color="auto" w:fill="auto"/>
            <w:noWrap w:val="0"/>
            <w:vAlign w:val="center"/>
          </w:tcPr>
          <w:p w14:paraId="355FCB58">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217" w:type="pct"/>
            <w:shd w:val="clear" w:color="auto" w:fill="auto"/>
            <w:noWrap w:val="0"/>
            <w:vAlign w:val="center"/>
          </w:tcPr>
          <w:p w14:paraId="5BA645B1">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364" w:type="pct"/>
            <w:shd w:val="clear" w:color="000000" w:fill="FFFFFF"/>
            <w:noWrap w:val="0"/>
            <w:vAlign w:val="center"/>
          </w:tcPr>
          <w:p w14:paraId="582387D8">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xml:space="preserve"> </w:t>
            </w:r>
          </w:p>
        </w:tc>
        <w:tc>
          <w:tcPr>
            <w:tcW w:w="363" w:type="pct"/>
            <w:shd w:val="clear" w:color="000000" w:fill="FFFFFF"/>
            <w:noWrap w:val="0"/>
            <w:vAlign w:val="center"/>
          </w:tcPr>
          <w:p w14:paraId="07C19C22">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1326" w:type="pct"/>
            <w:noWrap w:val="0"/>
            <w:vAlign w:val="center"/>
          </w:tcPr>
          <w:p w14:paraId="0514A106">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由项目成本管理人员综合打分（同样评定A\B\C\D四级）</w:t>
            </w:r>
          </w:p>
        </w:tc>
        <w:tc>
          <w:tcPr>
            <w:tcW w:w="374" w:type="pct"/>
            <w:noWrap w:val="0"/>
            <w:vAlign w:val="center"/>
          </w:tcPr>
          <w:p w14:paraId="2CDB5404">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w:t>
            </w:r>
          </w:p>
        </w:tc>
      </w:tr>
      <w:tr w14:paraId="06BA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1" w:type="pct"/>
            <w:shd w:val="clear" w:color="auto" w:fill="auto"/>
            <w:noWrap w:val="0"/>
            <w:vAlign w:val="center"/>
          </w:tcPr>
          <w:p w14:paraId="76914963">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2</w:t>
            </w:r>
          </w:p>
        </w:tc>
        <w:tc>
          <w:tcPr>
            <w:tcW w:w="585" w:type="pct"/>
            <w:shd w:val="clear" w:color="000000" w:fill="FFFFFF"/>
            <w:noWrap w:val="0"/>
            <w:vAlign w:val="center"/>
          </w:tcPr>
          <w:p w14:paraId="093EA4C7">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现场派驻人员管理</w:t>
            </w:r>
          </w:p>
        </w:tc>
        <w:tc>
          <w:tcPr>
            <w:tcW w:w="1374" w:type="pct"/>
            <w:gridSpan w:val="2"/>
            <w:shd w:val="clear" w:color="000000" w:fill="FFFFFF"/>
            <w:noWrap w:val="0"/>
            <w:vAlign w:val="center"/>
          </w:tcPr>
          <w:p w14:paraId="62B73AFB">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按现场顾问实得分加权计</w:t>
            </w:r>
          </w:p>
        </w:tc>
        <w:tc>
          <w:tcPr>
            <w:tcW w:w="216" w:type="pct"/>
            <w:shd w:val="clear" w:color="auto" w:fill="auto"/>
            <w:noWrap w:val="0"/>
            <w:vAlign w:val="center"/>
          </w:tcPr>
          <w:p w14:paraId="1138028D">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217" w:type="pct"/>
            <w:shd w:val="clear" w:color="auto" w:fill="auto"/>
            <w:noWrap w:val="0"/>
            <w:vAlign w:val="center"/>
          </w:tcPr>
          <w:p w14:paraId="78EE9E02">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w:t>
            </w:r>
          </w:p>
        </w:tc>
        <w:tc>
          <w:tcPr>
            <w:tcW w:w="364" w:type="pct"/>
            <w:shd w:val="clear" w:color="000000" w:fill="FFFFFF"/>
            <w:noWrap w:val="0"/>
            <w:vAlign w:val="center"/>
          </w:tcPr>
          <w:p w14:paraId="39A1A097">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xml:space="preserve"> </w:t>
            </w:r>
          </w:p>
        </w:tc>
        <w:tc>
          <w:tcPr>
            <w:tcW w:w="363" w:type="pct"/>
            <w:shd w:val="clear" w:color="000000" w:fill="FFFFFF"/>
            <w:noWrap w:val="0"/>
            <w:vAlign w:val="center"/>
          </w:tcPr>
          <w:p w14:paraId="25D9C4D7">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 xml:space="preserve"> </w:t>
            </w:r>
          </w:p>
        </w:tc>
        <w:tc>
          <w:tcPr>
            <w:tcW w:w="1326" w:type="pct"/>
            <w:noWrap w:val="0"/>
            <w:vAlign w:val="center"/>
          </w:tcPr>
          <w:p w14:paraId="5EA8DAC5">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现场实得分</w:t>
            </w:r>
          </w:p>
        </w:tc>
        <w:tc>
          <w:tcPr>
            <w:tcW w:w="374" w:type="pct"/>
            <w:noWrap w:val="0"/>
            <w:vAlign w:val="center"/>
          </w:tcPr>
          <w:p w14:paraId="687846E1">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　</w:t>
            </w:r>
          </w:p>
        </w:tc>
      </w:tr>
      <w:tr w14:paraId="79540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81" w:type="pct"/>
            <w:shd w:val="clear" w:color="auto" w:fill="auto"/>
            <w:noWrap w:val="0"/>
            <w:vAlign w:val="center"/>
          </w:tcPr>
          <w:p w14:paraId="685B870C">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kern w:val="0"/>
                <w:sz w:val="21"/>
                <w:szCs w:val="21"/>
              </w:rPr>
              <w:t>3</w:t>
            </w:r>
          </w:p>
        </w:tc>
        <w:tc>
          <w:tcPr>
            <w:tcW w:w="585" w:type="pct"/>
            <w:shd w:val="clear" w:color="000000" w:fill="FFFFFF"/>
            <w:noWrap w:val="0"/>
            <w:vAlign w:val="center"/>
          </w:tcPr>
          <w:p w14:paraId="6C589583">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工作态度</w:t>
            </w:r>
          </w:p>
        </w:tc>
        <w:tc>
          <w:tcPr>
            <w:tcW w:w="1374" w:type="pct"/>
            <w:gridSpan w:val="2"/>
            <w:shd w:val="clear" w:color="000000" w:fill="FFFFFF"/>
            <w:noWrap w:val="0"/>
            <w:vAlign w:val="center"/>
          </w:tcPr>
          <w:p w14:paraId="29A8C91D">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1态度是否良好</w:t>
            </w:r>
          </w:p>
          <w:p w14:paraId="2D35B08C">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Times New Roman"/>
                <w:sz w:val="21"/>
                <w:szCs w:val="21"/>
              </w:rPr>
            </w:pPr>
            <w:r>
              <w:rPr>
                <w:rFonts w:hint="eastAsia" w:hAnsi="宋体" w:eastAsia="宋体" w:cs="宋体"/>
                <w:kern w:val="0"/>
                <w:sz w:val="21"/>
                <w:szCs w:val="21"/>
              </w:rPr>
              <w:t>2沟通是否积极（电话、微信、短信或邮件）</w:t>
            </w:r>
          </w:p>
        </w:tc>
        <w:tc>
          <w:tcPr>
            <w:tcW w:w="216" w:type="pct"/>
            <w:shd w:val="clear" w:color="auto" w:fill="auto"/>
            <w:noWrap w:val="0"/>
            <w:vAlign w:val="center"/>
          </w:tcPr>
          <w:p w14:paraId="51980597">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217" w:type="pct"/>
            <w:shd w:val="clear" w:color="auto" w:fill="auto"/>
            <w:noWrap w:val="0"/>
            <w:vAlign w:val="center"/>
          </w:tcPr>
          <w:p w14:paraId="7C36F890">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364" w:type="pct"/>
            <w:shd w:val="clear" w:color="000000" w:fill="FFFFFF"/>
            <w:noWrap w:val="0"/>
            <w:vAlign w:val="center"/>
          </w:tcPr>
          <w:p w14:paraId="28449BA5">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363" w:type="pct"/>
            <w:shd w:val="clear" w:color="000000" w:fill="FFFFFF"/>
            <w:noWrap w:val="0"/>
            <w:vAlign w:val="center"/>
          </w:tcPr>
          <w:p w14:paraId="00F7B26E">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1326" w:type="pct"/>
            <w:noWrap w:val="0"/>
            <w:vAlign w:val="center"/>
          </w:tcPr>
          <w:p w14:paraId="4B243553">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r>
              <w:rPr>
                <w:rFonts w:hint="eastAsia" w:hAnsi="宋体" w:eastAsia="宋体" w:cs="宋体"/>
                <w:kern w:val="0"/>
                <w:sz w:val="21"/>
                <w:szCs w:val="21"/>
              </w:rPr>
              <w:t>由项目成本管理人员综合打分（同样评定A\B\C\D四级）</w:t>
            </w:r>
          </w:p>
        </w:tc>
        <w:tc>
          <w:tcPr>
            <w:tcW w:w="374" w:type="pct"/>
            <w:noWrap w:val="0"/>
            <w:vAlign w:val="center"/>
          </w:tcPr>
          <w:p w14:paraId="7F268DC8">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r>
      <w:tr w14:paraId="0296B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39" w:type="pct"/>
            <w:gridSpan w:val="4"/>
            <w:shd w:val="clear" w:color="auto" w:fill="auto"/>
            <w:noWrap w:val="0"/>
            <w:vAlign w:val="center"/>
          </w:tcPr>
          <w:p w14:paraId="6335C472">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r>
              <w:rPr>
                <w:rFonts w:hint="eastAsia" w:hAnsi="宋体" w:eastAsia="宋体" w:cs="宋体"/>
                <w:b/>
                <w:bCs/>
                <w:kern w:val="0"/>
                <w:sz w:val="21"/>
                <w:szCs w:val="21"/>
              </w:rPr>
              <w:t>合计</w:t>
            </w:r>
          </w:p>
        </w:tc>
        <w:tc>
          <w:tcPr>
            <w:tcW w:w="216" w:type="pct"/>
            <w:shd w:val="clear" w:color="auto" w:fill="auto"/>
            <w:noWrap w:val="0"/>
            <w:vAlign w:val="center"/>
          </w:tcPr>
          <w:p w14:paraId="0729210E">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217" w:type="pct"/>
            <w:shd w:val="clear" w:color="auto" w:fill="auto"/>
            <w:noWrap w:val="0"/>
            <w:vAlign w:val="center"/>
          </w:tcPr>
          <w:p w14:paraId="744B9373">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364" w:type="pct"/>
            <w:shd w:val="clear" w:color="000000" w:fill="FFFFFF"/>
            <w:noWrap w:val="0"/>
            <w:vAlign w:val="center"/>
          </w:tcPr>
          <w:p w14:paraId="6EDC4CF6">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363" w:type="pct"/>
            <w:shd w:val="clear" w:color="000000" w:fill="FFFFFF"/>
            <w:noWrap w:val="0"/>
            <w:vAlign w:val="center"/>
          </w:tcPr>
          <w:p w14:paraId="2F647471">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1"/>
                <w:szCs w:val="21"/>
              </w:rPr>
            </w:pPr>
          </w:p>
        </w:tc>
        <w:tc>
          <w:tcPr>
            <w:tcW w:w="1326" w:type="pct"/>
            <w:noWrap w:val="0"/>
            <w:vAlign w:val="center"/>
          </w:tcPr>
          <w:p w14:paraId="0525B9AD">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c>
          <w:tcPr>
            <w:tcW w:w="374" w:type="pct"/>
            <w:noWrap w:val="0"/>
            <w:vAlign w:val="center"/>
          </w:tcPr>
          <w:p w14:paraId="601FE3CB">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1"/>
                <w:szCs w:val="21"/>
              </w:rPr>
            </w:pPr>
          </w:p>
        </w:tc>
      </w:tr>
    </w:tbl>
    <w:p w14:paraId="4B43D738">
      <w:pPr>
        <w:adjustRightInd/>
        <w:snapToGrid/>
        <w:spacing w:before="0" w:beforeLines="0" w:line="276" w:lineRule="auto"/>
        <w:ind w:firstLine="0" w:firstLineChars="0"/>
        <w:rPr>
          <w:rFonts w:hAnsi="宋体"/>
          <w:sz w:val="21"/>
          <w:szCs w:val="21"/>
        </w:rPr>
      </w:pPr>
      <w:r>
        <w:rPr>
          <w:rFonts w:hint="eastAsia" w:hAnsi="宋体"/>
          <w:sz w:val="21"/>
          <w:szCs w:val="21"/>
        </w:rPr>
        <w:t>注：评估权重甲方每月根据项目进展情况进行调整。</w:t>
      </w:r>
    </w:p>
    <w:p w14:paraId="4FE82A1D">
      <w:pPr>
        <w:tabs>
          <w:tab w:val="left" w:pos="840"/>
          <w:tab w:val="left" w:pos="1080"/>
        </w:tabs>
        <w:adjustRightInd/>
        <w:spacing w:before="0" w:beforeLines="0" w:line="240" w:lineRule="auto"/>
        <w:ind w:firstLine="0" w:firstLineChars="0"/>
        <w:rPr>
          <w:rFonts w:hAnsi="宋体"/>
          <w:sz w:val="21"/>
          <w:szCs w:val="21"/>
        </w:rPr>
      </w:pPr>
      <w:r>
        <w:rPr>
          <w:rFonts w:hAnsi="宋体"/>
          <w:sz w:val="21"/>
          <w:szCs w:val="21"/>
        </w:rPr>
        <w:br w:type="page"/>
      </w:r>
      <w:r>
        <w:rPr>
          <w:rFonts w:hint="eastAsia" w:hAnsi="宋体"/>
          <w:sz w:val="21"/>
          <w:szCs w:val="21"/>
        </w:rPr>
        <w:t>考核表三</w:t>
      </w:r>
    </w:p>
    <w:tbl>
      <w:tblPr>
        <w:tblStyle w:val="48"/>
        <w:tblW w:w="0" w:type="auto"/>
        <w:tblInd w:w="93" w:type="dxa"/>
        <w:tblLayout w:type="fixed"/>
        <w:tblCellMar>
          <w:top w:w="0" w:type="dxa"/>
          <w:left w:w="108" w:type="dxa"/>
          <w:bottom w:w="0" w:type="dxa"/>
          <w:right w:w="108" w:type="dxa"/>
        </w:tblCellMar>
      </w:tblPr>
      <w:tblGrid>
        <w:gridCol w:w="491"/>
        <w:gridCol w:w="1748"/>
        <w:gridCol w:w="596"/>
        <w:gridCol w:w="4040"/>
        <w:gridCol w:w="537"/>
        <w:gridCol w:w="1017"/>
      </w:tblGrid>
      <w:tr w14:paraId="794E956A">
        <w:tblPrEx>
          <w:tblCellMar>
            <w:top w:w="0" w:type="dxa"/>
            <w:left w:w="108" w:type="dxa"/>
            <w:bottom w:w="0" w:type="dxa"/>
            <w:right w:w="108" w:type="dxa"/>
          </w:tblCellMar>
        </w:tblPrEx>
        <w:trPr>
          <w:trHeight w:val="465" w:hRule="atLeast"/>
        </w:trPr>
        <w:tc>
          <w:tcPr>
            <w:tcW w:w="8429" w:type="dxa"/>
            <w:gridSpan w:val="6"/>
            <w:tcBorders>
              <w:top w:val="nil"/>
              <w:left w:val="nil"/>
              <w:bottom w:val="single" w:color="auto" w:sz="4" w:space="0"/>
              <w:right w:val="nil"/>
            </w:tcBorders>
            <w:noWrap w:val="0"/>
            <w:vAlign w:val="center"/>
          </w:tcPr>
          <w:p w14:paraId="45455081">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8"/>
                <w:szCs w:val="28"/>
              </w:rPr>
            </w:pPr>
            <w:r>
              <w:rPr>
                <w:rFonts w:hint="eastAsia" w:hAnsi="宋体" w:eastAsia="宋体" w:cs="宋体"/>
                <w:b/>
                <w:bCs/>
                <w:kern w:val="0"/>
                <w:sz w:val="28"/>
                <w:szCs w:val="28"/>
              </w:rPr>
              <w:t>工地派驻人员</w:t>
            </w:r>
            <w:r>
              <w:rPr>
                <w:rFonts w:hint="eastAsia" w:hAnsi="宋体" w:eastAsia="宋体" w:cs="宋体"/>
                <w:bCs/>
                <w:kern w:val="0"/>
                <w:sz w:val="28"/>
                <w:szCs w:val="28"/>
              </w:rPr>
              <w:t>月度管理考评表</w:t>
            </w:r>
          </w:p>
        </w:tc>
      </w:tr>
      <w:tr w14:paraId="150F8035">
        <w:tblPrEx>
          <w:tblCellMar>
            <w:top w:w="0" w:type="dxa"/>
            <w:left w:w="108" w:type="dxa"/>
            <w:bottom w:w="0" w:type="dxa"/>
            <w:right w:w="108" w:type="dxa"/>
          </w:tblCellMar>
        </w:tblPrEx>
        <w:trPr>
          <w:trHeight w:val="360" w:hRule="atLeast"/>
        </w:trPr>
        <w:tc>
          <w:tcPr>
            <w:tcW w:w="2835" w:type="dxa"/>
            <w:gridSpan w:val="3"/>
            <w:tcBorders>
              <w:top w:val="single" w:color="auto" w:sz="4" w:space="0"/>
              <w:left w:val="single" w:color="auto" w:sz="4" w:space="0"/>
              <w:bottom w:val="single" w:color="auto" w:sz="4" w:space="0"/>
              <w:right w:val="single" w:color="auto" w:sz="4" w:space="0"/>
            </w:tcBorders>
            <w:noWrap w:val="0"/>
            <w:vAlign w:val="center"/>
          </w:tcPr>
          <w:p w14:paraId="5143C690">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2"/>
                <w:szCs w:val="22"/>
              </w:rPr>
            </w:pPr>
            <w:r>
              <w:rPr>
                <w:rFonts w:hint="eastAsia" w:hAnsi="宋体" w:eastAsia="宋体" w:cs="宋体"/>
                <w:b/>
                <w:bCs/>
                <w:kern w:val="0"/>
                <w:sz w:val="22"/>
                <w:szCs w:val="22"/>
              </w:rPr>
              <w:t>顾问供方全称</w:t>
            </w:r>
          </w:p>
        </w:tc>
        <w:tc>
          <w:tcPr>
            <w:tcW w:w="4040" w:type="dxa"/>
            <w:tcBorders>
              <w:top w:val="nil"/>
              <w:left w:val="nil"/>
              <w:bottom w:val="single" w:color="auto" w:sz="4" w:space="0"/>
              <w:right w:val="single" w:color="auto" w:sz="4" w:space="0"/>
            </w:tcBorders>
            <w:noWrap w:val="0"/>
            <w:vAlign w:val="center"/>
          </w:tcPr>
          <w:p w14:paraId="58B1DF72">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2"/>
                <w:szCs w:val="22"/>
              </w:rPr>
            </w:pPr>
            <w:r>
              <w:rPr>
                <w:rFonts w:hint="eastAsia" w:hAnsi="宋体" w:eastAsia="宋体" w:cs="宋体"/>
                <w:b/>
                <w:bCs/>
                <w:kern w:val="0"/>
                <w:sz w:val="22"/>
                <w:szCs w:val="22"/>
              </w:rPr>
              <w:t>　</w:t>
            </w:r>
          </w:p>
        </w:tc>
        <w:tc>
          <w:tcPr>
            <w:tcW w:w="1554" w:type="dxa"/>
            <w:gridSpan w:val="2"/>
            <w:tcBorders>
              <w:top w:val="single" w:color="auto" w:sz="4" w:space="0"/>
              <w:left w:val="nil"/>
              <w:bottom w:val="single" w:color="auto" w:sz="4" w:space="0"/>
              <w:right w:val="single" w:color="auto" w:sz="4" w:space="0"/>
            </w:tcBorders>
            <w:noWrap w:val="0"/>
            <w:vAlign w:val="center"/>
          </w:tcPr>
          <w:p w14:paraId="07A16957">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2"/>
                <w:szCs w:val="22"/>
              </w:rPr>
            </w:pPr>
            <w:r>
              <w:rPr>
                <w:rFonts w:hint="eastAsia" w:hAnsi="宋体" w:eastAsia="宋体" w:cs="宋体"/>
                <w:b/>
                <w:bCs/>
                <w:kern w:val="0"/>
                <w:sz w:val="22"/>
                <w:szCs w:val="22"/>
              </w:rPr>
              <w:t>　</w:t>
            </w:r>
          </w:p>
        </w:tc>
      </w:tr>
      <w:tr w14:paraId="02B252BF">
        <w:tblPrEx>
          <w:tblCellMar>
            <w:top w:w="0" w:type="dxa"/>
            <w:left w:w="108" w:type="dxa"/>
            <w:bottom w:w="0" w:type="dxa"/>
            <w:right w:w="108" w:type="dxa"/>
          </w:tblCellMar>
        </w:tblPrEx>
        <w:trPr>
          <w:trHeight w:val="360" w:hRule="atLeast"/>
        </w:trPr>
        <w:tc>
          <w:tcPr>
            <w:tcW w:w="2835" w:type="dxa"/>
            <w:gridSpan w:val="3"/>
            <w:tcBorders>
              <w:top w:val="single" w:color="auto" w:sz="4" w:space="0"/>
              <w:left w:val="single" w:color="auto" w:sz="4" w:space="0"/>
              <w:bottom w:val="single" w:color="auto" w:sz="4" w:space="0"/>
              <w:right w:val="single" w:color="auto" w:sz="4" w:space="0"/>
            </w:tcBorders>
            <w:noWrap w:val="0"/>
            <w:vAlign w:val="center"/>
          </w:tcPr>
          <w:p w14:paraId="5296C5C9">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2"/>
                <w:szCs w:val="22"/>
              </w:rPr>
            </w:pPr>
            <w:r>
              <w:rPr>
                <w:rFonts w:hint="eastAsia" w:hAnsi="宋体" w:eastAsia="宋体" w:cs="宋体"/>
                <w:b/>
                <w:bCs/>
                <w:kern w:val="0"/>
                <w:sz w:val="22"/>
                <w:szCs w:val="22"/>
              </w:rPr>
              <w:t>服务项目</w:t>
            </w:r>
          </w:p>
        </w:tc>
        <w:tc>
          <w:tcPr>
            <w:tcW w:w="4040" w:type="dxa"/>
            <w:tcBorders>
              <w:top w:val="nil"/>
              <w:left w:val="nil"/>
              <w:bottom w:val="single" w:color="auto" w:sz="4" w:space="0"/>
              <w:right w:val="single" w:color="auto" w:sz="4" w:space="0"/>
            </w:tcBorders>
            <w:noWrap w:val="0"/>
            <w:vAlign w:val="center"/>
          </w:tcPr>
          <w:p w14:paraId="2156322E">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2"/>
                <w:szCs w:val="22"/>
              </w:rPr>
            </w:pPr>
            <w:r>
              <w:rPr>
                <w:rFonts w:hint="eastAsia" w:hAnsi="宋体" w:eastAsia="宋体" w:cs="宋体"/>
                <w:b/>
                <w:bCs/>
                <w:kern w:val="0"/>
                <w:sz w:val="22"/>
                <w:szCs w:val="22"/>
              </w:rPr>
              <w:t>　</w:t>
            </w:r>
          </w:p>
        </w:tc>
        <w:tc>
          <w:tcPr>
            <w:tcW w:w="1554" w:type="dxa"/>
            <w:gridSpan w:val="2"/>
            <w:tcBorders>
              <w:top w:val="single" w:color="auto" w:sz="4" w:space="0"/>
              <w:left w:val="nil"/>
              <w:bottom w:val="single" w:color="auto" w:sz="4" w:space="0"/>
              <w:right w:val="single" w:color="auto" w:sz="4" w:space="0"/>
            </w:tcBorders>
            <w:noWrap w:val="0"/>
            <w:vAlign w:val="center"/>
          </w:tcPr>
          <w:p w14:paraId="4E9A9D04">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2"/>
                <w:szCs w:val="22"/>
              </w:rPr>
            </w:pPr>
            <w:r>
              <w:rPr>
                <w:rFonts w:hint="eastAsia" w:hAnsi="宋体" w:eastAsia="宋体" w:cs="宋体"/>
                <w:b/>
                <w:bCs/>
                <w:kern w:val="0"/>
                <w:sz w:val="22"/>
                <w:szCs w:val="22"/>
              </w:rPr>
              <w:t>　</w:t>
            </w:r>
          </w:p>
        </w:tc>
      </w:tr>
      <w:tr w14:paraId="23F3BE63">
        <w:tblPrEx>
          <w:tblCellMar>
            <w:top w:w="0" w:type="dxa"/>
            <w:left w:w="108" w:type="dxa"/>
            <w:bottom w:w="0" w:type="dxa"/>
            <w:right w:w="108" w:type="dxa"/>
          </w:tblCellMar>
        </w:tblPrEx>
        <w:trPr>
          <w:trHeight w:val="300" w:hRule="atLeast"/>
        </w:trPr>
        <w:tc>
          <w:tcPr>
            <w:tcW w:w="491" w:type="dxa"/>
            <w:tcBorders>
              <w:top w:val="nil"/>
              <w:left w:val="nil"/>
              <w:bottom w:val="nil"/>
              <w:right w:val="nil"/>
            </w:tcBorders>
            <w:noWrap w:val="0"/>
            <w:vAlign w:val="center"/>
          </w:tcPr>
          <w:p w14:paraId="2A3F419C">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32"/>
                <w:szCs w:val="32"/>
              </w:rPr>
            </w:pPr>
          </w:p>
        </w:tc>
        <w:tc>
          <w:tcPr>
            <w:tcW w:w="1748" w:type="dxa"/>
            <w:tcBorders>
              <w:top w:val="nil"/>
              <w:left w:val="nil"/>
              <w:bottom w:val="nil"/>
              <w:right w:val="nil"/>
            </w:tcBorders>
            <w:noWrap w:val="0"/>
            <w:vAlign w:val="center"/>
          </w:tcPr>
          <w:p w14:paraId="6508623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32"/>
                <w:szCs w:val="32"/>
              </w:rPr>
            </w:pPr>
          </w:p>
        </w:tc>
        <w:tc>
          <w:tcPr>
            <w:tcW w:w="596" w:type="dxa"/>
            <w:tcBorders>
              <w:top w:val="nil"/>
              <w:left w:val="nil"/>
              <w:bottom w:val="nil"/>
              <w:right w:val="nil"/>
            </w:tcBorders>
            <w:noWrap w:val="0"/>
            <w:vAlign w:val="center"/>
          </w:tcPr>
          <w:p w14:paraId="0B9706F7">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32"/>
                <w:szCs w:val="32"/>
              </w:rPr>
            </w:pPr>
          </w:p>
        </w:tc>
        <w:tc>
          <w:tcPr>
            <w:tcW w:w="4040" w:type="dxa"/>
            <w:tcBorders>
              <w:top w:val="nil"/>
              <w:left w:val="nil"/>
              <w:bottom w:val="nil"/>
              <w:right w:val="nil"/>
            </w:tcBorders>
            <w:noWrap w:val="0"/>
            <w:vAlign w:val="center"/>
          </w:tcPr>
          <w:p w14:paraId="40969CA8">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32"/>
                <w:szCs w:val="32"/>
              </w:rPr>
            </w:pPr>
          </w:p>
        </w:tc>
        <w:tc>
          <w:tcPr>
            <w:tcW w:w="537" w:type="dxa"/>
            <w:tcBorders>
              <w:top w:val="nil"/>
              <w:left w:val="nil"/>
              <w:bottom w:val="nil"/>
              <w:right w:val="nil"/>
            </w:tcBorders>
            <w:noWrap w:val="0"/>
            <w:vAlign w:val="center"/>
          </w:tcPr>
          <w:p w14:paraId="2DC92CC1">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32"/>
                <w:szCs w:val="32"/>
              </w:rPr>
            </w:pPr>
          </w:p>
        </w:tc>
        <w:tc>
          <w:tcPr>
            <w:tcW w:w="1017" w:type="dxa"/>
            <w:tcBorders>
              <w:top w:val="nil"/>
              <w:left w:val="nil"/>
              <w:bottom w:val="nil"/>
              <w:right w:val="nil"/>
            </w:tcBorders>
            <w:noWrap w:val="0"/>
            <w:vAlign w:val="center"/>
          </w:tcPr>
          <w:p w14:paraId="69907925">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32"/>
                <w:szCs w:val="32"/>
              </w:rPr>
            </w:pPr>
          </w:p>
        </w:tc>
      </w:tr>
      <w:tr w14:paraId="6851ABD1">
        <w:tblPrEx>
          <w:tblCellMar>
            <w:top w:w="0" w:type="dxa"/>
            <w:left w:w="108" w:type="dxa"/>
            <w:bottom w:w="0" w:type="dxa"/>
            <w:right w:w="108" w:type="dxa"/>
          </w:tblCellMar>
        </w:tblPrEx>
        <w:trPr>
          <w:trHeight w:val="255" w:hRule="atLeast"/>
        </w:trPr>
        <w:tc>
          <w:tcPr>
            <w:tcW w:w="491"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14:paraId="70DAC48C">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0"/>
              </w:rPr>
            </w:pPr>
            <w:r>
              <w:rPr>
                <w:rFonts w:hint="eastAsia" w:hAnsi="宋体" w:eastAsia="宋体" w:cs="宋体"/>
                <w:b/>
                <w:bCs/>
                <w:kern w:val="0"/>
                <w:sz w:val="20"/>
              </w:rPr>
              <w:t>序号</w:t>
            </w:r>
          </w:p>
        </w:tc>
        <w:tc>
          <w:tcPr>
            <w:tcW w:w="1748" w:type="dxa"/>
            <w:vMerge w:val="restart"/>
            <w:tcBorders>
              <w:top w:val="single" w:color="auto" w:sz="4" w:space="0"/>
              <w:left w:val="single" w:color="auto" w:sz="4" w:space="0"/>
              <w:bottom w:val="single" w:color="auto" w:sz="4" w:space="0"/>
              <w:right w:val="single" w:color="auto" w:sz="4" w:space="0"/>
            </w:tcBorders>
            <w:noWrap w:val="0"/>
            <w:vAlign w:val="center"/>
          </w:tcPr>
          <w:p w14:paraId="0E94FEF9">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0"/>
              </w:rPr>
            </w:pPr>
            <w:r>
              <w:rPr>
                <w:rFonts w:hint="eastAsia" w:hAnsi="宋体" w:eastAsia="宋体" w:cs="宋体"/>
                <w:b/>
                <w:bCs/>
                <w:kern w:val="0"/>
                <w:sz w:val="20"/>
              </w:rPr>
              <w:t>考评项目</w:t>
            </w:r>
          </w:p>
        </w:tc>
        <w:tc>
          <w:tcPr>
            <w:tcW w:w="4636" w:type="dxa"/>
            <w:gridSpan w:val="2"/>
            <w:tcBorders>
              <w:top w:val="single" w:color="auto" w:sz="4" w:space="0"/>
              <w:left w:val="nil"/>
              <w:bottom w:val="single" w:color="auto" w:sz="4" w:space="0"/>
              <w:right w:val="single" w:color="auto" w:sz="4" w:space="0"/>
            </w:tcBorders>
            <w:noWrap w:val="0"/>
            <w:vAlign w:val="center"/>
          </w:tcPr>
          <w:p w14:paraId="3E1AE7BA">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0"/>
              </w:rPr>
            </w:pPr>
            <w:r>
              <w:rPr>
                <w:rFonts w:hint="eastAsia" w:hAnsi="宋体" w:eastAsia="宋体" w:cs="宋体"/>
                <w:b/>
                <w:bCs/>
                <w:kern w:val="0"/>
                <w:sz w:val="20"/>
              </w:rPr>
              <w:t>考评细则</w:t>
            </w:r>
          </w:p>
        </w:tc>
        <w:tc>
          <w:tcPr>
            <w:tcW w:w="537" w:type="dxa"/>
            <w:vMerge w:val="restart"/>
            <w:tcBorders>
              <w:top w:val="single" w:color="auto" w:sz="4" w:space="0"/>
              <w:left w:val="single" w:color="auto" w:sz="4" w:space="0"/>
              <w:bottom w:val="single" w:color="auto" w:sz="4" w:space="0"/>
              <w:right w:val="single" w:color="auto" w:sz="4" w:space="0"/>
            </w:tcBorders>
            <w:noWrap w:val="0"/>
            <w:vAlign w:val="center"/>
          </w:tcPr>
          <w:p w14:paraId="635A99C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0"/>
              </w:rPr>
            </w:pPr>
            <w:r>
              <w:rPr>
                <w:rFonts w:hint="eastAsia" w:hAnsi="宋体" w:eastAsia="宋体" w:cs="宋体"/>
                <w:b/>
                <w:bCs/>
                <w:kern w:val="0"/>
                <w:sz w:val="20"/>
              </w:rPr>
              <w:t>实得分</w:t>
            </w:r>
          </w:p>
        </w:tc>
        <w:tc>
          <w:tcPr>
            <w:tcW w:w="1017" w:type="dxa"/>
            <w:vMerge w:val="restart"/>
            <w:tcBorders>
              <w:top w:val="single" w:color="auto" w:sz="4" w:space="0"/>
              <w:left w:val="single" w:color="auto" w:sz="4" w:space="0"/>
              <w:bottom w:val="single" w:color="auto" w:sz="4" w:space="0"/>
              <w:right w:val="single" w:color="auto" w:sz="4" w:space="0"/>
            </w:tcBorders>
            <w:noWrap w:val="0"/>
            <w:vAlign w:val="center"/>
          </w:tcPr>
          <w:p w14:paraId="4CD543E8">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0"/>
              </w:rPr>
            </w:pPr>
            <w:r>
              <w:rPr>
                <w:rFonts w:hint="eastAsia" w:hAnsi="宋体" w:eastAsia="宋体" w:cs="宋体"/>
                <w:b/>
                <w:bCs/>
                <w:kern w:val="0"/>
                <w:sz w:val="20"/>
              </w:rPr>
              <w:t>扣分说明</w:t>
            </w:r>
          </w:p>
        </w:tc>
      </w:tr>
      <w:tr w14:paraId="5D89AB5E">
        <w:tblPrEx>
          <w:tblCellMar>
            <w:top w:w="0" w:type="dxa"/>
            <w:left w:w="108" w:type="dxa"/>
            <w:bottom w:w="0" w:type="dxa"/>
            <w:right w:w="108" w:type="dxa"/>
          </w:tblCellMar>
        </w:tblPrEx>
        <w:trPr>
          <w:trHeight w:val="555" w:hRule="atLeast"/>
        </w:trPr>
        <w:tc>
          <w:tcPr>
            <w:tcW w:w="491" w:type="dxa"/>
            <w:vMerge w:val="continue"/>
            <w:tcBorders>
              <w:top w:val="single" w:color="auto" w:sz="4" w:space="0"/>
              <w:left w:val="single" w:color="auto" w:sz="4" w:space="0"/>
              <w:bottom w:val="single" w:color="auto" w:sz="4" w:space="0"/>
              <w:right w:val="single" w:color="auto" w:sz="4" w:space="0"/>
            </w:tcBorders>
            <w:noWrap w:val="0"/>
            <w:vAlign w:val="center"/>
          </w:tcPr>
          <w:p w14:paraId="3745C841">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b/>
                <w:bCs/>
                <w:kern w:val="0"/>
                <w:sz w:val="20"/>
              </w:rPr>
            </w:pPr>
          </w:p>
        </w:tc>
        <w:tc>
          <w:tcPr>
            <w:tcW w:w="1748" w:type="dxa"/>
            <w:vMerge w:val="continue"/>
            <w:tcBorders>
              <w:top w:val="single" w:color="auto" w:sz="4" w:space="0"/>
              <w:left w:val="single" w:color="auto" w:sz="4" w:space="0"/>
              <w:bottom w:val="single" w:color="auto" w:sz="4" w:space="0"/>
              <w:right w:val="single" w:color="auto" w:sz="4" w:space="0"/>
            </w:tcBorders>
            <w:noWrap w:val="0"/>
            <w:vAlign w:val="center"/>
          </w:tcPr>
          <w:p w14:paraId="21508227">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b/>
                <w:bCs/>
                <w:kern w:val="0"/>
                <w:sz w:val="20"/>
              </w:rPr>
            </w:pPr>
          </w:p>
        </w:tc>
        <w:tc>
          <w:tcPr>
            <w:tcW w:w="596" w:type="dxa"/>
            <w:tcBorders>
              <w:top w:val="nil"/>
              <w:left w:val="nil"/>
              <w:bottom w:val="single" w:color="auto" w:sz="4" w:space="0"/>
              <w:right w:val="single" w:color="auto" w:sz="4" w:space="0"/>
            </w:tcBorders>
            <w:noWrap w:val="0"/>
            <w:vAlign w:val="center"/>
          </w:tcPr>
          <w:p w14:paraId="691C8DAA">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0"/>
              </w:rPr>
            </w:pPr>
            <w:r>
              <w:rPr>
                <w:rFonts w:hint="eastAsia" w:hAnsi="宋体" w:eastAsia="宋体" w:cs="宋体"/>
                <w:b/>
                <w:bCs/>
                <w:kern w:val="0"/>
                <w:sz w:val="20"/>
              </w:rPr>
              <w:t>标准分值</w:t>
            </w:r>
          </w:p>
        </w:tc>
        <w:tc>
          <w:tcPr>
            <w:tcW w:w="4040" w:type="dxa"/>
            <w:tcBorders>
              <w:top w:val="nil"/>
              <w:left w:val="nil"/>
              <w:bottom w:val="single" w:color="auto" w:sz="4" w:space="0"/>
              <w:right w:val="single" w:color="auto" w:sz="4" w:space="0"/>
            </w:tcBorders>
            <w:noWrap w:val="0"/>
            <w:vAlign w:val="center"/>
          </w:tcPr>
          <w:p w14:paraId="31237C65">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b/>
                <w:bCs/>
                <w:kern w:val="0"/>
                <w:sz w:val="20"/>
              </w:rPr>
            </w:pPr>
            <w:r>
              <w:rPr>
                <w:rFonts w:hint="eastAsia" w:hAnsi="宋体" w:eastAsia="宋体" w:cs="宋体"/>
                <w:b/>
                <w:bCs/>
                <w:kern w:val="0"/>
                <w:sz w:val="20"/>
              </w:rPr>
              <w:t>　</w:t>
            </w:r>
          </w:p>
        </w:tc>
        <w:tc>
          <w:tcPr>
            <w:tcW w:w="537" w:type="dxa"/>
            <w:vMerge w:val="continue"/>
            <w:tcBorders>
              <w:top w:val="single" w:color="auto" w:sz="4" w:space="0"/>
              <w:left w:val="single" w:color="auto" w:sz="4" w:space="0"/>
              <w:bottom w:val="single" w:color="auto" w:sz="4" w:space="0"/>
              <w:right w:val="single" w:color="auto" w:sz="4" w:space="0"/>
            </w:tcBorders>
            <w:noWrap w:val="0"/>
            <w:vAlign w:val="center"/>
          </w:tcPr>
          <w:p w14:paraId="569C893D">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b/>
                <w:bCs/>
                <w:kern w:val="0"/>
                <w:sz w:val="20"/>
              </w:rPr>
            </w:pPr>
          </w:p>
        </w:tc>
        <w:tc>
          <w:tcPr>
            <w:tcW w:w="1017" w:type="dxa"/>
            <w:vMerge w:val="continue"/>
            <w:tcBorders>
              <w:top w:val="single" w:color="auto" w:sz="4" w:space="0"/>
              <w:left w:val="single" w:color="auto" w:sz="4" w:space="0"/>
              <w:bottom w:val="single" w:color="auto" w:sz="4" w:space="0"/>
              <w:right w:val="single" w:color="auto" w:sz="4" w:space="0"/>
            </w:tcBorders>
            <w:noWrap w:val="0"/>
            <w:vAlign w:val="center"/>
          </w:tcPr>
          <w:p w14:paraId="1ADE5D63">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b/>
                <w:bCs/>
                <w:kern w:val="0"/>
                <w:sz w:val="20"/>
              </w:rPr>
            </w:pPr>
          </w:p>
        </w:tc>
      </w:tr>
      <w:tr w14:paraId="55F2FA76">
        <w:tblPrEx>
          <w:tblCellMar>
            <w:top w:w="0" w:type="dxa"/>
            <w:left w:w="108" w:type="dxa"/>
            <w:bottom w:w="0" w:type="dxa"/>
            <w:right w:w="108" w:type="dxa"/>
          </w:tblCellMar>
        </w:tblPrEx>
        <w:trPr>
          <w:trHeight w:val="450" w:hRule="atLeast"/>
        </w:trPr>
        <w:tc>
          <w:tcPr>
            <w:tcW w:w="491" w:type="dxa"/>
            <w:tcBorders>
              <w:top w:val="nil"/>
              <w:left w:val="single" w:color="auto" w:sz="4" w:space="0"/>
              <w:bottom w:val="single" w:color="auto" w:sz="4" w:space="0"/>
              <w:right w:val="single" w:color="auto" w:sz="4" w:space="0"/>
            </w:tcBorders>
            <w:noWrap w:val="0"/>
            <w:vAlign w:val="center"/>
          </w:tcPr>
          <w:p w14:paraId="50C44F4A">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r>
              <w:rPr>
                <w:rFonts w:ascii="Times New Roman" w:hAnsi="Calibri" w:eastAsia="宋体" w:cs="Times New Roman"/>
                <w:kern w:val="0"/>
                <w:sz w:val="20"/>
              </w:rPr>
              <w:t>1</w:t>
            </w:r>
          </w:p>
        </w:tc>
        <w:tc>
          <w:tcPr>
            <w:tcW w:w="1748" w:type="dxa"/>
            <w:tcBorders>
              <w:top w:val="nil"/>
              <w:left w:val="nil"/>
              <w:bottom w:val="single" w:color="auto" w:sz="4" w:space="0"/>
              <w:right w:val="single" w:color="auto" w:sz="4" w:space="0"/>
            </w:tcBorders>
            <w:noWrap w:val="0"/>
            <w:vAlign w:val="center"/>
          </w:tcPr>
          <w:p w14:paraId="3B51D62C">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工地现场出勤状况</w:t>
            </w:r>
          </w:p>
        </w:tc>
        <w:tc>
          <w:tcPr>
            <w:tcW w:w="596" w:type="dxa"/>
            <w:tcBorders>
              <w:top w:val="nil"/>
              <w:left w:val="nil"/>
              <w:bottom w:val="single" w:color="auto" w:sz="4" w:space="0"/>
              <w:right w:val="single" w:color="auto" w:sz="4" w:space="0"/>
            </w:tcBorders>
            <w:noWrap w:val="0"/>
            <w:vAlign w:val="center"/>
          </w:tcPr>
          <w:p w14:paraId="6744CC6D">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10</w:t>
            </w:r>
          </w:p>
        </w:tc>
        <w:tc>
          <w:tcPr>
            <w:tcW w:w="4040" w:type="dxa"/>
            <w:tcBorders>
              <w:top w:val="nil"/>
              <w:left w:val="nil"/>
              <w:bottom w:val="single" w:color="auto" w:sz="4" w:space="0"/>
              <w:right w:val="single" w:color="auto" w:sz="4" w:space="0"/>
            </w:tcBorders>
            <w:noWrap w:val="0"/>
            <w:vAlign w:val="center"/>
          </w:tcPr>
          <w:p w14:paraId="0626D33B">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按合同工作要求工作出勤，违反一次扣2分</w:t>
            </w:r>
          </w:p>
        </w:tc>
        <w:tc>
          <w:tcPr>
            <w:tcW w:w="537" w:type="dxa"/>
            <w:tcBorders>
              <w:top w:val="nil"/>
              <w:left w:val="nil"/>
              <w:bottom w:val="single" w:color="auto" w:sz="4" w:space="0"/>
              <w:right w:val="single" w:color="auto" w:sz="4" w:space="0"/>
            </w:tcBorders>
            <w:noWrap w:val="0"/>
            <w:vAlign w:val="center"/>
          </w:tcPr>
          <w:p w14:paraId="05351F34">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p>
        </w:tc>
        <w:tc>
          <w:tcPr>
            <w:tcW w:w="1017" w:type="dxa"/>
            <w:tcBorders>
              <w:top w:val="nil"/>
              <w:left w:val="nil"/>
              <w:bottom w:val="single" w:color="auto" w:sz="4" w:space="0"/>
              <w:right w:val="single" w:color="auto" w:sz="4" w:space="0"/>
            </w:tcBorders>
            <w:noWrap w:val="0"/>
            <w:vAlign w:val="center"/>
          </w:tcPr>
          <w:p w14:paraId="4CD46105">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ascii="Times New Roman" w:hAnsi="Calibri" w:eastAsia="宋体" w:cs="Times New Roman"/>
                <w:kern w:val="0"/>
                <w:sz w:val="22"/>
                <w:szCs w:val="22"/>
              </w:rPr>
              <w:t>　</w:t>
            </w:r>
          </w:p>
        </w:tc>
      </w:tr>
      <w:tr w14:paraId="0F003D7F">
        <w:tblPrEx>
          <w:tblCellMar>
            <w:top w:w="0" w:type="dxa"/>
            <w:left w:w="108" w:type="dxa"/>
            <w:bottom w:w="0" w:type="dxa"/>
            <w:right w:w="108" w:type="dxa"/>
          </w:tblCellMar>
        </w:tblPrEx>
        <w:trPr>
          <w:trHeight w:val="450" w:hRule="atLeast"/>
        </w:trPr>
        <w:tc>
          <w:tcPr>
            <w:tcW w:w="491" w:type="dxa"/>
            <w:tcBorders>
              <w:top w:val="nil"/>
              <w:left w:val="single" w:color="auto" w:sz="4" w:space="0"/>
              <w:bottom w:val="single" w:color="auto" w:sz="4" w:space="0"/>
              <w:right w:val="single" w:color="auto" w:sz="4" w:space="0"/>
            </w:tcBorders>
            <w:noWrap w:val="0"/>
            <w:vAlign w:val="center"/>
          </w:tcPr>
          <w:p w14:paraId="47359367">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r>
              <w:rPr>
                <w:rFonts w:ascii="Times New Roman" w:hAnsi="Calibri" w:eastAsia="宋体" w:cs="Times New Roman"/>
                <w:kern w:val="0"/>
                <w:sz w:val="20"/>
              </w:rPr>
              <w:t>2</w:t>
            </w:r>
          </w:p>
        </w:tc>
        <w:tc>
          <w:tcPr>
            <w:tcW w:w="1748" w:type="dxa"/>
            <w:tcBorders>
              <w:top w:val="nil"/>
              <w:left w:val="nil"/>
              <w:bottom w:val="single" w:color="auto" w:sz="4" w:space="0"/>
              <w:right w:val="single" w:color="auto" w:sz="4" w:space="0"/>
            </w:tcBorders>
            <w:noWrap w:val="0"/>
            <w:vAlign w:val="center"/>
          </w:tcPr>
          <w:p w14:paraId="20A65CCC">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签证变更审批及时</w:t>
            </w:r>
          </w:p>
        </w:tc>
        <w:tc>
          <w:tcPr>
            <w:tcW w:w="596" w:type="dxa"/>
            <w:tcBorders>
              <w:top w:val="nil"/>
              <w:left w:val="nil"/>
              <w:bottom w:val="single" w:color="auto" w:sz="4" w:space="0"/>
              <w:right w:val="single" w:color="auto" w:sz="4" w:space="0"/>
            </w:tcBorders>
            <w:noWrap w:val="0"/>
            <w:vAlign w:val="center"/>
          </w:tcPr>
          <w:p w14:paraId="23AF0670">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10</w:t>
            </w:r>
          </w:p>
        </w:tc>
        <w:tc>
          <w:tcPr>
            <w:tcW w:w="4040" w:type="dxa"/>
            <w:tcBorders>
              <w:top w:val="nil"/>
              <w:left w:val="nil"/>
              <w:bottom w:val="single" w:color="auto" w:sz="4" w:space="0"/>
              <w:right w:val="single" w:color="auto" w:sz="4" w:space="0"/>
            </w:tcBorders>
            <w:noWrap w:val="0"/>
            <w:vAlign w:val="center"/>
          </w:tcPr>
          <w:p w14:paraId="249D2372">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一单不及时扣1分</w:t>
            </w:r>
          </w:p>
        </w:tc>
        <w:tc>
          <w:tcPr>
            <w:tcW w:w="537" w:type="dxa"/>
            <w:tcBorders>
              <w:top w:val="nil"/>
              <w:left w:val="nil"/>
              <w:bottom w:val="single" w:color="auto" w:sz="4" w:space="0"/>
              <w:right w:val="single" w:color="auto" w:sz="4" w:space="0"/>
            </w:tcBorders>
            <w:noWrap w:val="0"/>
            <w:vAlign w:val="center"/>
          </w:tcPr>
          <w:p w14:paraId="035D9159">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p>
        </w:tc>
        <w:tc>
          <w:tcPr>
            <w:tcW w:w="1017" w:type="dxa"/>
            <w:tcBorders>
              <w:top w:val="nil"/>
              <w:left w:val="nil"/>
              <w:bottom w:val="single" w:color="auto" w:sz="4" w:space="0"/>
              <w:right w:val="single" w:color="auto" w:sz="4" w:space="0"/>
            </w:tcBorders>
            <w:noWrap w:val="0"/>
            <w:vAlign w:val="center"/>
          </w:tcPr>
          <w:p w14:paraId="1EDD0975">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ascii="Times New Roman" w:hAnsi="Calibri" w:eastAsia="宋体" w:cs="Times New Roman"/>
                <w:kern w:val="0"/>
                <w:sz w:val="22"/>
                <w:szCs w:val="22"/>
              </w:rPr>
              <w:t>　</w:t>
            </w:r>
          </w:p>
        </w:tc>
      </w:tr>
      <w:tr w14:paraId="1D3CD011">
        <w:tblPrEx>
          <w:tblCellMar>
            <w:top w:w="0" w:type="dxa"/>
            <w:left w:w="108" w:type="dxa"/>
            <w:bottom w:w="0" w:type="dxa"/>
            <w:right w:w="108" w:type="dxa"/>
          </w:tblCellMar>
        </w:tblPrEx>
        <w:trPr>
          <w:trHeight w:val="480" w:hRule="atLeast"/>
        </w:trPr>
        <w:tc>
          <w:tcPr>
            <w:tcW w:w="491" w:type="dxa"/>
            <w:tcBorders>
              <w:top w:val="nil"/>
              <w:left w:val="single" w:color="auto" w:sz="4" w:space="0"/>
              <w:bottom w:val="single" w:color="auto" w:sz="4" w:space="0"/>
              <w:right w:val="single" w:color="auto" w:sz="4" w:space="0"/>
            </w:tcBorders>
            <w:noWrap w:val="0"/>
            <w:vAlign w:val="center"/>
          </w:tcPr>
          <w:p w14:paraId="31D33665">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r>
              <w:rPr>
                <w:rFonts w:ascii="Times New Roman" w:hAnsi="Calibri" w:eastAsia="宋体" w:cs="Times New Roman"/>
                <w:kern w:val="0"/>
                <w:sz w:val="20"/>
              </w:rPr>
              <w:t>3</w:t>
            </w:r>
          </w:p>
        </w:tc>
        <w:tc>
          <w:tcPr>
            <w:tcW w:w="1748" w:type="dxa"/>
            <w:tcBorders>
              <w:top w:val="nil"/>
              <w:left w:val="nil"/>
              <w:bottom w:val="single" w:color="auto" w:sz="4" w:space="0"/>
              <w:right w:val="single" w:color="auto" w:sz="4" w:space="0"/>
            </w:tcBorders>
            <w:noWrap w:val="0"/>
            <w:vAlign w:val="center"/>
          </w:tcPr>
          <w:p w14:paraId="2564573E">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签证变更审批测算准确性、现场测算准确性</w:t>
            </w:r>
          </w:p>
        </w:tc>
        <w:tc>
          <w:tcPr>
            <w:tcW w:w="596" w:type="dxa"/>
            <w:tcBorders>
              <w:top w:val="nil"/>
              <w:left w:val="nil"/>
              <w:bottom w:val="single" w:color="auto" w:sz="4" w:space="0"/>
              <w:right w:val="single" w:color="auto" w:sz="4" w:space="0"/>
            </w:tcBorders>
            <w:noWrap w:val="0"/>
            <w:vAlign w:val="center"/>
          </w:tcPr>
          <w:p w14:paraId="26B005DD">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10</w:t>
            </w:r>
          </w:p>
        </w:tc>
        <w:tc>
          <w:tcPr>
            <w:tcW w:w="4040" w:type="dxa"/>
            <w:tcBorders>
              <w:top w:val="nil"/>
              <w:left w:val="nil"/>
              <w:bottom w:val="single" w:color="auto" w:sz="4" w:space="0"/>
              <w:right w:val="single" w:color="auto" w:sz="4" w:space="0"/>
            </w:tcBorders>
            <w:noWrap w:val="0"/>
            <w:vAlign w:val="center"/>
          </w:tcPr>
          <w:p w14:paraId="2FA32E50">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准确率10%以内满分，每偏差10%扣减一分（每月抽查不少于10份）</w:t>
            </w:r>
          </w:p>
        </w:tc>
        <w:tc>
          <w:tcPr>
            <w:tcW w:w="537" w:type="dxa"/>
            <w:tcBorders>
              <w:top w:val="nil"/>
              <w:left w:val="nil"/>
              <w:bottom w:val="single" w:color="auto" w:sz="4" w:space="0"/>
              <w:right w:val="single" w:color="auto" w:sz="4" w:space="0"/>
            </w:tcBorders>
            <w:noWrap w:val="0"/>
            <w:vAlign w:val="center"/>
          </w:tcPr>
          <w:p w14:paraId="583DD442">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p>
        </w:tc>
        <w:tc>
          <w:tcPr>
            <w:tcW w:w="1017" w:type="dxa"/>
            <w:tcBorders>
              <w:top w:val="nil"/>
              <w:left w:val="nil"/>
              <w:bottom w:val="single" w:color="auto" w:sz="4" w:space="0"/>
              <w:right w:val="single" w:color="auto" w:sz="4" w:space="0"/>
            </w:tcBorders>
            <w:noWrap w:val="0"/>
            <w:vAlign w:val="center"/>
          </w:tcPr>
          <w:p w14:paraId="6AA00B43">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　</w:t>
            </w:r>
          </w:p>
        </w:tc>
      </w:tr>
      <w:tr w14:paraId="58F833BE">
        <w:tblPrEx>
          <w:tblCellMar>
            <w:top w:w="0" w:type="dxa"/>
            <w:left w:w="108" w:type="dxa"/>
            <w:bottom w:w="0" w:type="dxa"/>
            <w:right w:w="108" w:type="dxa"/>
          </w:tblCellMar>
        </w:tblPrEx>
        <w:trPr>
          <w:trHeight w:val="450" w:hRule="atLeast"/>
        </w:trPr>
        <w:tc>
          <w:tcPr>
            <w:tcW w:w="491" w:type="dxa"/>
            <w:tcBorders>
              <w:top w:val="nil"/>
              <w:left w:val="single" w:color="auto" w:sz="4" w:space="0"/>
              <w:bottom w:val="single" w:color="auto" w:sz="4" w:space="0"/>
              <w:right w:val="single" w:color="auto" w:sz="4" w:space="0"/>
            </w:tcBorders>
            <w:noWrap w:val="0"/>
            <w:vAlign w:val="center"/>
          </w:tcPr>
          <w:p w14:paraId="37E65A3D">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r>
              <w:rPr>
                <w:rFonts w:ascii="Times New Roman" w:hAnsi="Calibri" w:eastAsia="宋体" w:cs="Times New Roman"/>
                <w:kern w:val="0"/>
                <w:sz w:val="20"/>
              </w:rPr>
              <w:t>4</w:t>
            </w:r>
          </w:p>
        </w:tc>
        <w:tc>
          <w:tcPr>
            <w:tcW w:w="1748" w:type="dxa"/>
            <w:tcBorders>
              <w:top w:val="nil"/>
              <w:left w:val="nil"/>
              <w:bottom w:val="single" w:color="auto" w:sz="4" w:space="0"/>
              <w:right w:val="single" w:color="auto" w:sz="4" w:space="0"/>
            </w:tcBorders>
            <w:noWrap w:val="0"/>
            <w:vAlign w:val="center"/>
          </w:tcPr>
          <w:p w14:paraId="63D7635C">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签证变更月清月结及时</w:t>
            </w:r>
          </w:p>
        </w:tc>
        <w:tc>
          <w:tcPr>
            <w:tcW w:w="596" w:type="dxa"/>
            <w:tcBorders>
              <w:top w:val="nil"/>
              <w:left w:val="nil"/>
              <w:bottom w:val="single" w:color="auto" w:sz="4" w:space="0"/>
              <w:right w:val="single" w:color="auto" w:sz="4" w:space="0"/>
            </w:tcBorders>
            <w:noWrap w:val="0"/>
            <w:vAlign w:val="center"/>
          </w:tcPr>
          <w:p w14:paraId="37F02F96">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10</w:t>
            </w:r>
          </w:p>
        </w:tc>
        <w:tc>
          <w:tcPr>
            <w:tcW w:w="4040" w:type="dxa"/>
            <w:tcBorders>
              <w:top w:val="nil"/>
              <w:left w:val="nil"/>
              <w:bottom w:val="single" w:color="auto" w:sz="4" w:space="0"/>
              <w:right w:val="single" w:color="auto" w:sz="4" w:space="0"/>
            </w:tcBorders>
            <w:noWrap w:val="0"/>
            <w:vAlign w:val="center"/>
          </w:tcPr>
          <w:p w14:paraId="46ECFC11">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一次不及时扣2分</w:t>
            </w:r>
          </w:p>
        </w:tc>
        <w:tc>
          <w:tcPr>
            <w:tcW w:w="537" w:type="dxa"/>
            <w:tcBorders>
              <w:top w:val="nil"/>
              <w:left w:val="nil"/>
              <w:bottom w:val="single" w:color="auto" w:sz="4" w:space="0"/>
              <w:right w:val="single" w:color="auto" w:sz="4" w:space="0"/>
            </w:tcBorders>
            <w:noWrap w:val="0"/>
            <w:vAlign w:val="center"/>
          </w:tcPr>
          <w:p w14:paraId="42844B3A">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p>
        </w:tc>
        <w:tc>
          <w:tcPr>
            <w:tcW w:w="1017" w:type="dxa"/>
            <w:tcBorders>
              <w:top w:val="nil"/>
              <w:left w:val="nil"/>
              <w:bottom w:val="single" w:color="auto" w:sz="4" w:space="0"/>
              <w:right w:val="single" w:color="auto" w:sz="4" w:space="0"/>
            </w:tcBorders>
            <w:noWrap w:val="0"/>
            <w:vAlign w:val="center"/>
          </w:tcPr>
          <w:p w14:paraId="0D1EF65D">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　</w:t>
            </w:r>
          </w:p>
        </w:tc>
      </w:tr>
      <w:tr w14:paraId="48D43A8B">
        <w:tblPrEx>
          <w:tblCellMar>
            <w:top w:w="0" w:type="dxa"/>
            <w:left w:w="108" w:type="dxa"/>
            <w:bottom w:w="0" w:type="dxa"/>
            <w:right w:w="108" w:type="dxa"/>
          </w:tblCellMar>
        </w:tblPrEx>
        <w:trPr>
          <w:trHeight w:val="450" w:hRule="atLeast"/>
        </w:trPr>
        <w:tc>
          <w:tcPr>
            <w:tcW w:w="491" w:type="dxa"/>
            <w:tcBorders>
              <w:top w:val="nil"/>
              <w:left w:val="single" w:color="auto" w:sz="4" w:space="0"/>
              <w:bottom w:val="single" w:color="auto" w:sz="4" w:space="0"/>
              <w:right w:val="single" w:color="auto" w:sz="4" w:space="0"/>
            </w:tcBorders>
            <w:noWrap w:val="0"/>
            <w:vAlign w:val="center"/>
          </w:tcPr>
          <w:p w14:paraId="1EEA2434">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r>
              <w:rPr>
                <w:rFonts w:ascii="Times New Roman" w:hAnsi="Calibri" w:eastAsia="宋体" w:cs="Times New Roman"/>
                <w:kern w:val="0"/>
                <w:sz w:val="20"/>
              </w:rPr>
              <w:t>5</w:t>
            </w:r>
          </w:p>
        </w:tc>
        <w:tc>
          <w:tcPr>
            <w:tcW w:w="1748" w:type="dxa"/>
            <w:tcBorders>
              <w:top w:val="nil"/>
              <w:left w:val="nil"/>
              <w:bottom w:val="single" w:color="auto" w:sz="4" w:space="0"/>
              <w:right w:val="single" w:color="auto" w:sz="4" w:space="0"/>
            </w:tcBorders>
            <w:noWrap w:val="0"/>
            <w:vAlign w:val="center"/>
          </w:tcPr>
          <w:p w14:paraId="574FA149">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付款审批准确性</w:t>
            </w:r>
          </w:p>
        </w:tc>
        <w:tc>
          <w:tcPr>
            <w:tcW w:w="596" w:type="dxa"/>
            <w:tcBorders>
              <w:top w:val="nil"/>
              <w:left w:val="nil"/>
              <w:bottom w:val="single" w:color="auto" w:sz="4" w:space="0"/>
              <w:right w:val="single" w:color="auto" w:sz="4" w:space="0"/>
            </w:tcBorders>
            <w:noWrap w:val="0"/>
            <w:vAlign w:val="center"/>
          </w:tcPr>
          <w:p w14:paraId="14AC182A">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10</w:t>
            </w:r>
          </w:p>
        </w:tc>
        <w:tc>
          <w:tcPr>
            <w:tcW w:w="4040" w:type="dxa"/>
            <w:tcBorders>
              <w:top w:val="nil"/>
              <w:left w:val="nil"/>
              <w:bottom w:val="single" w:color="auto" w:sz="4" w:space="0"/>
              <w:right w:val="single" w:color="auto" w:sz="4" w:space="0"/>
            </w:tcBorders>
            <w:noWrap w:val="0"/>
            <w:vAlign w:val="center"/>
          </w:tcPr>
          <w:p w14:paraId="610911CA">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出错一次扣2分,如果付款超合同支付比例（未提前经领导同意的),直接计0分</w:t>
            </w:r>
          </w:p>
        </w:tc>
        <w:tc>
          <w:tcPr>
            <w:tcW w:w="537" w:type="dxa"/>
            <w:tcBorders>
              <w:top w:val="nil"/>
              <w:left w:val="nil"/>
              <w:bottom w:val="single" w:color="auto" w:sz="4" w:space="0"/>
              <w:right w:val="single" w:color="auto" w:sz="4" w:space="0"/>
            </w:tcBorders>
            <w:noWrap w:val="0"/>
            <w:vAlign w:val="center"/>
          </w:tcPr>
          <w:p w14:paraId="0A329AE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p>
        </w:tc>
        <w:tc>
          <w:tcPr>
            <w:tcW w:w="1017" w:type="dxa"/>
            <w:tcBorders>
              <w:top w:val="nil"/>
              <w:left w:val="nil"/>
              <w:bottom w:val="single" w:color="auto" w:sz="4" w:space="0"/>
              <w:right w:val="single" w:color="auto" w:sz="4" w:space="0"/>
            </w:tcBorders>
            <w:noWrap w:val="0"/>
            <w:vAlign w:val="center"/>
          </w:tcPr>
          <w:p w14:paraId="56D89796">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　</w:t>
            </w:r>
          </w:p>
        </w:tc>
      </w:tr>
      <w:tr w14:paraId="7D031FFC">
        <w:tblPrEx>
          <w:tblCellMar>
            <w:top w:w="0" w:type="dxa"/>
            <w:left w:w="108" w:type="dxa"/>
            <w:bottom w:w="0" w:type="dxa"/>
            <w:right w:w="108" w:type="dxa"/>
          </w:tblCellMar>
        </w:tblPrEx>
        <w:trPr>
          <w:trHeight w:val="450" w:hRule="atLeast"/>
        </w:trPr>
        <w:tc>
          <w:tcPr>
            <w:tcW w:w="491" w:type="dxa"/>
            <w:tcBorders>
              <w:top w:val="nil"/>
              <w:left w:val="single" w:color="auto" w:sz="4" w:space="0"/>
              <w:bottom w:val="single" w:color="auto" w:sz="4" w:space="0"/>
              <w:right w:val="single" w:color="auto" w:sz="4" w:space="0"/>
            </w:tcBorders>
            <w:noWrap w:val="0"/>
            <w:vAlign w:val="center"/>
          </w:tcPr>
          <w:p w14:paraId="32701B0C">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r>
              <w:rPr>
                <w:rFonts w:ascii="Times New Roman" w:hAnsi="Calibri" w:eastAsia="宋体" w:cs="Times New Roman"/>
                <w:kern w:val="0"/>
                <w:sz w:val="20"/>
              </w:rPr>
              <w:t>6</w:t>
            </w:r>
          </w:p>
        </w:tc>
        <w:tc>
          <w:tcPr>
            <w:tcW w:w="1748" w:type="dxa"/>
            <w:tcBorders>
              <w:top w:val="nil"/>
              <w:left w:val="nil"/>
              <w:bottom w:val="single" w:color="auto" w:sz="4" w:space="0"/>
              <w:right w:val="single" w:color="auto" w:sz="4" w:space="0"/>
            </w:tcBorders>
            <w:noWrap w:val="0"/>
            <w:vAlign w:val="center"/>
          </w:tcPr>
          <w:p w14:paraId="44B3C786">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对工地现场熟悉状况</w:t>
            </w:r>
          </w:p>
        </w:tc>
        <w:tc>
          <w:tcPr>
            <w:tcW w:w="596" w:type="dxa"/>
            <w:tcBorders>
              <w:top w:val="nil"/>
              <w:left w:val="nil"/>
              <w:bottom w:val="single" w:color="auto" w:sz="4" w:space="0"/>
              <w:right w:val="single" w:color="auto" w:sz="4" w:space="0"/>
            </w:tcBorders>
            <w:noWrap w:val="0"/>
            <w:vAlign w:val="center"/>
          </w:tcPr>
          <w:p w14:paraId="083BFD73">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5</w:t>
            </w:r>
          </w:p>
        </w:tc>
        <w:tc>
          <w:tcPr>
            <w:tcW w:w="4040" w:type="dxa"/>
            <w:tcBorders>
              <w:top w:val="nil"/>
              <w:left w:val="nil"/>
              <w:bottom w:val="single" w:color="auto" w:sz="4" w:space="0"/>
              <w:right w:val="single" w:color="auto" w:sz="4" w:space="0"/>
            </w:tcBorders>
            <w:noWrap w:val="0"/>
            <w:vAlign w:val="center"/>
          </w:tcPr>
          <w:p w14:paraId="2D00EC66">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很熟悉满分5分，比较熟悉4分，一般3分，不熟悉0分</w:t>
            </w:r>
          </w:p>
        </w:tc>
        <w:tc>
          <w:tcPr>
            <w:tcW w:w="537" w:type="dxa"/>
            <w:tcBorders>
              <w:top w:val="nil"/>
              <w:left w:val="nil"/>
              <w:bottom w:val="single" w:color="auto" w:sz="4" w:space="0"/>
              <w:right w:val="single" w:color="auto" w:sz="4" w:space="0"/>
            </w:tcBorders>
            <w:noWrap w:val="0"/>
            <w:vAlign w:val="center"/>
          </w:tcPr>
          <w:p w14:paraId="3FD05F19">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p>
        </w:tc>
        <w:tc>
          <w:tcPr>
            <w:tcW w:w="1017" w:type="dxa"/>
            <w:tcBorders>
              <w:top w:val="nil"/>
              <w:left w:val="nil"/>
              <w:bottom w:val="single" w:color="auto" w:sz="4" w:space="0"/>
              <w:right w:val="single" w:color="auto" w:sz="4" w:space="0"/>
            </w:tcBorders>
            <w:noWrap w:val="0"/>
            <w:vAlign w:val="center"/>
          </w:tcPr>
          <w:p w14:paraId="00396895">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　</w:t>
            </w:r>
          </w:p>
        </w:tc>
      </w:tr>
      <w:tr w14:paraId="16B05749">
        <w:tblPrEx>
          <w:tblCellMar>
            <w:top w:w="0" w:type="dxa"/>
            <w:left w:w="108" w:type="dxa"/>
            <w:bottom w:w="0" w:type="dxa"/>
            <w:right w:w="108" w:type="dxa"/>
          </w:tblCellMar>
        </w:tblPrEx>
        <w:trPr>
          <w:trHeight w:val="450" w:hRule="atLeast"/>
        </w:trPr>
        <w:tc>
          <w:tcPr>
            <w:tcW w:w="491" w:type="dxa"/>
            <w:tcBorders>
              <w:top w:val="nil"/>
              <w:left w:val="single" w:color="auto" w:sz="4" w:space="0"/>
              <w:bottom w:val="single" w:color="auto" w:sz="4" w:space="0"/>
              <w:right w:val="single" w:color="auto" w:sz="4" w:space="0"/>
            </w:tcBorders>
            <w:noWrap w:val="0"/>
            <w:vAlign w:val="center"/>
          </w:tcPr>
          <w:p w14:paraId="7D01253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r>
              <w:rPr>
                <w:rFonts w:ascii="Times New Roman" w:hAnsi="Calibri" w:eastAsia="宋体" w:cs="Times New Roman"/>
                <w:kern w:val="0"/>
                <w:sz w:val="20"/>
              </w:rPr>
              <w:t>7</w:t>
            </w:r>
          </w:p>
        </w:tc>
        <w:tc>
          <w:tcPr>
            <w:tcW w:w="1748" w:type="dxa"/>
            <w:tcBorders>
              <w:top w:val="nil"/>
              <w:left w:val="nil"/>
              <w:bottom w:val="single" w:color="auto" w:sz="4" w:space="0"/>
              <w:right w:val="single" w:color="auto" w:sz="4" w:space="0"/>
            </w:tcBorders>
            <w:noWrap w:val="0"/>
            <w:vAlign w:val="center"/>
          </w:tcPr>
          <w:p w14:paraId="0A82486C">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与各部门沟通协调能力</w:t>
            </w:r>
          </w:p>
        </w:tc>
        <w:tc>
          <w:tcPr>
            <w:tcW w:w="596" w:type="dxa"/>
            <w:tcBorders>
              <w:top w:val="nil"/>
              <w:left w:val="nil"/>
              <w:bottom w:val="single" w:color="auto" w:sz="4" w:space="0"/>
              <w:right w:val="single" w:color="auto" w:sz="4" w:space="0"/>
            </w:tcBorders>
            <w:noWrap w:val="0"/>
            <w:vAlign w:val="center"/>
          </w:tcPr>
          <w:p w14:paraId="4966387F">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10</w:t>
            </w:r>
          </w:p>
        </w:tc>
        <w:tc>
          <w:tcPr>
            <w:tcW w:w="4040" w:type="dxa"/>
            <w:tcBorders>
              <w:top w:val="nil"/>
              <w:left w:val="nil"/>
              <w:bottom w:val="single" w:color="auto" w:sz="4" w:space="0"/>
              <w:right w:val="single" w:color="auto" w:sz="4" w:space="0"/>
            </w:tcBorders>
            <w:noWrap w:val="0"/>
            <w:vAlign w:val="center"/>
          </w:tcPr>
          <w:p w14:paraId="1ACD6655">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出现甲方或施工方有效投诉一笔扣2分</w:t>
            </w:r>
          </w:p>
        </w:tc>
        <w:tc>
          <w:tcPr>
            <w:tcW w:w="537" w:type="dxa"/>
            <w:tcBorders>
              <w:top w:val="nil"/>
              <w:left w:val="nil"/>
              <w:bottom w:val="single" w:color="auto" w:sz="4" w:space="0"/>
              <w:right w:val="single" w:color="auto" w:sz="4" w:space="0"/>
            </w:tcBorders>
            <w:noWrap w:val="0"/>
            <w:vAlign w:val="center"/>
          </w:tcPr>
          <w:p w14:paraId="67797F6C">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p>
        </w:tc>
        <w:tc>
          <w:tcPr>
            <w:tcW w:w="1017" w:type="dxa"/>
            <w:tcBorders>
              <w:top w:val="nil"/>
              <w:left w:val="nil"/>
              <w:bottom w:val="single" w:color="auto" w:sz="4" w:space="0"/>
              <w:right w:val="single" w:color="auto" w:sz="4" w:space="0"/>
            </w:tcBorders>
            <w:noWrap w:val="0"/>
            <w:vAlign w:val="center"/>
          </w:tcPr>
          <w:p w14:paraId="1A7FE9EE">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　</w:t>
            </w:r>
          </w:p>
        </w:tc>
      </w:tr>
      <w:tr w14:paraId="2FCC6A66">
        <w:tblPrEx>
          <w:tblCellMar>
            <w:top w:w="0" w:type="dxa"/>
            <w:left w:w="108" w:type="dxa"/>
            <w:bottom w:w="0" w:type="dxa"/>
            <w:right w:w="108" w:type="dxa"/>
          </w:tblCellMar>
        </w:tblPrEx>
        <w:trPr>
          <w:trHeight w:val="450" w:hRule="atLeast"/>
        </w:trPr>
        <w:tc>
          <w:tcPr>
            <w:tcW w:w="491" w:type="dxa"/>
            <w:tcBorders>
              <w:top w:val="nil"/>
              <w:left w:val="single" w:color="auto" w:sz="4" w:space="0"/>
              <w:bottom w:val="single" w:color="auto" w:sz="4" w:space="0"/>
              <w:right w:val="single" w:color="auto" w:sz="4" w:space="0"/>
            </w:tcBorders>
            <w:noWrap w:val="0"/>
            <w:vAlign w:val="center"/>
          </w:tcPr>
          <w:p w14:paraId="2A9FCFD2">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r>
              <w:rPr>
                <w:rFonts w:ascii="Times New Roman" w:hAnsi="Calibri" w:eastAsia="宋体" w:cs="Times New Roman"/>
                <w:kern w:val="0"/>
                <w:sz w:val="20"/>
              </w:rPr>
              <w:t>8</w:t>
            </w:r>
          </w:p>
        </w:tc>
        <w:tc>
          <w:tcPr>
            <w:tcW w:w="1748" w:type="dxa"/>
            <w:tcBorders>
              <w:top w:val="nil"/>
              <w:left w:val="nil"/>
              <w:bottom w:val="single" w:color="auto" w:sz="4" w:space="0"/>
              <w:right w:val="single" w:color="auto" w:sz="4" w:space="0"/>
            </w:tcBorders>
            <w:noWrap w:val="0"/>
            <w:vAlign w:val="center"/>
          </w:tcPr>
          <w:p w14:paraId="050B03B8">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合同约谈能力</w:t>
            </w:r>
          </w:p>
        </w:tc>
        <w:tc>
          <w:tcPr>
            <w:tcW w:w="596" w:type="dxa"/>
            <w:tcBorders>
              <w:top w:val="nil"/>
              <w:left w:val="nil"/>
              <w:bottom w:val="single" w:color="auto" w:sz="4" w:space="0"/>
              <w:right w:val="single" w:color="auto" w:sz="4" w:space="0"/>
            </w:tcBorders>
            <w:noWrap w:val="0"/>
            <w:vAlign w:val="center"/>
          </w:tcPr>
          <w:p w14:paraId="068AA0A1">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5</w:t>
            </w:r>
          </w:p>
        </w:tc>
        <w:tc>
          <w:tcPr>
            <w:tcW w:w="4040" w:type="dxa"/>
            <w:tcBorders>
              <w:top w:val="nil"/>
              <w:left w:val="nil"/>
              <w:bottom w:val="single" w:color="auto" w:sz="4" w:space="0"/>
              <w:right w:val="single" w:color="auto" w:sz="4" w:space="0"/>
            </w:tcBorders>
            <w:noWrap w:val="0"/>
            <w:vAlign w:val="center"/>
          </w:tcPr>
          <w:p w14:paraId="021A3176">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按当月处理约谈数量考核得分，10*当月成功处理约谈数/当月总约谈数量</w:t>
            </w:r>
          </w:p>
        </w:tc>
        <w:tc>
          <w:tcPr>
            <w:tcW w:w="537" w:type="dxa"/>
            <w:tcBorders>
              <w:top w:val="nil"/>
              <w:left w:val="nil"/>
              <w:bottom w:val="single" w:color="auto" w:sz="4" w:space="0"/>
              <w:right w:val="single" w:color="auto" w:sz="4" w:space="0"/>
            </w:tcBorders>
            <w:noWrap w:val="0"/>
            <w:vAlign w:val="center"/>
          </w:tcPr>
          <w:p w14:paraId="090972CC">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p>
        </w:tc>
        <w:tc>
          <w:tcPr>
            <w:tcW w:w="1017" w:type="dxa"/>
            <w:tcBorders>
              <w:top w:val="nil"/>
              <w:left w:val="nil"/>
              <w:bottom w:val="single" w:color="auto" w:sz="4" w:space="0"/>
              <w:right w:val="single" w:color="auto" w:sz="4" w:space="0"/>
            </w:tcBorders>
            <w:noWrap w:val="0"/>
            <w:vAlign w:val="center"/>
          </w:tcPr>
          <w:p w14:paraId="4195B95B">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　</w:t>
            </w:r>
          </w:p>
        </w:tc>
      </w:tr>
      <w:tr w14:paraId="73CC53D5">
        <w:tblPrEx>
          <w:tblCellMar>
            <w:top w:w="0" w:type="dxa"/>
            <w:left w:w="108" w:type="dxa"/>
            <w:bottom w:w="0" w:type="dxa"/>
            <w:right w:w="108" w:type="dxa"/>
          </w:tblCellMar>
        </w:tblPrEx>
        <w:trPr>
          <w:trHeight w:val="480" w:hRule="atLeast"/>
        </w:trPr>
        <w:tc>
          <w:tcPr>
            <w:tcW w:w="491" w:type="dxa"/>
            <w:tcBorders>
              <w:top w:val="nil"/>
              <w:left w:val="single" w:color="auto" w:sz="4" w:space="0"/>
              <w:bottom w:val="single" w:color="auto" w:sz="4" w:space="0"/>
              <w:right w:val="single" w:color="auto" w:sz="4" w:space="0"/>
            </w:tcBorders>
            <w:noWrap w:val="0"/>
            <w:vAlign w:val="center"/>
          </w:tcPr>
          <w:p w14:paraId="77EADF4D">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r>
              <w:rPr>
                <w:rFonts w:ascii="Times New Roman" w:hAnsi="Calibri" w:eastAsia="宋体" w:cs="Times New Roman"/>
                <w:kern w:val="0"/>
                <w:sz w:val="20"/>
              </w:rPr>
              <w:t>9</w:t>
            </w:r>
          </w:p>
        </w:tc>
        <w:tc>
          <w:tcPr>
            <w:tcW w:w="1748" w:type="dxa"/>
            <w:tcBorders>
              <w:top w:val="nil"/>
              <w:left w:val="nil"/>
              <w:bottom w:val="single" w:color="auto" w:sz="4" w:space="0"/>
              <w:right w:val="single" w:color="auto" w:sz="4" w:space="0"/>
            </w:tcBorders>
            <w:noWrap w:val="0"/>
            <w:vAlign w:val="center"/>
          </w:tcPr>
          <w:p w14:paraId="1DBC6987">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现场签证抽查</w:t>
            </w:r>
          </w:p>
        </w:tc>
        <w:tc>
          <w:tcPr>
            <w:tcW w:w="596" w:type="dxa"/>
            <w:tcBorders>
              <w:top w:val="nil"/>
              <w:left w:val="nil"/>
              <w:bottom w:val="single" w:color="auto" w:sz="4" w:space="0"/>
              <w:right w:val="single" w:color="auto" w:sz="4" w:space="0"/>
            </w:tcBorders>
            <w:noWrap w:val="0"/>
            <w:vAlign w:val="center"/>
          </w:tcPr>
          <w:p w14:paraId="4E6633A0">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15</w:t>
            </w:r>
          </w:p>
        </w:tc>
        <w:tc>
          <w:tcPr>
            <w:tcW w:w="4040" w:type="dxa"/>
            <w:tcBorders>
              <w:top w:val="nil"/>
              <w:left w:val="nil"/>
              <w:bottom w:val="single" w:color="auto" w:sz="4" w:space="0"/>
              <w:right w:val="single" w:color="auto" w:sz="4" w:space="0"/>
            </w:tcBorders>
            <w:noWrap w:val="0"/>
            <w:vAlign w:val="center"/>
          </w:tcPr>
          <w:p w14:paraId="7063B524">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抽查现场变更签证工程量不得少于当月总份数的10%，并重点关注金额较大的及需隐蔽验收的事项；及时且认真执行15分，反之0分</w:t>
            </w:r>
          </w:p>
        </w:tc>
        <w:tc>
          <w:tcPr>
            <w:tcW w:w="537" w:type="dxa"/>
            <w:tcBorders>
              <w:top w:val="nil"/>
              <w:left w:val="nil"/>
              <w:bottom w:val="single" w:color="auto" w:sz="4" w:space="0"/>
              <w:right w:val="single" w:color="auto" w:sz="4" w:space="0"/>
            </w:tcBorders>
            <w:noWrap w:val="0"/>
            <w:vAlign w:val="center"/>
          </w:tcPr>
          <w:p w14:paraId="7C857FAA">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p>
        </w:tc>
        <w:tc>
          <w:tcPr>
            <w:tcW w:w="1017" w:type="dxa"/>
            <w:tcBorders>
              <w:top w:val="nil"/>
              <w:left w:val="nil"/>
              <w:bottom w:val="single" w:color="auto" w:sz="4" w:space="0"/>
              <w:right w:val="single" w:color="auto" w:sz="4" w:space="0"/>
            </w:tcBorders>
            <w:noWrap w:val="0"/>
            <w:vAlign w:val="center"/>
          </w:tcPr>
          <w:p w14:paraId="36D8D26A">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　</w:t>
            </w:r>
          </w:p>
        </w:tc>
      </w:tr>
      <w:tr w14:paraId="0BE51D36">
        <w:tblPrEx>
          <w:tblCellMar>
            <w:top w:w="0" w:type="dxa"/>
            <w:left w:w="108" w:type="dxa"/>
            <w:bottom w:w="0" w:type="dxa"/>
            <w:right w:w="108" w:type="dxa"/>
          </w:tblCellMar>
        </w:tblPrEx>
        <w:trPr>
          <w:trHeight w:val="450" w:hRule="atLeast"/>
        </w:trPr>
        <w:tc>
          <w:tcPr>
            <w:tcW w:w="491" w:type="dxa"/>
            <w:tcBorders>
              <w:top w:val="nil"/>
              <w:left w:val="single" w:color="auto" w:sz="4" w:space="0"/>
              <w:bottom w:val="single" w:color="auto" w:sz="4" w:space="0"/>
              <w:right w:val="single" w:color="auto" w:sz="4" w:space="0"/>
            </w:tcBorders>
            <w:noWrap w:val="0"/>
            <w:vAlign w:val="center"/>
          </w:tcPr>
          <w:p w14:paraId="6AC38DC5">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r>
              <w:rPr>
                <w:rFonts w:ascii="Times New Roman" w:hAnsi="Calibri" w:eastAsia="宋体" w:cs="Times New Roman"/>
                <w:kern w:val="0"/>
                <w:sz w:val="20"/>
              </w:rPr>
              <w:t>10</w:t>
            </w:r>
          </w:p>
        </w:tc>
        <w:tc>
          <w:tcPr>
            <w:tcW w:w="1748" w:type="dxa"/>
            <w:tcBorders>
              <w:top w:val="nil"/>
              <w:left w:val="nil"/>
              <w:bottom w:val="single" w:color="auto" w:sz="4" w:space="0"/>
              <w:right w:val="single" w:color="auto" w:sz="4" w:space="0"/>
            </w:tcBorders>
            <w:noWrap w:val="0"/>
            <w:vAlign w:val="center"/>
          </w:tcPr>
          <w:p w14:paraId="296BB2FC">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现场工作态度认真积极</w:t>
            </w:r>
          </w:p>
        </w:tc>
        <w:tc>
          <w:tcPr>
            <w:tcW w:w="596" w:type="dxa"/>
            <w:tcBorders>
              <w:top w:val="nil"/>
              <w:left w:val="nil"/>
              <w:bottom w:val="single" w:color="auto" w:sz="4" w:space="0"/>
              <w:right w:val="single" w:color="auto" w:sz="4" w:space="0"/>
            </w:tcBorders>
            <w:noWrap w:val="0"/>
            <w:vAlign w:val="center"/>
          </w:tcPr>
          <w:p w14:paraId="6F658F85">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0"/>
              </w:rPr>
            </w:pPr>
            <w:r>
              <w:rPr>
                <w:rFonts w:hint="eastAsia" w:hAnsi="宋体" w:eastAsia="宋体" w:cs="宋体"/>
                <w:kern w:val="0"/>
                <w:sz w:val="20"/>
              </w:rPr>
              <w:t>15</w:t>
            </w:r>
          </w:p>
        </w:tc>
        <w:tc>
          <w:tcPr>
            <w:tcW w:w="4040" w:type="dxa"/>
            <w:tcBorders>
              <w:top w:val="nil"/>
              <w:left w:val="nil"/>
              <w:bottom w:val="single" w:color="auto" w:sz="4" w:space="0"/>
              <w:right w:val="single" w:color="auto" w:sz="4" w:space="0"/>
            </w:tcBorders>
            <w:noWrap w:val="0"/>
            <w:vAlign w:val="center"/>
          </w:tcPr>
          <w:p w14:paraId="3301881C">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由项目成本管理人员综合打分</w:t>
            </w:r>
          </w:p>
        </w:tc>
        <w:tc>
          <w:tcPr>
            <w:tcW w:w="537" w:type="dxa"/>
            <w:tcBorders>
              <w:top w:val="nil"/>
              <w:left w:val="nil"/>
              <w:bottom w:val="single" w:color="auto" w:sz="4" w:space="0"/>
              <w:right w:val="single" w:color="auto" w:sz="4" w:space="0"/>
            </w:tcBorders>
            <w:noWrap w:val="0"/>
            <w:vAlign w:val="center"/>
          </w:tcPr>
          <w:p w14:paraId="2914F528">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0"/>
              </w:rPr>
            </w:pPr>
          </w:p>
        </w:tc>
        <w:tc>
          <w:tcPr>
            <w:tcW w:w="1017" w:type="dxa"/>
            <w:tcBorders>
              <w:top w:val="nil"/>
              <w:left w:val="nil"/>
              <w:bottom w:val="single" w:color="auto" w:sz="4" w:space="0"/>
              <w:right w:val="single" w:color="auto" w:sz="4" w:space="0"/>
            </w:tcBorders>
            <w:noWrap w:val="0"/>
            <w:vAlign w:val="center"/>
          </w:tcPr>
          <w:p w14:paraId="4D789C44">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sz w:val="20"/>
              </w:rPr>
            </w:pPr>
            <w:r>
              <w:rPr>
                <w:rFonts w:hint="eastAsia" w:hAnsi="宋体" w:eastAsia="宋体" w:cs="宋体"/>
                <w:kern w:val="0"/>
                <w:sz w:val="20"/>
              </w:rPr>
              <w:t>　</w:t>
            </w:r>
          </w:p>
        </w:tc>
      </w:tr>
      <w:tr w14:paraId="101F577A">
        <w:tblPrEx>
          <w:tblCellMar>
            <w:top w:w="0" w:type="dxa"/>
            <w:left w:w="108" w:type="dxa"/>
            <w:bottom w:w="0" w:type="dxa"/>
            <w:right w:w="108" w:type="dxa"/>
          </w:tblCellMar>
        </w:tblPrEx>
        <w:trPr>
          <w:trHeight w:val="480" w:hRule="atLeast"/>
        </w:trPr>
        <w:tc>
          <w:tcPr>
            <w:tcW w:w="491" w:type="dxa"/>
            <w:tcBorders>
              <w:top w:val="nil"/>
              <w:left w:val="single" w:color="auto" w:sz="4" w:space="0"/>
              <w:bottom w:val="single" w:color="auto" w:sz="4" w:space="0"/>
              <w:right w:val="single" w:color="auto" w:sz="4" w:space="0"/>
            </w:tcBorders>
            <w:noWrap w:val="0"/>
            <w:vAlign w:val="center"/>
          </w:tcPr>
          <w:p w14:paraId="1C22C46D">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ascii="Times New Roman" w:hAnsi="Calibri" w:eastAsia="宋体" w:cs="Times New Roman"/>
                <w:kern w:val="0"/>
                <w:sz w:val="20"/>
              </w:rPr>
            </w:pPr>
            <w:bookmarkStart w:id="1262" w:name="OLE_LINK8" w:colFirst="3" w:colLast="4"/>
            <w:r>
              <w:rPr>
                <w:rFonts w:ascii="Times New Roman" w:hAnsi="Calibri" w:eastAsia="宋体" w:cs="Times New Roman"/>
                <w:kern w:val="0"/>
                <w:sz w:val="20"/>
              </w:rPr>
              <w:t>　</w:t>
            </w:r>
          </w:p>
        </w:tc>
        <w:tc>
          <w:tcPr>
            <w:tcW w:w="2344" w:type="dxa"/>
            <w:gridSpan w:val="2"/>
            <w:tcBorders>
              <w:top w:val="single" w:color="auto" w:sz="4" w:space="0"/>
              <w:left w:val="nil"/>
              <w:bottom w:val="single" w:color="auto" w:sz="4" w:space="0"/>
              <w:right w:val="single" w:color="auto" w:sz="4" w:space="0"/>
            </w:tcBorders>
            <w:noWrap w:val="0"/>
            <w:vAlign w:val="center"/>
          </w:tcPr>
          <w:p w14:paraId="50DF5F0C">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2"/>
                <w:szCs w:val="22"/>
              </w:rPr>
            </w:pPr>
            <w:r>
              <w:rPr>
                <w:rFonts w:hint="eastAsia" w:hAnsi="宋体" w:eastAsia="宋体" w:cs="宋体"/>
                <w:kern w:val="0"/>
                <w:sz w:val="22"/>
                <w:szCs w:val="22"/>
              </w:rPr>
              <w:t>最终实得分</w:t>
            </w:r>
          </w:p>
        </w:tc>
        <w:tc>
          <w:tcPr>
            <w:tcW w:w="4040" w:type="dxa"/>
            <w:tcBorders>
              <w:top w:val="nil"/>
              <w:left w:val="nil"/>
              <w:bottom w:val="single" w:color="auto" w:sz="4" w:space="0"/>
              <w:right w:val="single" w:color="auto" w:sz="4" w:space="0"/>
            </w:tcBorders>
            <w:noWrap w:val="0"/>
            <w:vAlign w:val="center"/>
          </w:tcPr>
          <w:p w14:paraId="606D1013">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kern w:val="0"/>
                <w:sz w:val="22"/>
                <w:szCs w:val="22"/>
              </w:rPr>
            </w:pPr>
            <w:r>
              <w:rPr>
                <w:rFonts w:hint="eastAsia" w:hAnsi="宋体" w:eastAsia="宋体" w:cs="宋体"/>
                <w:kern w:val="0"/>
                <w:sz w:val="22"/>
                <w:szCs w:val="22"/>
              </w:rPr>
              <w:t>　</w:t>
            </w:r>
          </w:p>
        </w:tc>
        <w:tc>
          <w:tcPr>
            <w:tcW w:w="537" w:type="dxa"/>
            <w:tcBorders>
              <w:top w:val="nil"/>
              <w:left w:val="nil"/>
              <w:bottom w:val="single" w:color="auto" w:sz="4" w:space="0"/>
              <w:right w:val="single" w:color="auto" w:sz="4" w:space="0"/>
            </w:tcBorders>
            <w:noWrap w:val="0"/>
            <w:vAlign w:val="center"/>
          </w:tcPr>
          <w:p w14:paraId="76D55AC5">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ascii="Times New Roman" w:hAnsi="Calibri" w:eastAsia="宋体" w:cs="Times New Roman"/>
                <w:kern w:val="0"/>
                <w:sz w:val="22"/>
                <w:szCs w:val="22"/>
              </w:rPr>
            </w:pPr>
          </w:p>
        </w:tc>
        <w:tc>
          <w:tcPr>
            <w:tcW w:w="1017" w:type="dxa"/>
            <w:tcBorders>
              <w:top w:val="nil"/>
              <w:left w:val="nil"/>
              <w:bottom w:val="single" w:color="auto" w:sz="4" w:space="0"/>
              <w:right w:val="single" w:color="auto" w:sz="4" w:space="0"/>
            </w:tcBorders>
            <w:noWrap w:val="0"/>
            <w:vAlign w:val="center"/>
          </w:tcPr>
          <w:p w14:paraId="6F1E21E5">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ascii="Times New Roman" w:hAnsi="Calibri" w:eastAsia="宋体" w:cs="Times New Roman"/>
                <w:kern w:val="0"/>
                <w:sz w:val="22"/>
                <w:szCs w:val="22"/>
              </w:rPr>
            </w:pPr>
            <w:r>
              <w:rPr>
                <w:rFonts w:ascii="Times New Roman" w:hAnsi="Calibri" w:eastAsia="宋体" w:cs="Times New Roman"/>
                <w:kern w:val="0"/>
                <w:sz w:val="22"/>
                <w:szCs w:val="22"/>
              </w:rPr>
              <w:t>　</w:t>
            </w:r>
          </w:p>
        </w:tc>
      </w:tr>
      <w:bookmarkEnd w:id="1262"/>
      <w:tr w14:paraId="7809C445">
        <w:tblPrEx>
          <w:tblCellMar>
            <w:top w:w="0" w:type="dxa"/>
            <w:left w:w="108" w:type="dxa"/>
            <w:bottom w:w="0" w:type="dxa"/>
            <w:right w:w="108" w:type="dxa"/>
          </w:tblCellMar>
        </w:tblPrEx>
        <w:trPr>
          <w:trHeight w:val="435" w:hRule="atLeast"/>
        </w:trPr>
        <w:tc>
          <w:tcPr>
            <w:tcW w:w="491" w:type="dxa"/>
            <w:tcBorders>
              <w:top w:val="nil"/>
              <w:left w:val="nil"/>
              <w:bottom w:val="nil"/>
              <w:right w:val="nil"/>
            </w:tcBorders>
            <w:noWrap w:val="0"/>
            <w:vAlign w:val="center"/>
          </w:tcPr>
          <w:p w14:paraId="55601278">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ascii="Times New Roman" w:hAnsi="Calibri" w:eastAsia="宋体" w:cs="Times New Roman"/>
                <w:kern w:val="0"/>
              </w:rPr>
            </w:pPr>
          </w:p>
        </w:tc>
        <w:tc>
          <w:tcPr>
            <w:tcW w:w="1748" w:type="dxa"/>
            <w:tcBorders>
              <w:top w:val="nil"/>
              <w:left w:val="nil"/>
              <w:bottom w:val="nil"/>
              <w:right w:val="nil"/>
            </w:tcBorders>
            <w:noWrap w:val="0"/>
            <w:vAlign w:val="center"/>
          </w:tcPr>
          <w:p w14:paraId="3D64FD6A">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ascii="Times New Roman" w:hAnsi="Calibri" w:eastAsia="宋体" w:cs="Times New Roman"/>
                <w:kern w:val="0"/>
              </w:rPr>
            </w:pPr>
          </w:p>
        </w:tc>
        <w:tc>
          <w:tcPr>
            <w:tcW w:w="596" w:type="dxa"/>
            <w:tcBorders>
              <w:top w:val="nil"/>
              <w:left w:val="nil"/>
              <w:bottom w:val="nil"/>
              <w:right w:val="nil"/>
            </w:tcBorders>
            <w:noWrap w:val="0"/>
            <w:vAlign w:val="center"/>
          </w:tcPr>
          <w:p w14:paraId="2FF707EB">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ascii="Times New Roman" w:hAnsi="Calibri" w:eastAsia="宋体" w:cs="Times New Roman"/>
                <w:kern w:val="0"/>
              </w:rPr>
            </w:pPr>
          </w:p>
        </w:tc>
        <w:tc>
          <w:tcPr>
            <w:tcW w:w="4040" w:type="dxa"/>
            <w:tcBorders>
              <w:top w:val="nil"/>
              <w:left w:val="nil"/>
              <w:bottom w:val="nil"/>
              <w:right w:val="nil"/>
            </w:tcBorders>
            <w:noWrap w:val="0"/>
            <w:vAlign w:val="center"/>
          </w:tcPr>
          <w:p w14:paraId="4F047504">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ascii="Times New Roman" w:hAnsi="Calibri" w:eastAsia="宋体" w:cs="Times New Roman"/>
                <w:kern w:val="0"/>
              </w:rPr>
            </w:pPr>
          </w:p>
        </w:tc>
        <w:tc>
          <w:tcPr>
            <w:tcW w:w="537" w:type="dxa"/>
            <w:tcBorders>
              <w:top w:val="nil"/>
              <w:left w:val="nil"/>
              <w:bottom w:val="nil"/>
              <w:right w:val="nil"/>
            </w:tcBorders>
            <w:noWrap w:val="0"/>
            <w:vAlign w:val="center"/>
          </w:tcPr>
          <w:p w14:paraId="6881837B">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ascii="Times New Roman" w:hAnsi="Calibri" w:eastAsia="宋体" w:cs="Times New Roman"/>
                <w:kern w:val="0"/>
              </w:rPr>
            </w:pPr>
          </w:p>
        </w:tc>
        <w:tc>
          <w:tcPr>
            <w:tcW w:w="1017" w:type="dxa"/>
            <w:tcBorders>
              <w:top w:val="nil"/>
              <w:left w:val="nil"/>
              <w:bottom w:val="nil"/>
              <w:right w:val="nil"/>
            </w:tcBorders>
            <w:noWrap w:val="0"/>
            <w:vAlign w:val="center"/>
          </w:tcPr>
          <w:p w14:paraId="34A0B26E">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ascii="Times New Roman" w:hAnsi="Calibri" w:eastAsia="宋体" w:cs="Times New Roman"/>
                <w:kern w:val="0"/>
              </w:rPr>
            </w:pPr>
          </w:p>
        </w:tc>
      </w:tr>
      <w:tr w14:paraId="1C9BCEBB">
        <w:tblPrEx>
          <w:tblCellMar>
            <w:top w:w="0" w:type="dxa"/>
            <w:left w:w="108" w:type="dxa"/>
            <w:bottom w:w="0" w:type="dxa"/>
            <w:right w:w="108" w:type="dxa"/>
          </w:tblCellMar>
        </w:tblPrEx>
        <w:trPr>
          <w:trHeight w:val="315" w:hRule="atLeast"/>
        </w:trPr>
        <w:tc>
          <w:tcPr>
            <w:tcW w:w="6875" w:type="dxa"/>
            <w:gridSpan w:val="4"/>
            <w:tcBorders>
              <w:top w:val="single" w:color="auto" w:sz="4" w:space="0"/>
              <w:left w:val="single" w:color="auto" w:sz="4" w:space="0"/>
              <w:bottom w:val="single" w:color="auto" w:sz="4" w:space="0"/>
              <w:right w:val="single" w:color="000000" w:sz="4" w:space="0"/>
            </w:tcBorders>
            <w:noWrap w:val="0"/>
            <w:vAlign w:val="center"/>
          </w:tcPr>
          <w:p w14:paraId="4D313813">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2"/>
                <w:szCs w:val="22"/>
              </w:rPr>
            </w:pPr>
            <w:r>
              <w:rPr>
                <w:rFonts w:hint="eastAsia" w:hAnsi="宋体" w:eastAsia="宋体" w:cs="宋体"/>
                <w:b/>
                <w:bCs/>
                <w:kern w:val="0"/>
                <w:sz w:val="22"/>
                <w:szCs w:val="22"/>
              </w:rPr>
              <w:t>考评人签名</w:t>
            </w:r>
          </w:p>
        </w:tc>
        <w:tc>
          <w:tcPr>
            <w:tcW w:w="1554" w:type="dxa"/>
            <w:gridSpan w:val="2"/>
            <w:tcBorders>
              <w:top w:val="single" w:color="auto" w:sz="4" w:space="0"/>
              <w:left w:val="nil"/>
              <w:bottom w:val="single" w:color="auto" w:sz="4" w:space="0"/>
              <w:right w:val="single" w:color="auto" w:sz="4" w:space="0"/>
            </w:tcBorders>
            <w:noWrap w:val="0"/>
            <w:vAlign w:val="center"/>
          </w:tcPr>
          <w:p w14:paraId="4A79BBAC">
            <w:pPr>
              <w:keepNext w:val="0"/>
              <w:keepLines w:val="0"/>
              <w:widowControl/>
              <w:suppressLineNumbers w:val="0"/>
              <w:adjustRightInd/>
              <w:snapToGrid/>
              <w:spacing w:before="0" w:beforeLines="0" w:beforeAutospacing="0" w:after="0" w:afterAutospacing="0" w:line="240" w:lineRule="auto"/>
              <w:ind w:left="0" w:right="0" w:firstLine="0" w:firstLineChars="0"/>
              <w:jc w:val="center"/>
              <w:rPr>
                <w:rFonts w:hAnsi="宋体" w:eastAsia="宋体" w:cs="宋体"/>
                <w:b/>
                <w:bCs/>
                <w:kern w:val="0"/>
                <w:sz w:val="22"/>
                <w:szCs w:val="22"/>
              </w:rPr>
            </w:pPr>
          </w:p>
        </w:tc>
      </w:tr>
      <w:tr w14:paraId="10C70A12">
        <w:tblPrEx>
          <w:tblCellMar>
            <w:top w:w="0" w:type="dxa"/>
            <w:left w:w="108" w:type="dxa"/>
            <w:bottom w:w="0" w:type="dxa"/>
            <w:right w:w="108" w:type="dxa"/>
          </w:tblCellMar>
        </w:tblPrEx>
        <w:trPr>
          <w:trHeight w:val="450" w:hRule="atLeast"/>
        </w:trPr>
        <w:tc>
          <w:tcPr>
            <w:tcW w:w="8429" w:type="dxa"/>
            <w:gridSpan w:val="6"/>
            <w:tcBorders>
              <w:top w:val="single" w:color="auto" w:sz="4" w:space="0"/>
              <w:left w:val="single" w:color="auto" w:sz="4" w:space="0"/>
              <w:bottom w:val="single" w:color="000000" w:sz="4" w:space="0"/>
              <w:right w:val="single" w:color="000000" w:sz="4" w:space="0"/>
            </w:tcBorders>
            <w:noWrap w:val="0"/>
            <w:vAlign w:val="center"/>
          </w:tcPr>
          <w:p w14:paraId="403F2250">
            <w:pPr>
              <w:keepNext w:val="0"/>
              <w:keepLines w:val="0"/>
              <w:widowControl/>
              <w:suppressLineNumbers w:val="0"/>
              <w:adjustRightInd/>
              <w:snapToGrid/>
              <w:spacing w:before="0" w:beforeLines="0" w:beforeAutospacing="0" w:after="0" w:afterAutospacing="0" w:line="240" w:lineRule="auto"/>
              <w:ind w:left="0" w:right="0" w:firstLine="0" w:firstLineChars="0"/>
              <w:jc w:val="left"/>
              <w:rPr>
                <w:rFonts w:hAnsi="宋体" w:eastAsia="宋体" w:cs="宋体"/>
                <w:kern w:val="0"/>
              </w:rPr>
            </w:pPr>
            <w:r>
              <w:rPr>
                <w:rFonts w:hint="eastAsia" w:hAnsi="宋体" w:eastAsia="宋体" w:cs="宋体"/>
                <w:kern w:val="0"/>
              </w:rPr>
              <w:t>评语：</w:t>
            </w:r>
            <w:r>
              <w:rPr>
                <w:rFonts w:hAnsi="宋体" w:eastAsia="宋体" w:cs="宋体"/>
                <w:kern w:val="0"/>
              </w:rPr>
              <w:t xml:space="preserve"> </w:t>
            </w:r>
          </w:p>
        </w:tc>
      </w:tr>
    </w:tbl>
    <w:p w14:paraId="3B631B1A">
      <w:pPr>
        <w:adjustRightInd/>
        <w:spacing w:before="0" w:beforeLines="0" w:line="360" w:lineRule="auto"/>
        <w:ind w:firstLine="0" w:firstLineChars="0"/>
        <w:rPr>
          <w:rFonts w:ascii="Times New Roman" w:hAnsi="宋体" w:cs="宋体"/>
        </w:rPr>
      </w:pPr>
    </w:p>
    <w:p w14:paraId="3D2D6D14">
      <w:pPr>
        <w:widowControl/>
        <w:adjustRightInd/>
        <w:snapToGrid/>
        <w:spacing w:before="305" w:beforeLines="0" w:line="240" w:lineRule="auto"/>
        <w:ind w:firstLine="0" w:firstLineChars="0"/>
        <w:rPr>
          <w:rFonts w:ascii="Times New Roman" w:hAnsi="宋体" w:cs="宋体"/>
          <w:kern w:val="0"/>
        </w:rPr>
      </w:pPr>
      <w:r>
        <w:rPr>
          <w:rFonts w:hint="eastAsia" w:ascii="Times New Roman" w:hAnsi="宋体" w:cs="宋体"/>
          <w:kern w:val="0"/>
        </w:rPr>
        <w:t>附件四</w:t>
      </w:r>
    </w:p>
    <w:p w14:paraId="4B3B0CF7">
      <w:pPr>
        <w:adjustRightInd/>
        <w:snapToGrid/>
        <w:spacing w:before="305" w:beforeLines="0" w:line="240" w:lineRule="auto"/>
        <w:ind w:firstLine="0" w:firstLineChars="0"/>
        <w:jc w:val="center"/>
        <w:rPr>
          <w:rFonts w:ascii="Times New Roman" w:hAnsi="宋体"/>
        </w:rPr>
      </w:pPr>
      <w:r>
        <w:rPr>
          <w:rFonts w:hint="eastAsia" w:ascii="黑体" w:hAnsi="宋体" w:eastAsia="黑体"/>
          <w:u w:val="single"/>
        </w:rPr>
        <w:t xml:space="preserve">     </w:t>
      </w:r>
      <w:r>
        <w:rPr>
          <w:rFonts w:hint="eastAsia" w:ascii="黑体" w:hAnsi="宋体" w:eastAsia="黑体"/>
        </w:rPr>
        <w:t>年   第</w:t>
      </w:r>
      <w:r>
        <w:rPr>
          <w:rFonts w:hint="eastAsia" w:ascii="黑体" w:hAnsi="宋体" w:eastAsia="黑体"/>
          <w:u w:val="single"/>
        </w:rPr>
        <w:t xml:space="preserve">     </w:t>
      </w:r>
      <w:r>
        <w:rPr>
          <w:rFonts w:hint="eastAsia" w:ascii="黑体" w:hAnsi="宋体" w:eastAsia="黑体"/>
        </w:rPr>
        <w:t>季度 造价服务任务情况汇总表</w:t>
      </w:r>
    </w:p>
    <w:tbl>
      <w:tblPr>
        <w:tblStyle w:val="48"/>
        <w:tblW w:w="5000" w:type="pct"/>
        <w:jc w:val="center"/>
        <w:tblLayout w:type="autofit"/>
        <w:tblCellMar>
          <w:top w:w="0" w:type="dxa"/>
          <w:left w:w="108" w:type="dxa"/>
          <w:bottom w:w="0" w:type="dxa"/>
          <w:right w:w="108" w:type="dxa"/>
        </w:tblCellMar>
      </w:tblPr>
      <w:tblGrid>
        <w:gridCol w:w="697"/>
        <w:gridCol w:w="1391"/>
        <w:gridCol w:w="1035"/>
        <w:gridCol w:w="1132"/>
        <w:gridCol w:w="825"/>
        <w:gridCol w:w="985"/>
        <w:gridCol w:w="1048"/>
        <w:gridCol w:w="712"/>
        <w:gridCol w:w="697"/>
      </w:tblGrid>
      <w:tr w14:paraId="63586972">
        <w:tblPrEx>
          <w:tblCellMar>
            <w:top w:w="0" w:type="dxa"/>
            <w:left w:w="108" w:type="dxa"/>
            <w:bottom w:w="0" w:type="dxa"/>
            <w:right w:w="108" w:type="dxa"/>
          </w:tblCellMar>
        </w:tblPrEx>
        <w:trPr>
          <w:trHeight w:val="1110" w:hRule="atLeast"/>
          <w:jc w:val="center"/>
        </w:trPr>
        <w:tc>
          <w:tcPr>
            <w:tcW w:w="281" w:type="pct"/>
            <w:tcBorders>
              <w:top w:val="single" w:color="auto" w:sz="4" w:space="0"/>
              <w:left w:val="single" w:color="auto" w:sz="4" w:space="0"/>
              <w:bottom w:val="single" w:color="auto" w:sz="4" w:space="0"/>
              <w:right w:val="single" w:color="auto" w:sz="4" w:space="0"/>
            </w:tcBorders>
            <w:noWrap w:val="0"/>
            <w:vAlign w:val="center"/>
          </w:tcPr>
          <w:p w14:paraId="57F86879">
            <w:pPr>
              <w:keepNext w:val="0"/>
              <w:keepLines w:val="0"/>
              <w:widowControl/>
              <w:suppressLineNumbers w:val="0"/>
              <w:adjustRightInd/>
              <w:snapToGrid/>
              <w:spacing w:before="305" w:beforeLines="0" w:beforeAutospacing="0" w:after="0" w:afterAutospacing="0" w:line="240" w:lineRule="auto"/>
              <w:ind w:left="0" w:right="0" w:firstLine="0" w:firstLineChars="0"/>
              <w:rPr>
                <w:rFonts w:ascii="Times New Roman" w:hAnsi="宋体" w:eastAsia="宋体" w:cs="宋体"/>
                <w:kern w:val="0"/>
                <w:sz w:val="20"/>
                <w:szCs w:val="20"/>
              </w:rPr>
            </w:pPr>
            <w:r>
              <w:rPr>
                <w:rFonts w:hint="eastAsia" w:ascii="Times New Roman" w:hAnsi="宋体" w:eastAsia="宋体" w:cs="宋体"/>
                <w:kern w:val="0"/>
                <w:sz w:val="20"/>
                <w:szCs w:val="20"/>
              </w:rPr>
              <w:t>序号</w:t>
            </w:r>
          </w:p>
        </w:tc>
        <w:tc>
          <w:tcPr>
            <w:tcW w:w="837" w:type="pct"/>
            <w:tcBorders>
              <w:top w:val="single" w:color="auto" w:sz="4" w:space="0"/>
              <w:left w:val="nil"/>
              <w:bottom w:val="single" w:color="auto" w:sz="4" w:space="0"/>
              <w:right w:val="single" w:color="auto" w:sz="4" w:space="0"/>
            </w:tcBorders>
            <w:noWrap w:val="0"/>
            <w:vAlign w:val="center"/>
          </w:tcPr>
          <w:p w14:paraId="3EA888D9">
            <w:pPr>
              <w:keepNext w:val="0"/>
              <w:keepLines w:val="0"/>
              <w:widowControl/>
              <w:suppressLineNumbers w:val="0"/>
              <w:adjustRightInd/>
              <w:snapToGrid/>
              <w:spacing w:before="305" w:beforeLines="0" w:beforeAutospacing="0" w:after="0" w:afterAutospacing="0" w:line="240" w:lineRule="auto"/>
              <w:ind w:left="0" w:right="0" w:firstLine="0" w:firstLineChars="0"/>
              <w:rPr>
                <w:rFonts w:ascii="Times New Roman" w:hAnsi="宋体" w:eastAsia="宋体" w:cs="宋体"/>
                <w:kern w:val="0"/>
                <w:sz w:val="20"/>
                <w:szCs w:val="20"/>
              </w:rPr>
            </w:pPr>
            <w:r>
              <w:rPr>
                <w:rFonts w:hint="eastAsia" w:ascii="Times New Roman" w:hAnsi="宋体" w:eastAsia="宋体" w:cs="宋体"/>
                <w:kern w:val="0"/>
                <w:sz w:val="20"/>
                <w:szCs w:val="20"/>
              </w:rPr>
              <w:t>造价顾问单位</w:t>
            </w:r>
          </w:p>
        </w:tc>
        <w:tc>
          <w:tcPr>
            <w:tcW w:w="628" w:type="pct"/>
            <w:tcBorders>
              <w:top w:val="single" w:color="auto" w:sz="4" w:space="0"/>
              <w:left w:val="nil"/>
              <w:bottom w:val="single" w:color="auto" w:sz="4" w:space="0"/>
              <w:right w:val="single" w:color="auto" w:sz="4" w:space="0"/>
            </w:tcBorders>
            <w:noWrap w:val="0"/>
            <w:vAlign w:val="center"/>
          </w:tcPr>
          <w:p w14:paraId="6360126C">
            <w:pPr>
              <w:keepNext w:val="0"/>
              <w:keepLines w:val="0"/>
              <w:widowControl/>
              <w:suppressLineNumbers w:val="0"/>
              <w:adjustRightInd/>
              <w:snapToGrid/>
              <w:spacing w:before="305" w:beforeLines="0" w:beforeAutospacing="0" w:after="0" w:afterAutospacing="0" w:line="240" w:lineRule="auto"/>
              <w:ind w:left="0" w:right="0" w:firstLine="0" w:firstLineChars="0"/>
              <w:rPr>
                <w:rFonts w:ascii="Times New Roman" w:hAnsi="宋体" w:eastAsia="宋体" w:cs="宋体"/>
                <w:kern w:val="0"/>
                <w:sz w:val="20"/>
                <w:szCs w:val="20"/>
              </w:rPr>
            </w:pPr>
            <w:r>
              <w:rPr>
                <w:rFonts w:hint="eastAsia" w:ascii="Times New Roman" w:hAnsi="宋体" w:eastAsia="宋体" w:cs="宋体"/>
                <w:kern w:val="0"/>
                <w:sz w:val="20"/>
                <w:szCs w:val="20"/>
              </w:rPr>
              <w:t>任务单流水号</w:t>
            </w:r>
          </w:p>
        </w:tc>
        <w:tc>
          <w:tcPr>
            <w:tcW w:w="685" w:type="pct"/>
            <w:tcBorders>
              <w:top w:val="single" w:color="auto" w:sz="4" w:space="0"/>
              <w:left w:val="nil"/>
              <w:bottom w:val="single" w:color="auto" w:sz="4" w:space="0"/>
              <w:right w:val="single" w:color="auto" w:sz="4" w:space="0"/>
            </w:tcBorders>
            <w:noWrap w:val="0"/>
            <w:vAlign w:val="center"/>
          </w:tcPr>
          <w:p w14:paraId="287A1BB4">
            <w:pPr>
              <w:keepNext w:val="0"/>
              <w:keepLines w:val="0"/>
              <w:widowControl/>
              <w:suppressLineNumbers w:val="0"/>
              <w:adjustRightInd/>
              <w:snapToGrid/>
              <w:spacing w:before="305" w:beforeLines="0" w:beforeAutospacing="0" w:after="0" w:afterAutospacing="0" w:line="240" w:lineRule="auto"/>
              <w:ind w:left="0" w:right="0" w:firstLine="0" w:firstLineChars="0"/>
              <w:rPr>
                <w:rFonts w:ascii="Times New Roman" w:hAnsi="宋体" w:eastAsia="宋体" w:cs="宋体"/>
                <w:kern w:val="0"/>
                <w:sz w:val="20"/>
                <w:szCs w:val="20"/>
              </w:rPr>
            </w:pPr>
            <w:r>
              <w:rPr>
                <w:rFonts w:hint="eastAsia" w:ascii="Times New Roman" w:hAnsi="宋体" w:eastAsia="宋体" w:cs="宋体"/>
                <w:kern w:val="0"/>
                <w:sz w:val="20"/>
                <w:szCs w:val="20"/>
              </w:rPr>
              <w:t>任务审核类型</w:t>
            </w:r>
          </w:p>
        </w:tc>
        <w:tc>
          <w:tcPr>
            <w:tcW w:w="505" w:type="pct"/>
            <w:tcBorders>
              <w:top w:val="single" w:color="auto" w:sz="4" w:space="0"/>
              <w:left w:val="nil"/>
              <w:bottom w:val="single" w:color="auto" w:sz="4" w:space="0"/>
              <w:right w:val="single" w:color="auto" w:sz="4" w:space="0"/>
            </w:tcBorders>
            <w:noWrap w:val="0"/>
            <w:vAlign w:val="center"/>
          </w:tcPr>
          <w:p w14:paraId="6223C82C">
            <w:pPr>
              <w:keepNext w:val="0"/>
              <w:keepLines w:val="0"/>
              <w:widowControl/>
              <w:suppressLineNumbers w:val="0"/>
              <w:adjustRightInd/>
              <w:snapToGrid/>
              <w:spacing w:before="305" w:beforeLines="0" w:beforeAutospacing="0" w:after="0" w:afterAutospacing="0" w:line="240" w:lineRule="auto"/>
              <w:ind w:left="0" w:right="0" w:firstLine="0" w:firstLineChars="0"/>
              <w:rPr>
                <w:rFonts w:ascii="Times New Roman" w:hAnsi="宋体" w:eastAsia="宋体" w:cs="宋体"/>
                <w:kern w:val="0"/>
                <w:sz w:val="20"/>
                <w:szCs w:val="20"/>
              </w:rPr>
            </w:pPr>
            <w:r>
              <w:rPr>
                <w:rFonts w:hint="eastAsia" w:ascii="Times New Roman" w:hAnsi="宋体" w:eastAsia="宋体" w:cs="宋体"/>
                <w:kern w:val="0"/>
                <w:sz w:val="20"/>
                <w:szCs w:val="20"/>
              </w:rPr>
              <w:t>派单日期</w:t>
            </w:r>
          </w:p>
        </w:tc>
        <w:tc>
          <w:tcPr>
            <w:tcW w:w="599" w:type="pct"/>
            <w:tcBorders>
              <w:top w:val="single" w:color="auto" w:sz="4" w:space="0"/>
              <w:left w:val="nil"/>
              <w:bottom w:val="single" w:color="auto" w:sz="4" w:space="0"/>
              <w:right w:val="single" w:color="auto" w:sz="4" w:space="0"/>
            </w:tcBorders>
            <w:noWrap w:val="0"/>
            <w:vAlign w:val="center"/>
          </w:tcPr>
          <w:p w14:paraId="7733A1C5">
            <w:pPr>
              <w:keepNext w:val="0"/>
              <w:keepLines w:val="0"/>
              <w:widowControl/>
              <w:suppressLineNumbers w:val="0"/>
              <w:adjustRightInd/>
              <w:snapToGrid/>
              <w:spacing w:before="305" w:beforeLines="0" w:beforeAutospacing="0" w:after="0" w:afterAutospacing="0" w:line="240" w:lineRule="auto"/>
              <w:ind w:left="0" w:right="0" w:firstLine="0" w:firstLineChars="0"/>
              <w:rPr>
                <w:rFonts w:ascii="Times New Roman" w:hAnsi="宋体" w:eastAsia="宋体" w:cs="宋体"/>
                <w:kern w:val="0"/>
                <w:sz w:val="20"/>
                <w:szCs w:val="20"/>
              </w:rPr>
            </w:pPr>
            <w:r>
              <w:rPr>
                <w:rFonts w:hint="eastAsia" w:ascii="Times New Roman" w:hAnsi="宋体" w:eastAsia="宋体" w:cs="宋体"/>
                <w:kern w:val="0"/>
                <w:sz w:val="20"/>
                <w:szCs w:val="20"/>
              </w:rPr>
              <w:t>要求完成日期</w:t>
            </w:r>
          </w:p>
        </w:tc>
        <w:tc>
          <w:tcPr>
            <w:tcW w:w="636" w:type="pct"/>
            <w:tcBorders>
              <w:top w:val="single" w:color="auto" w:sz="4" w:space="0"/>
              <w:left w:val="nil"/>
              <w:bottom w:val="single" w:color="auto" w:sz="4" w:space="0"/>
              <w:right w:val="single" w:color="auto" w:sz="4" w:space="0"/>
            </w:tcBorders>
            <w:noWrap w:val="0"/>
            <w:vAlign w:val="center"/>
          </w:tcPr>
          <w:p w14:paraId="2076D3B3">
            <w:pPr>
              <w:keepNext w:val="0"/>
              <w:keepLines w:val="0"/>
              <w:widowControl/>
              <w:suppressLineNumbers w:val="0"/>
              <w:adjustRightInd/>
              <w:snapToGrid/>
              <w:spacing w:before="305" w:beforeLines="0" w:beforeAutospacing="0" w:after="0" w:afterAutospacing="0" w:line="240" w:lineRule="auto"/>
              <w:ind w:left="0" w:right="0" w:firstLine="0" w:firstLineChars="0"/>
              <w:rPr>
                <w:rFonts w:ascii="Times New Roman" w:hAnsi="宋体" w:eastAsia="宋体" w:cs="宋体"/>
                <w:kern w:val="0"/>
                <w:sz w:val="20"/>
                <w:szCs w:val="20"/>
              </w:rPr>
            </w:pPr>
            <w:r>
              <w:rPr>
                <w:rFonts w:hint="eastAsia" w:ascii="Times New Roman" w:hAnsi="宋体" w:eastAsia="宋体" w:cs="宋体"/>
                <w:kern w:val="0"/>
                <w:sz w:val="20"/>
                <w:szCs w:val="20"/>
              </w:rPr>
              <w:t>实际完成日期</w:t>
            </w:r>
          </w:p>
        </w:tc>
        <w:tc>
          <w:tcPr>
            <w:tcW w:w="439" w:type="pct"/>
            <w:tcBorders>
              <w:top w:val="single" w:color="auto" w:sz="4" w:space="0"/>
              <w:left w:val="nil"/>
              <w:bottom w:val="single" w:color="auto" w:sz="4" w:space="0"/>
              <w:right w:val="single" w:color="auto" w:sz="4" w:space="0"/>
            </w:tcBorders>
            <w:noWrap w:val="0"/>
            <w:vAlign w:val="center"/>
          </w:tcPr>
          <w:p w14:paraId="60BEE9A1">
            <w:pPr>
              <w:keepNext w:val="0"/>
              <w:keepLines w:val="0"/>
              <w:widowControl/>
              <w:suppressLineNumbers w:val="0"/>
              <w:adjustRightInd/>
              <w:snapToGrid/>
              <w:spacing w:before="305" w:beforeLines="0" w:beforeAutospacing="0" w:after="0" w:afterAutospacing="0" w:line="240" w:lineRule="auto"/>
              <w:ind w:left="0" w:right="0" w:firstLine="0" w:firstLineChars="0"/>
              <w:rPr>
                <w:rFonts w:ascii="Times New Roman" w:hAnsi="宋体" w:eastAsia="宋体" w:cs="宋体"/>
                <w:kern w:val="0"/>
                <w:sz w:val="20"/>
                <w:szCs w:val="20"/>
              </w:rPr>
            </w:pPr>
            <w:r>
              <w:rPr>
                <w:rFonts w:hint="eastAsia" w:ascii="Times New Roman" w:hAnsi="宋体" w:eastAsia="宋体" w:cs="宋体"/>
                <w:kern w:val="0"/>
                <w:sz w:val="20"/>
                <w:szCs w:val="20"/>
              </w:rPr>
              <w:t>完成情况</w:t>
            </w:r>
          </w:p>
        </w:tc>
        <w:tc>
          <w:tcPr>
            <w:tcW w:w="389" w:type="pct"/>
            <w:tcBorders>
              <w:top w:val="single" w:color="auto" w:sz="4" w:space="0"/>
              <w:left w:val="nil"/>
              <w:bottom w:val="single" w:color="auto" w:sz="4" w:space="0"/>
              <w:right w:val="single" w:color="auto" w:sz="4" w:space="0"/>
            </w:tcBorders>
            <w:noWrap w:val="0"/>
            <w:vAlign w:val="center"/>
          </w:tcPr>
          <w:p w14:paraId="41AAF326">
            <w:pPr>
              <w:keepNext w:val="0"/>
              <w:keepLines w:val="0"/>
              <w:widowControl/>
              <w:suppressLineNumbers w:val="0"/>
              <w:adjustRightInd/>
              <w:snapToGrid/>
              <w:spacing w:before="305" w:beforeLines="0" w:beforeAutospacing="0" w:after="0" w:afterAutospacing="0" w:line="240" w:lineRule="auto"/>
              <w:ind w:left="0" w:right="0" w:firstLine="0" w:firstLineChars="0"/>
              <w:rPr>
                <w:rFonts w:ascii="Times New Roman" w:hAnsi="宋体" w:eastAsia="宋体" w:cs="宋体"/>
                <w:kern w:val="0"/>
                <w:sz w:val="20"/>
                <w:szCs w:val="20"/>
              </w:rPr>
            </w:pPr>
            <w:r>
              <w:rPr>
                <w:rFonts w:hint="eastAsia" w:ascii="Times New Roman" w:hAnsi="宋体" w:eastAsia="宋体" w:cs="宋体"/>
                <w:kern w:val="0"/>
                <w:sz w:val="20"/>
                <w:szCs w:val="20"/>
              </w:rPr>
              <w:t>备注</w:t>
            </w:r>
          </w:p>
        </w:tc>
      </w:tr>
      <w:tr w14:paraId="43883B6B">
        <w:tblPrEx>
          <w:tblCellMar>
            <w:top w:w="0" w:type="dxa"/>
            <w:left w:w="108" w:type="dxa"/>
            <w:bottom w:w="0" w:type="dxa"/>
            <w:right w:w="108" w:type="dxa"/>
          </w:tblCellMar>
        </w:tblPrEx>
        <w:trPr>
          <w:trHeight w:val="1052" w:hRule="atLeast"/>
          <w:jc w:val="center"/>
        </w:trPr>
        <w:tc>
          <w:tcPr>
            <w:tcW w:w="281" w:type="pct"/>
            <w:tcBorders>
              <w:top w:val="nil"/>
              <w:left w:val="single" w:color="auto" w:sz="4" w:space="0"/>
              <w:bottom w:val="single" w:color="auto" w:sz="4" w:space="0"/>
              <w:right w:val="single" w:color="auto" w:sz="4" w:space="0"/>
            </w:tcBorders>
            <w:noWrap w:val="0"/>
            <w:vAlign w:val="center"/>
          </w:tcPr>
          <w:p w14:paraId="50132D60">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837" w:type="pct"/>
            <w:tcBorders>
              <w:top w:val="nil"/>
              <w:left w:val="nil"/>
              <w:bottom w:val="single" w:color="auto" w:sz="4" w:space="0"/>
              <w:right w:val="single" w:color="auto" w:sz="4" w:space="0"/>
            </w:tcBorders>
            <w:noWrap w:val="0"/>
            <w:vAlign w:val="center"/>
          </w:tcPr>
          <w:p w14:paraId="7560F21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28" w:type="pct"/>
            <w:tcBorders>
              <w:top w:val="nil"/>
              <w:left w:val="nil"/>
              <w:bottom w:val="single" w:color="auto" w:sz="4" w:space="0"/>
              <w:right w:val="single" w:color="auto" w:sz="4" w:space="0"/>
            </w:tcBorders>
            <w:noWrap w:val="0"/>
            <w:vAlign w:val="center"/>
          </w:tcPr>
          <w:p w14:paraId="1412978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85" w:type="pct"/>
            <w:tcBorders>
              <w:top w:val="nil"/>
              <w:left w:val="nil"/>
              <w:bottom w:val="single" w:color="auto" w:sz="4" w:space="0"/>
              <w:right w:val="single" w:color="auto" w:sz="4" w:space="0"/>
            </w:tcBorders>
            <w:noWrap w:val="0"/>
            <w:vAlign w:val="center"/>
          </w:tcPr>
          <w:p w14:paraId="4C28F49D">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05" w:type="pct"/>
            <w:tcBorders>
              <w:top w:val="nil"/>
              <w:left w:val="nil"/>
              <w:bottom w:val="single" w:color="auto" w:sz="4" w:space="0"/>
              <w:right w:val="single" w:color="auto" w:sz="4" w:space="0"/>
            </w:tcBorders>
            <w:noWrap w:val="0"/>
            <w:vAlign w:val="center"/>
          </w:tcPr>
          <w:p w14:paraId="16343615">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99" w:type="pct"/>
            <w:tcBorders>
              <w:top w:val="nil"/>
              <w:left w:val="nil"/>
              <w:bottom w:val="single" w:color="auto" w:sz="4" w:space="0"/>
              <w:right w:val="single" w:color="auto" w:sz="4" w:space="0"/>
            </w:tcBorders>
            <w:noWrap w:val="0"/>
            <w:vAlign w:val="center"/>
          </w:tcPr>
          <w:p w14:paraId="0386DF90">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36" w:type="pct"/>
            <w:tcBorders>
              <w:top w:val="nil"/>
              <w:left w:val="nil"/>
              <w:bottom w:val="single" w:color="auto" w:sz="4" w:space="0"/>
              <w:right w:val="single" w:color="auto" w:sz="4" w:space="0"/>
            </w:tcBorders>
            <w:noWrap w:val="0"/>
            <w:vAlign w:val="center"/>
          </w:tcPr>
          <w:p w14:paraId="2DDFEE9A">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439" w:type="pct"/>
            <w:tcBorders>
              <w:top w:val="nil"/>
              <w:left w:val="nil"/>
              <w:bottom w:val="single" w:color="auto" w:sz="4" w:space="0"/>
              <w:right w:val="single" w:color="auto" w:sz="4" w:space="0"/>
            </w:tcBorders>
            <w:noWrap w:val="0"/>
            <w:vAlign w:val="center"/>
          </w:tcPr>
          <w:p w14:paraId="3DE96D3A">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389" w:type="pct"/>
            <w:tcBorders>
              <w:top w:val="nil"/>
              <w:left w:val="nil"/>
              <w:bottom w:val="single" w:color="auto" w:sz="4" w:space="0"/>
              <w:right w:val="single" w:color="auto" w:sz="4" w:space="0"/>
            </w:tcBorders>
            <w:noWrap w:val="0"/>
            <w:vAlign w:val="center"/>
          </w:tcPr>
          <w:p w14:paraId="60CF612C">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r>
      <w:tr w14:paraId="1378C083">
        <w:tblPrEx>
          <w:tblCellMar>
            <w:top w:w="0" w:type="dxa"/>
            <w:left w:w="108" w:type="dxa"/>
            <w:bottom w:w="0" w:type="dxa"/>
            <w:right w:w="108" w:type="dxa"/>
          </w:tblCellMar>
        </w:tblPrEx>
        <w:trPr>
          <w:trHeight w:val="1052" w:hRule="atLeast"/>
          <w:jc w:val="center"/>
        </w:trPr>
        <w:tc>
          <w:tcPr>
            <w:tcW w:w="281" w:type="pct"/>
            <w:tcBorders>
              <w:top w:val="nil"/>
              <w:left w:val="single" w:color="auto" w:sz="4" w:space="0"/>
              <w:bottom w:val="single" w:color="auto" w:sz="4" w:space="0"/>
              <w:right w:val="single" w:color="auto" w:sz="4" w:space="0"/>
            </w:tcBorders>
            <w:noWrap w:val="0"/>
            <w:vAlign w:val="center"/>
          </w:tcPr>
          <w:p w14:paraId="1B7C8F88">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837" w:type="pct"/>
            <w:tcBorders>
              <w:top w:val="nil"/>
              <w:left w:val="nil"/>
              <w:bottom w:val="single" w:color="auto" w:sz="4" w:space="0"/>
              <w:right w:val="single" w:color="auto" w:sz="4" w:space="0"/>
            </w:tcBorders>
            <w:noWrap w:val="0"/>
            <w:vAlign w:val="center"/>
          </w:tcPr>
          <w:p w14:paraId="70E3562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28" w:type="pct"/>
            <w:tcBorders>
              <w:top w:val="nil"/>
              <w:left w:val="nil"/>
              <w:bottom w:val="single" w:color="auto" w:sz="4" w:space="0"/>
              <w:right w:val="single" w:color="auto" w:sz="4" w:space="0"/>
            </w:tcBorders>
            <w:noWrap w:val="0"/>
            <w:vAlign w:val="center"/>
          </w:tcPr>
          <w:p w14:paraId="6202DE5B">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85" w:type="pct"/>
            <w:tcBorders>
              <w:top w:val="nil"/>
              <w:left w:val="nil"/>
              <w:bottom w:val="single" w:color="auto" w:sz="4" w:space="0"/>
              <w:right w:val="single" w:color="auto" w:sz="4" w:space="0"/>
            </w:tcBorders>
            <w:noWrap w:val="0"/>
            <w:vAlign w:val="center"/>
          </w:tcPr>
          <w:p w14:paraId="49B79C0B">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05" w:type="pct"/>
            <w:tcBorders>
              <w:top w:val="nil"/>
              <w:left w:val="nil"/>
              <w:bottom w:val="single" w:color="auto" w:sz="4" w:space="0"/>
              <w:right w:val="single" w:color="auto" w:sz="4" w:space="0"/>
            </w:tcBorders>
            <w:noWrap w:val="0"/>
            <w:vAlign w:val="center"/>
          </w:tcPr>
          <w:p w14:paraId="6AC58909">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99" w:type="pct"/>
            <w:tcBorders>
              <w:top w:val="nil"/>
              <w:left w:val="nil"/>
              <w:bottom w:val="single" w:color="auto" w:sz="4" w:space="0"/>
              <w:right w:val="single" w:color="auto" w:sz="4" w:space="0"/>
            </w:tcBorders>
            <w:noWrap w:val="0"/>
            <w:vAlign w:val="center"/>
          </w:tcPr>
          <w:p w14:paraId="722A63BE">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36" w:type="pct"/>
            <w:tcBorders>
              <w:top w:val="nil"/>
              <w:left w:val="nil"/>
              <w:bottom w:val="single" w:color="auto" w:sz="4" w:space="0"/>
              <w:right w:val="single" w:color="auto" w:sz="4" w:space="0"/>
            </w:tcBorders>
            <w:noWrap w:val="0"/>
            <w:vAlign w:val="center"/>
          </w:tcPr>
          <w:p w14:paraId="6F632049">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439" w:type="pct"/>
            <w:tcBorders>
              <w:top w:val="nil"/>
              <w:left w:val="nil"/>
              <w:bottom w:val="single" w:color="auto" w:sz="4" w:space="0"/>
              <w:right w:val="single" w:color="auto" w:sz="4" w:space="0"/>
            </w:tcBorders>
            <w:noWrap w:val="0"/>
            <w:vAlign w:val="center"/>
          </w:tcPr>
          <w:p w14:paraId="2AF6BD12">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389" w:type="pct"/>
            <w:tcBorders>
              <w:top w:val="nil"/>
              <w:left w:val="nil"/>
              <w:bottom w:val="single" w:color="auto" w:sz="4" w:space="0"/>
              <w:right w:val="single" w:color="auto" w:sz="4" w:space="0"/>
            </w:tcBorders>
            <w:noWrap w:val="0"/>
            <w:vAlign w:val="center"/>
          </w:tcPr>
          <w:p w14:paraId="46BF2D11">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r>
      <w:tr w14:paraId="6E04D216">
        <w:tblPrEx>
          <w:tblCellMar>
            <w:top w:w="0" w:type="dxa"/>
            <w:left w:w="108" w:type="dxa"/>
            <w:bottom w:w="0" w:type="dxa"/>
            <w:right w:w="108" w:type="dxa"/>
          </w:tblCellMar>
        </w:tblPrEx>
        <w:trPr>
          <w:trHeight w:val="1052" w:hRule="atLeast"/>
          <w:jc w:val="center"/>
        </w:trPr>
        <w:tc>
          <w:tcPr>
            <w:tcW w:w="281" w:type="pct"/>
            <w:tcBorders>
              <w:top w:val="nil"/>
              <w:left w:val="single" w:color="auto" w:sz="4" w:space="0"/>
              <w:bottom w:val="single" w:color="auto" w:sz="4" w:space="0"/>
              <w:right w:val="single" w:color="auto" w:sz="4" w:space="0"/>
            </w:tcBorders>
            <w:noWrap w:val="0"/>
            <w:vAlign w:val="center"/>
          </w:tcPr>
          <w:p w14:paraId="08342838">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837" w:type="pct"/>
            <w:tcBorders>
              <w:top w:val="nil"/>
              <w:left w:val="nil"/>
              <w:bottom w:val="single" w:color="auto" w:sz="4" w:space="0"/>
              <w:right w:val="single" w:color="auto" w:sz="4" w:space="0"/>
            </w:tcBorders>
            <w:noWrap w:val="0"/>
            <w:vAlign w:val="center"/>
          </w:tcPr>
          <w:p w14:paraId="4FD25CC9">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28" w:type="pct"/>
            <w:tcBorders>
              <w:top w:val="nil"/>
              <w:left w:val="nil"/>
              <w:bottom w:val="single" w:color="auto" w:sz="4" w:space="0"/>
              <w:right w:val="single" w:color="auto" w:sz="4" w:space="0"/>
            </w:tcBorders>
            <w:noWrap w:val="0"/>
            <w:vAlign w:val="center"/>
          </w:tcPr>
          <w:p w14:paraId="037DF66D">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85" w:type="pct"/>
            <w:tcBorders>
              <w:top w:val="nil"/>
              <w:left w:val="nil"/>
              <w:bottom w:val="single" w:color="auto" w:sz="4" w:space="0"/>
              <w:right w:val="single" w:color="auto" w:sz="4" w:space="0"/>
            </w:tcBorders>
            <w:noWrap w:val="0"/>
            <w:vAlign w:val="center"/>
          </w:tcPr>
          <w:p w14:paraId="0E5488FD">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05" w:type="pct"/>
            <w:tcBorders>
              <w:top w:val="nil"/>
              <w:left w:val="nil"/>
              <w:bottom w:val="single" w:color="auto" w:sz="4" w:space="0"/>
              <w:right w:val="single" w:color="auto" w:sz="4" w:space="0"/>
            </w:tcBorders>
            <w:noWrap w:val="0"/>
            <w:vAlign w:val="center"/>
          </w:tcPr>
          <w:p w14:paraId="62E5874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99" w:type="pct"/>
            <w:tcBorders>
              <w:top w:val="nil"/>
              <w:left w:val="nil"/>
              <w:bottom w:val="single" w:color="auto" w:sz="4" w:space="0"/>
              <w:right w:val="single" w:color="auto" w:sz="4" w:space="0"/>
            </w:tcBorders>
            <w:noWrap w:val="0"/>
            <w:vAlign w:val="center"/>
          </w:tcPr>
          <w:p w14:paraId="1FF09C42">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36" w:type="pct"/>
            <w:tcBorders>
              <w:top w:val="nil"/>
              <w:left w:val="nil"/>
              <w:bottom w:val="single" w:color="auto" w:sz="4" w:space="0"/>
              <w:right w:val="single" w:color="auto" w:sz="4" w:space="0"/>
            </w:tcBorders>
            <w:noWrap w:val="0"/>
            <w:vAlign w:val="center"/>
          </w:tcPr>
          <w:p w14:paraId="13702697">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439" w:type="pct"/>
            <w:tcBorders>
              <w:top w:val="nil"/>
              <w:left w:val="nil"/>
              <w:bottom w:val="single" w:color="auto" w:sz="4" w:space="0"/>
              <w:right w:val="single" w:color="auto" w:sz="4" w:space="0"/>
            </w:tcBorders>
            <w:noWrap w:val="0"/>
            <w:vAlign w:val="center"/>
          </w:tcPr>
          <w:p w14:paraId="16DA4DB0">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389" w:type="pct"/>
            <w:tcBorders>
              <w:top w:val="nil"/>
              <w:left w:val="nil"/>
              <w:bottom w:val="single" w:color="auto" w:sz="4" w:space="0"/>
              <w:right w:val="single" w:color="auto" w:sz="4" w:space="0"/>
            </w:tcBorders>
            <w:noWrap w:val="0"/>
            <w:vAlign w:val="center"/>
          </w:tcPr>
          <w:p w14:paraId="732BD900">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r>
      <w:tr w14:paraId="3BCD0188">
        <w:tblPrEx>
          <w:tblCellMar>
            <w:top w:w="0" w:type="dxa"/>
            <w:left w:w="108" w:type="dxa"/>
            <w:bottom w:w="0" w:type="dxa"/>
            <w:right w:w="108" w:type="dxa"/>
          </w:tblCellMar>
        </w:tblPrEx>
        <w:trPr>
          <w:trHeight w:val="1052" w:hRule="atLeast"/>
          <w:jc w:val="center"/>
        </w:trPr>
        <w:tc>
          <w:tcPr>
            <w:tcW w:w="281" w:type="pct"/>
            <w:tcBorders>
              <w:top w:val="nil"/>
              <w:left w:val="single" w:color="auto" w:sz="4" w:space="0"/>
              <w:bottom w:val="single" w:color="auto" w:sz="4" w:space="0"/>
              <w:right w:val="single" w:color="auto" w:sz="4" w:space="0"/>
            </w:tcBorders>
            <w:noWrap w:val="0"/>
            <w:vAlign w:val="center"/>
          </w:tcPr>
          <w:p w14:paraId="3198415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837" w:type="pct"/>
            <w:tcBorders>
              <w:top w:val="nil"/>
              <w:left w:val="nil"/>
              <w:bottom w:val="single" w:color="auto" w:sz="4" w:space="0"/>
              <w:right w:val="single" w:color="auto" w:sz="4" w:space="0"/>
            </w:tcBorders>
            <w:noWrap w:val="0"/>
            <w:vAlign w:val="center"/>
          </w:tcPr>
          <w:p w14:paraId="6764015C">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28" w:type="pct"/>
            <w:tcBorders>
              <w:top w:val="nil"/>
              <w:left w:val="nil"/>
              <w:bottom w:val="single" w:color="auto" w:sz="4" w:space="0"/>
              <w:right w:val="single" w:color="auto" w:sz="4" w:space="0"/>
            </w:tcBorders>
            <w:noWrap w:val="0"/>
            <w:vAlign w:val="center"/>
          </w:tcPr>
          <w:p w14:paraId="37679F9B">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85" w:type="pct"/>
            <w:tcBorders>
              <w:top w:val="nil"/>
              <w:left w:val="nil"/>
              <w:bottom w:val="single" w:color="auto" w:sz="4" w:space="0"/>
              <w:right w:val="single" w:color="auto" w:sz="4" w:space="0"/>
            </w:tcBorders>
            <w:noWrap w:val="0"/>
            <w:vAlign w:val="center"/>
          </w:tcPr>
          <w:p w14:paraId="038D8E7D">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05" w:type="pct"/>
            <w:tcBorders>
              <w:top w:val="nil"/>
              <w:left w:val="nil"/>
              <w:bottom w:val="single" w:color="auto" w:sz="4" w:space="0"/>
              <w:right w:val="single" w:color="auto" w:sz="4" w:space="0"/>
            </w:tcBorders>
            <w:noWrap w:val="0"/>
            <w:vAlign w:val="center"/>
          </w:tcPr>
          <w:p w14:paraId="40F1F1F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99" w:type="pct"/>
            <w:tcBorders>
              <w:top w:val="nil"/>
              <w:left w:val="nil"/>
              <w:bottom w:val="single" w:color="auto" w:sz="4" w:space="0"/>
              <w:right w:val="single" w:color="auto" w:sz="4" w:space="0"/>
            </w:tcBorders>
            <w:noWrap w:val="0"/>
            <w:vAlign w:val="center"/>
          </w:tcPr>
          <w:p w14:paraId="248D205B">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36" w:type="pct"/>
            <w:tcBorders>
              <w:top w:val="nil"/>
              <w:left w:val="nil"/>
              <w:bottom w:val="single" w:color="auto" w:sz="4" w:space="0"/>
              <w:right w:val="single" w:color="auto" w:sz="4" w:space="0"/>
            </w:tcBorders>
            <w:noWrap w:val="0"/>
            <w:vAlign w:val="center"/>
          </w:tcPr>
          <w:p w14:paraId="0B384EC0">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439" w:type="pct"/>
            <w:tcBorders>
              <w:top w:val="nil"/>
              <w:left w:val="nil"/>
              <w:bottom w:val="single" w:color="auto" w:sz="4" w:space="0"/>
              <w:right w:val="single" w:color="auto" w:sz="4" w:space="0"/>
            </w:tcBorders>
            <w:noWrap w:val="0"/>
            <w:vAlign w:val="center"/>
          </w:tcPr>
          <w:p w14:paraId="2D6A2F1B">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389" w:type="pct"/>
            <w:tcBorders>
              <w:top w:val="nil"/>
              <w:left w:val="nil"/>
              <w:bottom w:val="single" w:color="auto" w:sz="4" w:space="0"/>
              <w:right w:val="single" w:color="auto" w:sz="4" w:space="0"/>
            </w:tcBorders>
            <w:noWrap w:val="0"/>
            <w:vAlign w:val="center"/>
          </w:tcPr>
          <w:p w14:paraId="0F7BC2D0">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r>
      <w:tr w14:paraId="61214DB3">
        <w:tblPrEx>
          <w:tblCellMar>
            <w:top w:w="0" w:type="dxa"/>
            <w:left w:w="108" w:type="dxa"/>
            <w:bottom w:w="0" w:type="dxa"/>
            <w:right w:w="108" w:type="dxa"/>
          </w:tblCellMar>
        </w:tblPrEx>
        <w:trPr>
          <w:trHeight w:val="1052" w:hRule="atLeast"/>
          <w:jc w:val="center"/>
        </w:trPr>
        <w:tc>
          <w:tcPr>
            <w:tcW w:w="281" w:type="pct"/>
            <w:tcBorders>
              <w:top w:val="nil"/>
              <w:left w:val="single" w:color="auto" w:sz="4" w:space="0"/>
              <w:bottom w:val="single" w:color="auto" w:sz="4" w:space="0"/>
              <w:right w:val="single" w:color="auto" w:sz="4" w:space="0"/>
            </w:tcBorders>
            <w:noWrap w:val="0"/>
            <w:vAlign w:val="center"/>
          </w:tcPr>
          <w:p w14:paraId="547917BC">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837" w:type="pct"/>
            <w:tcBorders>
              <w:top w:val="nil"/>
              <w:left w:val="nil"/>
              <w:bottom w:val="single" w:color="auto" w:sz="4" w:space="0"/>
              <w:right w:val="single" w:color="auto" w:sz="4" w:space="0"/>
            </w:tcBorders>
            <w:noWrap w:val="0"/>
            <w:vAlign w:val="center"/>
          </w:tcPr>
          <w:p w14:paraId="2C076965">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28" w:type="pct"/>
            <w:tcBorders>
              <w:top w:val="nil"/>
              <w:left w:val="nil"/>
              <w:bottom w:val="single" w:color="auto" w:sz="4" w:space="0"/>
              <w:right w:val="single" w:color="auto" w:sz="4" w:space="0"/>
            </w:tcBorders>
            <w:noWrap w:val="0"/>
            <w:vAlign w:val="center"/>
          </w:tcPr>
          <w:p w14:paraId="1E25514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85" w:type="pct"/>
            <w:tcBorders>
              <w:top w:val="nil"/>
              <w:left w:val="nil"/>
              <w:bottom w:val="single" w:color="auto" w:sz="4" w:space="0"/>
              <w:right w:val="single" w:color="auto" w:sz="4" w:space="0"/>
            </w:tcBorders>
            <w:noWrap w:val="0"/>
            <w:vAlign w:val="center"/>
          </w:tcPr>
          <w:p w14:paraId="47933A06">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05" w:type="pct"/>
            <w:tcBorders>
              <w:top w:val="nil"/>
              <w:left w:val="nil"/>
              <w:bottom w:val="single" w:color="auto" w:sz="4" w:space="0"/>
              <w:right w:val="single" w:color="auto" w:sz="4" w:space="0"/>
            </w:tcBorders>
            <w:noWrap w:val="0"/>
            <w:vAlign w:val="center"/>
          </w:tcPr>
          <w:p w14:paraId="6F35A539">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99" w:type="pct"/>
            <w:tcBorders>
              <w:top w:val="nil"/>
              <w:left w:val="nil"/>
              <w:bottom w:val="single" w:color="auto" w:sz="4" w:space="0"/>
              <w:right w:val="single" w:color="auto" w:sz="4" w:space="0"/>
            </w:tcBorders>
            <w:noWrap w:val="0"/>
            <w:vAlign w:val="center"/>
          </w:tcPr>
          <w:p w14:paraId="49BE37D0">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36" w:type="pct"/>
            <w:tcBorders>
              <w:top w:val="nil"/>
              <w:left w:val="nil"/>
              <w:bottom w:val="single" w:color="auto" w:sz="4" w:space="0"/>
              <w:right w:val="single" w:color="auto" w:sz="4" w:space="0"/>
            </w:tcBorders>
            <w:noWrap w:val="0"/>
            <w:vAlign w:val="center"/>
          </w:tcPr>
          <w:p w14:paraId="399E921E">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439" w:type="pct"/>
            <w:tcBorders>
              <w:top w:val="nil"/>
              <w:left w:val="nil"/>
              <w:bottom w:val="single" w:color="auto" w:sz="4" w:space="0"/>
              <w:right w:val="single" w:color="auto" w:sz="4" w:space="0"/>
            </w:tcBorders>
            <w:noWrap w:val="0"/>
            <w:vAlign w:val="center"/>
          </w:tcPr>
          <w:p w14:paraId="75CEDF42">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389" w:type="pct"/>
            <w:tcBorders>
              <w:top w:val="nil"/>
              <w:left w:val="nil"/>
              <w:bottom w:val="single" w:color="auto" w:sz="4" w:space="0"/>
              <w:right w:val="single" w:color="auto" w:sz="4" w:space="0"/>
            </w:tcBorders>
            <w:noWrap w:val="0"/>
            <w:vAlign w:val="center"/>
          </w:tcPr>
          <w:p w14:paraId="0029DFB5">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r>
      <w:tr w14:paraId="126C8040">
        <w:tblPrEx>
          <w:tblCellMar>
            <w:top w:w="0" w:type="dxa"/>
            <w:left w:w="108" w:type="dxa"/>
            <w:bottom w:w="0" w:type="dxa"/>
            <w:right w:w="108" w:type="dxa"/>
          </w:tblCellMar>
        </w:tblPrEx>
        <w:trPr>
          <w:trHeight w:val="1052" w:hRule="atLeast"/>
          <w:jc w:val="center"/>
        </w:trPr>
        <w:tc>
          <w:tcPr>
            <w:tcW w:w="281" w:type="pct"/>
            <w:tcBorders>
              <w:top w:val="nil"/>
              <w:left w:val="single" w:color="auto" w:sz="4" w:space="0"/>
              <w:bottom w:val="single" w:color="auto" w:sz="4" w:space="0"/>
              <w:right w:val="single" w:color="auto" w:sz="4" w:space="0"/>
            </w:tcBorders>
            <w:noWrap w:val="0"/>
            <w:vAlign w:val="center"/>
          </w:tcPr>
          <w:p w14:paraId="332C8426">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837" w:type="pct"/>
            <w:tcBorders>
              <w:top w:val="nil"/>
              <w:left w:val="nil"/>
              <w:bottom w:val="single" w:color="auto" w:sz="4" w:space="0"/>
              <w:right w:val="single" w:color="auto" w:sz="4" w:space="0"/>
            </w:tcBorders>
            <w:noWrap w:val="0"/>
            <w:vAlign w:val="center"/>
          </w:tcPr>
          <w:p w14:paraId="7B8FBE63">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28" w:type="pct"/>
            <w:tcBorders>
              <w:top w:val="nil"/>
              <w:left w:val="nil"/>
              <w:bottom w:val="single" w:color="auto" w:sz="4" w:space="0"/>
              <w:right w:val="single" w:color="auto" w:sz="4" w:space="0"/>
            </w:tcBorders>
            <w:noWrap w:val="0"/>
            <w:vAlign w:val="center"/>
          </w:tcPr>
          <w:p w14:paraId="605DBB46">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85" w:type="pct"/>
            <w:tcBorders>
              <w:top w:val="nil"/>
              <w:left w:val="nil"/>
              <w:bottom w:val="single" w:color="auto" w:sz="4" w:space="0"/>
              <w:right w:val="single" w:color="auto" w:sz="4" w:space="0"/>
            </w:tcBorders>
            <w:noWrap w:val="0"/>
            <w:vAlign w:val="center"/>
          </w:tcPr>
          <w:p w14:paraId="5A755666">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05" w:type="pct"/>
            <w:tcBorders>
              <w:top w:val="nil"/>
              <w:left w:val="nil"/>
              <w:bottom w:val="single" w:color="auto" w:sz="4" w:space="0"/>
              <w:right w:val="single" w:color="auto" w:sz="4" w:space="0"/>
            </w:tcBorders>
            <w:noWrap w:val="0"/>
            <w:vAlign w:val="center"/>
          </w:tcPr>
          <w:p w14:paraId="54F3BA59">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99" w:type="pct"/>
            <w:tcBorders>
              <w:top w:val="nil"/>
              <w:left w:val="nil"/>
              <w:bottom w:val="single" w:color="auto" w:sz="4" w:space="0"/>
              <w:right w:val="single" w:color="auto" w:sz="4" w:space="0"/>
            </w:tcBorders>
            <w:noWrap w:val="0"/>
            <w:vAlign w:val="center"/>
          </w:tcPr>
          <w:p w14:paraId="5F8F07F8">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36" w:type="pct"/>
            <w:tcBorders>
              <w:top w:val="nil"/>
              <w:left w:val="nil"/>
              <w:bottom w:val="single" w:color="auto" w:sz="4" w:space="0"/>
              <w:right w:val="single" w:color="auto" w:sz="4" w:space="0"/>
            </w:tcBorders>
            <w:noWrap w:val="0"/>
            <w:vAlign w:val="center"/>
          </w:tcPr>
          <w:p w14:paraId="6CC2E565">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439" w:type="pct"/>
            <w:tcBorders>
              <w:top w:val="nil"/>
              <w:left w:val="nil"/>
              <w:bottom w:val="single" w:color="auto" w:sz="4" w:space="0"/>
              <w:right w:val="single" w:color="auto" w:sz="4" w:space="0"/>
            </w:tcBorders>
            <w:noWrap w:val="0"/>
            <w:vAlign w:val="center"/>
          </w:tcPr>
          <w:p w14:paraId="6D172478">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389" w:type="pct"/>
            <w:tcBorders>
              <w:top w:val="nil"/>
              <w:left w:val="nil"/>
              <w:bottom w:val="single" w:color="auto" w:sz="4" w:space="0"/>
              <w:right w:val="single" w:color="auto" w:sz="4" w:space="0"/>
            </w:tcBorders>
            <w:noWrap w:val="0"/>
            <w:vAlign w:val="center"/>
          </w:tcPr>
          <w:p w14:paraId="4BEA7413">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r>
      <w:tr w14:paraId="378BF8DA">
        <w:tblPrEx>
          <w:tblCellMar>
            <w:top w:w="0" w:type="dxa"/>
            <w:left w:w="108" w:type="dxa"/>
            <w:bottom w:w="0" w:type="dxa"/>
            <w:right w:w="108" w:type="dxa"/>
          </w:tblCellMar>
        </w:tblPrEx>
        <w:trPr>
          <w:trHeight w:val="1052" w:hRule="atLeast"/>
          <w:jc w:val="center"/>
        </w:trPr>
        <w:tc>
          <w:tcPr>
            <w:tcW w:w="281" w:type="pct"/>
            <w:tcBorders>
              <w:top w:val="nil"/>
              <w:left w:val="single" w:color="auto" w:sz="4" w:space="0"/>
              <w:bottom w:val="single" w:color="auto" w:sz="4" w:space="0"/>
              <w:right w:val="single" w:color="auto" w:sz="4" w:space="0"/>
            </w:tcBorders>
            <w:noWrap w:val="0"/>
            <w:vAlign w:val="center"/>
          </w:tcPr>
          <w:p w14:paraId="56A5FEE6">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837" w:type="pct"/>
            <w:tcBorders>
              <w:top w:val="nil"/>
              <w:left w:val="nil"/>
              <w:bottom w:val="single" w:color="auto" w:sz="4" w:space="0"/>
              <w:right w:val="single" w:color="auto" w:sz="4" w:space="0"/>
            </w:tcBorders>
            <w:noWrap w:val="0"/>
            <w:vAlign w:val="center"/>
          </w:tcPr>
          <w:p w14:paraId="551A8FB9">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28" w:type="pct"/>
            <w:tcBorders>
              <w:top w:val="nil"/>
              <w:left w:val="nil"/>
              <w:bottom w:val="single" w:color="auto" w:sz="4" w:space="0"/>
              <w:right w:val="single" w:color="auto" w:sz="4" w:space="0"/>
            </w:tcBorders>
            <w:noWrap w:val="0"/>
            <w:vAlign w:val="center"/>
          </w:tcPr>
          <w:p w14:paraId="09042DA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85" w:type="pct"/>
            <w:tcBorders>
              <w:top w:val="nil"/>
              <w:left w:val="nil"/>
              <w:bottom w:val="single" w:color="auto" w:sz="4" w:space="0"/>
              <w:right w:val="single" w:color="auto" w:sz="4" w:space="0"/>
            </w:tcBorders>
            <w:noWrap w:val="0"/>
            <w:vAlign w:val="center"/>
          </w:tcPr>
          <w:p w14:paraId="488FC7B7">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05" w:type="pct"/>
            <w:tcBorders>
              <w:top w:val="nil"/>
              <w:left w:val="nil"/>
              <w:bottom w:val="single" w:color="auto" w:sz="4" w:space="0"/>
              <w:right w:val="single" w:color="auto" w:sz="4" w:space="0"/>
            </w:tcBorders>
            <w:noWrap w:val="0"/>
            <w:vAlign w:val="center"/>
          </w:tcPr>
          <w:p w14:paraId="7CBE6C1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99" w:type="pct"/>
            <w:tcBorders>
              <w:top w:val="nil"/>
              <w:left w:val="nil"/>
              <w:bottom w:val="single" w:color="auto" w:sz="4" w:space="0"/>
              <w:right w:val="single" w:color="auto" w:sz="4" w:space="0"/>
            </w:tcBorders>
            <w:noWrap w:val="0"/>
            <w:vAlign w:val="center"/>
          </w:tcPr>
          <w:p w14:paraId="79D24F8B">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36" w:type="pct"/>
            <w:tcBorders>
              <w:top w:val="nil"/>
              <w:left w:val="nil"/>
              <w:bottom w:val="single" w:color="auto" w:sz="4" w:space="0"/>
              <w:right w:val="single" w:color="auto" w:sz="4" w:space="0"/>
            </w:tcBorders>
            <w:noWrap w:val="0"/>
            <w:vAlign w:val="center"/>
          </w:tcPr>
          <w:p w14:paraId="583D83D3">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439" w:type="pct"/>
            <w:tcBorders>
              <w:top w:val="nil"/>
              <w:left w:val="nil"/>
              <w:bottom w:val="single" w:color="auto" w:sz="4" w:space="0"/>
              <w:right w:val="single" w:color="auto" w:sz="4" w:space="0"/>
            </w:tcBorders>
            <w:noWrap w:val="0"/>
            <w:vAlign w:val="center"/>
          </w:tcPr>
          <w:p w14:paraId="7F4F8CD7">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389" w:type="pct"/>
            <w:tcBorders>
              <w:top w:val="nil"/>
              <w:left w:val="nil"/>
              <w:bottom w:val="single" w:color="auto" w:sz="4" w:space="0"/>
              <w:right w:val="single" w:color="auto" w:sz="4" w:space="0"/>
            </w:tcBorders>
            <w:noWrap w:val="0"/>
            <w:vAlign w:val="center"/>
          </w:tcPr>
          <w:p w14:paraId="7509163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r>
      <w:tr w14:paraId="43D8E6A6">
        <w:tblPrEx>
          <w:tblCellMar>
            <w:top w:w="0" w:type="dxa"/>
            <w:left w:w="108" w:type="dxa"/>
            <w:bottom w:w="0" w:type="dxa"/>
            <w:right w:w="108" w:type="dxa"/>
          </w:tblCellMar>
        </w:tblPrEx>
        <w:trPr>
          <w:trHeight w:val="1052" w:hRule="atLeast"/>
          <w:jc w:val="center"/>
        </w:trPr>
        <w:tc>
          <w:tcPr>
            <w:tcW w:w="281" w:type="pct"/>
            <w:tcBorders>
              <w:top w:val="nil"/>
              <w:left w:val="single" w:color="auto" w:sz="4" w:space="0"/>
              <w:bottom w:val="single" w:color="auto" w:sz="4" w:space="0"/>
              <w:right w:val="single" w:color="auto" w:sz="4" w:space="0"/>
            </w:tcBorders>
            <w:noWrap w:val="0"/>
            <w:vAlign w:val="center"/>
          </w:tcPr>
          <w:p w14:paraId="403A0796">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837" w:type="pct"/>
            <w:tcBorders>
              <w:top w:val="nil"/>
              <w:left w:val="nil"/>
              <w:bottom w:val="single" w:color="auto" w:sz="4" w:space="0"/>
              <w:right w:val="single" w:color="auto" w:sz="4" w:space="0"/>
            </w:tcBorders>
            <w:noWrap w:val="0"/>
            <w:vAlign w:val="center"/>
          </w:tcPr>
          <w:p w14:paraId="751F9A3A">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28" w:type="pct"/>
            <w:tcBorders>
              <w:top w:val="nil"/>
              <w:left w:val="nil"/>
              <w:bottom w:val="single" w:color="auto" w:sz="4" w:space="0"/>
              <w:right w:val="single" w:color="auto" w:sz="4" w:space="0"/>
            </w:tcBorders>
            <w:noWrap w:val="0"/>
            <w:vAlign w:val="center"/>
          </w:tcPr>
          <w:p w14:paraId="677630A9">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85" w:type="pct"/>
            <w:tcBorders>
              <w:top w:val="nil"/>
              <w:left w:val="nil"/>
              <w:bottom w:val="single" w:color="auto" w:sz="4" w:space="0"/>
              <w:right w:val="single" w:color="auto" w:sz="4" w:space="0"/>
            </w:tcBorders>
            <w:noWrap w:val="0"/>
            <w:vAlign w:val="center"/>
          </w:tcPr>
          <w:p w14:paraId="05C7000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05" w:type="pct"/>
            <w:tcBorders>
              <w:top w:val="nil"/>
              <w:left w:val="nil"/>
              <w:bottom w:val="single" w:color="auto" w:sz="4" w:space="0"/>
              <w:right w:val="single" w:color="auto" w:sz="4" w:space="0"/>
            </w:tcBorders>
            <w:noWrap w:val="0"/>
            <w:vAlign w:val="center"/>
          </w:tcPr>
          <w:p w14:paraId="47C6D6AA">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99" w:type="pct"/>
            <w:tcBorders>
              <w:top w:val="nil"/>
              <w:left w:val="nil"/>
              <w:bottom w:val="single" w:color="auto" w:sz="4" w:space="0"/>
              <w:right w:val="single" w:color="auto" w:sz="4" w:space="0"/>
            </w:tcBorders>
            <w:noWrap w:val="0"/>
            <w:vAlign w:val="center"/>
          </w:tcPr>
          <w:p w14:paraId="5FCEC1A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36" w:type="pct"/>
            <w:tcBorders>
              <w:top w:val="nil"/>
              <w:left w:val="nil"/>
              <w:bottom w:val="single" w:color="auto" w:sz="4" w:space="0"/>
              <w:right w:val="single" w:color="auto" w:sz="4" w:space="0"/>
            </w:tcBorders>
            <w:noWrap w:val="0"/>
            <w:vAlign w:val="center"/>
          </w:tcPr>
          <w:p w14:paraId="509106A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439" w:type="pct"/>
            <w:tcBorders>
              <w:top w:val="nil"/>
              <w:left w:val="nil"/>
              <w:bottom w:val="single" w:color="auto" w:sz="4" w:space="0"/>
              <w:right w:val="single" w:color="auto" w:sz="4" w:space="0"/>
            </w:tcBorders>
            <w:noWrap w:val="0"/>
            <w:vAlign w:val="center"/>
          </w:tcPr>
          <w:p w14:paraId="303C4A01">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389" w:type="pct"/>
            <w:tcBorders>
              <w:top w:val="nil"/>
              <w:left w:val="nil"/>
              <w:bottom w:val="single" w:color="auto" w:sz="4" w:space="0"/>
              <w:right w:val="single" w:color="auto" w:sz="4" w:space="0"/>
            </w:tcBorders>
            <w:noWrap w:val="0"/>
            <w:vAlign w:val="center"/>
          </w:tcPr>
          <w:p w14:paraId="4F993654">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r>
      <w:tr w14:paraId="2C5DB5D3">
        <w:tblPrEx>
          <w:tblCellMar>
            <w:top w:w="0" w:type="dxa"/>
            <w:left w:w="108" w:type="dxa"/>
            <w:bottom w:w="0" w:type="dxa"/>
            <w:right w:w="108" w:type="dxa"/>
          </w:tblCellMar>
        </w:tblPrEx>
        <w:trPr>
          <w:trHeight w:val="1087" w:hRule="atLeast"/>
          <w:jc w:val="center"/>
        </w:trPr>
        <w:tc>
          <w:tcPr>
            <w:tcW w:w="281" w:type="pct"/>
            <w:tcBorders>
              <w:top w:val="nil"/>
              <w:left w:val="single" w:color="auto" w:sz="4" w:space="0"/>
              <w:bottom w:val="single" w:color="auto" w:sz="4" w:space="0"/>
              <w:right w:val="single" w:color="auto" w:sz="4" w:space="0"/>
            </w:tcBorders>
            <w:noWrap w:val="0"/>
            <w:vAlign w:val="center"/>
          </w:tcPr>
          <w:p w14:paraId="4B7FDF12">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p>
        </w:tc>
        <w:tc>
          <w:tcPr>
            <w:tcW w:w="837" w:type="pct"/>
            <w:tcBorders>
              <w:top w:val="nil"/>
              <w:left w:val="nil"/>
              <w:bottom w:val="single" w:color="auto" w:sz="4" w:space="0"/>
              <w:right w:val="single" w:color="auto" w:sz="4" w:space="0"/>
            </w:tcBorders>
            <w:noWrap w:val="0"/>
            <w:vAlign w:val="center"/>
          </w:tcPr>
          <w:p w14:paraId="76292C65">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p>
        </w:tc>
        <w:tc>
          <w:tcPr>
            <w:tcW w:w="628" w:type="pct"/>
            <w:tcBorders>
              <w:top w:val="nil"/>
              <w:left w:val="nil"/>
              <w:bottom w:val="single" w:color="auto" w:sz="4" w:space="0"/>
              <w:right w:val="single" w:color="auto" w:sz="4" w:space="0"/>
            </w:tcBorders>
            <w:noWrap w:val="0"/>
            <w:vAlign w:val="center"/>
          </w:tcPr>
          <w:p w14:paraId="030AC5F3">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p>
        </w:tc>
        <w:tc>
          <w:tcPr>
            <w:tcW w:w="685" w:type="pct"/>
            <w:tcBorders>
              <w:top w:val="nil"/>
              <w:left w:val="nil"/>
              <w:bottom w:val="single" w:color="auto" w:sz="4" w:space="0"/>
              <w:right w:val="single" w:color="auto" w:sz="4" w:space="0"/>
            </w:tcBorders>
            <w:noWrap w:val="0"/>
            <w:vAlign w:val="center"/>
          </w:tcPr>
          <w:p w14:paraId="38ADFCE8">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p>
        </w:tc>
        <w:tc>
          <w:tcPr>
            <w:tcW w:w="505" w:type="pct"/>
            <w:tcBorders>
              <w:top w:val="nil"/>
              <w:left w:val="nil"/>
              <w:bottom w:val="single" w:color="auto" w:sz="4" w:space="0"/>
              <w:right w:val="single" w:color="auto" w:sz="4" w:space="0"/>
            </w:tcBorders>
            <w:noWrap w:val="0"/>
            <w:vAlign w:val="center"/>
          </w:tcPr>
          <w:p w14:paraId="596864D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p>
        </w:tc>
        <w:tc>
          <w:tcPr>
            <w:tcW w:w="599" w:type="pct"/>
            <w:tcBorders>
              <w:top w:val="nil"/>
              <w:left w:val="nil"/>
              <w:bottom w:val="single" w:color="auto" w:sz="4" w:space="0"/>
              <w:right w:val="single" w:color="auto" w:sz="4" w:space="0"/>
            </w:tcBorders>
            <w:noWrap w:val="0"/>
            <w:vAlign w:val="center"/>
          </w:tcPr>
          <w:p w14:paraId="4152D14B">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p>
        </w:tc>
        <w:tc>
          <w:tcPr>
            <w:tcW w:w="636" w:type="pct"/>
            <w:tcBorders>
              <w:top w:val="nil"/>
              <w:left w:val="nil"/>
              <w:bottom w:val="single" w:color="auto" w:sz="4" w:space="0"/>
              <w:right w:val="single" w:color="auto" w:sz="4" w:space="0"/>
            </w:tcBorders>
            <w:noWrap w:val="0"/>
            <w:vAlign w:val="center"/>
          </w:tcPr>
          <w:p w14:paraId="7C16A577">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p>
        </w:tc>
        <w:tc>
          <w:tcPr>
            <w:tcW w:w="439" w:type="pct"/>
            <w:tcBorders>
              <w:top w:val="nil"/>
              <w:left w:val="nil"/>
              <w:bottom w:val="single" w:color="auto" w:sz="4" w:space="0"/>
              <w:right w:val="single" w:color="auto" w:sz="4" w:space="0"/>
            </w:tcBorders>
            <w:noWrap w:val="0"/>
            <w:vAlign w:val="center"/>
          </w:tcPr>
          <w:p w14:paraId="35EE2163">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p>
        </w:tc>
        <w:tc>
          <w:tcPr>
            <w:tcW w:w="389" w:type="pct"/>
            <w:tcBorders>
              <w:top w:val="nil"/>
              <w:left w:val="nil"/>
              <w:bottom w:val="single" w:color="auto" w:sz="4" w:space="0"/>
              <w:right w:val="single" w:color="auto" w:sz="4" w:space="0"/>
            </w:tcBorders>
            <w:noWrap w:val="0"/>
            <w:vAlign w:val="center"/>
          </w:tcPr>
          <w:p w14:paraId="18480F33">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p>
        </w:tc>
      </w:tr>
      <w:tr w14:paraId="4C733C37">
        <w:tblPrEx>
          <w:tblCellMar>
            <w:top w:w="0" w:type="dxa"/>
            <w:left w:w="108" w:type="dxa"/>
            <w:bottom w:w="0" w:type="dxa"/>
            <w:right w:w="108" w:type="dxa"/>
          </w:tblCellMar>
        </w:tblPrEx>
        <w:trPr>
          <w:trHeight w:val="1095" w:hRule="atLeast"/>
          <w:jc w:val="center"/>
        </w:trPr>
        <w:tc>
          <w:tcPr>
            <w:tcW w:w="281" w:type="pct"/>
            <w:tcBorders>
              <w:top w:val="nil"/>
              <w:left w:val="single" w:color="auto" w:sz="4" w:space="0"/>
              <w:bottom w:val="single" w:color="auto" w:sz="4" w:space="0"/>
              <w:right w:val="single" w:color="auto" w:sz="4" w:space="0"/>
            </w:tcBorders>
            <w:noWrap w:val="0"/>
            <w:vAlign w:val="center"/>
          </w:tcPr>
          <w:p w14:paraId="3A8E0DAB">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837" w:type="pct"/>
            <w:tcBorders>
              <w:top w:val="nil"/>
              <w:left w:val="nil"/>
              <w:bottom w:val="single" w:color="auto" w:sz="4" w:space="0"/>
              <w:right w:val="single" w:color="auto" w:sz="4" w:space="0"/>
            </w:tcBorders>
            <w:noWrap w:val="0"/>
            <w:vAlign w:val="center"/>
          </w:tcPr>
          <w:p w14:paraId="7E4094CD">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28" w:type="pct"/>
            <w:tcBorders>
              <w:top w:val="nil"/>
              <w:left w:val="nil"/>
              <w:bottom w:val="single" w:color="auto" w:sz="4" w:space="0"/>
              <w:right w:val="single" w:color="auto" w:sz="4" w:space="0"/>
            </w:tcBorders>
            <w:noWrap w:val="0"/>
            <w:vAlign w:val="center"/>
          </w:tcPr>
          <w:p w14:paraId="3BACE6AF">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85" w:type="pct"/>
            <w:tcBorders>
              <w:top w:val="nil"/>
              <w:left w:val="nil"/>
              <w:bottom w:val="single" w:color="auto" w:sz="4" w:space="0"/>
              <w:right w:val="single" w:color="auto" w:sz="4" w:space="0"/>
            </w:tcBorders>
            <w:noWrap w:val="0"/>
            <w:vAlign w:val="center"/>
          </w:tcPr>
          <w:p w14:paraId="6FE30D43">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05" w:type="pct"/>
            <w:tcBorders>
              <w:top w:val="nil"/>
              <w:left w:val="nil"/>
              <w:bottom w:val="single" w:color="auto" w:sz="4" w:space="0"/>
              <w:right w:val="single" w:color="auto" w:sz="4" w:space="0"/>
            </w:tcBorders>
            <w:noWrap w:val="0"/>
            <w:vAlign w:val="center"/>
          </w:tcPr>
          <w:p w14:paraId="7B6D982C">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599" w:type="pct"/>
            <w:tcBorders>
              <w:top w:val="nil"/>
              <w:left w:val="nil"/>
              <w:bottom w:val="single" w:color="auto" w:sz="4" w:space="0"/>
              <w:right w:val="single" w:color="auto" w:sz="4" w:space="0"/>
            </w:tcBorders>
            <w:noWrap w:val="0"/>
            <w:vAlign w:val="center"/>
          </w:tcPr>
          <w:p w14:paraId="1A78F74E">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636" w:type="pct"/>
            <w:tcBorders>
              <w:top w:val="nil"/>
              <w:left w:val="nil"/>
              <w:bottom w:val="single" w:color="auto" w:sz="4" w:space="0"/>
              <w:right w:val="single" w:color="auto" w:sz="4" w:space="0"/>
            </w:tcBorders>
            <w:noWrap w:val="0"/>
            <w:vAlign w:val="center"/>
          </w:tcPr>
          <w:p w14:paraId="0DC9D7B9">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439" w:type="pct"/>
            <w:tcBorders>
              <w:top w:val="nil"/>
              <w:left w:val="nil"/>
              <w:bottom w:val="single" w:color="auto" w:sz="4" w:space="0"/>
              <w:right w:val="single" w:color="auto" w:sz="4" w:space="0"/>
            </w:tcBorders>
            <w:noWrap w:val="0"/>
            <w:vAlign w:val="center"/>
          </w:tcPr>
          <w:p w14:paraId="3933E2D1">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c>
          <w:tcPr>
            <w:tcW w:w="389" w:type="pct"/>
            <w:tcBorders>
              <w:top w:val="nil"/>
              <w:left w:val="nil"/>
              <w:bottom w:val="single" w:color="auto" w:sz="4" w:space="0"/>
              <w:right w:val="single" w:color="auto" w:sz="4" w:space="0"/>
            </w:tcBorders>
            <w:noWrap w:val="0"/>
            <w:vAlign w:val="center"/>
          </w:tcPr>
          <w:p w14:paraId="2900A7D8">
            <w:pPr>
              <w:keepNext w:val="0"/>
              <w:keepLines w:val="0"/>
              <w:widowControl/>
              <w:suppressLineNumbers w:val="0"/>
              <w:adjustRightInd/>
              <w:snapToGrid/>
              <w:spacing w:before="305" w:beforeLines="0" w:beforeAutospacing="0" w:after="0" w:afterAutospacing="0" w:line="240" w:lineRule="auto"/>
              <w:ind w:left="0" w:right="0" w:firstLine="480" w:firstLineChars="0"/>
              <w:jc w:val="left"/>
              <w:rPr>
                <w:rFonts w:ascii="Times New Roman" w:hAnsi="宋体" w:eastAsia="宋体" w:cs="宋体"/>
                <w:kern w:val="0"/>
                <w:sz w:val="20"/>
                <w:szCs w:val="20"/>
              </w:rPr>
            </w:pPr>
            <w:r>
              <w:rPr>
                <w:rFonts w:hint="eastAsia" w:ascii="Times New Roman" w:hAnsi="宋体" w:eastAsia="宋体" w:cs="宋体"/>
                <w:kern w:val="0"/>
                <w:sz w:val="20"/>
                <w:szCs w:val="20"/>
              </w:rPr>
              <w:t>　</w:t>
            </w:r>
          </w:p>
        </w:tc>
      </w:tr>
    </w:tbl>
    <w:p w14:paraId="71E55CC5">
      <w:pPr>
        <w:adjustRightInd/>
        <w:snapToGrid/>
        <w:spacing w:before="0" w:beforeLines="0" w:line="240" w:lineRule="auto"/>
        <w:ind w:firstLine="0" w:firstLineChars="0"/>
        <w:jc w:val="left"/>
        <w:rPr>
          <w:rFonts w:ascii="Times New Roman"/>
        </w:rPr>
      </w:pPr>
      <w:r>
        <w:rPr>
          <w:rFonts w:ascii="Arial" w:hAnsi="Arial"/>
          <w:b/>
          <w:bCs/>
        </w:rPr>
        <w:br w:type="page"/>
      </w:r>
      <w:r>
        <w:rPr>
          <w:rFonts w:hint="eastAsia" w:ascii="Times New Roman"/>
        </w:rPr>
        <w:t>附件五：公司组织架构</w:t>
      </w:r>
    </w:p>
    <w:p w14:paraId="5014E7EA">
      <w:pPr>
        <w:adjustRightInd/>
        <w:snapToGrid/>
        <w:spacing w:before="0" w:beforeLines="0" w:line="240" w:lineRule="auto"/>
        <w:ind w:firstLine="0" w:firstLineChars="0"/>
        <w:rPr>
          <w:rFonts w:hAnsi="宋体"/>
        </w:rPr>
      </w:pPr>
    </w:p>
    <w:p w14:paraId="3AA60E56">
      <w:pPr>
        <w:adjustRightInd/>
        <w:snapToGrid/>
        <w:spacing w:before="0" w:beforeLines="0" w:line="240" w:lineRule="auto"/>
        <w:ind w:firstLine="0" w:firstLineChars="0"/>
        <w:rPr>
          <w:rFonts w:hAnsi="宋体"/>
        </w:rPr>
      </w:pPr>
      <w:r>
        <w:rPr>
          <w:rFonts w:ascii="Arial" w:hAnsi="Arial" w:eastAsia="黑体"/>
          <w:b/>
          <w:sz w:val="21"/>
        </w:rPr>
        <w:br w:type="page"/>
      </w:r>
      <w:r>
        <w:rPr>
          <w:rFonts w:hint="eastAsia" w:hAnsi="宋体"/>
        </w:rPr>
        <w:t>附件六</w:t>
      </w:r>
    </w:p>
    <w:p w14:paraId="33403487">
      <w:pPr>
        <w:keepNext/>
        <w:keepLines/>
        <w:adjustRightInd/>
        <w:snapToGrid/>
        <w:spacing w:before="0" w:beforeLines="0" w:line="360" w:lineRule="auto"/>
        <w:ind w:firstLine="0" w:firstLineChars="0"/>
        <w:jc w:val="center"/>
        <w:rPr>
          <w:rFonts w:ascii="Arial" w:hAnsi="Arial"/>
          <w:b/>
          <w:bCs/>
        </w:rPr>
      </w:pPr>
      <w:r>
        <w:rPr>
          <w:rFonts w:hint="eastAsia" w:ascii="Arial" w:hAnsi="Arial"/>
          <w:b/>
          <w:bCs/>
        </w:rPr>
        <w:t>拟投入本项目造价人员表</w:t>
      </w:r>
    </w:p>
    <w:p w14:paraId="2C8ABA40">
      <w:pPr>
        <w:adjustRightInd/>
        <w:snapToGrid/>
        <w:spacing w:before="0" w:beforeLines="0" w:line="240" w:lineRule="auto"/>
        <w:ind w:firstLine="0" w:firstLineChars="0"/>
        <w:rPr>
          <w:rFonts w:ascii="Times New Roman"/>
        </w:rPr>
      </w:pPr>
    </w:p>
    <w:tbl>
      <w:tblPr>
        <w:tblStyle w:val="48"/>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850"/>
        <w:gridCol w:w="1559"/>
        <w:gridCol w:w="851"/>
        <w:gridCol w:w="850"/>
        <w:gridCol w:w="709"/>
        <w:gridCol w:w="1559"/>
        <w:gridCol w:w="1816"/>
        <w:gridCol w:w="763"/>
      </w:tblGrid>
      <w:tr w14:paraId="1EA6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vMerge w:val="restart"/>
            <w:noWrap w:val="0"/>
            <w:vAlign w:val="center"/>
          </w:tcPr>
          <w:p w14:paraId="33CEF7A5">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序号</w:t>
            </w:r>
          </w:p>
        </w:tc>
        <w:tc>
          <w:tcPr>
            <w:tcW w:w="850" w:type="dxa"/>
            <w:vMerge w:val="restart"/>
            <w:noWrap w:val="0"/>
            <w:vAlign w:val="center"/>
          </w:tcPr>
          <w:p w14:paraId="177A27DC">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姓名</w:t>
            </w:r>
          </w:p>
        </w:tc>
        <w:tc>
          <w:tcPr>
            <w:tcW w:w="1559" w:type="dxa"/>
            <w:vMerge w:val="restart"/>
            <w:noWrap w:val="0"/>
            <w:vAlign w:val="center"/>
          </w:tcPr>
          <w:p w14:paraId="45CB8A5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拟担任</w:t>
            </w:r>
          </w:p>
          <w:p w14:paraId="11AA1E65">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职务</w:t>
            </w:r>
          </w:p>
        </w:tc>
        <w:tc>
          <w:tcPr>
            <w:tcW w:w="851" w:type="dxa"/>
            <w:vMerge w:val="restart"/>
            <w:noWrap w:val="0"/>
            <w:vAlign w:val="center"/>
          </w:tcPr>
          <w:p w14:paraId="14891987">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学历</w:t>
            </w:r>
          </w:p>
        </w:tc>
        <w:tc>
          <w:tcPr>
            <w:tcW w:w="850" w:type="dxa"/>
            <w:vMerge w:val="restart"/>
            <w:noWrap w:val="0"/>
            <w:vAlign w:val="center"/>
          </w:tcPr>
          <w:p w14:paraId="075BDD91">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职称</w:t>
            </w:r>
          </w:p>
        </w:tc>
        <w:tc>
          <w:tcPr>
            <w:tcW w:w="709" w:type="dxa"/>
            <w:vMerge w:val="restart"/>
            <w:noWrap w:val="0"/>
            <w:vAlign w:val="center"/>
          </w:tcPr>
          <w:p w14:paraId="6C75DFBA">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专业</w:t>
            </w:r>
          </w:p>
        </w:tc>
        <w:tc>
          <w:tcPr>
            <w:tcW w:w="3375" w:type="dxa"/>
            <w:gridSpan w:val="2"/>
            <w:noWrap w:val="0"/>
            <w:vAlign w:val="center"/>
          </w:tcPr>
          <w:p w14:paraId="186991EA">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执业资格或岗位</w:t>
            </w:r>
          </w:p>
          <w:p w14:paraId="1590C93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（培训）证书（如有）</w:t>
            </w:r>
          </w:p>
        </w:tc>
        <w:tc>
          <w:tcPr>
            <w:tcW w:w="763" w:type="dxa"/>
            <w:vMerge w:val="restart"/>
            <w:noWrap w:val="0"/>
            <w:vAlign w:val="center"/>
          </w:tcPr>
          <w:p w14:paraId="2D1DF73C">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（服务）工作年限</w:t>
            </w:r>
          </w:p>
        </w:tc>
      </w:tr>
      <w:tr w14:paraId="3D5F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vMerge w:val="continue"/>
            <w:noWrap w:val="0"/>
            <w:vAlign w:val="center"/>
          </w:tcPr>
          <w:p w14:paraId="3F1990A2">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vMerge w:val="continue"/>
            <w:noWrap w:val="0"/>
            <w:vAlign w:val="center"/>
          </w:tcPr>
          <w:p w14:paraId="3ED46EF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vMerge w:val="continue"/>
            <w:noWrap w:val="0"/>
            <w:vAlign w:val="center"/>
          </w:tcPr>
          <w:p w14:paraId="005CD185">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vMerge w:val="continue"/>
            <w:noWrap w:val="0"/>
            <w:vAlign w:val="center"/>
          </w:tcPr>
          <w:p w14:paraId="146FFF5F">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vMerge w:val="continue"/>
            <w:noWrap w:val="0"/>
            <w:vAlign w:val="center"/>
          </w:tcPr>
          <w:p w14:paraId="3874144B">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vMerge w:val="continue"/>
            <w:noWrap w:val="0"/>
            <w:vAlign w:val="center"/>
          </w:tcPr>
          <w:p w14:paraId="17827A36">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4E691026">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证书名称及（注册）专业</w:t>
            </w:r>
          </w:p>
        </w:tc>
        <w:tc>
          <w:tcPr>
            <w:tcW w:w="1816" w:type="dxa"/>
            <w:noWrap w:val="0"/>
            <w:vAlign w:val="center"/>
          </w:tcPr>
          <w:p w14:paraId="6287E11B">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证书</w:t>
            </w:r>
          </w:p>
          <w:p w14:paraId="6652F760">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r>
              <w:rPr>
                <w:rFonts w:hAnsi="宋体" w:eastAsia="宋体" w:cs="Times New Roman"/>
                <w:sz w:val="20"/>
                <w:szCs w:val="20"/>
              </w:rPr>
              <w:t>编号（和/或注册编号）</w:t>
            </w:r>
          </w:p>
        </w:tc>
        <w:tc>
          <w:tcPr>
            <w:tcW w:w="763" w:type="dxa"/>
            <w:vMerge w:val="continue"/>
            <w:noWrap w:val="0"/>
            <w:vAlign w:val="center"/>
          </w:tcPr>
          <w:p w14:paraId="5870E8D4">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r w14:paraId="3D78C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noWrap w:val="0"/>
            <w:vAlign w:val="center"/>
          </w:tcPr>
          <w:p w14:paraId="248967B4">
            <w:pPr>
              <w:keepNext w:val="0"/>
              <w:keepLines w:val="0"/>
              <w:suppressLineNumbers w:val="0"/>
              <w:adjustRightInd/>
              <w:snapToGrid/>
              <w:spacing w:before="0" w:beforeLines="0" w:beforeAutospacing="0" w:after="0" w:afterAutospacing="0" w:line="240" w:lineRule="auto"/>
              <w:ind w:left="0" w:right="0" w:firstLine="0" w:firstLineChars="0"/>
              <w:rPr>
                <w:rFonts w:hAnsi="宋体" w:eastAsia="宋体" w:cs="Times New Roman"/>
                <w:sz w:val="20"/>
                <w:szCs w:val="20"/>
              </w:rPr>
            </w:pPr>
          </w:p>
        </w:tc>
        <w:tc>
          <w:tcPr>
            <w:tcW w:w="850" w:type="dxa"/>
            <w:noWrap w:val="0"/>
            <w:vAlign w:val="center"/>
          </w:tcPr>
          <w:p w14:paraId="278A5F44">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7699991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noWrap w:val="0"/>
            <w:vAlign w:val="center"/>
          </w:tcPr>
          <w:p w14:paraId="3C8982CE">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noWrap w:val="0"/>
            <w:vAlign w:val="center"/>
          </w:tcPr>
          <w:p w14:paraId="30D25D5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noWrap w:val="0"/>
            <w:vAlign w:val="center"/>
          </w:tcPr>
          <w:p w14:paraId="1F13D6EE">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66A6F4BC">
            <w:pPr>
              <w:keepNext w:val="0"/>
              <w:keepLines w:val="0"/>
              <w:suppressLineNumbers w:val="0"/>
              <w:tabs>
                <w:tab w:val="center" w:pos="4153"/>
                <w:tab w:val="right" w:pos="8306"/>
              </w:tabs>
              <w:adjustRightInd/>
              <w:spacing w:before="0" w:beforeLines="0" w:beforeAutospacing="0" w:after="0" w:afterAutospacing="0" w:line="240" w:lineRule="auto"/>
              <w:ind w:left="0" w:right="0" w:firstLine="0" w:firstLineChars="0"/>
              <w:jc w:val="center"/>
              <w:rPr>
                <w:rFonts w:ascii="Times New Roman" w:hAnsi="Calibri" w:eastAsia="宋体" w:cs="Times New Roman"/>
                <w:sz w:val="20"/>
                <w:szCs w:val="20"/>
              </w:rPr>
            </w:pPr>
          </w:p>
        </w:tc>
        <w:tc>
          <w:tcPr>
            <w:tcW w:w="1816" w:type="dxa"/>
            <w:noWrap w:val="0"/>
            <w:vAlign w:val="center"/>
          </w:tcPr>
          <w:p w14:paraId="45D8660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63" w:type="dxa"/>
            <w:noWrap w:val="0"/>
            <w:vAlign w:val="center"/>
          </w:tcPr>
          <w:p w14:paraId="77083D1B">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r w14:paraId="0406A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noWrap w:val="0"/>
            <w:vAlign w:val="center"/>
          </w:tcPr>
          <w:p w14:paraId="1819F340">
            <w:pPr>
              <w:keepNext w:val="0"/>
              <w:keepLines w:val="0"/>
              <w:suppressLineNumbers w:val="0"/>
              <w:adjustRightInd/>
              <w:snapToGrid/>
              <w:spacing w:before="0" w:beforeLines="0" w:beforeAutospacing="0" w:after="0" w:afterAutospacing="0" w:line="240" w:lineRule="auto"/>
              <w:ind w:left="0" w:right="0" w:firstLine="0" w:firstLineChars="0"/>
              <w:rPr>
                <w:rFonts w:hAnsi="宋体" w:eastAsia="宋体" w:cs="Times New Roman"/>
                <w:sz w:val="20"/>
                <w:szCs w:val="20"/>
              </w:rPr>
            </w:pPr>
          </w:p>
        </w:tc>
        <w:tc>
          <w:tcPr>
            <w:tcW w:w="850" w:type="dxa"/>
            <w:noWrap w:val="0"/>
            <w:vAlign w:val="center"/>
          </w:tcPr>
          <w:p w14:paraId="7EFA20FC">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4F3C855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noWrap w:val="0"/>
            <w:vAlign w:val="center"/>
          </w:tcPr>
          <w:p w14:paraId="7758ACA2">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noWrap w:val="0"/>
            <w:vAlign w:val="center"/>
          </w:tcPr>
          <w:p w14:paraId="0C642EC5">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noWrap w:val="0"/>
            <w:vAlign w:val="center"/>
          </w:tcPr>
          <w:p w14:paraId="4E1E904D">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0357F150">
            <w:pPr>
              <w:keepNext w:val="0"/>
              <w:keepLines w:val="0"/>
              <w:suppressLineNumbers w:val="0"/>
              <w:tabs>
                <w:tab w:val="center" w:pos="4153"/>
                <w:tab w:val="right" w:pos="8306"/>
              </w:tabs>
              <w:adjustRightInd/>
              <w:spacing w:before="0" w:beforeLines="0" w:beforeAutospacing="0" w:after="0" w:afterAutospacing="0" w:line="240" w:lineRule="auto"/>
              <w:ind w:left="0" w:right="0" w:firstLine="0" w:firstLineChars="0"/>
              <w:jc w:val="center"/>
              <w:rPr>
                <w:rFonts w:ascii="Times New Roman" w:hAnsi="Calibri" w:eastAsia="宋体" w:cs="Times New Roman"/>
                <w:sz w:val="20"/>
                <w:szCs w:val="20"/>
              </w:rPr>
            </w:pPr>
          </w:p>
        </w:tc>
        <w:tc>
          <w:tcPr>
            <w:tcW w:w="1816" w:type="dxa"/>
            <w:noWrap w:val="0"/>
            <w:vAlign w:val="center"/>
          </w:tcPr>
          <w:p w14:paraId="496E584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63" w:type="dxa"/>
            <w:noWrap w:val="0"/>
            <w:vAlign w:val="center"/>
          </w:tcPr>
          <w:p w14:paraId="386653D6">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r w14:paraId="5417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noWrap w:val="0"/>
            <w:vAlign w:val="center"/>
          </w:tcPr>
          <w:p w14:paraId="5972A83E">
            <w:pPr>
              <w:keepNext w:val="0"/>
              <w:keepLines w:val="0"/>
              <w:suppressLineNumbers w:val="0"/>
              <w:adjustRightInd/>
              <w:snapToGrid/>
              <w:spacing w:before="0" w:beforeLines="0" w:beforeAutospacing="0" w:after="0" w:afterAutospacing="0" w:line="240" w:lineRule="auto"/>
              <w:ind w:left="0" w:right="0" w:firstLine="0" w:firstLineChars="0"/>
              <w:rPr>
                <w:rFonts w:hAnsi="宋体" w:eastAsia="宋体" w:cs="Times New Roman"/>
                <w:sz w:val="20"/>
                <w:szCs w:val="20"/>
              </w:rPr>
            </w:pPr>
          </w:p>
        </w:tc>
        <w:tc>
          <w:tcPr>
            <w:tcW w:w="850" w:type="dxa"/>
            <w:noWrap w:val="0"/>
            <w:vAlign w:val="center"/>
          </w:tcPr>
          <w:p w14:paraId="51B572D1">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6424BC26">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noWrap w:val="0"/>
            <w:vAlign w:val="center"/>
          </w:tcPr>
          <w:p w14:paraId="0F8BE4F2">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noWrap w:val="0"/>
            <w:vAlign w:val="center"/>
          </w:tcPr>
          <w:p w14:paraId="771716AE">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noWrap w:val="0"/>
            <w:vAlign w:val="center"/>
          </w:tcPr>
          <w:p w14:paraId="36FA0E96">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36FE2A7C">
            <w:pPr>
              <w:keepNext w:val="0"/>
              <w:keepLines w:val="0"/>
              <w:suppressLineNumbers w:val="0"/>
              <w:tabs>
                <w:tab w:val="center" w:pos="4153"/>
                <w:tab w:val="right" w:pos="8306"/>
              </w:tabs>
              <w:adjustRightInd/>
              <w:spacing w:before="0" w:beforeLines="0" w:beforeAutospacing="0" w:after="0" w:afterAutospacing="0" w:line="240" w:lineRule="auto"/>
              <w:ind w:left="0" w:right="0" w:firstLine="0" w:firstLineChars="0"/>
              <w:jc w:val="center"/>
              <w:rPr>
                <w:rFonts w:ascii="Times New Roman" w:hAnsi="Calibri" w:eastAsia="宋体" w:cs="Times New Roman"/>
                <w:sz w:val="20"/>
                <w:szCs w:val="20"/>
              </w:rPr>
            </w:pPr>
          </w:p>
        </w:tc>
        <w:tc>
          <w:tcPr>
            <w:tcW w:w="1816" w:type="dxa"/>
            <w:noWrap w:val="0"/>
            <w:vAlign w:val="center"/>
          </w:tcPr>
          <w:p w14:paraId="2775C2F2">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63" w:type="dxa"/>
            <w:noWrap w:val="0"/>
            <w:vAlign w:val="center"/>
          </w:tcPr>
          <w:p w14:paraId="60F548A3">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r w14:paraId="3FE6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noWrap w:val="0"/>
            <w:vAlign w:val="center"/>
          </w:tcPr>
          <w:p w14:paraId="13FC68AE">
            <w:pPr>
              <w:keepNext w:val="0"/>
              <w:keepLines w:val="0"/>
              <w:suppressLineNumbers w:val="0"/>
              <w:adjustRightInd/>
              <w:snapToGrid/>
              <w:spacing w:before="0" w:beforeLines="0" w:beforeAutospacing="0" w:after="0" w:afterAutospacing="0" w:line="240" w:lineRule="auto"/>
              <w:ind w:left="0" w:right="0" w:firstLine="0" w:firstLineChars="0"/>
              <w:rPr>
                <w:rFonts w:hAnsi="宋体" w:eastAsia="宋体" w:cs="Times New Roman"/>
                <w:sz w:val="20"/>
                <w:szCs w:val="20"/>
              </w:rPr>
            </w:pPr>
          </w:p>
        </w:tc>
        <w:tc>
          <w:tcPr>
            <w:tcW w:w="850" w:type="dxa"/>
            <w:noWrap w:val="0"/>
            <w:vAlign w:val="center"/>
          </w:tcPr>
          <w:p w14:paraId="270590D7">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30A7D914">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noWrap w:val="0"/>
            <w:vAlign w:val="center"/>
          </w:tcPr>
          <w:p w14:paraId="303FF2EA">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noWrap w:val="0"/>
            <w:vAlign w:val="center"/>
          </w:tcPr>
          <w:p w14:paraId="717C3A00">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noWrap w:val="0"/>
            <w:vAlign w:val="center"/>
          </w:tcPr>
          <w:p w14:paraId="4B18F673">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77D8D9B0">
            <w:pPr>
              <w:keepNext w:val="0"/>
              <w:keepLines w:val="0"/>
              <w:suppressLineNumbers w:val="0"/>
              <w:tabs>
                <w:tab w:val="center" w:pos="4153"/>
                <w:tab w:val="right" w:pos="8306"/>
              </w:tabs>
              <w:adjustRightInd/>
              <w:spacing w:before="0" w:beforeLines="0" w:beforeAutospacing="0" w:after="0" w:afterAutospacing="0" w:line="240" w:lineRule="auto"/>
              <w:ind w:left="0" w:right="0" w:firstLine="0" w:firstLineChars="0"/>
              <w:jc w:val="center"/>
              <w:rPr>
                <w:rFonts w:ascii="Times New Roman" w:hAnsi="Calibri" w:eastAsia="宋体" w:cs="Times New Roman"/>
                <w:sz w:val="20"/>
                <w:szCs w:val="20"/>
              </w:rPr>
            </w:pPr>
          </w:p>
        </w:tc>
        <w:tc>
          <w:tcPr>
            <w:tcW w:w="1816" w:type="dxa"/>
            <w:noWrap w:val="0"/>
            <w:vAlign w:val="center"/>
          </w:tcPr>
          <w:p w14:paraId="26862672">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63" w:type="dxa"/>
            <w:noWrap w:val="0"/>
            <w:vAlign w:val="center"/>
          </w:tcPr>
          <w:p w14:paraId="48CCC132">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r w14:paraId="319C7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noWrap w:val="0"/>
            <w:vAlign w:val="center"/>
          </w:tcPr>
          <w:p w14:paraId="7FCB322C">
            <w:pPr>
              <w:keepNext w:val="0"/>
              <w:keepLines w:val="0"/>
              <w:suppressLineNumbers w:val="0"/>
              <w:adjustRightInd/>
              <w:snapToGrid/>
              <w:spacing w:before="0" w:beforeLines="0" w:beforeAutospacing="0" w:after="0" w:afterAutospacing="0" w:line="240" w:lineRule="auto"/>
              <w:ind w:left="0" w:right="0" w:firstLine="0" w:firstLineChars="0"/>
              <w:rPr>
                <w:rFonts w:hAnsi="宋体" w:eastAsia="宋体" w:cs="Times New Roman"/>
                <w:sz w:val="20"/>
                <w:szCs w:val="20"/>
              </w:rPr>
            </w:pPr>
          </w:p>
        </w:tc>
        <w:tc>
          <w:tcPr>
            <w:tcW w:w="850" w:type="dxa"/>
            <w:noWrap w:val="0"/>
            <w:vAlign w:val="center"/>
          </w:tcPr>
          <w:p w14:paraId="4103601C">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6B69B1C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noWrap w:val="0"/>
            <w:vAlign w:val="center"/>
          </w:tcPr>
          <w:p w14:paraId="64DD1EA9">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noWrap w:val="0"/>
            <w:vAlign w:val="center"/>
          </w:tcPr>
          <w:p w14:paraId="45EDF8FF">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noWrap w:val="0"/>
            <w:vAlign w:val="center"/>
          </w:tcPr>
          <w:p w14:paraId="6EA3DAC3">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36DC20B4">
            <w:pPr>
              <w:keepNext w:val="0"/>
              <w:keepLines w:val="0"/>
              <w:suppressLineNumbers w:val="0"/>
              <w:tabs>
                <w:tab w:val="center" w:pos="4153"/>
                <w:tab w:val="right" w:pos="8306"/>
              </w:tabs>
              <w:adjustRightInd/>
              <w:spacing w:before="0" w:beforeLines="0" w:beforeAutospacing="0" w:after="0" w:afterAutospacing="0" w:line="240" w:lineRule="auto"/>
              <w:ind w:left="0" w:right="0" w:firstLine="0" w:firstLineChars="0"/>
              <w:jc w:val="center"/>
              <w:rPr>
                <w:rFonts w:ascii="Times New Roman" w:hAnsi="Calibri" w:eastAsia="宋体" w:cs="Times New Roman"/>
                <w:sz w:val="20"/>
                <w:szCs w:val="20"/>
              </w:rPr>
            </w:pPr>
          </w:p>
        </w:tc>
        <w:tc>
          <w:tcPr>
            <w:tcW w:w="1816" w:type="dxa"/>
            <w:noWrap w:val="0"/>
            <w:vAlign w:val="center"/>
          </w:tcPr>
          <w:p w14:paraId="5CCD6A05">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63" w:type="dxa"/>
            <w:noWrap w:val="0"/>
            <w:vAlign w:val="center"/>
          </w:tcPr>
          <w:p w14:paraId="380849A5">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r w14:paraId="6054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noWrap w:val="0"/>
            <w:vAlign w:val="center"/>
          </w:tcPr>
          <w:p w14:paraId="66D2DC20">
            <w:pPr>
              <w:keepNext w:val="0"/>
              <w:keepLines w:val="0"/>
              <w:suppressLineNumbers w:val="0"/>
              <w:adjustRightInd/>
              <w:snapToGrid/>
              <w:spacing w:before="0" w:beforeLines="0" w:beforeAutospacing="0" w:after="0" w:afterAutospacing="0" w:line="240" w:lineRule="auto"/>
              <w:ind w:left="0" w:right="0" w:firstLine="0" w:firstLineChars="0"/>
              <w:rPr>
                <w:rFonts w:hAnsi="宋体" w:eastAsia="宋体" w:cs="Times New Roman"/>
                <w:sz w:val="20"/>
                <w:szCs w:val="20"/>
              </w:rPr>
            </w:pPr>
          </w:p>
        </w:tc>
        <w:tc>
          <w:tcPr>
            <w:tcW w:w="850" w:type="dxa"/>
            <w:noWrap w:val="0"/>
            <w:vAlign w:val="center"/>
          </w:tcPr>
          <w:p w14:paraId="23FA7194">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61BD3BBD">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noWrap w:val="0"/>
            <w:vAlign w:val="center"/>
          </w:tcPr>
          <w:p w14:paraId="117E75DF">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noWrap w:val="0"/>
            <w:vAlign w:val="center"/>
          </w:tcPr>
          <w:p w14:paraId="60A6F27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noWrap w:val="0"/>
            <w:vAlign w:val="center"/>
          </w:tcPr>
          <w:p w14:paraId="5D51BA13">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1F84F297">
            <w:pPr>
              <w:keepNext w:val="0"/>
              <w:keepLines w:val="0"/>
              <w:suppressLineNumbers w:val="0"/>
              <w:tabs>
                <w:tab w:val="center" w:pos="4153"/>
                <w:tab w:val="right" w:pos="8306"/>
              </w:tabs>
              <w:adjustRightInd/>
              <w:spacing w:before="0" w:beforeLines="0" w:beforeAutospacing="0" w:after="0" w:afterAutospacing="0" w:line="240" w:lineRule="auto"/>
              <w:ind w:left="0" w:right="0" w:firstLine="0" w:firstLineChars="0"/>
              <w:jc w:val="center"/>
              <w:rPr>
                <w:rFonts w:ascii="Times New Roman" w:hAnsi="Calibri" w:eastAsia="宋体" w:cs="Times New Roman"/>
                <w:sz w:val="20"/>
                <w:szCs w:val="20"/>
              </w:rPr>
            </w:pPr>
          </w:p>
        </w:tc>
        <w:tc>
          <w:tcPr>
            <w:tcW w:w="1816" w:type="dxa"/>
            <w:noWrap w:val="0"/>
            <w:vAlign w:val="center"/>
          </w:tcPr>
          <w:p w14:paraId="27DA1179">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63" w:type="dxa"/>
            <w:noWrap w:val="0"/>
            <w:vAlign w:val="center"/>
          </w:tcPr>
          <w:p w14:paraId="045F2269">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r w14:paraId="63D9E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noWrap w:val="0"/>
            <w:vAlign w:val="center"/>
          </w:tcPr>
          <w:p w14:paraId="59DCC011">
            <w:pPr>
              <w:keepNext w:val="0"/>
              <w:keepLines w:val="0"/>
              <w:suppressLineNumbers w:val="0"/>
              <w:adjustRightInd/>
              <w:snapToGrid/>
              <w:spacing w:before="0" w:beforeLines="0" w:beforeAutospacing="0" w:after="0" w:afterAutospacing="0" w:line="240" w:lineRule="auto"/>
              <w:ind w:left="0" w:right="0" w:firstLine="0" w:firstLineChars="0"/>
              <w:rPr>
                <w:rFonts w:hAnsi="宋体" w:eastAsia="宋体" w:cs="Times New Roman"/>
                <w:sz w:val="20"/>
                <w:szCs w:val="20"/>
              </w:rPr>
            </w:pPr>
          </w:p>
        </w:tc>
        <w:tc>
          <w:tcPr>
            <w:tcW w:w="850" w:type="dxa"/>
            <w:noWrap w:val="0"/>
            <w:vAlign w:val="center"/>
          </w:tcPr>
          <w:p w14:paraId="3F5235AB">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59232A97">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noWrap w:val="0"/>
            <w:vAlign w:val="center"/>
          </w:tcPr>
          <w:p w14:paraId="111F69F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noWrap w:val="0"/>
            <w:vAlign w:val="center"/>
          </w:tcPr>
          <w:p w14:paraId="14EF30E7">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noWrap w:val="0"/>
            <w:vAlign w:val="center"/>
          </w:tcPr>
          <w:p w14:paraId="01DAA0B9">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4F623251">
            <w:pPr>
              <w:keepNext w:val="0"/>
              <w:keepLines w:val="0"/>
              <w:suppressLineNumbers w:val="0"/>
              <w:tabs>
                <w:tab w:val="center" w:pos="4153"/>
                <w:tab w:val="right" w:pos="8306"/>
              </w:tabs>
              <w:adjustRightInd/>
              <w:spacing w:before="0" w:beforeLines="0" w:beforeAutospacing="0" w:after="0" w:afterAutospacing="0" w:line="240" w:lineRule="auto"/>
              <w:ind w:left="0" w:right="0" w:firstLine="0" w:firstLineChars="0"/>
              <w:jc w:val="center"/>
              <w:rPr>
                <w:rFonts w:ascii="Times New Roman" w:hAnsi="Calibri" w:eastAsia="宋体" w:cs="Times New Roman"/>
                <w:sz w:val="20"/>
                <w:szCs w:val="20"/>
              </w:rPr>
            </w:pPr>
          </w:p>
        </w:tc>
        <w:tc>
          <w:tcPr>
            <w:tcW w:w="1816" w:type="dxa"/>
            <w:noWrap w:val="0"/>
            <w:vAlign w:val="center"/>
          </w:tcPr>
          <w:p w14:paraId="59763A0D">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63" w:type="dxa"/>
            <w:noWrap w:val="0"/>
            <w:vAlign w:val="center"/>
          </w:tcPr>
          <w:p w14:paraId="04A30A4A">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r w14:paraId="69F35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noWrap w:val="0"/>
            <w:vAlign w:val="center"/>
          </w:tcPr>
          <w:p w14:paraId="0F2FD9D3">
            <w:pPr>
              <w:keepNext w:val="0"/>
              <w:keepLines w:val="0"/>
              <w:suppressLineNumbers w:val="0"/>
              <w:adjustRightInd/>
              <w:snapToGrid/>
              <w:spacing w:before="0" w:beforeLines="0" w:beforeAutospacing="0" w:after="0" w:afterAutospacing="0" w:line="240" w:lineRule="auto"/>
              <w:ind w:left="0" w:right="0" w:firstLine="0" w:firstLineChars="0"/>
              <w:rPr>
                <w:rFonts w:hAnsi="宋体" w:eastAsia="宋体" w:cs="Times New Roman"/>
                <w:sz w:val="20"/>
                <w:szCs w:val="20"/>
              </w:rPr>
            </w:pPr>
          </w:p>
        </w:tc>
        <w:tc>
          <w:tcPr>
            <w:tcW w:w="850" w:type="dxa"/>
            <w:noWrap w:val="0"/>
            <w:vAlign w:val="center"/>
          </w:tcPr>
          <w:p w14:paraId="3014D999">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20E60CD6">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noWrap w:val="0"/>
            <w:vAlign w:val="center"/>
          </w:tcPr>
          <w:p w14:paraId="7DD8E059">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noWrap w:val="0"/>
            <w:vAlign w:val="center"/>
          </w:tcPr>
          <w:p w14:paraId="08D53299">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noWrap w:val="0"/>
            <w:vAlign w:val="center"/>
          </w:tcPr>
          <w:p w14:paraId="3AEFD585">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60E4B59A">
            <w:pPr>
              <w:keepNext w:val="0"/>
              <w:keepLines w:val="0"/>
              <w:suppressLineNumbers w:val="0"/>
              <w:tabs>
                <w:tab w:val="center" w:pos="4153"/>
                <w:tab w:val="right" w:pos="8306"/>
              </w:tabs>
              <w:adjustRightInd/>
              <w:spacing w:before="0" w:beforeLines="0" w:beforeAutospacing="0" w:after="0" w:afterAutospacing="0" w:line="240" w:lineRule="auto"/>
              <w:ind w:left="0" w:right="0" w:firstLine="0" w:firstLineChars="0"/>
              <w:jc w:val="center"/>
              <w:rPr>
                <w:rFonts w:ascii="Times New Roman" w:hAnsi="Calibri" w:eastAsia="宋体" w:cs="Times New Roman"/>
                <w:sz w:val="20"/>
                <w:szCs w:val="20"/>
              </w:rPr>
            </w:pPr>
          </w:p>
        </w:tc>
        <w:tc>
          <w:tcPr>
            <w:tcW w:w="1816" w:type="dxa"/>
            <w:noWrap w:val="0"/>
            <w:vAlign w:val="center"/>
          </w:tcPr>
          <w:p w14:paraId="7E03CFEF">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63" w:type="dxa"/>
            <w:noWrap w:val="0"/>
            <w:vAlign w:val="center"/>
          </w:tcPr>
          <w:p w14:paraId="643DFAC6">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r w14:paraId="6874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noWrap w:val="0"/>
            <w:vAlign w:val="center"/>
          </w:tcPr>
          <w:p w14:paraId="26A48040">
            <w:pPr>
              <w:keepNext w:val="0"/>
              <w:keepLines w:val="0"/>
              <w:suppressLineNumbers w:val="0"/>
              <w:adjustRightInd/>
              <w:snapToGrid/>
              <w:spacing w:before="0" w:beforeLines="0" w:beforeAutospacing="0" w:after="0" w:afterAutospacing="0" w:line="240" w:lineRule="auto"/>
              <w:ind w:left="0" w:right="0" w:firstLine="0" w:firstLineChars="0"/>
              <w:rPr>
                <w:rFonts w:hAnsi="宋体" w:eastAsia="宋体" w:cs="Times New Roman"/>
                <w:sz w:val="20"/>
                <w:szCs w:val="20"/>
              </w:rPr>
            </w:pPr>
          </w:p>
        </w:tc>
        <w:tc>
          <w:tcPr>
            <w:tcW w:w="850" w:type="dxa"/>
            <w:noWrap w:val="0"/>
            <w:vAlign w:val="center"/>
          </w:tcPr>
          <w:p w14:paraId="0BB6C009">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1C659A22">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noWrap w:val="0"/>
            <w:vAlign w:val="center"/>
          </w:tcPr>
          <w:p w14:paraId="4CBD0810">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noWrap w:val="0"/>
            <w:vAlign w:val="center"/>
          </w:tcPr>
          <w:p w14:paraId="52EFCCF5">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noWrap w:val="0"/>
            <w:vAlign w:val="center"/>
          </w:tcPr>
          <w:p w14:paraId="5B908D60">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76E41B7A">
            <w:pPr>
              <w:keepNext w:val="0"/>
              <w:keepLines w:val="0"/>
              <w:suppressLineNumbers w:val="0"/>
              <w:tabs>
                <w:tab w:val="center" w:pos="4153"/>
                <w:tab w:val="right" w:pos="8306"/>
              </w:tabs>
              <w:adjustRightInd/>
              <w:spacing w:before="0" w:beforeLines="0" w:beforeAutospacing="0" w:after="0" w:afterAutospacing="0" w:line="240" w:lineRule="auto"/>
              <w:ind w:left="0" w:right="0" w:firstLine="0" w:firstLineChars="0"/>
              <w:jc w:val="center"/>
              <w:rPr>
                <w:rFonts w:ascii="Times New Roman" w:hAnsi="Calibri" w:eastAsia="宋体" w:cs="Times New Roman"/>
                <w:sz w:val="20"/>
                <w:szCs w:val="20"/>
              </w:rPr>
            </w:pPr>
          </w:p>
        </w:tc>
        <w:tc>
          <w:tcPr>
            <w:tcW w:w="1816" w:type="dxa"/>
            <w:noWrap w:val="0"/>
            <w:vAlign w:val="center"/>
          </w:tcPr>
          <w:p w14:paraId="03D0D85A">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63" w:type="dxa"/>
            <w:noWrap w:val="0"/>
            <w:vAlign w:val="center"/>
          </w:tcPr>
          <w:p w14:paraId="1080E5B2">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r w14:paraId="345B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noWrap w:val="0"/>
            <w:vAlign w:val="center"/>
          </w:tcPr>
          <w:p w14:paraId="6C92E383">
            <w:pPr>
              <w:keepNext w:val="0"/>
              <w:keepLines w:val="0"/>
              <w:suppressLineNumbers w:val="0"/>
              <w:adjustRightInd/>
              <w:snapToGrid/>
              <w:spacing w:before="0" w:beforeLines="0" w:beforeAutospacing="0" w:after="0" w:afterAutospacing="0" w:line="240" w:lineRule="auto"/>
              <w:ind w:left="0" w:right="0" w:firstLine="0" w:firstLineChars="0"/>
              <w:rPr>
                <w:rFonts w:hAnsi="宋体" w:eastAsia="宋体" w:cs="Times New Roman"/>
                <w:sz w:val="20"/>
                <w:szCs w:val="20"/>
              </w:rPr>
            </w:pPr>
          </w:p>
        </w:tc>
        <w:tc>
          <w:tcPr>
            <w:tcW w:w="850" w:type="dxa"/>
            <w:noWrap w:val="0"/>
            <w:vAlign w:val="center"/>
          </w:tcPr>
          <w:p w14:paraId="0A6C89AD">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6D89D1FE">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noWrap w:val="0"/>
            <w:vAlign w:val="center"/>
          </w:tcPr>
          <w:p w14:paraId="4AF60E29">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noWrap w:val="0"/>
            <w:vAlign w:val="center"/>
          </w:tcPr>
          <w:p w14:paraId="7133FC05">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noWrap w:val="0"/>
            <w:vAlign w:val="center"/>
          </w:tcPr>
          <w:p w14:paraId="25A19C74">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663FF0C4">
            <w:pPr>
              <w:keepNext w:val="0"/>
              <w:keepLines w:val="0"/>
              <w:suppressLineNumbers w:val="0"/>
              <w:tabs>
                <w:tab w:val="center" w:pos="4153"/>
                <w:tab w:val="right" w:pos="8306"/>
              </w:tabs>
              <w:adjustRightInd/>
              <w:spacing w:before="0" w:beforeLines="0" w:beforeAutospacing="0" w:after="0" w:afterAutospacing="0" w:line="240" w:lineRule="auto"/>
              <w:ind w:left="0" w:right="0" w:firstLine="0" w:firstLineChars="0"/>
              <w:jc w:val="center"/>
              <w:rPr>
                <w:rFonts w:ascii="Times New Roman" w:hAnsi="Calibri" w:eastAsia="宋体" w:cs="Times New Roman"/>
                <w:sz w:val="20"/>
                <w:szCs w:val="20"/>
              </w:rPr>
            </w:pPr>
          </w:p>
        </w:tc>
        <w:tc>
          <w:tcPr>
            <w:tcW w:w="1816" w:type="dxa"/>
            <w:noWrap w:val="0"/>
            <w:vAlign w:val="center"/>
          </w:tcPr>
          <w:p w14:paraId="1CDF1D1F">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63" w:type="dxa"/>
            <w:noWrap w:val="0"/>
            <w:vAlign w:val="center"/>
          </w:tcPr>
          <w:p w14:paraId="28885F06">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r w14:paraId="3713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9" w:type="dxa"/>
            <w:noWrap w:val="0"/>
            <w:vAlign w:val="center"/>
          </w:tcPr>
          <w:p w14:paraId="7FC34A86">
            <w:pPr>
              <w:keepNext w:val="0"/>
              <w:keepLines w:val="0"/>
              <w:suppressLineNumbers w:val="0"/>
              <w:adjustRightInd/>
              <w:snapToGrid/>
              <w:spacing w:before="0" w:beforeLines="0" w:beforeAutospacing="0" w:after="0" w:afterAutospacing="0" w:line="240" w:lineRule="auto"/>
              <w:ind w:left="0" w:right="0" w:firstLine="0" w:firstLineChars="0"/>
              <w:rPr>
                <w:rFonts w:hAnsi="宋体" w:eastAsia="宋体" w:cs="Times New Roman"/>
                <w:sz w:val="20"/>
                <w:szCs w:val="20"/>
              </w:rPr>
            </w:pPr>
          </w:p>
        </w:tc>
        <w:tc>
          <w:tcPr>
            <w:tcW w:w="850" w:type="dxa"/>
            <w:noWrap w:val="0"/>
            <w:vAlign w:val="center"/>
          </w:tcPr>
          <w:p w14:paraId="2289D139">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36F2B281">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1" w:type="dxa"/>
            <w:noWrap w:val="0"/>
            <w:vAlign w:val="center"/>
          </w:tcPr>
          <w:p w14:paraId="7915FB18">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850" w:type="dxa"/>
            <w:noWrap w:val="0"/>
            <w:vAlign w:val="center"/>
          </w:tcPr>
          <w:p w14:paraId="2B592E25">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09" w:type="dxa"/>
            <w:noWrap w:val="0"/>
            <w:vAlign w:val="center"/>
          </w:tcPr>
          <w:p w14:paraId="13233290">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1559" w:type="dxa"/>
            <w:noWrap w:val="0"/>
            <w:vAlign w:val="center"/>
          </w:tcPr>
          <w:p w14:paraId="307FCD92">
            <w:pPr>
              <w:keepNext w:val="0"/>
              <w:keepLines w:val="0"/>
              <w:suppressLineNumbers w:val="0"/>
              <w:tabs>
                <w:tab w:val="center" w:pos="4153"/>
                <w:tab w:val="right" w:pos="8306"/>
              </w:tabs>
              <w:adjustRightInd/>
              <w:spacing w:before="0" w:beforeLines="0" w:beforeAutospacing="0" w:after="0" w:afterAutospacing="0" w:line="240" w:lineRule="auto"/>
              <w:ind w:left="0" w:right="0" w:firstLine="0" w:firstLineChars="0"/>
              <w:jc w:val="center"/>
              <w:rPr>
                <w:rFonts w:ascii="Times New Roman" w:hAnsi="Calibri" w:eastAsia="宋体" w:cs="Times New Roman"/>
                <w:sz w:val="20"/>
                <w:szCs w:val="20"/>
              </w:rPr>
            </w:pPr>
          </w:p>
        </w:tc>
        <w:tc>
          <w:tcPr>
            <w:tcW w:w="1816" w:type="dxa"/>
            <w:noWrap w:val="0"/>
            <w:vAlign w:val="center"/>
          </w:tcPr>
          <w:p w14:paraId="444F3B82">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c>
          <w:tcPr>
            <w:tcW w:w="763" w:type="dxa"/>
            <w:noWrap w:val="0"/>
            <w:vAlign w:val="center"/>
          </w:tcPr>
          <w:p w14:paraId="156FB127">
            <w:pPr>
              <w:keepNext w:val="0"/>
              <w:keepLines w:val="0"/>
              <w:suppressLineNumbers w:val="0"/>
              <w:adjustRightInd/>
              <w:snapToGrid/>
              <w:spacing w:before="0" w:beforeLines="0" w:beforeAutospacing="0" w:after="0" w:afterAutospacing="0" w:line="240" w:lineRule="auto"/>
              <w:ind w:left="0" w:right="0" w:firstLine="0" w:firstLineChars="0"/>
              <w:jc w:val="center"/>
              <w:rPr>
                <w:rFonts w:hAnsi="宋体" w:eastAsia="宋体" w:cs="Times New Roman"/>
                <w:sz w:val="20"/>
                <w:szCs w:val="20"/>
              </w:rPr>
            </w:pPr>
          </w:p>
        </w:tc>
      </w:tr>
    </w:tbl>
    <w:p w14:paraId="33D682B0">
      <w:pPr>
        <w:keepNext/>
        <w:keepLines/>
        <w:adjustRightInd/>
        <w:snapToGrid/>
        <w:spacing w:before="0" w:beforeLines="0" w:line="360" w:lineRule="auto"/>
        <w:ind w:firstLine="0" w:firstLineChars="0"/>
        <w:rPr>
          <w:rFonts w:ascii="Arial" w:hAnsi="Arial" w:eastAsia="黑体"/>
          <w:b/>
          <w:sz w:val="21"/>
        </w:rPr>
      </w:pPr>
    </w:p>
    <w:p w14:paraId="016537A9">
      <w:pPr>
        <w:pStyle w:val="4"/>
        <w:spacing w:before="0" w:beforeLines="0" w:after="312" w:afterLines="100"/>
        <w:ind w:firstLine="0" w:firstLineChars="0"/>
      </w:pPr>
      <w:r>
        <w:rPr>
          <w:rFonts w:ascii="Arial" w:hAnsi="Arial"/>
          <w:b/>
          <w:sz w:val="21"/>
        </w:rPr>
        <w:br w:type="page"/>
      </w:r>
      <w:bookmarkStart w:id="1263" w:name="_Toc193981325"/>
      <w:r>
        <w:rPr>
          <w:rFonts w:ascii="Times New Roman"/>
        </w:rPr>
        <w:t>第五章 发包人要求</w:t>
      </w:r>
      <w:bookmarkEnd w:id="1263"/>
    </w:p>
    <w:p w14:paraId="4D9A6E0B">
      <w:pPr>
        <w:adjustRightInd/>
        <w:spacing w:before="0" w:beforeLines="0" w:line="360" w:lineRule="auto"/>
        <w:ind w:firstLine="0" w:firstLineChars="0"/>
        <w:jc w:val="left"/>
        <w:outlineLvl w:val="1"/>
        <w:rPr>
          <w:rFonts w:hAnsi="宋体"/>
          <w:b/>
        </w:rPr>
      </w:pPr>
      <w:bookmarkStart w:id="1264" w:name="_Toc59202953"/>
      <w:bookmarkStart w:id="1265" w:name="_Toc2088124470"/>
      <w:bookmarkStart w:id="1266" w:name="_Toc20339"/>
      <w:bookmarkStart w:id="1267" w:name="_Toc1007374128"/>
      <w:bookmarkStart w:id="1268" w:name="_Toc27927"/>
      <w:bookmarkStart w:id="1269" w:name="_Toc997925448"/>
      <w:bookmarkStart w:id="1270" w:name="_Toc8846"/>
      <w:bookmarkStart w:id="1271" w:name="_Toc31325"/>
      <w:bookmarkStart w:id="1272" w:name="_Toc31392"/>
      <w:bookmarkStart w:id="1273" w:name="_Toc19842"/>
      <w:bookmarkStart w:id="1274" w:name="_Toc90736582"/>
      <w:bookmarkStart w:id="1275" w:name="_Toc1386564324"/>
      <w:bookmarkStart w:id="1276" w:name="_Toc193981326"/>
      <w:bookmarkStart w:id="1277" w:name="_Toc16270"/>
      <w:r>
        <w:rPr>
          <w:rFonts w:hint="eastAsia" w:hAnsi="宋体"/>
          <w:b/>
        </w:rPr>
        <w:t>一、招标人对造价咨询工作的具体要求</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27F57329">
      <w:pPr>
        <w:adjustRightInd/>
        <w:snapToGrid/>
        <w:spacing w:before="0" w:beforeLines="0" w:line="360" w:lineRule="auto"/>
        <w:ind w:firstLine="482"/>
        <w:outlineLvl w:val="2"/>
        <w:rPr>
          <w:rFonts w:hAnsi="宋体" w:cs="宋体"/>
          <w:b/>
        </w:rPr>
      </w:pPr>
      <w:bookmarkStart w:id="1278" w:name="_Toc193981327"/>
      <w:r>
        <w:rPr>
          <w:rFonts w:hint="eastAsia" w:hAnsi="宋体" w:cs="宋体"/>
          <w:b/>
        </w:rPr>
        <w:t>（一）服务内容</w:t>
      </w:r>
      <w:bookmarkEnd w:id="1278"/>
    </w:p>
    <w:p w14:paraId="25AC19DC">
      <w:pPr>
        <w:adjustRightInd/>
        <w:snapToGrid/>
        <w:spacing w:before="0" w:beforeLines="0" w:line="360" w:lineRule="auto"/>
        <w:ind w:firstLine="480"/>
        <w:rPr>
          <w:rFonts w:hAnsi="宋体" w:cs="宋体"/>
        </w:rPr>
      </w:pPr>
      <w:r>
        <w:rPr>
          <w:rFonts w:hint="eastAsia" w:hAnsi="宋体" w:cs="宋体"/>
        </w:rPr>
        <w:t>项目</w:t>
      </w:r>
      <w:r>
        <w:rPr>
          <w:rFonts w:hint="eastAsia" w:hAnsi="宋体"/>
        </w:rPr>
        <w:t>结算阶段</w:t>
      </w:r>
      <w:r>
        <w:rPr>
          <w:rFonts w:hint="eastAsia" w:hAnsi="宋体" w:cs="宋体"/>
        </w:rPr>
        <w:t>造价服务，制定工程造价服务管理方案，确定控制目标。包含工程类及非工程类预结算审核、合同文本拟稿、工程进度款审核、驻场造价服务、现场收方、项目实测实量、签证及变更编审、结算审计配合等工作（具体以招标人派发的工作内容为准），造价服务包含但不限于以下内容：</w:t>
      </w:r>
    </w:p>
    <w:p w14:paraId="60E80718">
      <w:pPr>
        <w:adjustRightInd/>
        <w:snapToGrid/>
        <w:spacing w:before="0" w:beforeLines="0" w:line="360" w:lineRule="auto"/>
        <w:ind w:firstLine="482"/>
        <w:rPr>
          <w:rFonts w:ascii="Times New Roman"/>
          <w:b/>
          <w:bCs/>
        </w:rPr>
      </w:pPr>
      <w:r>
        <w:rPr>
          <w:rFonts w:hint="eastAsia" w:ascii="Times New Roman"/>
          <w:b/>
          <w:bCs/>
        </w:rPr>
        <w:t>1、工程发包阶段</w:t>
      </w:r>
    </w:p>
    <w:p w14:paraId="6AF803F7">
      <w:pPr>
        <w:adjustRightInd/>
        <w:snapToGrid/>
        <w:spacing w:before="0" w:beforeLines="0" w:line="360" w:lineRule="auto"/>
        <w:ind w:firstLine="480"/>
        <w:rPr>
          <w:rFonts w:ascii="Times New Roman"/>
          <w:color w:val="auto"/>
        </w:rPr>
      </w:pPr>
      <w:r>
        <w:rPr>
          <w:rFonts w:hint="eastAsia" w:ascii="Times New Roman"/>
        </w:rPr>
        <w:t>1.1配合甲方对项目所涉及的</w:t>
      </w:r>
      <w:r>
        <w:rPr>
          <w:rFonts w:hint="eastAsia" w:ascii="Times New Roman"/>
          <w:color w:val="auto"/>
        </w:rPr>
        <w:t>施工图（招标图）、招标文件、合同文件进行审核，识别及判断其合法性、合规性、合理性、以及合同条件的潜在风险，提出相应的修改建议与意见。协助编制招标文件，协助甲方开展投标单位答疑、补遗工作，应甲方要求参加招标答疑会，并及时提交书面和电子版报告。如有需要，乙方配合甲方参加招标过程中的复审等其它后续程序。</w:t>
      </w:r>
    </w:p>
    <w:p w14:paraId="19DD8AA0">
      <w:pPr>
        <w:adjustRightInd/>
        <w:snapToGrid/>
        <w:spacing w:before="0" w:beforeLines="0" w:line="360" w:lineRule="auto"/>
        <w:ind w:firstLine="480"/>
        <w:rPr>
          <w:rFonts w:ascii="Times New Roman"/>
          <w:color w:val="auto"/>
        </w:rPr>
      </w:pPr>
      <w:r>
        <w:rPr>
          <w:rFonts w:hint="eastAsia" w:ascii="Times New Roman"/>
          <w:color w:val="auto"/>
        </w:rPr>
        <w:t>1.2 从计量计价角度审核图纸深度，提出图纸“错漏碰缺”问题及优化建议，减少设计变更和资源浪费。</w:t>
      </w:r>
    </w:p>
    <w:p w14:paraId="60945A46">
      <w:pPr>
        <w:adjustRightInd/>
        <w:snapToGrid/>
        <w:spacing w:before="0" w:beforeLines="0" w:line="360" w:lineRule="auto"/>
        <w:ind w:firstLine="480"/>
        <w:rPr>
          <w:rFonts w:ascii="Times New Roman"/>
          <w:color w:val="auto"/>
        </w:rPr>
      </w:pPr>
      <w:r>
        <w:rPr>
          <w:rFonts w:hint="eastAsia" w:ascii="Times New Roman"/>
          <w:color w:val="auto"/>
        </w:rPr>
        <w:t>2.3对甲方出具的分包招标文件体系结合工程实际情况进行修改、完善，包含投标须知、合同条款、措施费、工程量清单（确保工程项目划分与描述足够详细，便于甲方依图核对）、材料设备表等。提供各相关工程的详细界面（必要时附以充分的图纸说明和标注，由设计方负责出图）供甲方参考，以确定工程范围。</w:t>
      </w:r>
    </w:p>
    <w:p w14:paraId="1D128A19">
      <w:pPr>
        <w:adjustRightInd/>
        <w:snapToGrid/>
        <w:spacing w:before="0" w:beforeLines="0" w:line="360" w:lineRule="auto"/>
        <w:ind w:firstLine="480"/>
        <w:rPr>
          <w:rFonts w:ascii="Times New Roman"/>
          <w:color w:val="auto"/>
        </w:rPr>
      </w:pPr>
      <w:r>
        <w:rPr>
          <w:rFonts w:hint="eastAsia" w:ascii="Times New Roman"/>
          <w:color w:val="auto"/>
        </w:rPr>
        <w:t>2.4工程量清单及上限控制价（或预算）的编制及审核，对工程量清单的准确性负责。向甲方全面交底，阐述清单构成、图纸对应关系、暂定量及暂定款设置等内容，使甲方对工程量清单有深入了解。与甲方协商确定主要材料设备品牌、型号与规格推荐。同时提供控制价指标分析、控制价与成本差异对比分析报告。乙方应对市场价有充分的了解，做好预算及控制价与市场价对标、对比及分析，出具专业意见，包含但并不限于预算及控制价合理下浮系数。</w:t>
      </w:r>
    </w:p>
    <w:p w14:paraId="0C1BDBEF">
      <w:pPr>
        <w:adjustRightInd/>
        <w:snapToGrid/>
        <w:spacing w:before="0" w:beforeLines="0" w:line="360" w:lineRule="auto"/>
        <w:ind w:firstLine="480"/>
        <w:rPr>
          <w:rFonts w:ascii="Times New Roman"/>
          <w:color w:val="auto"/>
        </w:rPr>
      </w:pPr>
      <w:r>
        <w:rPr>
          <w:rFonts w:hint="eastAsia" w:ascii="Times New Roman"/>
          <w:color w:val="auto"/>
        </w:rPr>
        <w:t>2.5 按甲方要求，提供分包招标工程的参考价（若有）。</w:t>
      </w:r>
    </w:p>
    <w:p w14:paraId="44E721C9">
      <w:pPr>
        <w:adjustRightInd/>
        <w:snapToGrid/>
        <w:spacing w:before="0" w:beforeLines="0" w:line="360" w:lineRule="auto"/>
        <w:ind w:firstLine="480"/>
        <w:rPr>
          <w:rFonts w:ascii="Times New Roman"/>
          <w:color w:val="auto"/>
        </w:rPr>
      </w:pPr>
      <w:r>
        <w:rPr>
          <w:rFonts w:hint="eastAsia" w:ascii="Times New Roman"/>
          <w:color w:val="auto"/>
        </w:rPr>
        <w:t>2.6 回标后的分析、询价工作（若有），包括计算上的复核、合约上是否影响标书要求的比较与分析、报价上是否有投标技巧分析及报价合理性分析等。</w:t>
      </w:r>
    </w:p>
    <w:p w14:paraId="27E7F62A">
      <w:pPr>
        <w:adjustRightInd/>
        <w:snapToGrid/>
        <w:spacing w:before="0" w:beforeLines="0" w:line="360" w:lineRule="auto"/>
        <w:ind w:firstLine="480"/>
        <w:rPr>
          <w:rFonts w:ascii="Times New Roman"/>
          <w:color w:val="auto"/>
        </w:rPr>
      </w:pPr>
      <w:r>
        <w:rPr>
          <w:rFonts w:hint="eastAsia" w:ascii="Times New Roman"/>
          <w:color w:val="auto"/>
        </w:rPr>
        <w:t>2.7 协助甲方询标及合同、报价上的谈判。</w:t>
      </w:r>
    </w:p>
    <w:p w14:paraId="2845A61F">
      <w:pPr>
        <w:adjustRightInd/>
        <w:snapToGrid/>
        <w:spacing w:before="0" w:beforeLines="0" w:line="360" w:lineRule="auto"/>
        <w:ind w:firstLine="480"/>
        <w:rPr>
          <w:rFonts w:ascii="Times New Roman"/>
          <w:color w:val="auto"/>
        </w:rPr>
      </w:pPr>
      <w:r>
        <w:rPr>
          <w:rFonts w:hint="eastAsia" w:ascii="Times New Roman"/>
          <w:color w:val="auto"/>
        </w:rPr>
        <w:t>2.8 参加甲方组织的交底会，向甲方、监理、中标单位进行工程量清单交底，陈述清单构成、需重点关注项目、暂定量及暂定款项目等内容，保障各方对清单深入知悉。</w:t>
      </w:r>
    </w:p>
    <w:p w14:paraId="4C4FBACD">
      <w:pPr>
        <w:adjustRightInd/>
        <w:snapToGrid/>
        <w:spacing w:before="0" w:beforeLines="0" w:line="360" w:lineRule="auto"/>
        <w:ind w:firstLine="480"/>
        <w:rPr>
          <w:rFonts w:ascii="Times New Roman"/>
          <w:color w:val="auto"/>
        </w:rPr>
      </w:pPr>
      <w:r>
        <w:rPr>
          <w:rFonts w:hint="eastAsia" w:ascii="Times New Roman"/>
          <w:color w:val="auto"/>
        </w:rPr>
        <w:t>2.9 协助甲方起草或审核、协商各项中标工程的合同文件，</w:t>
      </w:r>
      <w:r>
        <w:rPr>
          <w:rFonts w:hint="eastAsia" w:ascii="Times New Roman"/>
          <w:color w:val="auto"/>
          <w:lang w:val="zh-CN"/>
        </w:rPr>
        <w:t>负责合同的</w:t>
      </w:r>
      <w:r>
        <w:rPr>
          <w:rFonts w:hint="eastAsia" w:ascii="Times New Roman"/>
          <w:color w:val="auto"/>
        </w:rPr>
        <w:t>拟稿及编制工作</w:t>
      </w:r>
      <w:r>
        <w:rPr>
          <w:rFonts w:hint="eastAsia" w:ascii="Times New Roman"/>
          <w:color w:val="auto"/>
          <w:lang w:val="zh-CN"/>
        </w:rPr>
        <w:t>（依据甲方提供资料在2天内完成合同拟稿工作）。</w:t>
      </w:r>
      <w:r>
        <w:rPr>
          <w:rFonts w:hint="eastAsia" w:ascii="Times New Roman"/>
          <w:color w:val="auto"/>
        </w:rPr>
        <w:t>充分维护甲方的合法权益，确保合同条款严密、合法合规并符合甲方及有关主管部门要求，尤其对易引发索赔的条款逐一严格审核，及时与甲方沟通反馈；力求合同条款完善、词句严谨、内容合法有效、各方权责明晰，并严格审查资质证明等资料，避免合同及法律纠纷的发生。</w:t>
      </w:r>
    </w:p>
    <w:p w14:paraId="1B7CE75E">
      <w:pPr>
        <w:adjustRightInd/>
        <w:snapToGrid/>
        <w:spacing w:before="0" w:beforeLines="0" w:line="360" w:lineRule="auto"/>
        <w:ind w:firstLine="480"/>
        <w:rPr>
          <w:rFonts w:ascii="Times New Roman"/>
          <w:color w:val="auto"/>
        </w:rPr>
      </w:pPr>
      <w:r>
        <w:rPr>
          <w:rFonts w:hint="eastAsia" w:ascii="Times New Roman"/>
          <w:color w:val="auto"/>
        </w:rPr>
        <w:t>2.10提供并整理招标过程中的招标文件及往来文件。</w:t>
      </w:r>
    </w:p>
    <w:p w14:paraId="1C6A48BE">
      <w:pPr>
        <w:adjustRightInd/>
        <w:snapToGrid/>
        <w:spacing w:before="0" w:beforeLines="0" w:line="360" w:lineRule="auto"/>
        <w:ind w:firstLine="480"/>
        <w:rPr>
          <w:rFonts w:ascii="Times New Roman"/>
          <w:color w:val="auto"/>
        </w:rPr>
      </w:pPr>
      <w:r>
        <w:rPr>
          <w:rFonts w:hint="eastAsia" w:ascii="Times New Roman"/>
          <w:color w:val="auto"/>
        </w:rPr>
        <w:t>2.11 其他甲方安排的工作。</w:t>
      </w:r>
    </w:p>
    <w:p w14:paraId="6752A3F1">
      <w:pPr>
        <w:adjustRightInd/>
        <w:snapToGrid/>
        <w:spacing w:before="0" w:beforeLines="0" w:line="360" w:lineRule="auto"/>
        <w:ind w:firstLine="482"/>
        <w:rPr>
          <w:rFonts w:ascii="Times New Roman"/>
          <w:b/>
          <w:bCs/>
        </w:rPr>
      </w:pPr>
      <w:r>
        <w:rPr>
          <w:rFonts w:hint="eastAsia" w:ascii="Times New Roman"/>
          <w:b/>
          <w:bCs/>
        </w:rPr>
        <w:t>3、工程施工阶段</w:t>
      </w:r>
    </w:p>
    <w:p w14:paraId="6CE9E3BA">
      <w:pPr>
        <w:autoSpaceDE w:val="0"/>
        <w:autoSpaceDN w:val="0"/>
        <w:spacing w:before="0" w:beforeLines="0" w:line="360" w:lineRule="auto"/>
        <w:ind w:firstLine="484" w:firstLineChars="202"/>
        <w:rPr>
          <w:rFonts w:ascii="Times New Roman"/>
        </w:rPr>
      </w:pPr>
      <w:r>
        <w:rPr>
          <w:rFonts w:hint="eastAsia" w:ascii="Times New Roman"/>
        </w:rPr>
        <w:t>3.1对甲方与所有承包人之间的合同，全方位动态跟踪监督履约情况，编制管理合同台账（定期向委托方提交更新的电子版管理台账），及时察觉违约迹象，准确判断违约情形，合理预见潜在违约风险，迅速处理涉及造价管理的履约问题，按委托合同范围协助处理与承包人在合同及造价方面纠纷，包括包括违约预见后的处理以及违约发生后的应对处理。</w:t>
      </w:r>
    </w:p>
    <w:p w14:paraId="3B4CFBA1">
      <w:pPr>
        <w:autoSpaceDE w:val="0"/>
        <w:autoSpaceDN w:val="0"/>
        <w:spacing w:before="0" w:beforeLines="0" w:line="360" w:lineRule="auto"/>
        <w:ind w:firstLine="484" w:firstLineChars="202"/>
        <w:rPr>
          <w:rFonts w:ascii="Times New Roman"/>
        </w:rPr>
      </w:pPr>
      <w:r>
        <w:rPr>
          <w:rFonts w:hint="eastAsia" w:ascii="Times New Roman"/>
        </w:rPr>
        <w:t>3.2对项目进行定期及不定期巡检，梳理分析巡检结果，以月报、季报书面报告合同履约情况及相关建议。</w:t>
      </w:r>
    </w:p>
    <w:p w14:paraId="02E3A337">
      <w:pPr>
        <w:autoSpaceDE w:val="0"/>
        <w:autoSpaceDN w:val="0"/>
        <w:spacing w:before="0" w:beforeLines="0" w:line="360" w:lineRule="auto"/>
        <w:ind w:firstLine="484" w:firstLineChars="202"/>
        <w:rPr>
          <w:rFonts w:ascii="Times New Roman"/>
        </w:rPr>
      </w:pPr>
      <w:r>
        <w:rPr>
          <w:rFonts w:hint="eastAsia" w:ascii="Times New Roman"/>
        </w:rPr>
        <w:t>3.3建立项目的成本动态监控管理台账，对各成本科目的实际发生额、支出进度、与预算的偏差等关键指标进行动态跟踪。</w:t>
      </w:r>
    </w:p>
    <w:p w14:paraId="7574C553">
      <w:pPr>
        <w:autoSpaceDE w:val="0"/>
        <w:autoSpaceDN w:val="0"/>
        <w:spacing w:before="0" w:beforeLines="0" w:line="360" w:lineRule="auto"/>
        <w:ind w:firstLine="484" w:firstLineChars="202"/>
        <w:rPr>
          <w:rFonts w:hAnsi="宋体" w:cs="宋体"/>
        </w:rPr>
      </w:pPr>
      <w:r>
        <w:rPr>
          <w:rFonts w:hint="eastAsia" w:ascii="Times New Roman"/>
        </w:rPr>
        <w:t>3.4</w:t>
      </w:r>
      <w:r>
        <w:rPr>
          <w:rFonts w:hint="eastAsia" w:hAnsi="宋体" w:cs="宋体"/>
        </w:rPr>
        <w:t>根据施工合同、施工图纸、纪要文件、送审资料等，及时独立计算各标段(工区)工程量，并出具原始计算成果资料。</w:t>
      </w:r>
    </w:p>
    <w:p w14:paraId="0BCB566F">
      <w:pPr>
        <w:autoSpaceDE w:val="0"/>
        <w:autoSpaceDN w:val="0"/>
        <w:spacing w:before="0" w:beforeLines="0" w:line="360" w:lineRule="auto"/>
        <w:ind w:firstLine="484" w:firstLineChars="202"/>
        <w:rPr>
          <w:rFonts w:hAnsi="宋体" w:cs="宋体"/>
        </w:rPr>
      </w:pPr>
      <w:r>
        <w:rPr>
          <w:rFonts w:hint="eastAsia" w:ascii="Times New Roman"/>
        </w:rPr>
        <w:t>3.5</w:t>
      </w:r>
      <w:r>
        <w:rPr>
          <w:rFonts w:hint="eastAsia" w:hAnsi="宋体" w:cs="宋体"/>
        </w:rPr>
        <w:t>对施工合同中约定需进行预算修编和施工过程中需要调整项目的预算进行编制及审核，并建立相应预算管理台账及出具正式审核报告。</w:t>
      </w:r>
    </w:p>
    <w:p w14:paraId="58F7E500">
      <w:pPr>
        <w:autoSpaceDE w:val="0"/>
        <w:autoSpaceDN w:val="0"/>
        <w:spacing w:before="0" w:beforeLines="0" w:line="360" w:lineRule="auto"/>
        <w:ind w:firstLine="484" w:firstLineChars="202"/>
        <w:rPr>
          <w:rFonts w:hAnsi="宋体" w:cs="宋体"/>
        </w:rPr>
      </w:pPr>
      <w:r>
        <w:rPr>
          <w:rFonts w:hint="eastAsia" w:ascii="Times New Roman"/>
        </w:rPr>
        <w:t>3.6 依</w:t>
      </w:r>
      <w:r>
        <w:rPr>
          <w:rFonts w:hint="eastAsia" w:hAnsi="宋体" w:cs="宋体"/>
        </w:rPr>
        <w:t>据正式施工图纸、施工合同、招投标文件等文件对合同清单量、新增单价（如有）及时进行独立计算、修正，留存原始成果资料；审核承包人上报的工程量清单更新资料，组织施工、监理、设计等相关单位核对确认后出具正式报告；对比合同清单和更新清单，找差异原因，建立清单更新台账等，协助甲方完善工程量清单更新管理办法等相关工作。</w:t>
      </w:r>
    </w:p>
    <w:p w14:paraId="00DCB3BB">
      <w:pPr>
        <w:autoSpaceDE w:val="0"/>
        <w:autoSpaceDN w:val="0"/>
        <w:spacing w:before="0" w:beforeLines="0" w:line="360" w:lineRule="auto"/>
        <w:ind w:firstLine="484" w:firstLineChars="202"/>
        <w:rPr>
          <w:rFonts w:ascii="Times New Roman"/>
        </w:rPr>
      </w:pPr>
      <w:r>
        <w:rPr>
          <w:rFonts w:hint="eastAsia" w:ascii="Times New Roman"/>
        </w:rPr>
        <w:t>3.7 会同施工单位、监理单位、委托人办理签证、变更流程，对变更或签证工程量及造价及时进行独立计算，同步开展主要材料、设备市场询价，留存原始计算过程资料；核查各类变更的签证手续合理性、合规性、及时性、完整性与真实性，出具审核意见及报告；参加甲方组织的各类签证、变更相关会议，从投资控制角度提出建设性意见。对于设计变更及施工方案变更提供多方案经济分析，有效控制工程造价。建立签证、变更管理台账等。</w:t>
      </w:r>
    </w:p>
    <w:p w14:paraId="22DFA9D8">
      <w:pPr>
        <w:autoSpaceDE w:val="0"/>
        <w:autoSpaceDN w:val="0"/>
        <w:spacing w:before="0" w:beforeLines="0" w:line="360" w:lineRule="auto"/>
        <w:ind w:firstLine="484" w:firstLineChars="202"/>
        <w:rPr>
          <w:rFonts w:ascii="Times New Roman"/>
          <w:sz w:val="21"/>
        </w:rPr>
      </w:pPr>
      <w:r>
        <w:rPr>
          <w:rFonts w:hint="eastAsia" w:ascii="Times New Roman"/>
        </w:rPr>
        <w:t xml:space="preserve">3.8 </w:t>
      </w:r>
      <w:r>
        <w:rPr>
          <w:rFonts w:hint="eastAsia" w:hAnsi="宋体" w:cs="宋体"/>
        </w:rPr>
        <w:t>根据甲方要求，参与合同补充文件的起草、谈判和组织签署。</w:t>
      </w:r>
    </w:p>
    <w:p w14:paraId="7391353D">
      <w:pPr>
        <w:adjustRightInd/>
        <w:snapToGrid/>
        <w:spacing w:before="0" w:beforeLines="0" w:line="360" w:lineRule="auto"/>
        <w:ind w:firstLine="480"/>
        <w:rPr>
          <w:rFonts w:ascii="Times New Roman"/>
        </w:rPr>
      </w:pPr>
      <w:r>
        <w:rPr>
          <w:rFonts w:hint="eastAsia" w:ascii="Times New Roman"/>
        </w:rPr>
        <w:t>3.9 参与工程形象进度确认及工程进度款支付的确定，对工程实施过程中发生的工程进度进行（需要在现场同甲方工程师、监理一起核对）抽查核实，严格审核承包人提交的工程计量支付资料并建立相关台帐。审核工程款支付申请，工程进度款及预付款应控制在合同约定的额度内，并协助甲方修订和完善计量支付管理办法，做好各项资料归档工作，建立产值台账等。</w:t>
      </w:r>
    </w:p>
    <w:p w14:paraId="12F077DB">
      <w:pPr>
        <w:autoSpaceDE w:val="0"/>
        <w:autoSpaceDN w:val="0"/>
        <w:spacing w:before="0" w:beforeLines="0" w:line="360" w:lineRule="auto"/>
        <w:ind w:firstLine="484" w:firstLineChars="202"/>
        <w:rPr>
          <w:rFonts w:hAnsi="宋体" w:cs="宋体"/>
        </w:rPr>
      </w:pPr>
      <w:r>
        <w:rPr>
          <w:rFonts w:hint="eastAsia" w:ascii="Times New Roman"/>
        </w:rPr>
        <w:t xml:space="preserve">3.10 </w:t>
      </w:r>
      <w:r>
        <w:rPr>
          <w:rFonts w:hint="eastAsia" w:hAnsi="宋体" w:cs="宋体"/>
        </w:rPr>
        <w:t>针对合同暂估项目（包括暂定数量、暂定单价、整项暂估价以及暂列金额等），协助甲方按照合同约定的方式或程序及时确认并调整量差或价差。</w:t>
      </w:r>
    </w:p>
    <w:p w14:paraId="54916D56">
      <w:pPr>
        <w:autoSpaceDE w:val="0"/>
        <w:autoSpaceDN w:val="0"/>
        <w:spacing w:before="0" w:beforeLines="0" w:line="360" w:lineRule="auto"/>
        <w:ind w:firstLine="484" w:firstLineChars="202"/>
        <w:rPr>
          <w:rFonts w:hAnsi="宋体" w:cs="宋体"/>
        </w:rPr>
      </w:pPr>
      <w:r>
        <w:rPr>
          <w:rFonts w:hint="eastAsia" w:ascii="Times New Roman"/>
        </w:rPr>
        <w:t xml:space="preserve">3.11 </w:t>
      </w:r>
      <w:r>
        <w:rPr>
          <w:rFonts w:hint="eastAsia" w:hAnsi="宋体" w:cs="宋体"/>
        </w:rPr>
        <w:t>对合同允许调差内容(如人工费、材料调差等)按合同约定及相关政府文件审核，出具审核报告, 并建立台账。</w:t>
      </w:r>
    </w:p>
    <w:p w14:paraId="6740529D">
      <w:pPr>
        <w:autoSpaceDE w:val="0"/>
        <w:autoSpaceDN w:val="0"/>
        <w:spacing w:before="0" w:beforeLines="0" w:line="360" w:lineRule="auto"/>
        <w:ind w:firstLine="484" w:firstLineChars="202"/>
        <w:rPr>
          <w:rFonts w:hAnsi="宋体" w:cs="宋体"/>
        </w:rPr>
      </w:pPr>
      <w:r>
        <w:rPr>
          <w:rFonts w:hint="eastAsia" w:ascii="Times New Roman"/>
        </w:rPr>
        <w:t xml:space="preserve">3.12 </w:t>
      </w:r>
      <w:r>
        <w:rPr>
          <w:rFonts w:hint="eastAsia" w:hAnsi="宋体" w:cs="宋体"/>
        </w:rPr>
        <w:t>应甲方要求，依托</w:t>
      </w:r>
      <w:r>
        <w:rPr>
          <w:rFonts w:hint="eastAsia" w:ascii="Times New Roman"/>
        </w:rPr>
        <w:t>乙方</w:t>
      </w:r>
      <w:r>
        <w:rPr>
          <w:rFonts w:hint="eastAsia" w:hAnsi="宋体" w:cs="宋体"/>
        </w:rPr>
        <w:t>数据库结合市场询价，为甲方提供材料、设备、系统、工艺等市场询价服务，出具询价结果报告,并给出相关建议。</w:t>
      </w:r>
    </w:p>
    <w:p w14:paraId="3F05329B">
      <w:pPr>
        <w:autoSpaceDE w:val="0"/>
        <w:autoSpaceDN w:val="0"/>
        <w:spacing w:before="0" w:beforeLines="0" w:line="360" w:lineRule="auto"/>
        <w:ind w:firstLine="484" w:firstLineChars="202"/>
        <w:rPr>
          <w:rFonts w:ascii="Times New Roman"/>
        </w:rPr>
      </w:pPr>
      <w:r>
        <w:rPr>
          <w:rFonts w:hint="eastAsia" w:ascii="Times New Roman"/>
        </w:rPr>
        <w:t>3.13建立动态材料和设备价格信息库，收集项目当地价格走势，建立常用材料设备指导价，以指导工程建设中的核价工作，确保材料、设备价格合理。</w:t>
      </w:r>
    </w:p>
    <w:p w14:paraId="0D865285">
      <w:pPr>
        <w:autoSpaceDE w:val="0"/>
        <w:autoSpaceDN w:val="0"/>
        <w:spacing w:before="0" w:beforeLines="0" w:line="360" w:lineRule="auto"/>
        <w:ind w:firstLine="484" w:firstLineChars="202"/>
        <w:rPr>
          <w:rFonts w:ascii="Times New Roman"/>
        </w:rPr>
      </w:pPr>
      <w:r>
        <w:rPr>
          <w:rFonts w:hint="eastAsia" w:ascii="Times New Roman"/>
        </w:rPr>
        <w:t xml:space="preserve">3.14 对于隐蔽工程必须及时、紧密跟踪工程施工情况，参加原始测量验收，审核工程量，对隐蔽工程的查看和验收须响应甲方要求随叫随到（接到甲方通知2个小时以内到达现场）。 </w:t>
      </w:r>
    </w:p>
    <w:p w14:paraId="648EEE2C">
      <w:pPr>
        <w:autoSpaceDE w:val="0"/>
        <w:autoSpaceDN w:val="0"/>
        <w:spacing w:before="0" w:beforeLines="0" w:line="360" w:lineRule="auto"/>
        <w:ind w:firstLine="484" w:firstLineChars="202"/>
        <w:rPr>
          <w:rFonts w:ascii="Times New Roman"/>
        </w:rPr>
      </w:pPr>
      <w:r>
        <w:rPr>
          <w:rFonts w:hint="eastAsia" w:ascii="Times New Roman"/>
        </w:rPr>
        <w:t>3.15 按照甲方实测要求对各专业进行实测实量，在不同的施工阶段针对不同的专业，结合施工图纸，联合项目部、监理对现场使用材料、施工工序现场测量、记录，并及时登记反馈实测信息。</w:t>
      </w:r>
    </w:p>
    <w:p w14:paraId="52F2FC17">
      <w:pPr>
        <w:autoSpaceDE w:val="0"/>
        <w:autoSpaceDN w:val="0"/>
        <w:spacing w:before="0" w:beforeLines="0" w:line="360" w:lineRule="auto"/>
        <w:ind w:firstLine="484" w:firstLineChars="202"/>
        <w:rPr>
          <w:rFonts w:ascii="Times New Roman"/>
        </w:rPr>
      </w:pPr>
      <w:r>
        <w:rPr>
          <w:rFonts w:hint="eastAsia" w:ascii="Times New Roman"/>
        </w:rPr>
        <w:t xml:space="preserve">3.16 </w:t>
      </w:r>
      <w:r>
        <w:rPr>
          <w:rFonts w:ascii="Times New Roman"/>
        </w:rPr>
        <w:t>在甲方有要求时到施工现场了解施工情况并处理与工程造价相关的纠纷问题，</w:t>
      </w:r>
      <w:r>
        <w:rPr>
          <w:rFonts w:hint="eastAsia" w:ascii="Times New Roman"/>
        </w:rPr>
        <w:t>及时</w:t>
      </w:r>
      <w:r>
        <w:rPr>
          <w:rFonts w:ascii="Times New Roman"/>
        </w:rPr>
        <w:t>向甲方提供工作报告，总结完成的工作及发现有关工程造价的问题</w:t>
      </w:r>
      <w:r>
        <w:rPr>
          <w:rFonts w:hint="eastAsia" w:ascii="Times New Roman"/>
        </w:rPr>
        <w:t>。</w:t>
      </w:r>
    </w:p>
    <w:p w14:paraId="16703818">
      <w:pPr>
        <w:autoSpaceDE w:val="0"/>
        <w:autoSpaceDN w:val="0"/>
        <w:spacing w:before="0" w:beforeLines="0" w:line="360" w:lineRule="auto"/>
        <w:ind w:firstLine="484" w:firstLineChars="202"/>
        <w:rPr>
          <w:rFonts w:ascii="Times New Roman"/>
        </w:rPr>
      </w:pPr>
      <w:r>
        <w:rPr>
          <w:rFonts w:hint="eastAsia" w:ascii="Times New Roman"/>
        </w:rPr>
        <w:t>3.17 按甲方要求参加工程例会、图纸会审及各阶段验收工作，配合甲方做好与承包方、监理方的工程协调工作，进行风险分析与风险评估并提出合理化建议。</w:t>
      </w:r>
    </w:p>
    <w:p w14:paraId="1E713F68">
      <w:pPr>
        <w:autoSpaceDE w:val="0"/>
        <w:autoSpaceDN w:val="0"/>
        <w:spacing w:before="0" w:beforeLines="0" w:line="360" w:lineRule="auto"/>
        <w:ind w:firstLine="484" w:firstLineChars="202"/>
        <w:rPr>
          <w:rFonts w:ascii="Times New Roman"/>
        </w:rPr>
      </w:pPr>
      <w:r>
        <w:rPr>
          <w:rFonts w:hint="eastAsia" w:ascii="Times New Roman"/>
        </w:rPr>
        <w:t xml:space="preserve">3.18 </w:t>
      </w:r>
      <w:r>
        <w:rPr>
          <w:rFonts w:hint="eastAsia" w:hAnsi="宋体" w:cs="宋体"/>
        </w:rPr>
        <w:t>对有关合同及造价管理相关的往来函件、会议纪要、工程款项支付资料及签证文件等进行分类归档，并建立往来常见的各类台账，随时向甲方提交文本及电子文档备存，在结算时提供完整文件（包括电子文档）。</w:t>
      </w:r>
    </w:p>
    <w:p w14:paraId="6B88F5A6">
      <w:pPr>
        <w:adjustRightInd/>
        <w:snapToGrid/>
        <w:spacing w:before="0" w:beforeLines="0" w:line="360" w:lineRule="auto"/>
        <w:ind w:firstLine="482"/>
        <w:rPr>
          <w:rFonts w:ascii="Times New Roman"/>
          <w:b/>
          <w:bCs/>
        </w:rPr>
      </w:pPr>
      <w:r>
        <w:rPr>
          <w:rFonts w:hint="eastAsia" w:ascii="Times New Roman"/>
          <w:b/>
          <w:bCs/>
        </w:rPr>
        <w:t>4、工程竣工结算阶段</w:t>
      </w:r>
    </w:p>
    <w:p w14:paraId="27890AE3">
      <w:pPr>
        <w:autoSpaceDE w:val="0"/>
        <w:autoSpaceDN w:val="0"/>
        <w:spacing w:before="0" w:beforeLines="0" w:line="360" w:lineRule="auto"/>
        <w:ind w:firstLine="480"/>
        <w:rPr>
          <w:rFonts w:ascii="Times New Roman"/>
        </w:rPr>
      </w:pPr>
      <w:r>
        <w:rPr>
          <w:rFonts w:hint="eastAsia" w:ascii="Times New Roman"/>
        </w:rPr>
        <w:t>4.1 督促各工程相关承包人按照合同约定及时提交完整、准确的结算资料，编制结算管理台账。</w:t>
      </w:r>
    </w:p>
    <w:p w14:paraId="3F1F776F">
      <w:pPr>
        <w:autoSpaceDE w:val="0"/>
        <w:autoSpaceDN w:val="0"/>
        <w:spacing w:before="0" w:beforeLines="0" w:line="360" w:lineRule="auto"/>
        <w:ind w:firstLine="480"/>
        <w:rPr>
          <w:rFonts w:ascii="Times New Roman"/>
        </w:rPr>
      </w:pPr>
      <w:r>
        <w:rPr>
          <w:rFonts w:hint="eastAsia" w:ascii="Times New Roman"/>
        </w:rPr>
        <w:t>4.2 掌握现场实际情况，依据初步设计文件、相关合同、施工图、竣工图、设计变更、洽商单等资料严格审查结算的有效性、完整性与真实性，梳理数据资料间的逻辑关系，审查由承包人提交的结算资料，查看定额套用、综合单价组成、工程量计算、材料单价，对结算资料的依据性、完整性、合理性和正确性进行审查和分析，据此编制结算审核报告，及时提交甲方审核。</w:t>
      </w:r>
    </w:p>
    <w:p w14:paraId="751B7CE2">
      <w:pPr>
        <w:autoSpaceDE w:val="0"/>
        <w:autoSpaceDN w:val="0"/>
        <w:spacing w:before="0" w:beforeLines="0" w:line="360" w:lineRule="auto"/>
        <w:ind w:firstLine="480"/>
        <w:rPr>
          <w:rFonts w:ascii="Times New Roman"/>
        </w:rPr>
      </w:pPr>
      <w:r>
        <w:rPr>
          <w:rFonts w:hint="eastAsia" w:ascii="Times New Roman"/>
        </w:rPr>
        <w:t>4.3 认真研究已签订的服务范围内的合同，对可能引发索赔的潜在事项提前向甲方发出预警，并同步提供可行的防范措施与专业意见，尽量减少对甲方不利的任何索赔机会，从根源上保护甲方的利益。</w:t>
      </w:r>
    </w:p>
    <w:p w14:paraId="6871562A">
      <w:pPr>
        <w:autoSpaceDE w:val="0"/>
        <w:autoSpaceDN w:val="0"/>
        <w:spacing w:before="0" w:beforeLines="0" w:line="360" w:lineRule="auto"/>
        <w:ind w:firstLine="480"/>
        <w:rPr>
          <w:rFonts w:ascii="Times New Roman"/>
        </w:rPr>
      </w:pPr>
      <w:r>
        <w:rPr>
          <w:rFonts w:hint="eastAsia" w:ascii="Times New Roman"/>
        </w:rPr>
        <w:t>4.4 以合同为依据，对已发生的索赔或反索赔事项认真审核计算，最大程度地保护甲方的利益。</w:t>
      </w:r>
    </w:p>
    <w:p w14:paraId="0D4D5698">
      <w:pPr>
        <w:autoSpaceDE w:val="0"/>
        <w:autoSpaceDN w:val="0"/>
        <w:spacing w:before="0" w:beforeLines="0" w:line="360" w:lineRule="auto"/>
        <w:ind w:firstLine="480"/>
        <w:rPr>
          <w:rFonts w:ascii="Times New Roman"/>
        </w:rPr>
      </w:pPr>
      <w:r>
        <w:rPr>
          <w:rFonts w:hint="eastAsia" w:ascii="Times New Roman"/>
        </w:rPr>
        <w:t>4.5 协调合同执行期间出现的合约条款争议，在因索赔和反索赔引起的诉讼或仲裁中，参与争议解决。</w:t>
      </w:r>
    </w:p>
    <w:p w14:paraId="5CA4CEBA">
      <w:pPr>
        <w:autoSpaceDE w:val="0"/>
        <w:autoSpaceDN w:val="0"/>
        <w:spacing w:before="0" w:beforeLines="0" w:line="360" w:lineRule="auto"/>
        <w:ind w:firstLine="480"/>
        <w:rPr>
          <w:rFonts w:ascii="Times New Roman"/>
        </w:rPr>
      </w:pPr>
      <w:r>
        <w:rPr>
          <w:rFonts w:hint="eastAsia" w:ascii="Times New Roman"/>
        </w:rPr>
        <w:t>4.6 参与竣工验收、竣工结算后评价等各阶段的检查、控制和评价工作。并协助甲方财务部门办理竣工结算支付。</w:t>
      </w:r>
    </w:p>
    <w:p w14:paraId="595EF609">
      <w:pPr>
        <w:autoSpaceDE w:val="0"/>
        <w:autoSpaceDN w:val="0"/>
        <w:spacing w:before="0" w:beforeLines="0" w:line="360" w:lineRule="auto"/>
        <w:ind w:firstLine="480"/>
        <w:rPr>
          <w:rFonts w:ascii="Times New Roman"/>
        </w:rPr>
      </w:pPr>
      <w:r>
        <w:rPr>
          <w:rFonts w:hint="eastAsia" w:ascii="Times New Roman"/>
        </w:rPr>
        <w:t>4.7 根据甲方的需要，配合开展竣工决算工作。</w:t>
      </w:r>
    </w:p>
    <w:p w14:paraId="255BDE15">
      <w:pPr>
        <w:adjustRightInd/>
        <w:snapToGrid/>
        <w:spacing w:before="0" w:beforeLines="0" w:line="360" w:lineRule="auto"/>
        <w:ind w:firstLine="482"/>
        <w:rPr>
          <w:rFonts w:ascii="Times New Roman"/>
          <w:b/>
          <w:bCs/>
        </w:rPr>
      </w:pPr>
      <w:r>
        <w:rPr>
          <w:rFonts w:hint="eastAsia" w:ascii="Times New Roman"/>
          <w:b/>
          <w:bCs/>
        </w:rPr>
        <w:t>5、其他造价服务工作</w:t>
      </w:r>
    </w:p>
    <w:p w14:paraId="36F0F56E">
      <w:pPr>
        <w:autoSpaceDE w:val="0"/>
        <w:autoSpaceDN w:val="0"/>
        <w:spacing w:before="0" w:beforeLines="0" w:line="360" w:lineRule="auto"/>
        <w:ind w:firstLine="480"/>
        <w:rPr>
          <w:rFonts w:ascii="Times New Roman"/>
        </w:rPr>
      </w:pPr>
      <w:r>
        <w:rPr>
          <w:rFonts w:hint="eastAsia" w:ascii="Times New Roman"/>
        </w:rPr>
        <w:t>5.1 配合委托人完成对项目使用的主要材料、设备及构配件的市场询价并出具意见。</w:t>
      </w:r>
    </w:p>
    <w:p w14:paraId="7295F38D">
      <w:pPr>
        <w:autoSpaceDE w:val="0"/>
        <w:autoSpaceDN w:val="0"/>
        <w:spacing w:before="0" w:beforeLines="0" w:line="360" w:lineRule="auto"/>
        <w:ind w:firstLine="480"/>
        <w:rPr>
          <w:rFonts w:ascii="Times New Roman"/>
        </w:rPr>
      </w:pPr>
      <w:r>
        <w:rPr>
          <w:rFonts w:hint="eastAsia" w:ascii="Times New Roman"/>
        </w:rPr>
        <w:t>5.2 协助建立造价基数数据信息。根据甲方造价管理需求，进行收集、整理造价指标基数数据，并协助甲方进行经济技术指标分析，建立材料、设备价格基础信息库。</w:t>
      </w:r>
    </w:p>
    <w:p w14:paraId="50550C79">
      <w:pPr>
        <w:autoSpaceDE w:val="0"/>
        <w:autoSpaceDN w:val="0"/>
        <w:spacing w:before="0" w:beforeLines="0" w:line="360" w:lineRule="auto"/>
        <w:ind w:firstLine="480"/>
        <w:rPr>
          <w:rFonts w:ascii="Times New Roman"/>
        </w:rPr>
      </w:pPr>
      <w:r>
        <w:rPr>
          <w:rFonts w:hint="eastAsia" w:ascii="Times New Roman"/>
        </w:rPr>
        <w:t>5.3 造价服务的各类台账、资料整理及归档。按照档案管理需求，分门别类，收集整理好各阶段的造价资料及台帐：</w:t>
      </w:r>
    </w:p>
    <w:p w14:paraId="2AB007B3">
      <w:pPr>
        <w:autoSpaceDE w:val="0"/>
        <w:autoSpaceDN w:val="0"/>
        <w:spacing w:before="0" w:beforeLines="0" w:line="360" w:lineRule="auto"/>
        <w:ind w:firstLine="480"/>
        <w:rPr>
          <w:rFonts w:ascii="Times New Roman"/>
        </w:rPr>
      </w:pPr>
      <w:r>
        <w:rPr>
          <w:rFonts w:hint="eastAsia" w:ascii="Times New Roman"/>
        </w:rPr>
        <w:t>（1）对于经甲方认可、最终定案的造价成果文件(包括乙方独立计算的过程资料、审核报告等)，乙方需及时向甲方递交相应份数(至少2份，具体以甲方要求为准)的纸质文件（要求签字、盖章完整，不得代签、漏签），同时还需递交电子文件一份（电子文件需与纸质文件完全一致，PDF、EXCEL等格式），以做归档之用。</w:t>
      </w:r>
    </w:p>
    <w:p w14:paraId="275B2140">
      <w:pPr>
        <w:autoSpaceDE w:val="0"/>
        <w:autoSpaceDN w:val="0"/>
        <w:spacing w:before="0" w:beforeLines="0" w:line="360" w:lineRule="auto"/>
        <w:ind w:firstLine="480"/>
        <w:rPr>
          <w:rFonts w:ascii="Times New Roman"/>
        </w:rPr>
      </w:pPr>
      <w:r>
        <w:rPr>
          <w:rFonts w:hint="eastAsia" w:ascii="Times New Roman"/>
        </w:rPr>
        <w:t>（2）乙方需至少留存纸质与电子文件各一套，并做详细台账，以备随时查阅。</w:t>
      </w:r>
    </w:p>
    <w:p w14:paraId="3CC84FA7">
      <w:pPr>
        <w:autoSpaceDE w:val="0"/>
        <w:autoSpaceDN w:val="0"/>
        <w:spacing w:before="0" w:beforeLines="0" w:line="360" w:lineRule="auto"/>
        <w:ind w:firstLine="480"/>
        <w:rPr>
          <w:rFonts w:ascii="Times New Roman"/>
        </w:rPr>
      </w:pPr>
      <w:r>
        <w:rPr>
          <w:rFonts w:hint="eastAsia" w:ascii="Times New Roman"/>
        </w:rPr>
        <w:t>5.4 价格市场对标分析</w:t>
      </w:r>
    </w:p>
    <w:p w14:paraId="420F7C66">
      <w:pPr>
        <w:autoSpaceDE w:val="0"/>
        <w:autoSpaceDN w:val="0"/>
        <w:spacing w:before="0" w:beforeLines="0" w:line="360" w:lineRule="auto"/>
        <w:ind w:firstLine="484" w:firstLineChars="202"/>
        <w:rPr>
          <w:rFonts w:ascii="Times New Roman"/>
        </w:rPr>
      </w:pPr>
      <w:r>
        <w:rPr>
          <w:rFonts w:hint="eastAsia" w:ascii="Times New Roman"/>
        </w:rPr>
        <w:t>（1）对预算价格开展市场调查，并进行对比分析，确保预算价格符合市场水平。</w:t>
      </w:r>
    </w:p>
    <w:p w14:paraId="49AAEFD5">
      <w:pPr>
        <w:autoSpaceDE w:val="0"/>
        <w:autoSpaceDN w:val="0"/>
        <w:spacing w:before="0" w:beforeLines="0" w:line="360" w:lineRule="auto"/>
        <w:ind w:firstLine="484" w:firstLineChars="202"/>
        <w:rPr>
          <w:rFonts w:ascii="Times New Roman"/>
        </w:rPr>
      </w:pPr>
      <w:r>
        <w:rPr>
          <w:rFonts w:hint="eastAsia" w:ascii="Times New Roman"/>
        </w:rPr>
        <w:t>（2）分析定额价格与市场价格之间的差异，出具分析报告支持甲方进行价格决策。</w:t>
      </w:r>
    </w:p>
    <w:p w14:paraId="6040C7A9">
      <w:pPr>
        <w:autoSpaceDE w:val="0"/>
        <w:autoSpaceDN w:val="0"/>
        <w:spacing w:before="0" w:beforeLines="0" w:line="360" w:lineRule="auto"/>
        <w:ind w:firstLine="484" w:firstLineChars="202"/>
        <w:rPr>
          <w:rFonts w:ascii="Times New Roman"/>
        </w:rPr>
      </w:pPr>
      <w:r>
        <w:rPr>
          <w:rFonts w:hint="eastAsia" w:ascii="Times New Roman"/>
        </w:rPr>
        <w:t>5.5 根据甲方的需要，配合甲方的过程审计、工程结算审计工作，主动了解审计进展情况，对政府审计单位提出的疑问予以解答、解决，积极推进审计工作完成。</w:t>
      </w:r>
    </w:p>
    <w:p w14:paraId="273C3449">
      <w:pPr>
        <w:autoSpaceDE w:val="0"/>
        <w:autoSpaceDN w:val="0"/>
        <w:spacing w:before="0" w:beforeLines="0" w:line="360" w:lineRule="auto"/>
        <w:ind w:firstLine="484" w:firstLineChars="202"/>
        <w:rPr>
          <w:rFonts w:ascii="Times New Roman"/>
        </w:rPr>
      </w:pPr>
      <w:r>
        <w:rPr>
          <w:rFonts w:hint="eastAsia" w:ascii="Times New Roman"/>
        </w:rPr>
        <w:t>5.6 图纸、资料、财产以及数据管理</w:t>
      </w:r>
    </w:p>
    <w:p w14:paraId="6B3DC1BF">
      <w:pPr>
        <w:autoSpaceDE w:val="0"/>
        <w:autoSpaceDN w:val="0"/>
        <w:spacing w:before="0" w:beforeLines="0" w:line="360" w:lineRule="auto"/>
        <w:ind w:firstLine="484" w:firstLineChars="202"/>
        <w:rPr>
          <w:rFonts w:ascii="Times New Roman"/>
        </w:rPr>
      </w:pPr>
      <w:r>
        <w:rPr>
          <w:rFonts w:hint="eastAsia" w:ascii="Times New Roman"/>
        </w:rPr>
        <w:t>（1）制定有效的项目合同、造价档案管理办法和工作程序，并据此进行档案资料管理，确保项目实施过程中形成的与合约和造价有关的所有资料或信息均完备、清晰并可追溯。</w:t>
      </w:r>
    </w:p>
    <w:p w14:paraId="13E2F4CA">
      <w:pPr>
        <w:autoSpaceDE w:val="0"/>
        <w:autoSpaceDN w:val="0"/>
        <w:spacing w:before="0" w:beforeLines="0" w:line="360" w:lineRule="auto"/>
        <w:ind w:firstLine="484" w:firstLineChars="202"/>
        <w:rPr>
          <w:rFonts w:ascii="Times New Roman"/>
        </w:rPr>
      </w:pPr>
      <w:r>
        <w:rPr>
          <w:rFonts w:hint="eastAsia" w:ascii="Times New Roman"/>
        </w:rPr>
        <w:t>（2）对于甲方提供的图纸、资料、财产以及需要移交给甲方的档案和资料等，应妥善保管并在项目服务工作全部结束后及时办理移交手续。</w:t>
      </w:r>
    </w:p>
    <w:p w14:paraId="73D7FB29">
      <w:pPr>
        <w:autoSpaceDE w:val="0"/>
        <w:autoSpaceDN w:val="0"/>
        <w:spacing w:before="0" w:beforeLines="0" w:line="360" w:lineRule="auto"/>
        <w:ind w:firstLine="484" w:firstLineChars="202"/>
        <w:rPr>
          <w:rFonts w:ascii="Times New Roman"/>
        </w:rPr>
      </w:pPr>
      <w:r>
        <w:rPr>
          <w:rFonts w:hint="eastAsia" w:ascii="Times New Roman"/>
        </w:rPr>
        <w:t>（3）根据甲方数据管理规定，在项目实施过程中，对于任何有价值的数据和信息及时分析、整理并录入到甲方数据库。</w:t>
      </w:r>
    </w:p>
    <w:p w14:paraId="49C81D5D">
      <w:pPr>
        <w:autoSpaceDE w:val="0"/>
        <w:autoSpaceDN w:val="0"/>
        <w:spacing w:before="0" w:beforeLines="0" w:line="360" w:lineRule="auto"/>
        <w:ind w:firstLine="484" w:firstLineChars="202"/>
        <w:rPr>
          <w:rFonts w:ascii="Times New Roman"/>
          <w:lang w:val="zh-CN"/>
        </w:rPr>
      </w:pPr>
      <w:r>
        <w:rPr>
          <w:rFonts w:hint="eastAsia" w:ascii="Times New Roman"/>
        </w:rPr>
        <w:t>5.7 根据甲方要求完成的其它有关造价服务业务的相关事宜。包含但不限于</w:t>
      </w:r>
      <w:r>
        <w:rPr>
          <w:rFonts w:hint="eastAsia" w:ascii="Times New Roman"/>
          <w:lang w:val="zh-CN"/>
        </w:rPr>
        <w:t>审核</w:t>
      </w:r>
      <w:r>
        <w:rPr>
          <w:rFonts w:hint="eastAsia" w:ascii="Times New Roman"/>
        </w:rPr>
        <w:t>本</w:t>
      </w:r>
      <w:r>
        <w:rPr>
          <w:rFonts w:hint="eastAsia" w:ascii="Times New Roman"/>
          <w:lang w:val="zh-CN"/>
        </w:rPr>
        <w:t>工程服务项目的招标控制价、结算，参加造价</w:t>
      </w:r>
      <w:r>
        <w:rPr>
          <w:rFonts w:hint="eastAsia" w:ascii="Times New Roman"/>
        </w:rPr>
        <w:t>服务</w:t>
      </w:r>
      <w:r>
        <w:rPr>
          <w:rFonts w:hint="eastAsia" w:ascii="Times New Roman"/>
          <w:lang w:val="zh-CN"/>
        </w:rPr>
        <w:t>管理工作相关的会议，定期组织业务培训，配合甲方做好固定资产投资移交工作，协助甲方配合政府造价管理部门进行定额编制及测算工作等。</w:t>
      </w:r>
    </w:p>
    <w:p w14:paraId="0E7E9BCF">
      <w:pPr>
        <w:adjustRightInd/>
        <w:snapToGrid/>
        <w:spacing w:before="0" w:beforeLines="0" w:line="360" w:lineRule="auto"/>
        <w:ind w:firstLine="482"/>
        <w:outlineLvl w:val="2"/>
        <w:rPr>
          <w:rFonts w:hAnsi="宋体" w:cs="宋体"/>
          <w:b/>
        </w:rPr>
      </w:pPr>
      <w:bookmarkStart w:id="1279" w:name="_Toc193981328"/>
      <w:r>
        <w:rPr>
          <w:rFonts w:hint="eastAsia" w:hAnsi="宋体" w:cs="宋体"/>
          <w:b/>
        </w:rPr>
        <w:t>（二）服务要求</w:t>
      </w:r>
      <w:bookmarkEnd w:id="1279"/>
    </w:p>
    <w:p w14:paraId="14F0922C">
      <w:pPr>
        <w:autoSpaceDE w:val="0"/>
        <w:autoSpaceDN w:val="0"/>
        <w:snapToGrid/>
        <w:spacing w:before="0" w:beforeLines="0" w:line="360" w:lineRule="auto"/>
        <w:ind w:firstLine="484" w:firstLineChars="202"/>
        <w:rPr>
          <w:rFonts w:hAnsi="宋体" w:cs="宋体"/>
          <w:lang w:val="zh-CN"/>
        </w:rPr>
      </w:pPr>
      <w:r>
        <w:rPr>
          <w:rFonts w:hint="eastAsia" w:hAnsi="宋体" w:cs="宋体"/>
          <w:lang w:val="zh-CN"/>
        </w:rPr>
        <w:t>（1）乙方要严格遵守国家、地方、行业的法律、法规和有关规章制度，严格遵守《工程造价咨询单位行为准则》、《造价工程师职业道德行为准则》。</w:t>
      </w:r>
    </w:p>
    <w:p w14:paraId="3D52C86C">
      <w:pPr>
        <w:autoSpaceDE w:val="0"/>
        <w:autoSpaceDN w:val="0"/>
        <w:snapToGrid/>
        <w:spacing w:before="0" w:beforeLines="0" w:line="360" w:lineRule="auto"/>
        <w:ind w:firstLine="484" w:firstLineChars="202"/>
        <w:rPr>
          <w:rFonts w:hAnsi="宋体" w:cs="宋体"/>
          <w:lang w:val="zh-CN"/>
        </w:rPr>
      </w:pPr>
      <w:r>
        <w:rPr>
          <w:rFonts w:hint="eastAsia" w:hAnsi="宋体" w:cs="宋体"/>
          <w:lang w:val="zh-CN"/>
        </w:rPr>
        <w:t>（2）乙方在进行造价咨询成果文件编制时，对图纸不清或把握不准的要向甲方进行反映并沟通；对工程量清单要进行描述并表述清楚，不能含糊不清或模棱两可。</w:t>
      </w:r>
    </w:p>
    <w:p w14:paraId="1ECA632A">
      <w:pPr>
        <w:autoSpaceDE w:val="0"/>
        <w:autoSpaceDN w:val="0"/>
        <w:snapToGrid/>
        <w:spacing w:before="0" w:beforeLines="0" w:line="360" w:lineRule="auto"/>
        <w:ind w:firstLine="484" w:firstLineChars="202"/>
        <w:rPr>
          <w:rFonts w:hAnsi="宋体" w:cs="宋体"/>
          <w:lang w:val="zh-CN"/>
        </w:rPr>
      </w:pPr>
      <w:r>
        <w:rPr>
          <w:rFonts w:hint="eastAsia" w:hAnsi="宋体" w:cs="宋体"/>
          <w:lang w:val="zh-CN"/>
        </w:rPr>
        <w:t>（3）乙方应在规定的时间向甲方提供造价咨询成果文件和工程量计算式，甲方进行审核，发现有疑问或工程量数据有出入，可向乙方提出异议以及合理的意见和建议，乙方应积极解答或与甲方（或其委托的专业造价咨询机构）核对，根据审查意见和终审意见并依据工程项目的客观实际情况修改后，乙方出具最符合独立、客观、公正、正确等要求的正式造价咨询文件（含书面文件及电子文件）。</w:t>
      </w:r>
    </w:p>
    <w:p w14:paraId="68A3ACEB">
      <w:pPr>
        <w:autoSpaceDE w:val="0"/>
        <w:autoSpaceDN w:val="0"/>
        <w:snapToGrid/>
        <w:spacing w:before="0" w:beforeLines="0" w:line="360" w:lineRule="auto"/>
        <w:ind w:firstLine="484" w:firstLineChars="202"/>
        <w:rPr>
          <w:rFonts w:hAnsi="宋体" w:cs="宋体"/>
          <w:lang w:val="zh-CN"/>
        </w:rPr>
      </w:pPr>
      <w:r>
        <w:rPr>
          <w:rFonts w:hint="eastAsia" w:hAnsi="宋体" w:cs="宋体"/>
          <w:lang w:val="zh-CN"/>
        </w:rPr>
        <w:t>（4）乙方应服从甲方的安排，参加造价咨询服务所需数据采集过程中需要乙方到场参与的工作（如现场收方、工程量实地测量等）。</w:t>
      </w:r>
    </w:p>
    <w:p w14:paraId="7F72DFC0">
      <w:pPr>
        <w:autoSpaceDE w:val="0"/>
        <w:autoSpaceDN w:val="0"/>
        <w:snapToGrid/>
        <w:spacing w:before="0" w:beforeLines="0" w:line="360" w:lineRule="auto"/>
        <w:ind w:firstLine="484" w:firstLineChars="202"/>
        <w:rPr>
          <w:rFonts w:hAnsi="宋体" w:cs="宋体"/>
          <w:lang w:val="zh-CN"/>
        </w:rPr>
      </w:pPr>
      <w:r>
        <w:rPr>
          <w:rFonts w:hint="eastAsia" w:hAnsi="宋体" w:cs="宋体"/>
          <w:lang w:val="zh-CN"/>
        </w:rPr>
        <w:t>（5）乙方应服从甲方的安排，在进行工程造价咨询服务过程中与第三方进行造价核对。</w:t>
      </w:r>
    </w:p>
    <w:p w14:paraId="681105AE">
      <w:pPr>
        <w:autoSpaceDE w:val="0"/>
        <w:autoSpaceDN w:val="0"/>
        <w:snapToGrid/>
        <w:spacing w:before="0" w:beforeLines="0" w:line="360" w:lineRule="auto"/>
        <w:ind w:firstLine="484" w:firstLineChars="202"/>
        <w:rPr>
          <w:rFonts w:hAnsi="宋体" w:cs="宋体"/>
          <w:lang w:val="zh-CN"/>
        </w:rPr>
      </w:pPr>
      <w:r>
        <w:rPr>
          <w:rFonts w:hint="eastAsia" w:hAnsi="宋体" w:cs="宋体"/>
          <w:lang w:val="zh-CN"/>
        </w:rPr>
        <w:t>（6）乙方必须对工程造价成果实行三级审核，审核人及技术负责人须为执业注册造价工程师，并及时备份咨询成果文件。</w:t>
      </w:r>
    </w:p>
    <w:p w14:paraId="150C8AA6">
      <w:pPr>
        <w:autoSpaceDE w:val="0"/>
        <w:autoSpaceDN w:val="0"/>
        <w:snapToGrid/>
        <w:spacing w:before="0" w:beforeLines="0" w:line="360" w:lineRule="auto"/>
        <w:ind w:firstLine="484" w:firstLineChars="202"/>
        <w:rPr>
          <w:rFonts w:hAnsi="宋体" w:cs="宋体"/>
          <w:lang w:val="zh-CN"/>
        </w:rPr>
      </w:pPr>
      <w:r>
        <w:rPr>
          <w:rFonts w:hint="eastAsia" w:hAnsi="宋体" w:cs="宋体"/>
          <w:lang w:val="zh-CN"/>
        </w:rPr>
        <w:t>（7）最终完整造价咨询成果文件必须由编制人、审核人、技术负责人签名并加盖执业章，单位法定代表人（或委托代理人）签名并加盖法人公章；</w:t>
      </w:r>
    </w:p>
    <w:p w14:paraId="17B9D1F8">
      <w:pPr>
        <w:autoSpaceDE w:val="0"/>
        <w:autoSpaceDN w:val="0"/>
        <w:snapToGrid/>
        <w:spacing w:before="0" w:beforeLines="0" w:line="360" w:lineRule="auto"/>
        <w:ind w:firstLine="484" w:firstLineChars="202"/>
        <w:rPr>
          <w:rFonts w:hAnsi="宋体" w:cs="宋体"/>
          <w:lang w:val="zh-CN"/>
        </w:rPr>
      </w:pPr>
      <w:r>
        <w:rPr>
          <w:rFonts w:hint="eastAsia" w:hAnsi="宋体" w:cs="宋体"/>
          <w:lang w:val="zh-CN"/>
        </w:rPr>
        <w:t>（8）乙方须配合甲方对工程造价相关指标进行分析，提供类似工程相关参考数据。</w:t>
      </w:r>
    </w:p>
    <w:p w14:paraId="585BEDA8">
      <w:pPr>
        <w:autoSpaceDE w:val="0"/>
        <w:autoSpaceDN w:val="0"/>
        <w:snapToGrid/>
        <w:spacing w:before="0" w:beforeLines="0" w:line="360" w:lineRule="auto"/>
        <w:ind w:firstLine="484" w:firstLineChars="202"/>
        <w:rPr>
          <w:rFonts w:hAnsi="宋体" w:cs="宋体"/>
          <w:lang w:val="zh-CN"/>
        </w:rPr>
      </w:pPr>
      <w:r>
        <w:rPr>
          <w:rFonts w:hint="eastAsia" w:hAnsi="宋体" w:cs="宋体"/>
          <w:lang w:val="zh-CN"/>
        </w:rPr>
        <w:t>（9）因乙方编制造价成果文件的缺陷或过失造成甲方的损失，由乙方免费更正，并赔偿由此给甲方带来的损失，赔偿金额从乙方该项目造价服务费中扣除。</w:t>
      </w:r>
    </w:p>
    <w:p w14:paraId="23ACE7B1">
      <w:pPr>
        <w:autoSpaceDE w:val="0"/>
        <w:autoSpaceDN w:val="0"/>
        <w:snapToGrid/>
        <w:spacing w:before="0" w:beforeLines="0" w:line="360" w:lineRule="auto"/>
        <w:ind w:firstLine="484" w:firstLineChars="202"/>
        <w:rPr>
          <w:rFonts w:hAnsi="宋体" w:cs="宋体"/>
          <w:lang w:val="zh-CN"/>
        </w:rPr>
      </w:pPr>
      <w:r>
        <w:rPr>
          <w:rFonts w:hint="eastAsia" w:hAnsi="宋体" w:cs="宋体"/>
          <w:lang w:val="zh-CN"/>
        </w:rPr>
        <w:t>（1</w:t>
      </w:r>
      <w:r>
        <w:rPr>
          <w:rFonts w:hint="eastAsia" w:hAnsi="宋体" w:cs="宋体"/>
        </w:rPr>
        <w:t>0</w:t>
      </w:r>
      <w:r>
        <w:rPr>
          <w:rFonts w:hint="eastAsia" w:hAnsi="宋体" w:cs="宋体"/>
          <w:lang w:val="zh-CN"/>
        </w:rPr>
        <w:t>）招标控制价文件的编制质量及签署、装订、保密措施和送审等，均应符合有关法律、法规以及政府工程造价管理部门和招标管理机构的有关规定。</w:t>
      </w:r>
    </w:p>
    <w:p w14:paraId="0516D4FF">
      <w:pPr>
        <w:autoSpaceDE w:val="0"/>
        <w:autoSpaceDN w:val="0"/>
        <w:snapToGrid/>
        <w:spacing w:before="0" w:beforeLines="0" w:line="360" w:lineRule="auto"/>
        <w:ind w:firstLine="484" w:firstLineChars="202"/>
        <w:rPr>
          <w:rFonts w:hAnsi="宋体" w:cs="宋体"/>
        </w:rPr>
      </w:pPr>
      <w:r>
        <w:rPr>
          <w:rFonts w:hint="eastAsia" w:hAnsi="宋体" w:cs="宋体"/>
          <w:lang w:val="zh-CN"/>
        </w:rPr>
        <w:t>（</w:t>
      </w:r>
      <w:r>
        <w:rPr>
          <w:rFonts w:hint="eastAsia" w:hAnsi="宋体" w:cs="宋体"/>
        </w:rPr>
        <w:t>11</w:t>
      </w:r>
      <w:r>
        <w:rPr>
          <w:rFonts w:hint="eastAsia" w:hAnsi="宋体" w:cs="宋体"/>
          <w:lang w:val="zh-CN"/>
        </w:rPr>
        <w:t>）</w:t>
      </w:r>
      <w:r>
        <w:rPr>
          <w:rFonts w:hint="eastAsia" w:hAnsi="宋体" w:cs="宋体"/>
        </w:rPr>
        <w:t>其他条款要求详见合同内容。</w:t>
      </w:r>
    </w:p>
    <w:p w14:paraId="06F781FF">
      <w:pPr>
        <w:adjustRightInd/>
        <w:snapToGrid/>
        <w:spacing w:before="0" w:beforeLines="0" w:line="360" w:lineRule="auto"/>
        <w:ind w:firstLine="482"/>
        <w:outlineLvl w:val="2"/>
        <w:rPr>
          <w:rFonts w:hint="eastAsia" w:hAnsi="宋体" w:cs="宋体"/>
          <w:b/>
        </w:rPr>
      </w:pPr>
      <w:bookmarkStart w:id="1280" w:name="_Toc193981329"/>
      <w:r>
        <w:rPr>
          <w:rFonts w:hint="eastAsia" w:hAnsi="宋体" w:cs="宋体"/>
          <w:b/>
        </w:rPr>
        <w:t>（三）服务期限</w:t>
      </w:r>
      <w:bookmarkEnd w:id="1280"/>
    </w:p>
    <w:p w14:paraId="6DE3CB64">
      <w:pPr>
        <w:adjustRightInd/>
        <w:snapToGrid/>
        <w:spacing w:before="0" w:beforeLines="0" w:line="360" w:lineRule="auto"/>
        <w:ind w:firstLine="480"/>
        <w:rPr>
          <w:rFonts w:ascii="Times New Roman"/>
          <w:lang w:val="zh-CN"/>
        </w:rPr>
      </w:pPr>
      <w:r>
        <w:rPr>
          <w:rFonts w:hint="eastAsia" w:hAnsi="宋体" w:cs="宋体"/>
          <w:lang w:val="zh-CN"/>
        </w:rPr>
        <w:t>自合同签订之日起至项目竣工结算审计完成之日止。</w:t>
      </w:r>
    </w:p>
    <w:p w14:paraId="69F91CD8">
      <w:pPr>
        <w:adjustRightInd/>
        <w:snapToGrid/>
        <w:spacing w:before="0" w:beforeLines="0" w:line="360" w:lineRule="auto"/>
        <w:ind w:firstLine="482"/>
        <w:outlineLvl w:val="2"/>
        <w:rPr>
          <w:rFonts w:hint="eastAsia" w:hAnsi="宋体" w:cs="宋体"/>
          <w:b/>
        </w:rPr>
      </w:pPr>
      <w:bookmarkStart w:id="1281" w:name="_Toc193981330"/>
      <w:r>
        <w:rPr>
          <w:rFonts w:hint="eastAsia" w:hAnsi="宋体" w:cs="宋体"/>
          <w:b/>
        </w:rPr>
        <w:t>（四）质量要求</w:t>
      </w:r>
      <w:bookmarkEnd w:id="1281"/>
    </w:p>
    <w:p w14:paraId="3B644550">
      <w:pPr>
        <w:adjustRightInd/>
        <w:snapToGrid/>
        <w:spacing w:before="0" w:beforeLines="0" w:line="360" w:lineRule="auto"/>
        <w:ind w:firstLine="480"/>
        <w:rPr>
          <w:rFonts w:hAnsi="宋体" w:cs="宋体"/>
          <w:lang w:val="zh-CN"/>
        </w:rPr>
      </w:pPr>
      <w:r>
        <w:rPr>
          <w:rFonts w:hint="eastAsia" w:hAnsi="宋体" w:cs="宋体"/>
          <w:lang w:val="zh-CN"/>
        </w:rPr>
        <w:t>按服务范围内的建设工程造价咨询业务，保质保量按时完成合同约定造价咨询服务事项，并符合中国工程造价管理协会颁布的《建设项目全过程造价咨询规程》（CECAGC4-2017）要求及国家及地方现行有关法律、法规、标准的规定。</w:t>
      </w:r>
    </w:p>
    <w:p w14:paraId="1ECA8633">
      <w:pPr>
        <w:adjustRightInd/>
        <w:snapToGrid/>
        <w:spacing w:before="0" w:beforeLines="0" w:line="360" w:lineRule="auto"/>
        <w:ind w:firstLine="482"/>
        <w:outlineLvl w:val="2"/>
        <w:rPr>
          <w:rFonts w:hint="eastAsia" w:hAnsi="宋体" w:cs="宋体"/>
          <w:b/>
        </w:rPr>
      </w:pPr>
      <w:bookmarkStart w:id="1282" w:name="_Toc193981331"/>
      <w:r>
        <w:rPr>
          <w:rFonts w:hint="eastAsia" w:hAnsi="宋体" w:cs="宋体"/>
          <w:b/>
        </w:rPr>
        <w:t>（五）服务地点</w:t>
      </w:r>
      <w:bookmarkEnd w:id="1282"/>
    </w:p>
    <w:p w14:paraId="5E0CCE17">
      <w:pPr>
        <w:adjustRightInd/>
        <w:snapToGrid/>
        <w:spacing w:before="0" w:beforeLines="0" w:line="360" w:lineRule="auto"/>
        <w:ind w:firstLine="480"/>
        <w:rPr>
          <w:rFonts w:hAnsi="宋体" w:cs="宋体"/>
          <w:lang w:val="zh-CN"/>
        </w:rPr>
      </w:pPr>
      <w:r>
        <w:rPr>
          <w:rFonts w:hint="eastAsia" w:hAnsi="宋体" w:cs="宋体"/>
          <w:lang w:val="zh-CN"/>
        </w:rPr>
        <w:t>委托人指定地点</w:t>
      </w:r>
    </w:p>
    <w:p w14:paraId="00EC0218">
      <w:pPr>
        <w:adjustRightInd/>
        <w:snapToGrid/>
        <w:spacing w:before="0" w:beforeLines="0" w:line="360" w:lineRule="auto"/>
        <w:ind w:firstLine="482"/>
        <w:outlineLvl w:val="2"/>
        <w:rPr>
          <w:rFonts w:hAnsi="宋体" w:cs="宋体"/>
          <w:b/>
        </w:rPr>
      </w:pPr>
      <w:bookmarkStart w:id="1283" w:name="_Toc193981332"/>
      <w:r>
        <w:rPr>
          <w:rFonts w:hint="eastAsia" w:hAnsi="宋体" w:cs="宋体"/>
          <w:b/>
        </w:rPr>
        <w:t>（六）拟投入本工程项目组人员要求</w:t>
      </w:r>
      <w:bookmarkEnd w:id="1283"/>
    </w:p>
    <w:p w14:paraId="5C0AA396">
      <w:pPr>
        <w:adjustRightInd/>
        <w:snapToGrid/>
        <w:spacing w:before="0" w:beforeLines="0" w:line="360" w:lineRule="auto"/>
        <w:ind w:firstLine="480"/>
        <w:rPr>
          <w:rFonts w:hAnsi="宋体" w:cs="宋体"/>
          <w:lang w:val="zh-CN"/>
        </w:rPr>
      </w:pPr>
      <w:r>
        <w:rPr>
          <w:rFonts w:hint="eastAsia" w:hAnsi="宋体" w:cs="宋体"/>
          <w:lang w:val="zh-CN"/>
        </w:rPr>
        <w:t>（1）项目负责人1人，具体资格要求详见招标公告；</w:t>
      </w:r>
      <w:r>
        <w:rPr>
          <w:rFonts w:hAnsi="宋体" w:cs="宋体"/>
          <w:lang w:val="zh-CN"/>
        </w:rPr>
        <w:t xml:space="preserve"> </w:t>
      </w:r>
    </w:p>
    <w:p w14:paraId="506EA7BC">
      <w:pPr>
        <w:adjustRightInd/>
        <w:snapToGrid/>
        <w:spacing w:before="0" w:beforeLines="0" w:line="360" w:lineRule="auto"/>
        <w:ind w:firstLine="480"/>
        <w:rPr>
          <w:rFonts w:hAnsi="宋体" w:cs="宋体"/>
          <w:lang w:val="zh-CN"/>
        </w:rPr>
      </w:pPr>
      <w:r>
        <w:rPr>
          <w:rFonts w:hint="eastAsia" w:hAnsi="宋体" w:cs="宋体"/>
          <w:lang w:val="zh-CN"/>
        </w:rPr>
        <w:t>（2）技术总负责人1人，具体资格要求详见招标公告；</w:t>
      </w:r>
    </w:p>
    <w:p w14:paraId="1A3ED915">
      <w:pPr>
        <w:adjustRightInd/>
        <w:snapToGrid/>
        <w:spacing w:before="0" w:beforeLines="0" w:line="360" w:lineRule="auto"/>
        <w:ind w:firstLine="480"/>
        <w:rPr>
          <w:rFonts w:hAnsi="宋体" w:cs="宋体"/>
          <w:lang w:val="zh-CN"/>
        </w:rPr>
      </w:pPr>
      <w:r>
        <w:rPr>
          <w:rFonts w:hint="eastAsia" w:hAnsi="宋体" w:cs="宋体"/>
          <w:lang w:val="zh-CN"/>
        </w:rPr>
        <w:t>（3）至少投入建筑工程专业造价人员5人和安装工程专业造价人员2人，具体资格要求详见招标公告；</w:t>
      </w:r>
    </w:p>
    <w:p w14:paraId="565D39F7">
      <w:pPr>
        <w:adjustRightInd/>
        <w:snapToGrid/>
        <w:spacing w:before="0" w:beforeLines="0" w:line="360" w:lineRule="auto"/>
        <w:ind w:firstLine="480"/>
        <w:rPr>
          <w:rFonts w:hAnsi="宋体" w:cs="宋体"/>
          <w:lang w:val="zh-CN"/>
        </w:rPr>
      </w:pPr>
      <w:r>
        <w:rPr>
          <w:rFonts w:hint="eastAsia" w:hAnsi="宋体" w:cs="宋体"/>
          <w:lang w:val="zh-CN"/>
        </w:rPr>
        <w:t>（4）综合管理人员1人；</w:t>
      </w:r>
    </w:p>
    <w:p w14:paraId="08AC35E1">
      <w:pPr>
        <w:adjustRightInd/>
        <w:snapToGrid/>
        <w:spacing w:before="0" w:beforeLines="0" w:line="360" w:lineRule="auto"/>
        <w:ind w:firstLine="480"/>
        <w:rPr>
          <w:rFonts w:hAnsi="宋体" w:cs="宋体"/>
          <w:lang w:val="zh-CN"/>
        </w:rPr>
      </w:pPr>
      <w:r>
        <w:rPr>
          <w:rFonts w:hint="eastAsia" w:hAnsi="宋体" w:cs="宋体"/>
          <w:lang w:val="zh-CN"/>
        </w:rPr>
        <w:t>（5）乙方驻甲方工地代表2人。</w:t>
      </w:r>
    </w:p>
    <w:p w14:paraId="24A654CB">
      <w:pPr>
        <w:adjustRightInd/>
        <w:spacing w:before="0" w:beforeLines="0" w:line="360" w:lineRule="auto"/>
        <w:ind w:firstLine="0" w:firstLineChars="0"/>
        <w:jc w:val="left"/>
        <w:outlineLvl w:val="1"/>
        <w:rPr>
          <w:rFonts w:hAnsi="宋体"/>
          <w:b/>
        </w:rPr>
      </w:pPr>
      <w:bookmarkStart w:id="1284" w:name="_Toc193981333"/>
      <w:bookmarkStart w:id="1285" w:name="_Toc31784"/>
      <w:r>
        <w:rPr>
          <w:rFonts w:hint="eastAsia" w:hAnsi="宋体"/>
          <w:b/>
        </w:rPr>
        <w:t>二、报价方式、要求及上限控制价</w:t>
      </w:r>
      <w:bookmarkEnd w:id="1284"/>
      <w:bookmarkEnd w:id="1285"/>
    </w:p>
    <w:p w14:paraId="68CB2971">
      <w:pPr>
        <w:adjustRightInd/>
        <w:snapToGrid/>
        <w:spacing w:before="0" w:beforeLines="0" w:line="360" w:lineRule="auto"/>
        <w:ind w:right="-26" w:rightChars="-11" w:firstLine="480" w:firstLineChars="0"/>
        <w:rPr>
          <w:rFonts w:hAnsi="宋体" w:cs="宋体"/>
          <w:lang w:val="zh-CN"/>
        </w:rPr>
      </w:pPr>
      <w:r>
        <w:rPr>
          <w:rFonts w:hint="eastAsia" w:hAnsi="宋体" w:cs="宋体"/>
          <w:lang w:val="zh-CN"/>
        </w:rPr>
        <w:t>（1）本项目投标报价方式：本项目报价方式为含税总价报价。超出控制价总价有效报价范围的投标报价做无效投标处理，投标人根据本企业的承受能力以及市场价格自行进行报价。</w:t>
      </w:r>
    </w:p>
    <w:p w14:paraId="6BB03095">
      <w:pPr>
        <w:adjustRightInd/>
        <w:snapToGrid/>
        <w:spacing w:before="0" w:beforeLines="0" w:line="360" w:lineRule="auto"/>
        <w:ind w:right="-26" w:rightChars="-11" w:firstLine="480" w:firstLineChars="0"/>
        <w:rPr>
          <w:rFonts w:hAnsi="宋体" w:cs="宋体"/>
          <w:lang w:val="zh-CN"/>
        </w:rPr>
      </w:pPr>
      <w:r>
        <w:rPr>
          <w:rFonts w:hint="eastAsia" w:hAnsi="宋体" w:cs="宋体"/>
          <w:lang w:val="zh-CN"/>
        </w:rPr>
        <w:t>（2）投标报价应包括完成本项目的所有工作量和全套文件及后续服务的全部费用，包括但不限于：驻场、设备、劳务、管理、材料、维护、差旅费、交通费、保险、利润、税金、政策性文件规定及合同包含的应有风险、责任等各项应有费用。</w:t>
      </w:r>
    </w:p>
    <w:p w14:paraId="29BD3782">
      <w:pPr>
        <w:adjustRightInd/>
        <w:snapToGrid/>
        <w:spacing w:before="0" w:beforeLines="0" w:line="360" w:lineRule="auto"/>
        <w:ind w:right="-26" w:rightChars="-11" w:firstLine="480" w:firstLineChars="0"/>
        <w:rPr>
          <w:rFonts w:hAnsi="宋体" w:cs="宋体"/>
          <w:lang w:val="zh-CN"/>
        </w:rPr>
      </w:pPr>
      <w:r>
        <w:rPr>
          <w:rFonts w:hint="eastAsia" w:hAnsi="宋体" w:cs="宋体"/>
          <w:lang w:val="zh-CN"/>
        </w:rPr>
        <w:t>（3）不论投标结果如何，投标人均应自行承担所有与投标有关的全部费用。</w:t>
      </w:r>
    </w:p>
    <w:p w14:paraId="24CD34F7">
      <w:pPr>
        <w:adjustRightInd/>
        <w:snapToGrid/>
        <w:spacing w:before="0" w:beforeLines="0" w:line="360" w:lineRule="auto"/>
        <w:ind w:right="-26" w:rightChars="-11" w:firstLine="480" w:firstLineChars="0"/>
        <w:rPr>
          <w:rFonts w:ascii="Times New Roman"/>
        </w:rPr>
      </w:pPr>
      <w:r>
        <w:rPr>
          <w:rFonts w:hint="eastAsia" w:hAnsi="宋体" w:cs="宋体"/>
          <w:lang w:val="zh-CN"/>
        </w:rPr>
        <w:t>（4）本项目招标控制价总额为</w:t>
      </w:r>
      <w:r>
        <w:rPr>
          <w:rFonts w:hint="eastAsia" w:hAnsi="宋体" w:cs="宋体"/>
        </w:rPr>
        <w:t>23000</w:t>
      </w:r>
      <w:r>
        <w:rPr>
          <w:rFonts w:hint="eastAsia" w:ascii="宋体" w:hAnsi="宋体" w:eastAsia="宋体" w:cs="宋体"/>
          <w:lang w:val="zh-CN"/>
        </w:rPr>
        <w:t>00.00元</w:t>
      </w:r>
      <w:r>
        <w:rPr>
          <w:rFonts w:hint="eastAsia" w:hAnsi="宋体" w:cs="宋体"/>
          <w:lang w:val="zh-CN"/>
        </w:rPr>
        <w:t>。投标人投标报价超过本项目招标控制价的，其投标将被否决。</w:t>
      </w:r>
      <w:r>
        <w:rPr>
          <w:rFonts w:ascii="Times New Roman"/>
        </w:rPr>
        <w:br w:type="page"/>
      </w:r>
      <w:bookmarkStart w:id="1286" w:name="_Toc193981334"/>
      <w:r>
        <w:rPr>
          <w:rFonts w:ascii="Times New Roman"/>
        </w:rPr>
        <w:t>第六章 投标文件格式</w:t>
      </w:r>
      <w:bookmarkEnd w:id="1286"/>
    </w:p>
    <w:p w14:paraId="662A7B2F">
      <w:pPr>
        <w:spacing w:before="0" w:beforeLines="0" w:line="400" w:lineRule="atLeast"/>
        <w:ind w:firstLine="0" w:firstLineChars="0"/>
        <w:outlineLvl w:val="1"/>
        <w:rPr>
          <w:rFonts w:ascii="Times New Roman"/>
          <w:b/>
        </w:rPr>
      </w:pPr>
      <w:bookmarkStart w:id="1287" w:name="_Toc491534498"/>
      <w:bookmarkStart w:id="1288" w:name="_Toc27818"/>
      <w:bookmarkStart w:id="1289" w:name="_Toc193981335"/>
      <w:r>
        <w:rPr>
          <w:rFonts w:ascii="Times New Roman"/>
          <w:b/>
        </w:rPr>
        <w:t>封面格式</w:t>
      </w:r>
      <w:bookmarkEnd w:id="1287"/>
      <w:bookmarkEnd w:id="1288"/>
      <w:r>
        <w:rPr>
          <w:rFonts w:hint="eastAsia" w:ascii="Times New Roman"/>
          <w:b/>
        </w:rPr>
        <w:t>（</w:t>
      </w:r>
      <w:r>
        <w:rPr>
          <w:rFonts w:ascii="Times New Roman"/>
          <w:b/>
        </w:rPr>
        <w:t>外包装</w:t>
      </w:r>
      <w:r>
        <w:rPr>
          <w:rFonts w:hint="eastAsia" w:ascii="Times New Roman"/>
          <w:b/>
        </w:rPr>
        <w:t>）</w:t>
      </w:r>
      <w:bookmarkEnd w:id="1289"/>
    </w:p>
    <w:p w14:paraId="577F2C16">
      <w:pPr>
        <w:spacing w:before="0" w:beforeLines="0" w:line="400" w:lineRule="atLeast"/>
        <w:ind w:firstLine="420"/>
        <w:rPr>
          <w:rFonts w:ascii="Times New Roman"/>
          <w:sz w:val="21"/>
        </w:rPr>
      </w:pPr>
    </w:p>
    <w:p w14:paraId="7A9B0A6E">
      <w:pPr>
        <w:spacing w:before="0" w:beforeLines="0" w:line="400" w:lineRule="atLeast"/>
        <w:ind w:firstLine="420"/>
        <w:rPr>
          <w:rFonts w:ascii="Times New Roman"/>
          <w:sz w:val="21"/>
        </w:rPr>
      </w:pPr>
    </w:p>
    <w:p w14:paraId="65AF476C">
      <w:pPr>
        <w:spacing w:line="400" w:lineRule="atLeast"/>
        <w:ind w:right="-2" w:firstLine="0" w:firstLineChars="0"/>
        <w:jc w:val="center"/>
        <w:rPr>
          <w:rFonts w:hint="eastAsia" w:ascii="Times New Roman" w:eastAsia="黑体"/>
          <w:sz w:val="36"/>
          <w:szCs w:val="36"/>
          <w:lang w:eastAsia="zh-CN"/>
        </w:rPr>
      </w:pPr>
      <w:r>
        <w:rPr>
          <w:rFonts w:hint="eastAsia" w:ascii="Times New Roman" w:eastAsia="黑体"/>
          <w:sz w:val="36"/>
          <w:szCs w:val="36"/>
          <w:lang w:eastAsia="zh-CN"/>
        </w:rPr>
        <w:t>轨道御玺君临湾项目结算阶段造价服务</w:t>
      </w:r>
    </w:p>
    <w:p w14:paraId="7349002F">
      <w:pPr>
        <w:spacing w:line="400" w:lineRule="atLeast"/>
        <w:ind w:firstLine="0" w:firstLineChars="0"/>
        <w:jc w:val="center"/>
        <w:rPr>
          <w:rFonts w:ascii="Times New Roman" w:eastAsia="黑体"/>
          <w:sz w:val="30"/>
          <w:szCs w:val="30"/>
        </w:rPr>
      </w:pPr>
    </w:p>
    <w:p w14:paraId="0BD48883">
      <w:pPr>
        <w:spacing w:line="400" w:lineRule="atLeast"/>
        <w:ind w:firstLine="0" w:firstLineChars="0"/>
        <w:jc w:val="center"/>
        <w:rPr>
          <w:rFonts w:ascii="Times New Roman" w:eastAsia="黑体"/>
          <w:sz w:val="30"/>
          <w:szCs w:val="30"/>
        </w:rPr>
      </w:pPr>
    </w:p>
    <w:p w14:paraId="13974D0C">
      <w:pPr>
        <w:spacing w:line="400" w:lineRule="atLeast"/>
        <w:ind w:firstLine="0" w:firstLineChars="0"/>
        <w:jc w:val="center"/>
        <w:rPr>
          <w:rFonts w:ascii="Times New Roman" w:eastAsia="黑体"/>
          <w:kern w:val="0"/>
          <w:sz w:val="84"/>
          <w:szCs w:val="84"/>
        </w:rPr>
      </w:pPr>
      <w:r>
        <w:rPr>
          <w:rFonts w:ascii="Times New Roman" w:eastAsia="黑体"/>
          <w:kern w:val="0"/>
          <w:sz w:val="84"/>
          <w:szCs w:val="84"/>
        </w:rPr>
        <w:t>投 标 文 件</w:t>
      </w:r>
    </w:p>
    <w:p w14:paraId="63E8DB0A">
      <w:pPr>
        <w:spacing w:line="400" w:lineRule="atLeast"/>
        <w:ind w:firstLine="0" w:firstLineChars="0"/>
        <w:jc w:val="center"/>
        <w:rPr>
          <w:rFonts w:hint="eastAsia" w:ascii="Times New Roman"/>
          <w:sz w:val="28"/>
          <w:szCs w:val="28"/>
        </w:rPr>
      </w:pPr>
    </w:p>
    <w:p w14:paraId="544685A6">
      <w:pPr>
        <w:spacing w:line="400" w:lineRule="atLeast"/>
        <w:ind w:firstLine="0" w:firstLineChars="0"/>
        <w:jc w:val="center"/>
        <w:rPr>
          <w:rFonts w:hint="eastAsia" w:ascii="Times New Roman"/>
          <w:sz w:val="28"/>
          <w:szCs w:val="28"/>
        </w:rPr>
      </w:pPr>
    </w:p>
    <w:p w14:paraId="7C36056B">
      <w:pPr>
        <w:spacing w:line="400" w:lineRule="atLeast"/>
        <w:ind w:firstLine="0" w:firstLineChars="0"/>
        <w:jc w:val="center"/>
        <w:rPr>
          <w:rFonts w:ascii="Times New Roman"/>
          <w:sz w:val="28"/>
          <w:szCs w:val="28"/>
        </w:rPr>
      </w:pPr>
      <w:r>
        <w:rPr>
          <w:rFonts w:ascii="Times New Roman"/>
          <w:sz w:val="28"/>
          <w:szCs w:val="28"/>
        </w:rPr>
        <w:t>招标编号：</w:t>
      </w:r>
    </w:p>
    <w:p w14:paraId="49914A77">
      <w:pPr>
        <w:spacing w:line="400" w:lineRule="atLeast"/>
        <w:ind w:firstLine="0" w:firstLineChars="0"/>
        <w:jc w:val="center"/>
        <w:rPr>
          <w:rFonts w:ascii="Times New Roman"/>
          <w:sz w:val="28"/>
          <w:szCs w:val="28"/>
        </w:rPr>
      </w:pPr>
    </w:p>
    <w:p w14:paraId="07C8825A">
      <w:pPr>
        <w:spacing w:line="400" w:lineRule="atLeast"/>
        <w:ind w:firstLine="0" w:firstLineChars="0"/>
        <w:jc w:val="center"/>
        <w:rPr>
          <w:rFonts w:ascii="Times New Roman"/>
          <w:sz w:val="28"/>
          <w:szCs w:val="28"/>
        </w:rPr>
      </w:pPr>
    </w:p>
    <w:p w14:paraId="323659A2">
      <w:pPr>
        <w:spacing w:line="400" w:lineRule="atLeast"/>
        <w:ind w:firstLine="0" w:firstLineChars="0"/>
        <w:jc w:val="center"/>
        <w:rPr>
          <w:rFonts w:ascii="Times New Roman"/>
          <w:sz w:val="28"/>
          <w:szCs w:val="28"/>
        </w:rPr>
      </w:pPr>
    </w:p>
    <w:p w14:paraId="212AA480">
      <w:pPr>
        <w:spacing w:line="400" w:lineRule="atLeast"/>
        <w:ind w:firstLine="2250" w:firstLineChars="750"/>
        <w:rPr>
          <w:rFonts w:ascii="Times New Roman" w:eastAsia="黑体"/>
          <w:sz w:val="30"/>
          <w:szCs w:val="30"/>
          <w:u w:val="single"/>
        </w:rPr>
      </w:pPr>
      <w:r>
        <w:rPr>
          <w:rFonts w:ascii="Times New Roman" w:eastAsia="黑体"/>
          <w:sz w:val="30"/>
          <w:szCs w:val="30"/>
        </w:rPr>
        <w:t>投标人：</w:t>
      </w:r>
      <w:r>
        <w:rPr>
          <w:rFonts w:ascii="Times New Roman" w:eastAsia="黑体"/>
          <w:sz w:val="30"/>
          <w:szCs w:val="30"/>
          <w:u w:val="single"/>
        </w:rPr>
        <w:t xml:space="preserve">                      </w:t>
      </w:r>
    </w:p>
    <w:p w14:paraId="280B6296">
      <w:pPr>
        <w:spacing w:line="400" w:lineRule="atLeast"/>
        <w:ind w:firstLine="2250" w:firstLineChars="750"/>
        <w:rPr>
          <w:rFonts w:ascii="Times New Roman" w:eastAsia="黑体"/>
          <w:sz w:val="30"/>
          <w:szCs w:val="30"/>
        </w:rPr>
      </w:pPr>
      <w:r>
        <w:rPr>
          <w:rFonts w:ascii="Times New Roman" w:eastAsia="黑体"/>
          <w:sz w:val="30"/>
          <w:szCs w:val="30"/>
        </w:rPr>
        <w:t>法定代表人或</w:t>
      </w:r>
    </w:p>
    <w:p w14:paraId="27440940">
      <w:pPr>
        <w:spacing w:line="400" w:lineRule="atLeast"/>
        <w:ind w:firstLine="2250" w:firstLineChars="750"/>
        <w:rPr>
          <w:rFonts w:ascii="Times New Roman" w:eastAsia="黑体"/>
          <w:sz w:val="30"/>
          <w:szCs w:val="30"/>
          <w:u w:val="single"/>
        </w:rPr>
      </w:pPr>
      <w:r>
        <w:rPr>
          <w:rFonts w:ascii="Times New Roman" w:eastAsia="黑体"/>
          <w:sz w:val="30"/>
          <w:szCs w:val="30"/>
        </w:rPr>
        <w:t>委托代理人：</w:t>
      </w:r>
      <w:r>
        <w:rPr>
          <w:rFonts w:ascii="Times New Roman" w:eastAsia="黑体"/>
          <w:sz w:val="30"/>
          <w:szCs w:val="30"/>
          <w:u w:val="single"/>
        </w:rPr>
        <w:t xml:space="preserve">                  </w:t>
      </w:r>
    </w:p>
    <w:p w14:paraId="343402B2">
      <w:pPr>
        <w:spacing w:line="400" w:lineRule="atLeast"/>
        <w:ind w:firstLine="2250" w:firstLineChars="750"/>
        <w:rPr>
          <w:rFonts w:ascii="Times New Roman" w:eastAsia="黑体"/>
          <w:sz w:val="30"/>
          <w:szCs w:val="30"/>
          <w:u w:val="single"/>
        </w:rPr>
      </w:pPr>
      <w:r>
        <w:rPr>
          <w:rFonts w:ascii="Times New Roman" w:eastAsia="黑体"/>
          <w:sz w:val="30"/>
          <w:szCs w:val="30"/>
        </w:rPr>
        <w:t>地址：</w:t>
      </w:r>
      <w:r>
        <w:rPr>
          <w:rFonts w:ascii="Times New Roman" w:eastAsia="黑体"/>
          <w:sz w:val="30"/>
          <w:szCs w:val="30"/>
          <w:u w:val="single"/>
        </w:rPr>
        <w:t xml:space="preserve">                        </w:t>
      </w:r>
    </w:p>
    <w:p w14:paraId="5802DC89">
      <w:pPr>
        <w:spacing w:line="400" w:lineRule="atLeast"/>
        <w:ind w:firstLine="2250" w:firstLineChars="750"/>
        <w:rPr>
          <w:rFonts w:ascii="Times New Roman" w:eastAsia="黑体"/>
          <w:sz w:val="30"/>
          <w:szCs w:val="30"/>
          <w:u w:val="single"/>
        </w:rPr>
      </w:pPr>
    </w:p>
    <w:p w14:paraId="512138B6">
      <w:pPr>
        <w:spacing w:line="400" w:lineRule="atLeast"/>
        <w:ind w:firstLine="2250" w:firstLineChars="750"/>
        <w:rPr>
          <w:rFonts w:ascii="Times New Roman" w:eastAsia="黑体"/>
          <w:sz w:val="30"/>
          <w:szCs w:val="30"/>
          <w:u w:val="single"/>
        </w:rPr>
      </w:pPr>
    </w:p>
    <w:p w14:paraId="3105CBCA">
      <w:pPr>
        <w:spacing w:line="400" w:lineRule="atLeast"/>
        <w:ind w:firstLine="2250" w:firstLineChars="750"/>
        <w:rPr>
          <w:rFonts w:ascii="Times New Roman" w:eastAsia="黑体"/>
          <w:sz w:val="30"/>
          <w:szCs w:val="30"/>
          <w:u w:val="single"/>
        </w:rPr>
      </w:pPr>
    </w:p>
    <w:p w14:paraId="0DA2AB33">
      <w:pPr>
        <w:spacing w:line="400" w:lineRule="atLeast"/>
        <w:ind w:firstLine="0" w:firstLineChars="0"/>
        <w:jc w:val="center"/>
        <w:rPr>
          <w:rFonts w:ascii="Times New Roman" w:eastAsia="黑体"/>
          <w:sz w:val="28"/>
          <w:szCs w:val="28"/>
        </w:rPr>
      </w:pPr>
      <w:r>
        <w:rPr>
          <w:rFonts w:ascii="Times New Roman" w:eastAsia="黑体"/>
          <w:sz w:val="28"/>
          <w:szCs w:val="28"/>
          <w:u w:val="single"/>
        </w:rPr>
        <w:t xml:space="preserve">      </w:t>
      </w:r>
      <w:r>
        <w:rPr>
          <w:rFonts w:ascii="Times New Roman" w:eastAsia="黑体"/>
          <w:sz w:val="28"/>
          <w:szCs w:val="28"/>
        </w:rPr>
        <w:t>年</w:t>
      </w:r>
      <w:r>
        <w:rPr>
          <w:rFonts w:ascii="Times New Roman" w:eastAsia="黑体"/>
          <w:sz w:val="28"/>
          <w:szCs w:val="28"/>
          <w:u w:val="single"/>
        </w:rPr>
        <w:t xml:space="preserve">   </w:t>
      </w:r>
      <w:r>
        <w:rPr>
          <w:rFonts w:ascii="Times New Roman" w:eastAsia="黑体"/>
          <w:sz w:val="28"/>
          <w:szCs w:val="28"/>
        </w:rPr>
        <w:t>月</w:t>
      </w:r>
      <w:r>
        <w:rPr>
          <w:rFonts w:ascii="Times New Roman" w:eastAsia="黑体"/>
          <w:sz w:val="28"/>
          <w:szCs w:val="28"/>
          <w:u w:val="single"/>
        </w:rPr>
        <w:t xml:space="preserve">   </w:t>
      </w:r>
      <w:r>
        <w:rPr>
          <w:rFonts w:ascii="Times New Roman" w:eastAsia="黑体"/>
          <w:sz w:val="28"/>
          <w:szCs w:val="28"/>
        </w:rPr>
        <w:t>日</w:t>
      </w:r>
      <w:r>
        <w:rPr>
          <w:rFonts w:ascii="Times New Roman" w:eastAsia="黑体"/>
          <w:sz w:val="28"/>
          <w:szCs w:val="28"/>
          <w:u w:val="single"/>
        </w:rPr>
        <w:t xml:space="preserve">   </w:t>
      </w:r>
      <w:r>
        <w:rPr>
          <w:rFonts w:ascii="Times New Roman" w:eastAsia="黑体"/>
          <w:sz w:val="28"/>
          <w:szCs w:val="28"/>
        </w:rPr>
        <w:t>时</w:t>
      </w:r>
      <w:r>
        <w:rPr>
          <w:rFonts w:ascii="Times New Roman" w:eastAsia="黑体"/>
          <w:sz w:val="28"/>
          <w:szCs w:val="28"/>
          <w:u w:val="single"/>
        </w:rPr>
        <w:t xml:space="preserve">   </w:t>
      </w:r>
      <w:r>
        <w:rPr>
          <w:rFonts w:ascii="Times New Roman" w:eastAsia="黑体"/>
          <w:sz w:val="28"/>
          <w:szCs w:val="28"/>
        </w:rPr>
        <w:t>分开标，此时间前不得开封</w:t>
      </w:r>
    </w:p>
    <w:p w14:paraId="35941AFB">
      <w:pPr>
        <w:spacing w:before="0" w:beforeLines="0" w:line="400" w:lineRule="atLeast"/>
        <w:ind w:right="-2" w:firstLine="0" w:firstLineChars="0"/>
        <w:jc w:val="left"/>
        <w:rPr>
          <w:rFonts w:hint="eastAsia" w:ascii="Times New Roman"/>
          <w:sz w:val="21"/>
          <w:szCs w:val="21"/>
        </w:rPr>
      </w:pPr>
      <w:r>
        <w:rPr>
          <w:rFonts w:ascii="Times New Roman"/>
          <w:sz w:val="21"/>
          <w:szCs w:val="21"/>
        </w:rPr>
        <w:br w:type="page"/>
      </w:r>
      <w:r>
        <w:rPr>
          <w:rFonts w:ascii="Times New Roman"/>
          <w:b/>
        </w:rPr>
        <w:t>封面格式</w:t>
      </w:r>
      <w:r>
        <w:rPr>
          <w:rFonts w:hint="eastAsia" w:ascii="Times New Roman"/>
          <w:b/>
        </w:rPr>
        <w:t>（投标</w:t>
      </w:r>
      <w:r>
        <w:rPr>
          <w:rFonts w:ascii="Times New Roman"/>
          <w:b/>
        </w:rPr>
        <w:t>文件</w:t>
      </w:r>
      <w:r>
        <w:rPr>
          <w:rFonts w:hint="eastAsia" w:ascii="Times New Roman"/>
          <w:b/>
        </w:rPr>
        <w:t>）</w:t>
      </w:r>
    </w:p>
    <w:p w14:paraId="3CA468E0">
      <w:pPr>
        <w:pStyle w:val="2"/>
        <w:ind w:left="0" w:leftChars="0" w:firstLine="0" w:firstLineChars="0"/>
      </w:pPr>
    </w:p>
    <w:tbl>
      <w:tblPr>
        <w:tblStyle w:val="48"/>
        <w:tblpPr w:leftFromText="180" w:rightFromText="180" w:vertAnchor="text" w:horzAnchor="page" w:tblpX="8015" w:tblpY="-57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3"/>
      </w:tblGrid>
      <w:tr w14:paraId="7AB3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noWrap w:val="0"/>
            <w:vAlign w:val="center"/>
          </w:tcPr>
          <w:p w14:paraId="0772ABBC">
            <w:pPr>
              <w:keepNext w:val="0"/>
              <w:keepLines w:val="0"/>
              <w:suppressLineNumbers w:val="0"/>
              <w:spacing w:before="0" w:beforeLines="0" w:beforeAutospacing="0" w:after="0" w:afterAutospacing="0" w:line="400" w:lineRule="atLeast"/>
              <w:ind w:left="0" w:right="0" w:firstLine="0" w:firstLineChars="0"/>
              <w:jc w:val="center"/>
              <w:rPr>
                <w:rFonts w:ascii="Times New Roman" w:hAnsi="Calibri" w:eastAsia="黑体" w:cs="Times New Roman"/>
                <w:sz w:val="44"/>
                <w:szCs w:val="44"/>
              </w:rPr>
            </w:pPr>
            <w:r>
              <w:rPr>
                <w:rFonts w:ascii="Times New Roman" w:hAnsi="Calibri" w:eastAsia="黑体" w:cs="Times New Roman"/>
                <w:sz w:val="44"/>
                <w:szCs w:val="44"/>
              </w:rPr>
              <w:t>正本/副本</w:t>
            </w:r>
          </w:p>
        </w:tc>
      </w:tr>
    </w:tbl>
    <w:p w14:paraId="19B47F3F">
      <w:pPr>
        <w:spacing w:before="0" w:beforeLines="0" w:line="400" w:lineRule="atLeast"/>
        <w:ind w:firstLine="0" w:firstLineChars="0"/>
        <w:rPr>
          <w:rFonts w:ascii="Times New Roman"/>
          <w:sz w:val="21"/>
          <w:szCs w:val="21"/>
        </w:rPr>
      </w:pPr>
    </w:p>
    <w:p w14:paraId="6C4A9D70">
      <w:pPr>
        <w:spacing w:before="0" w:beforeLines="0" w:line="400" w:lineRule="atLeast"/>
        <w:ind w:right="-2" w:firstLine="0" w:firstLineChars="0"/>
        <w:jc w:val="center"/>
        <w:rPr>
          <w:rFonts w:ascii="Times New Roman"/>
          <w:sz w:val="21"/>
          <w:szCs w:val="21"/>
        </w:rPr>
      </w:pPr>
    </w:p>
    <w:p w14:paraId="50C4D31B">
      <w:pPr>
        <w:spacing w:before="0" w:beforeLines="0" w:line="400" w:lineRule="atLeast"/>
        <w:ind w:right="-2" w:firstLine="0" w:firstLineChars="0"/>
        <w:jc w:val="center"/>
        <w:rPr>
          <w:rFonts w:ascii="Times New Roman"/>
          <w:sz w:val="21"/>
          <w:szCs w:val="21"/>
        </w:rPr>
      </w:pPr>
    </w:p>
    <w:p w14:paraId="307C5892">
      <w:pPr>
        <w:spacing w:line="400" w:lineRule="atLeast"/>
        <w:ind w:right="-2" w:firstLine="0" w:firstLineChars="0"/>
        <w:jc w:val="center"/>
        <w:rPr>
          <w:rFonts w:hint="eastAsia" w:ascii="Times New Roman" w:eastAsia="黑体"/>
          <w:sz w:val="36"/>
          <w:szCs w:val="36"/>
          <w:lang w:eastAsia="zh-CN"/>
        </w:rPr>
      </w:pPr>
      <w:r>
        <w:rPr>
          <w:rFonts w:hint="eastAsia" w:ascii="Times New Roman" w:eastAsia="黑体"/>
          <w:sz w:val="36"/>
          <w:szCs w:val="36"/>
          <w:lang w:eastAsia="zh-CN"/>
        </w:rPr>
        <w:t>轨道御玺君临湾项目结算阶段造价服务</w:t>
      </w:r>
    </w:p>
    <w:p w14:paraId="2547856D">
      <w:pPr>
        <w:spacing w:line="400" w:lineRule="atLeast"/>
        <w:ind w:firstLine="0" w:firstLineChars="0"/>
        <w:jc w:val="center"/>
        <w:rPr>
          <w:rFonts w:ascii="Times New Roman" w:eastAsia="黑体"/>
          <w:sz w:val="30"/>
          <w:szCs w:val="30"/>
        </w:rPr>
      </w:pPr>
    </w:p>
    <w:p w14:paraId="767C5DF1">
      <w:pPr>
        <w:spacing w:line="400" w:lineRule="atLeast"/>
        <w:ind w:firstLine="0" w:firstLineChars="0"/>
        <w:jc w:val="center"/>
        <w:rPr>
          <w:rFonts w:ascii="Times New Roman" w:eastAsia="黑体"/>
          <w:sz w:val="30"/>
          <w:szCs w:val="30"/>
        </w:rPr>
      </w:pPr>
    </w:p>
    <w:p w14:paraId="1DD02A67">
      <w:pPr>
        <w:spacing w:line="400" w:lineRule="atLeast"/>
        <w:ind w:firstLine="0" w:firstLineChars="0"/>
        <w:jc w:val="center"/>
        <w:rPr>
          <w:rFonts w:ascii="Times New Roman" w:eastAsia="黑体"/>
          <w:sz w:val="30"/>
          <w:szCs w:val="30"/>
        </w:rPr>
      </w:pPr>
    </w:p>
    <w:p w14:paraId="4B1FE0CE">
      <w:pPr>
        <w:spacing w:line="400" w:lineRule="atLeast"/>
        <w:ind w:firstLine="0" w:firstLineChars="0"/>
        <w:jc w:val="center"/>
        <w:rPr>
          <w:rFonts w:ascii="Times New Roman" w:eastAsia="黑体"/>
          <w:kern w:val="0"/>
          <w:sz w:val="52"/>
          <w:szCs w:val="52"/>
        </w:rPr>
      </w:pPr>
      <w:r>
        <w:rPr>
          <w:rFonts w:ascii="Times New Roman" w:eastAsia="黑体"/>
          <w:kern w:val="0"/>
          <w:sz w:val="52"/>
          <w:szCs w:val="52"/>
        </w:rPr>
        <w:t>资格审查/资信/技术/报价部分</w:t>
      </w:r>
    </w:p>
    <w:p w14:paraId="391540C8">
      <w:pPr>
        <w:spacing w:line="400" w:lineRule="atLeast"/>
        <w:ind w:firstLine="0" w:firstLineChars="0"/>
        <w:jc w:val="center"/>
        <w:rPr>
          <w:rFonts w:hint="eastAsia" w:ascii="Times New Roman"/>
          <w:sz w:val="28"/>
          <w:szCs w:val="28"/>
        </w:rPr>
      </w:pPr>
    </w:p>
    <w:p w14:paraId="160A9F6A">
      <w:pPr>
        <w:spacing w:line="400" w:lineRule="atLeast"/>
        <w:ind w:firstLine="0" w:firstLineChars="0"/>
        <w:jc w:val="center"/>
        <w:rPr>
          <w:rFonts w:hint="eastAsia" w:ascii="Times New Roman"/>
          <w:sz w:val="28"/>
          <w:szCs w:val="28"/>
        </w:rPr>
      </w:pPr>
    </w:p>
    <w:p w14:paraId="17EF4D66">
      <w:pPr>
        <w:spacing w:line="400" w:lineRule="atLeast"/>
        <w:ind w:firstLine="0" w:firstLineChars="0"/>
        <w:jc w:val="center"/>
        <w:rPr>
          <w:rFonts w:ascii="Times New Roman"/>
          <w:sz w:val="21"/>
        </w:rPr>
      </w:pPr>
      <w:r>
        <w:rPr>
          <w:rFonts w:ascii="Times New Roman"/>
          <w:sz w:val="28"/>
          <w:szCs w:val="28"/>
        </w:rPr>
        <w:t>招标编号：</w:t>
      </w:r>
    </w:p>
    <w:p w14:paraId="34C5A922">
      <w:pPr>
        <w:spacing w:line="400" w:lineRule="atLeast"/>
        <w:ind w:firstLine="420"/>
        <w:rPr>
          <w:rFonts w:ascii="Times New Roman"/>
          <w:sz w:val="21"/>
        </w:rPr>
      </w:pPr>
    </w:p>
    <w:p w14:paraId="1FF03DD1">
      <w:pPr>
        <w:spacing w:line="400" w:lineRule="atLeast"/>
        <w:ind w:firstLine="420"/>
        <w:rPr>
          <w:rFonts w:ascii="Times New Roman"/>
          <w:sz w:val="21"/>
        </w:rPr>
      </w:pPr>
    </w:p>
    <w:p w14:paraId="62EBE715">
      <w:pPr>
        <w:spacing w:line="400" w:lineRule="atLeast"/>
        <w:ind w:firstLine="420"/>
        <w:rPr>
          <w:rFonts w:ascii="Times New Roman"/>
          <w:sz w:val="21"/>
        </w:rPr>
      </w:pPr>
    </w:p>
    <w:p w14:paraId="1D1A281D">
      <w:pPr>
        <w:spacing w:line="400" w:lineRule="atLeast"/>
        <w:ind w:firstLine="2250" w:firstLineChars="750"/>
        <w:rPr>
          <w:rFonts w:ascii="Times New Roman" w:eastAsia="黑体"/>
          <w:sz w:val="30"/>
          <w:szCs w:val="30"/>
          <w:u w:val="single"/>
        </w:rPr>
      </w:pPr>
      <w:r>
        <w:rPr>
          <w:rFonts w:ascii="Times New Roman" w:eastAsia="黑体"/>
          <w:sz w:val="30"/>
          <w:szCs w:val="30"/>
        </w:rPr>
        <w:t>投标人：</w:t>
      </w:r>
      <w:r>
        <w:rPr>
          <w:rFonts w:ascii="Times New Roman" w:eastAsia="黑体"/>
          <w:sz w:val="30"/>
          <w:szCs w:val="30"/>
          <w:u w:val="single"/>
        </w:rPr>
        <w:t xml:space="preserve">                      </w:t>
      </w:r>
    </w:p>
    <w:p w14:paraId="6DB24E4C">
      <w:pPr>
        <w:spacing w:line="400" w:lineRule="atLeast"/>
        <w:ind w:firstLine="2250" w:firstLineChars="750"/>
        <w:rPr>
          <w:rFonts w:ascii="Times New Roman" w:eastAsia="黑体"/>
          <w:sz w:val="30"/>
          <w:szCs w:val="30"/>
        </w:rPr>
      </w:pPr>
      <w:r>
        <w:rPr>
          <w:rFonts w:ascii="Times New Roman" w:eastAsia="黑体"/>
          <w:sz w:val="30"/>
          <w:szCs w:val="30"/>
        </w:rPr>
        <w:t>法定代表人或</w:t>
      </w:r>
    </w:p>
    <w:p w14:paraId="2C207E87">
      <w:pPr>
        <w:spacing w:line="400" w:lineRule="atLeast"/>
        <w:ind w:firstLine="2250" w:firstLineChars="750"/>
        <w:rPr>
          <w:rFonts w:ascii="Times New Roman" w:eastAsia="黑体"/>
          <w:sz w:val="30"/>
          <w:szCs w:val="30"/>
          <w:u w:val="single"/>
        </w:rPr>
      </w:pPr>
      <w:r>
        <w:rPr>
          <w:rFonts w:ascii="Times New Roman" w:eastAsia="黑体"/>
          <w:sz w:val="30"/>
          <w:szCs w:val="30"/>
        </w:rPr>
        <w:t>委托代理人：</w:t>
      </w:r>
      <w:r>
        <w:rPr>
          <w:rFonts w:ascii="Times New Roman" w:eastAsia="黑体"/>
          <w:sz w:val="30"/>
          <w:szCs w:val="30"/>
          <w:u w:val="single"/>
        </w:rPr>
        <w:t xml:space="preserve">                  </w:t>
      </w:r>
    </w:p>
    <w:p w14:paraId="4D8EA3D6">
      <w:pPr>
        <w:spacing w:line="400" w:lineRule="atLeast"/>
        <w:ind w:firstLine="2250" w:firstLineChars="750"/>
        <w:rPr>
          <w:rFonts w:ascii="Times New Roman" w:eastAsia="黑体"/>
          <w:sz w:val="30"/>
          <w:szCs w:val="30"/>
          <w:u w:val="single"/>
        </w:rPr>
      </w:pPr>
      <w:r>
        <w:rPr>
          <w:rFonts w:ascii="Times New Roman" w:eastAsia="黑体"/>
          <w:sz w:val="30"/>
          <w:szCs w:val="30"/>
        </w:rPr>
        <w:t>地址：</w:t>
      </w:r>
      <w:r>
        <w:rPr>
          <w:rFonts w:ascii="Times New Roman" w:eastAsia="黑体"/>
          <w:sz w:val="30"/>
          <w:szCs w:val="30"/>
          <w:u w:val="single"/>
        </w:rPr>
        <w:t xml:space="preserve">                        </w:t>
      </w:r>
    </w:p>
    <w:p w14:paraId="675A1453">
      <w:pPr>
        <w:spacing w:line="400" w:lineRule="atLeast"/>
        <w:ind w:firstLine="2250" w:firstLineChars="750"/>
        <w:rPr>
          <w:rFonts w:ascii="Times New Roman" w:eastAsia="黑体"/>
          <w:sz w:val="30"/>
          <w:szCs w:val="30"/>
          <w:u w:val="single"/>
        </w:rPr>
      </w:pPr>
    </w:p>
    <w:p w14:paraId="44D3CD5D">
      <w:pPr>
        <w:spacing w:line="400" w:lineRule="atLeast"/>
        <w:ind w:firstLine="2250" w:firstLineChars="750"/>
        <w:rPr>
          <w:rFonts w:ascii="Times New Roman" w:eastAsia="黑体"/>
          <w:sz w:val="30"/>
          <w:szCs w:val="30"/>
          <w:u w:val="single"/>
        </w:rPr>
      </w:pPr>
    </w:p>
    <w:p w14:paraId="47333CD8">
      <w:pPr>
        <w:spacing w:line="400" w:lineRule="atLeast"/>
        <w:ind w:firstLine="0" w:firstLineChars="0"/>
        <w:jc w:val="center"/>
        <w:rPr>
          <w:rFonts w:ascii="Times New Roman" w:eastAsia="黑体"/>
          <w:sz w:val="30"/>
          <w:szCs w:val="30"/>
        </w:rPr>
      </w:pPr>
      <w:r>
        <w:rPr>
          <w:rFonts w:ascii="Times New Roman" w:eastAsia="黑体"/>
          <w:sz w:val="30"/>
          <w:szCs w:val="30"/>
        </w:rPr>
        <w:t>日  期：</w:t>
      </w:r>
      <w:r>
        <w:rPr>
          <w:rFonts w:ascii="Times New Roman" w:eastAsia="黑体"/>
          <w:sz w:val="30"/>
          <w:szCs w:val="30"/>
          <w:u w:val="single"/>
        </w:rPr>
        <w:t xml:space="preserve">        </w:t>
      </w:r>
      <w:r>
        <w:rPr>
          <w:rFonts w:ascii="Times New Roman" w:eastAsia="黑体"/>
          <w:sz w:val="30"/>
          <w:szCs w:val="30"/>
        </w:rPr>
        <w:t>年</w:t>
      </w:r>
      <w:r>
        <w:rPr>
          <w:rFonts w:ascii="Times New Roman" w:eastAsia="黑体"/>
          <w:sz w:val="30"/>
          <w:szCs w:val="30"/>
          <w:u w:val="single"/>
        </w:rPr>
        <w:t xml:space="preserve">    </w:t>
      </w:r>
      <w:r>
        <w:rPr>
          <w:rFonts w:ascii="Times New Roman" w:eastAsia="黑体"/>
          <w:sz w:val="30"/>
          <w:szCs w:val="30"/>
        </w:rPr>
        <w:t>月</w:t>
      </w:r>
      <w:r>
        <w:rPr>
          <w:rFonts w:ascii="Times New Roman" w:eastAsia="黑体"/>
          <w:sz w:val="30"/>
          <w:szCs w:val="30"/>
          <w:u w:val="single"/>
        </w:rPr>
        <w:t xml:space="preserve">    </w:t>
      </w:r>
      <w:r>
        <w:rPr>
          <w:rFonts w:ascii="Times New Roman" w:eastAsia="黑体"/>
          <w:sz w:val="30"/>
          <w:szCs w:val="30"/>
        </w:rPr>
        <w:t>日</w:t>
      </w:r>
    </w:p>
    <w:p w14:paraId="3E25CE3A">
      <w:pPr>
        <w:spacing w:after="156" w:afterLines="50"/>
        <w:ind w:firstLine="199" w:firstLineChars="95"/>
        <w:jc w:val="center"/>
        <w:outlineLvl w:val="1"/>
        <w:rPr>
          <w:rFonts w:ascii="Times New Roman"/>
          <w:b/>
          <w:sz w:val="28"/>
          <w:szCs w:val="28"/>
        </w:rPr>
      </w:pPr>
      <w:r>
        <w:rPr>
          <w:rFonts w:ascii="Times New Roman"/>
          <w:sz w:val="21"/>
          <w:szCs w:val="21"/>
        </w:rPr>
        <w:br w:type="page"/>
      </w:r>
      <w:bookmarkStart w:id="1290" w:name="_Toc491534499"/>
      <w:bookmarkStart w:id="1291" w:name="_Toc9172"/>
      <w:bookmarkStart w:id="1292" w:name="_Toc193981336"/>
      <w:r>
        <w:rPr>
          <w:rFonts w:ascii="Times New Roman"/>
          <w:b/>
          <w:sz w:val="28"/>
          <w:szCs w:val="28"/>
        </w:rPr>
        <w:t>A资格审查部分</w:t>
      </w:r>
      <w:bookmarkEnd w:id="1290"/>
      <w:bookmarkEnd w:id="1291"/>
      <w:bookmarkEnd w:id="1292"/>
    </w:p>
    <w:p w14:paraId="79835856">
      <w:pPr>
        <w:numPr>
          <w:ilvl w:val="0"/>
          <w:numId w:val="48"/>
        </w:numPr>
        <w:spacing w:before="0" w:beforeLines="0" w:line="360" w:lineRule="auto"/>
        <w:ind w:firstLine="718" w:firstLineChars="342"/>
        <w:rPr>
          <w:rFonts w:ascii="Times New Roman"/>
          <w:sz w:val="21"/>
          <w:szCs w:val="21"/>
        </w:rPr>
      </w:pPr>
      <w:r>
        <w:rPr>
          <w:rFonts w:ascii="Times New Roman"/>
          <w:sz w:val="21"/>
          <w:szCs w:val="21"/>
        </w:rPr>
        <w:t>法定代表人授权委托书（格式见A1）及法定代表人资格证明书（格式见A2）（如无授权时，只需提供法定代表人资格证明书），法定代表人及被授权人身份证复印件或扫描件（如为联合体投标，联合体各方均须提供）。</w:t>
      </w:r>
    </w:p>
    <w:p w14:paraId="510CDF96">
      <w:pPr>
        <w:numPr>
          <w:ilvl w:val="0"/>
          <w:numId w:val="48"/>
        </w:numPr>
        <w:spacing w:before="0" w:beforeLines="0" w:line="360" w:lineRule="auto"/>
        <w:ind w:firstLine="718" w:firstLineChars="342"/>
        <w:rPr>
          <w:rFonts w:ascii="Times New Roman"/>
          <w:sz w:val="21"/>
          <w:szCs w:val="21"/>
        </w:rPr>
      </w:pPr>
      <w:r>
        <w:rPr>
          <w:rFonts w:ascii="Times New Roman"/>
          <w:sz w:val="21"/>
          <w:szCs w:val="21"/>
        </w:rPr>
        <w:t>投标人合法有效的企业法人营业执照复印件或扫描件（如为联合体投标，联合体各方均须提供）。</w:t>
      </w:r>
    </w:p>
    <w:p w14:paraId="1B23AC64">
      <w:pPr>
        <w:numPr>
          <w:ilvl w:val="0"/>
          <w:numId w:val="48"/>
        </w:numPr>
        <w:spacing w:before="0" w:beforeLines="0" w:line="360" w:lineRule="auto"/>
        <w:ind w:firstLine="718" w:firstLineChars="342"/>
        <w:rPr>
          <w:rFonts w:ascii="Times New Roman"/>
          <w:sz w:val="21"/>
          <w:szCs w:val="21"/>
        </w:rPr>
      </w:pPr>
      <w:r>
        <w:rPr>
          <w:rFonts w:ascii="Times New Roman"/>
          <w:sz w:val="21"/>
          <w:szCs w:val="21"/>
        </w:rPr>
        <w:t>20</w:t>
      </w:r>
      <w:r>
        <w:rPr>
          <w:rFonts w:hint="eastAsia" w:ascii="Times New Roman"/>
          <w:sz w:val="21"/>
          <w:szCs w:val="21"/>
        </w:rPr>
        <w:t>2</w:t>
      </w:r>
      <w:r>
        <w:rPr>
          <w:rFonts w:hint="eastAsia" w:ascii="Times New Roman"/>
          <w:sz w:val="21"/>
          <w:szCs w:val="21"/>
          <w:lang w:val="en-US" w:eastAsia="zh-CN"/>
        </w:rPr>
        <w:t>3</w:t>
      </w:r>
      <w:r>
        <w:rPr>
          <w:rFonts w:ascii="Times New Roman"/>
          <w:sz w:val="21"/>
          <w:szCs w:val="21"/>
        </w:rPr>
        <w:t>年1月1日以来类似项目业绩（格式见B4），并附有业绩证明材料（指中标通知书、合同或业主证明中的一项或多项，业绩证明材料须能明确体现业绩要求的评审信息，否则不予认可）。</w:t>
      </w:r>
    </w:p>
    <w:p w14:paraId="06EC15E8">
      <w:pPr>
        <w:numPr>
          <w:ilvl w:val="0"/>
          <w:numId w:val="48"/>
        </w:numPr>
        <w:spacing w:before="0" w:beforeLines="0" w:line="360" w:lineRule="auto"/>
        <w:ind w:firstLine="718" w:firstLineChars="342"/>
        <w:rPr>
          <w:rFonts w:ascii="Times New Roman"/>
          <w:sz w:val="21"/>
          <w:szCs w:val="21"/>
        </w:rPr>
      </w:pPr>
      <w:r>
        <w:rPr>
          <w:rFonts w:ascii="Times New Roman"/>
          <w:sz w:val="21"/>
          <w:szCs w:val="21"/>
        </w:rPr>
        <w:t>投标人拟投入的</w:t>
      </w:r>
      <w:r>
        <w:rPr>
          <w:rFonts w:hint="eastAsia" w:ascii="Times New Roman"/>
          <w:sz w:val="21"/>
          <w:szCs w:val="21"/>
        </w:rPr>
        <w:t>人员</w:t>
      </w:r>
      <w:r>
        <w:rPr>
          <w:rFonts w:ascii="Times New Roman"/>
          <w:sz w:val="21"/>
          <w:szCs w:val="21"/>
        </w:rPr>
        <w:t>简历表（格式见B7），并须附有效的身份证复印件或扫描件、</w:t>
      </w:r>
      <w:r>
        <w:rPr>
          <w:rFonts w:hint="eastAsia" w:ascii="Times New Roman"/>
          <w:sz w:val="21"/>
          <w:szCs w:val="21"/>
        </w:rPr>
        <w:t>劳动</w:t>
      </w:r>
      <w:r>
        <w:rPr>
          <w:rFonts w:ascii="Times New Roman"/>
          <w:sz w:val="21"/>
          <w:szCs w:val="21"/>
        </w:rPr>
        <w:t>合同（或社保证明）、职称证书、资格证书、注册证书复印件或扫描件，工作年限证明，否则不予认可）。</w:t>
      </w:r>
    </w:p>
    <w:p w14:paraId="6B2B4B16">
      <w:pPr>
        <w:numPr>
          <w:ilvl w:val="0"/>
          <w:numId w:val="48"/>
        </w:numPr>
        <w:spacing w:before="0" w:beforeLines="0" w:line="360" w:lineRule="auto"/>
        <w:ind w:firstLine="718" w:firstLineChars="342"/>
        <w:rPr>
          <w:rFonts w:ascii="Times New Roman"/>
          <w:sz w:val="21"/>
          <w:szCs w:val="21"/>
        </w:rPr>
      </w:pPr>
      <w:r>
        <w:rPr>
          <w:rFonts w:ascii="Times New Roman"/>
          <w:sz w:val="21"/>
          <w:szCs w:val="21"/>
        </w:rPr>
        <w:t>信誉承诺书（格式见A3）（如为联合体投标，联合体各方均须提供）。</w:t>
      </w:r>
    </w:p>
    <w:p w14:paraId="2FA395C3">
      <w:pPr>
        <w:numPr>
          <w:ilvl w:val="0"/>
          <w:numId w:val="48"/>
        </w:numPr>
        <w:spacing w:before="0" w:beforeLines="0" w:line="360" w:lineRule="auto"/>
        <w:ind w:firstLine="718" w:firstLineChars="342"/>
        <w:rPr>
          <w:rFonts w:ascii="Times New Roman"/>
          <w:sz w:val="21"/>
          <w:szCs w:val="21"/>
        </w:rPr>
      </w:pPr>
      <w:r>
        <w:rPr>
          <w:rFonts w:ascii="Times New Roman"/>
          <w:sz w:val="21"/>
          <w:szCs w:val="21"/>
        </w:rPr>
        <w:t>联合体协议书（格式见A4），当投标人为联合体投标时须提供。</w:t>
      </w:r>
    </w:p>
    <w:p w14:paraId="68A0ADCD">
      <w:pPr>
        <w:spacing w:before="0" w:beforeLines="0" w:line="360" w:lineRule="auto"/>
        <w:ind w:firstLine="0" w:firstLineChars="0"/>
        <w:rPr>
          <w:rFonts w:ascii="Times New Roman"/>
        </w:rPr>
      </w:pPr>
      <w:r>
        <w:rPr>
          <w:rFonts w:ascii="Times New Roman"/>
          <w:sz w:val="21"/>
          <w:szCs w:val="21"/>
        </w:rPr>
        <w:t xml:space="preserve">       八、其他招标文件要求出具的资格审查文件。</w:t>
      </w:r>
    </w:p>
    <w:p w14:paraId="248F370C">
      <w:pPr>
        <w:spacing w:before="0" w:beforeLines="0"/>
        <w:ind w:firstLine="0" w:firstLineChars="0"/>
        <w:outlineLvl w:val="1"/>
        <w:rPr>
          <w:rFonts w:ascii="Times New Roman"/>
        </w:rPr>
      </w:pPr>
      <w:r>
        <w:rPr>
          <w:rFonts w:ascii="Times New Roman"/>
          <w:sz w:val="21"/>
          <w:szCs w:val="21"/>
        </w:rPr>
        <w:br w:type="page"/>
      </w:r>
      <w:bookmarkStart w:id="1293" w:name="_Toc978"/>
      <w:bookmarkStart w:id="1294" w:name="_Toc193981337"/>
      <w:bookmarkStart w:id="1295" w:name="_Toc2370"/>
      <w:bookmarkStart w:id="1296" w:name="_Toc384823622"/>
      <w:bookmarkStart w:id="1297" w:name="_Toc327868686"/>
      <w:bookmarkStart w:id="1298" w:name="_Toc333587198"/>
      <w:bookmarkStart w:id="1299" w:name="_Toc384823621"/>
      <w:r>
        <w:rPr>
          <w:rFonts w:ascii="Times New Roman"/>
        </w:rPr>
        <w:t>A1法定代表人授权委托书</w:t>
      </w:r>
      <w:bookmarkEnd w:id="1293"/>
      <w:bookmarkEnd w:id="1294"/>
      <w:bookmarkEnd w:id="1295"/>
    </w:p>
    <w:p w14:paraId="1A3A7AD9">
      <w:pPr>
        <w:pStyle w:val="99"/>
        <w:spacing w:before="312" w:beforeLines="100" w:after="312" w:afterLines="100"/>
        <w:rPr>
          <w:rFonts w:ascii="Times New Roman" w:hAnsi="Times New Roman" w:cs="Times New Roman"/>
        </w:rPr>
      </w:pPr>
      <w:r>
        <w:rPr>
          <w:rFonts w:ascii="Times New Roman" w:hAnsi="Times New Roman" w:cs="Times New Roman"/>
        </w:rPr>
        <w:t>法定代表人授权委托书</w:t>
      </w:r>
    </w:p>
    <w:p w14:paraId="5BC50FB8">
      <w:pPr>
        <w:wordWrap w:val="0"/>
        <w:spacing w:before="0" w:beforeLines="0" w:line="360" w:lineRule="auto"/>
        <w:ind w:firstLine="420"/>
        <w:rPr>
          <w:rFonts w:ascii="Times New Roman"/>
          <w:sz w:val="21"/>
          <w:szCs w:val="21"/>
        </w:rPr>
      </w:pPr>
      <w:r>
        <w:rPr>
          <w:rFonts w:ascii="Times New Roman"/>
          <w:sz w:val="21"/>
          <w:szCs w:val="21"/>
        </w:rPr>
        <w:t>本人</w:t>
      </w:r>
      <w:r>
        <w:rPr>
          <w:rFonts w:ascii="Times New Roman"/>
          <w:sz w:val="21"/>
          <w:szCs w:val="21"/>
          <w:u w:val="single"/>
        </w:rPr>
        <w:t xml:space="preserve">        </w:t>
      </w:r>
      <w:r>
        <w:rPr>
          <w:rFonts w:ascii="Times New Roman"/>
          <w:sz w:val="21"/>
          <w:szCs w:val="21"/>
        </w:rPr>
        <w:t>（姓名）系</w:t>
      </w:r>
      <w:r>
        <w:rPr>
          <w:rFonts w:ascii="Times New Roman"/>
          <w:sz w:val="21"/>
          <w:szCs w:val="21"/>
          <w:u w:val="single"/>
        </w:rPr>
        <w:t xml:space="preserve">                </w:t>
      </w:r>
      <w:r>
        <w:rPr>
          <w:rFonts w:ascii="Times New Roman"/>
          <w:sz w:val="21"/>
          <w:szCs w:val="21"/>
        </w:rPr>
        <w:t>（投标人名称）的法定代表人，现委托</w:t>
      </w:r>
      <w:r>
        <w:rPr>
          <w:rFonts w:ascii="Times New Roman"/>
          <w:sz w:val="21"/>
          <w:szCs w:val="21"/>
          <w:u w:val="single"/>
        </w:rPr>
        <w:t xml:space="preserve">        </w:t>
      </w:r>
      <w:r>
        <w:rPr>
          <w:rFonts w:ascii="Times New Roman"/>
          <w:sz w:val="21"/>
          <w:szCs w:val="21"/>
        </w:rPr>
        <w:t>（姓名）为我方代理人。代理人根据授权，以我方名义签署、澄清、说明、补正、递交、撤回、修改</w:t>
      </w:r>
      <w:r>
        <w:rPr>
          <w:rFonts w:ascii="Times New Roman"/>
          <w:sz w:val="21"/>
          <w:szCs w:val="21"/>
          <w:u w:val="single"/>
        </w:rPr>
        <w:t xml:space="preserve">   </w:t>
      </w:r>
      <w:r>
        <w:rPr>
          <w:rFonts w:hint="eastAsia" w:ascii="Times New Roman"/>
          <w:sz w:val="21"/>
          <w:szCs w:val="21"/>
          <w:u w:val="single"/>
          <w:lang w:eastAsia="zh-CN"/>
        </w:rPr>
        <w:t>轨道御玺君临湾项目结算阶段造价服务</w:t>
      </w:r>
      <w:r>
        <w:rPr>
          <w:rFonts w:ascii="Times New Roman"/>
          <w:sz w:val="21"/>
          <w:szCs w:val="21"/>
        </w:rPr>
        <w:t>（项目名称）造价咨询项目投标文件、签订合同和处理有关事宜，其法律后果由我方承担。</w:t>
      </w:r>
    </w:p>
    <w:p w14:paraId="625154F2">
      <w:pPr>
        <w:spacing w:before="0" w:beforeLines="0" w:line="360" w:lineRule="auto"/>
        <w:ind w:firstLine="420"/>
        <w:rPr>
          <w:rFonts w:ascii="Times New Roman"/>
          <w:sz w:val="21"/>
          <w:szCs w:val="21"/>
        </w:rPr>
      </w:pPr>
      <w:r>
        <w:rPr>
          <w:rFonts w:ascii="Times New Roman"/>
          <w:sz w:val="21"/>
          <w:szCs w:val="21"/>
        </w:rPr>
        <w:t>委托期限：</w:t>
      </w:r>
      <w:r>
        <w:rPr>
          <w:rFonts w:ascii="Times New Roman"/>
          <w:sz w:val="21"/>
          <w:szCs w:val="21"/>
          <w:u w:val="single"/>
        </w:rPr>
        <w:t xml:space="preserve">                </w:t>
      </w:r>
      <w:r>
        <w:rPr>
          <w:rFonts w:ascii="Times New Roman"/>
          <w:sz w:val="21"/>
          <w:szCs w:val="21"/>
        </w:rPr>
        <w:t xml:space="preserve">。 </w:t>
      </w:r>
    </w:p>
    <w:p w14:paraId="0739D35B">
      <w:pPr>
        <w:spacing w:before="0" w:beforeLines="0" w:line="360" w:lineRule="auto"/>
        <w:ind w:firstLine="420"/>
        <w:rPr>
          <w:rFonts w:ascii="Times New Roman"/>
          <w:sz w:val="21"/>
          <w:szCs w:val="21"/>
        </w:rPr>
      </w:pPr>
      <w:r>
        <w:rPr>
          <w:rFonts w:ascii="Times New Roman"/>
          <w:sz w:val="21"/>
          <w:szCs w:val="21"/>
        </w:rPr>
        <w:t>代理人无转委托权。</w:t>
      </w:r>
    </w:p>
    <w:p w14:paraId="2295AD46">
      <w:pPr>
        <w:spacing w:before="120" w:beforeLines="0"/>
        <w:ind w:firstLine="420"/>
        <w:rPr>
          <w:rFonts w:ascii="Times New Roman"/>
          <w:sz w:val="21"/>
          <w:szCs w:val="21"/>
        </w:rPr>
      </w:pPr>
    </w:p>
    <w:p w14:paraId="7711EA45">
      <w:pPr>
        <w:spacing w:before="120" w:beforeLines="0"/>
        <w:ind w:firstLine="420"/>
        <w:rPr>
          <w:rFonts w:ascii="Times New Roman"/>
          <w:sz w:val="21"/>
          <w:szCs w:val="21"/>
        </w:rPr>
      </w:pPr>
    </w:p>
    <w:p w14:paraId="5FA7F104">
      <w:pPr>
        <w:spacing w:before="120" w:beforeLines="0"/>
        <w:ind w:left="2520" w:firstLine="420"/>
        <w:rPr>
          <w:rFonts w:ascii="Times New Roman"/>
          <w:sz w:val="21"/>
          <w:szCs w:val="21"/>
        </w:rPr>
      </w:pPr>
      <w:r>
        <w:rPr>
          <w:rFonts w:ascii="Times New Roman"/>
          <w:sz w:val="21"/>
          <w:szCs w:val="21"/>
        </w:rPr>
        <w:t>投  标  人：</w:t>
      </w:r>
      <w:r>
        <w:rPr>
          <w:rFonts w:ascii="Times New Roman"/>
          <w:sz w:val="21"/>
          <w:szCs w:val="21"/>
          <w:u w:val="single"/>
        </w:rPr>
        <w:t xml:space="preserve">                  （公章）</w:t>
      </w:r>
    </w:p>
    <w:p w14:paraId="567F7285">
      <w:pPr>
        <w:spacing w:before="120" w:beforeLines="0"/>
        <w:ind w:left="2520" w:firstLine="420"/>
        <w:rPr>
          <w:rFonts w:ascii="Times New Roman"/>
          <w:sz w:val="21"/>
          <w:szCs w:val="21"/>
        </w:rPr>
      </w:pPr>
      <w:r>
        <w:rPr>
          <w:rFonts w:ascii="Times New Roman"/>
          <w:sz w:val="21"/>
          <w:szCs w:val="21"/>
        </w:rPr>
        <w:t>法定代表人：</w:t>
      </w:r>
      <w:r>
        <w:rPr>
          <w:rFonts w:ascii="Times New Roman"/>
          <w:sz w:val="21"/>
          <w:szCs w:val="21"/>
          <w:u w:val="single"/>
        </w:rPr>
        <w:t xml:space="preserve">            （签字或盖章）</w:t>
      </w:r>
    </w:p>
    <w:p w14:paraId="35AFD7F9">
      <w:pPr>
        <w:spacing w:before="120" w:beforeLines="0"/>
        <w:ind w:left="2520" w:firstLine="420"/>
        <w:rPr>
          <w:rFonts w:hint="eastAsia" w:ascii="Times New Roman"/>
          <w:sz w:val="21"/>
          <w:szCs w:val="21"/>
          <w:u w:val="single"/>
        </w:rPr>
      </w:pPr>
      <w:r>
        <w:rPr>
          <w:rFonts w:ascii="Times New Roman"/>
          <w:sz w:val="21"/>
          <w:szCs w:val="21"/>
        </w:rPr>
        <w:t>身份证号码：</w:t>
      </w:r>
      <w:r>
        <w:rPr>
          <w:rFonts w:ascii="Times New Roman"/>
          <w:sz w:val="21"/>
          <w:szCs w:val="21"/>
          <w:u w:val="single"/>
        </w:rPr>
        <w:t xml:space="preserve">                    </w:t>
      </w:r>
      <w:r>
        <w:rPr>
          <w:rFonts w:hint="eastAsia" w:ascii="Times New Roman"/>
          <w:sz w:val="21"/>
          <w:szCs w:val="21"/>
          <w:u w:val="single"/>
        </w:rPr>
        <w:t xml:space="preserve">      </w:t>
      </w:r>
    </w:p>
    <w:p w14:paraId="711B5115">
      <w:pPr>
        <w:spacing w:before="120" w:beforeLines="0"/>
        <w:ind w:left="2520" w:firstLine="420"/>
        <w:rPr>
          <w:rFonts w:ascii="Times New Roman"/>
          <w:sz w:val="21"/>
          <w:szCs w:val="21"/>
          <w:u w:val="single"/>
        </w:rPr>
      </w:pPr>
      <w:r>
        <w:rPr>
          <w:rFonts w:ascii="Times New Roman"/>
          <w:sz w:val="21"/>
          <w:szCs w:val="21"/>
        </w:rPr>
        <w:t>职</w:t>
      </w:r>
      <w:r>
        <w:rPr>
          <w:rFonts w:hint="eastAsia" w:ascii="Times New Roman"/>
          <w:sz w:val="21"/>
          <w:szCs w:val="21"/>
        </w:rPr>
        <w:t xml:space="preserve">      </w:t>
      </w:r>
      <w:r>
        <w:rPr>
          <w:rFonts w:ascii="Times New Roman"/>
          <w:sz w:val="21"/>
          <w:szCs w:val="21"/>
        </w:rPr>
        <w:t>务：</w:t>
      </w:r>
      <w:r>
        <w:rPr>
          <w:rFonts w:ascii="Times New Roman"/>
          <w:sz w:val="21"/>
          <w:szCs w:val="21"/>
          <w:u w:val="single"/>
        </w:rPr>
        <w:t xml:space="preserve">                          </w:t>
      </w:r>
    </w:p>
    <w:p w14:paraId="3933229D">
      <w:pPr>
        <w:spacing w:before="120" w:beforeLines="0"/>
        <w:ind w:left="2520" w:firstLine="420"/>
        <w:rPr>
          <w:rFonts w:ascii="Times New Roman"/>
          <w:sz w:val="21"/>
          <w:szCs w:val="21"/>
        </w:rPr>
      </w:pPr>
      <w:r>
        <w:rPr>
          <w:rFonts w:ascii="Times New Roman"/>
          <w:sz w:val="21"/>
          <w:szCs w:val="21"/>
        </w:rPr>
        <w:t>代  理  人：</w:t>
      </w:r>
      <w:r>
        <w:rPr>
          <w:rFonts w:ascii="Times New Roman"/>
          <w:sz w:val="21"/>
          <w:szCs w:val="21"/>
          <w:u w:val="single"/>
        </w:rPr>
        <w:t xml:space="preserve">                 （签字）</w:t>
      </w:r>
      <w:r>
        <w:rPr>
          <w:rFonts w:hint="eastAsia" w:ascii="Times New Roman"/>
          <w:sz w:val="21"/>
          <w:szCs w:val="21"/>
          <w:u w:val="single"/>
        </w:rPr>
        <w:t xml:space="preserve"> </w:t>
      </w:r>
    </w:p>
    <w:p w14:paraId="4C8B8FB0">
      <w:pPr>
        <w:spacing w:before="120" w:beforeLines="0"/>
        <w:ind w:left="2520" w:firstLine="420"/>
        <w:rPr>
          <w:rFonts w:hint="eastAsia" w:ascii="Times New Roman"/>
          <w:sz w:val="21"/>
          <w:szCs w:val="21"/>
          <w:u w:val="single"/>
        </w:rPr>
      </w:pPr>
      <w:r>
        <w:rPr>
          <w:rFonts w:ascii="Times New Roman"/>
          <w:sz w:val="21"/>
          <w:szCs w:val="21"/>
        </w:rPr>
        <w:t>身份证号码：</w:t>
      </w:r>
      <w:r>
        <w:rPr>
          <w:rFonts w:ascii="Times New Roman"/>
          <w:sz w:val="21"/>
          <w:szCs w:val="21"/>
          <w:u w:val="single"/>
        </w:rPr>
        <w:t xml:space="preserve">                    </w:t>
      </w:r>
      <w:r>
        <w:rPr>
          <w:rFonts w:hint="eastAsia" w:ascii="Times New Roman"/>
          <w:sz w:val="21"/>
          <w:szCs w:val="21"/>
          <w:u w:val="single"/>
        </w:rPr>
        <w:t xml:space="preserve">      </w:t>
      </w:r>
    </w:p>
    <w:p w14:paraId="51569753">
      <w:pPr>
        <w:spacing w:before="120" w:beforeLines="0"/>
        <w:ind w:left="2520" w:firstLine="420"/>
        <w:rPr>
          <w:rFonts w:ascii="Times New Roman"/>
          <w:sz w:val="21"/>
          <w:szCs w:val="21"/>
        </w:rPr>
      </w:pPr>
      <w:r>
        <w:rPr>
          <w:rFonts w:ascii="Times New Roman"/>
          <w:sz w:val="21"/>
          <w:szCs w:val="21"/>
        </w:rPr>
        <w:t>职</w:t>
      </w:r>
      <w:r>
        <w:rPr>
          <w:rFonts w:hint="eastAsia" w:ascii="Times New Roman"/>
          <w:sz w:val="21"/>
          <w:szCs w:val="21"/>
        </w:rPr>
        <w:t xml:space="preserve">      </w:t>
      </w:r>
      <w:r>
        <w:rPr>
          <w:rFonts w:ascii="Times New Roman"/>
          <w:sz w:val="21"/>
          <w:szCs w:val="21"/>
        </w:rPr>
        <w:t>务：</w:t>
      </w:r>
      <w:r>
        <w:rPr>
          <w:rFonts w:ascii="Times New Roman"/>
          <w:sz w:val="21"/>
          <w:szCs w:val="21"/>
          <w:u w:val="single"/>
        </w:rPr>
        <w:t xml:space="preserve">          </w:t>
      </w:r>
      <w:r>
        <w:rPr>
          <w:rFonts w:hint="eastAsia" w:ascii="Times New Roman"/>
          <w:sz w:val="21"/>
          <w:szCs w:val="21"/>
          <w:u w:val="single"/>
        </w:rPr>
        <w:t xml:space="preserve">                </w:t>
      </w:r>
    </w:p>
    <w:p w14:paraId="34101436">
      <w:pPr>
        <w:spacing w:before="120" w:beforeLines="0"/>
        <w:ind w:left="2520" w:firstLine="420"/>
        <w:rPr>
          <w:rFonts w:ascii="Times New Roman"/>
          <w:sz w:val="21"/>
          <w:szCs w:val="21"/>
        </w:rPr>
      </w:pPr>
      <w:r>
        <w:rPr>
          <w:rFonts w:ascii="Times New Roman"/>
          <w:sz w:val="21"/>
          <w:szCs w:val="21"/>
        </w:rPr>
        <w:t>授权委托日期：</w:t>
      </w:r>
      <w:r>
        <w:rPr>
          <w:rFonts w:ascii="Times New Roman"/>
          <w:sz w:val="21"/>
          <w:szCs w:val="21"/>
          <w:u w:val="single"/>
        </w:rPr>
        <w:t xml:space="preserve">        </w:t>
      </w:r>
      <w:r>
        <w:rPr>
          <w:rFonts w:ascii="Times New Roman"/>
          <w:sz w:val="21"/>
          <w:szCs w:val="21"/>
        </w:rPr>
        <w:t>年</w:t>
      </w:r>
      <w:r>
        <w:rPr>
          <w:rFonts w:ascii="Times New Roman"/>
          <w:sz w:val="21"/>
          <w:szCs w:val="21"/>
          <w:u w:val="single"/>
        </w:rPr>
        <w:t xml:space="preserve">    </w:t>
      </w:r>
      <w:r>
        <w:rPr>
          <w:rFonts w:ascii="Times New Roman"/>
          <w:sz w:val="21"/>
          <w:szCs w:val="21"/>
        </w:rPr>
        <w:t>月</w:t>
      </w:r>
      <w:r>
        <w:rPr>
          <w:rFonts w:ascii="Times New Roman"/>
          <w:sz w:val="21"/>
          <w:szCs w:val="21"/>
          <w:u w:val="single"/>
        </w:rPr>
        <w:t xml:space="preserve">    </w:t>
      </w:r>
      <w:r>
        <w:rPr>
          <w:rFonts w:ascii="Times New Roman"/>
          <w:sz w:val="21"/>
          <w:szCs w:val="21"/>
        </w:rPr>
        <w:t>日</w:t>
      </w:r>
    </w:p>
    <w:p w14:paraId="779D751B">
      <w:pPr>
        <w:spacing w:before="120" w:beforeLines="0"/>
        <w:ind w:firstLine="420"/>
        <w:rPr>
          <w:rFonts w:ascii="Times New Roman"/>
          <w:sz w:val="21"/>
          <w:szCs w:val="21"/>
        </w:rPr>
      </w:pPr>
    </w:p>
    <w:p w14:paraId="0E14A706">
      <w:pPr>
        <w:spacing w:before="0" w:beforeLines="0" w:line="360" w:lineRule="auto"/>
        <w:ind w:firstLine="420"/>
        <w:rPr>
          <w:rFonts w:ascii="Times New Roman"/>
          <w:sz w:val="21"/>
          <w:szCs w:val="21"/>
        </w:rPr>
      </w:pPr>
      <w:r>
        <w:rPr>
          <w:rFonts w:ascii="Times New Roman"/>
          <w:sz w:val="21"/>
          <w:szCs w:val="21"/>
        </w:rPr>
        <w:t>注：后附法定代表人和代理人身份证复印件或扫描件。</w:t>
      </w:r>
    </w:p>
    <w:p w14:paraId="023C66D0">
      <w:pPr>
        <w:ind w:firstLine="0" w:firstLineChars="0"/>
        <w:jc w:val="left"/>
        <w:outlineLvl w:val="1"/>
        <w:rPr>
          <w:rFonts w:ascii="Times New Roman"/>
        </w:rPr>
      </w:pPr>
      <w:bookmarkStart w:id="1300" w:name="_Toc18469"/>
      <w:bookmarkStart w:id="1301" w:name="_Toc491534500"/>
      <w:r>
        <w:rPr>
          <w:rFonts w:ascii="Times New Roman"/>
        </w:rPr>
        <w:br w:type="page"/>
      </w:r>
      <w:bookmarkStart w:id="1302" w:name="_Toc11246"/>
      <w:bookmarkStart w:id="1303" w:name="_Toc26336"/>
      <w:bookmarkStart w:id="1304" w:name="_Toc193981338"/>
      <w:r>
        <w:rPr>
          <w:rFonts w:ascii="Times New Roman"/>
        </w:rPr>
        <w:t>A2法定代表人资格证明书</w:t>
      </w:r>
      <w:bookmarkEnd w:id="1296"/>
      <w:bookmarkEnd w:id="1297"/>
      <w:bookmarkEnd w:id="1298"/>
      <w:bookmarkEnd w:id="1300"/>
      <w:bookmarkEnd w:id="1301"/>
      <w:bookmarkEnd w:id="1302"/>
      <w:bookmarkEnd w:id="1303"/>
      <w:bookmarkEnd w:id="1304"/>
    </w:p>
    <w:p w14:paraId="08B05906">
      <w:pPr>
        <w:pStyle w:val="99"/>
        <w:spacing w:before="312" w:beforeLines="100" w:after="312" w:afterLines="100"/>
        <w:rPr>
          <w:rFonts w:ascii="Times New Roman" w:hAnsi="Times New Roman" w:cs="Times New Roman"/>
        </w:rPr>
      </w:pPr>
      <w:r>
        <w:rPr>
          <w:rFonts w:ascii="Times New Roman" w:hAnsi="Times New Roman" w:cs="Times New Roman"/>
        </w:rPr>
        <w:t>法定代表人资格证明书</w:t>
      </w:r>
    </w:p>
    <w:p w14:paraId="29A51006">
      <w:pPr>
        <w:spacing w:line="360" w:lineRule="auto"/>
        <w:ind w:firstLine="420"/>
        <w:rPr>
          <w:rFonts w:ascii="Times New Roman"/>
          <w:sz w:val="21"/>
          <w:szCs w:val="21"/>
        </w:rPr>
      </w:pPr>
      <w:r>
        <w:rPr>
          <w:rFonts w:ascii="Times New Roman"/>
          <w:sz w:val="21"/>
          <w:szCs w:val="21"/>
        </w:rPr>
        <w:t>单位名称：</w:t>
      </w:r>
      <w:r>
        <w:rPr>
          <w:rFonts w:ascii="Times New Roman"/>
          <w:sz w:val="21"/>
          <w:szCs w:val="21"/>
          <w:u w:val="single"/>
        </w:rPr>
        <w:t xml:space="preserve">                        </w:t>
      </w:r>
    </w:p>
    <w:p w14:paraId="19E1E417">
      <w:pPr>
        <w:spacing w:line="360" w:lineRule="auto"/>
        <w:ind w:firstLine="420"/>
        <w:rPr>
          <w:rFonts w:ascii="Times New Roman"/>
          <w:sz w:val="21"/>
          <w:szCs w:val="21"/>
        </w:rPr>
      </w:pPr>
      <w:r>
        <w:rPr>
          <w:rFonts w:ascii="Times New Roman"/>
          <w:sz w:val="21"/>
          <w:szCs w:val="21"/>
        </w:rPr>
        <w:t>地址：</w:t>
      </w:r>
      <w:r>
        <w:rPr>
          <w:rFonts w:ascii="Times New Roman"/>
          <w:sz w:val="21"/>
          <w:szCs w:val="21"/>
          <w:u w:val="single"/>
        </w:rPr>
        <w:t xml:space="preserve">                         </w:t>
      </w:r>
      <w:r>
        <w:rPr>
          <w:rFonts w:hint="eastAsia" w:ascii="Times New Roman"/>
          <w:sz w:val="21"/>
          <w:szCs w:val="21"/>
          <w:u w:val="single"/>
        </w:rPr>
        <w:t xml:space="preserve">   </w:t>
      </w:r>
    </w:p>
    <w:p w14:paraId="1D686F96">
      <w:pPr>
        <w:spacing w:line="360" w:lineRule="auto"/>
        <w:ind w:firstLine="420"/>
        <w:rPr>
          <w:rFonts w:ascii="Times New Roman"/>
          <w:sz w:val="21"/>
          <w:szCs w:val="21"/>
        </w:rPr>
      </w:pPr>
      <w:r>
        <w:rPr>
          <w:rFonts w:ascii="Times New Roman"/>
          <w:sz w:val="21"/>
          <w:szCs w:val="21"/>
        </w:rPr>
        <w:t>姓名：</w:t>
      </w:r>
      <w:r>
        <w:rPr>
          <w:rFonts w:ascii="Times New Roman"/>
          <w:sz w:val="21"/>
          <w:szCs w:val="21"/>
          <w:u w:val="single"/>
        </w:rPr>
        <w:t xml:space="preserve">           </w:t>
      </w:r>
      <w:r>
        <w:rPr>
          <w:rFonts w:ascii="Times New Roman"/>
          <w:sz w:val="21"/>
          <w:szCs w:val="21"/>
        </w:rPr>
        <w:t xml:space="preserve"> 性别：</w:t>
      </w:r>
      <w:r>
        <w:rPr>
          <w:rFonts w:ascii="Times New Roman"/>
          <w:sz w:val="21"/>
          <w:szCs w:val="21"/>
          <w:u w:val="single"/>
        </w:rPr>
        <w:t xml:space="preserve">           </w:t>
      </w:r>
      <w:r>
        <w:rPr>
          <w:rFonts w:ascii="Times New Roman"/>
          <w:sz w:val="21"/>
          <w:szCs w:val="21"/>
        </w:rPr>
        <w:t xml:space="preserve"> 身份证号：</w:t>
      </w:r>
      <w:r>
        <w:rPr>
          <w:rFonts w:ascii="Times New Roman"/>
          <w:sz w:val="21"/>
          <w:szCs w:val="21"/>
          <w:u w:val="single"/>
        </w:rPr>
        <w:t xml:space="preserve">            </w:t>
      </w:r>
      <w:r>
        <w:rPr>
          <w:rFonts w:ascii="Times New Roman"/>
          <w:sz w:val="21"/>
          <w:szCs w:val="21"/>
        </w:rPr>
        <w:t>职务：</w:t>
      </w:r>
      <w:r>
        <w:rPr>
          <w:rFonts w:ascii="Times New Roman"/>
          <w:sz w:val="21"/>
          <w:szCs w:val="21"/>
          <w:u w:val="single"/>
        </w:rPr>
        <w:t xml:space="preserve">        </w:t>
      </w:r>
    </w:p>
    <w:p w14:paraId="0B52B704">
      <w:pPr>
        <w:spacing w:line="360" w:lineRule="auto"/>
        <w:ind w:firstLine="420"/>
        <w:rPr>
          <w:rFonts w:ascii="Times New Roman"/>
          <w:sz w:val="21"/>
          <w:szCs w:val="21"/>
        </w:rPr>
      </w:pPr>
      <w:r>
        <w:rPr>
          <w:rFonts w:ascii="Times New Roman"/>
          <w:sz w:val="21"/>
          <w:szCs w:val="21"/>
        </w:rPr>
        <w:t>系</w:t>
      </w:r>
      <w:r>
        <w:rPr>
          <w:rFonts w:ascii="Times New Roman"/>
          <w:sz w:val="21"/>
          <w:szCs w:val="21"/>
          <w:u w:val="single"/>
        </w:rPr>
        <w:t xml:space="preserve">                            </w:t>
      </w:r>
      <w:r>
        <w:rPr>
          <w:rFonts w:ascii="Times New Roman"/>
          <w:sz w:val="21"/>
          <w:szCs w:val="21"/>
        </w:rPr>
        <w:t>的法定代表人。</w:t>
      </w:r>
    </w:p>
    <w:p w14:paraId="529B16E1">
      <w:pPr>
        <w:spacing w:line="360" w:lineRule="auto"/>
        <w:ind w:firstLine="420"/>
        <w:rPr>
          <w:rFonts w:ascii="Times New Roman"/>
          <w:sz w:val="21"/>
          <w:szCs w:val="21"/>
        </w:rPr>
      </w:pPr>
      <w:r>
        <w:rPr>
          <w:rFonts w:ascii="Times New Roman"/>
          <w:sz w:val="21"/>
          <w:szCs w:val="21"/>
        </w:rPr>
        <w:t>特此证明。</w:t>
      </w:r>
    </w:p>
    <w:p w14:paraId="47A3FE96">
      <w:pPr>
        <w:spacing w:before="0" w:beforeLines="0"/>
        <w:ind w:firstLine="420"/>
        <w:rPr>
          <w:rFonts w:ascii="Times New Roman"/>
          <w:sz w:val="21"/>
          <w:szCs w:val="21"/>
        </w:rPr>
      </w:pPr>
    </w:p>
    <w:p w14:paraId="2DFEB25D">
      <w:pPr>
        <w:spacing w:before="0" w:beforeLines="0"/>
        <w:ind w:firstLine="420"/>
        <w:rPr>
          <w:rFonts w:ascii="Times New Roman"/>
          <w:sz w:val="21"/>
          <w:szCs w:val="21"/>
        </w:rPr>
      </w:pPr>
    </w:p>
    <w:p w14:paraId="4C0BC8C6">
      <w:pPr>
        <w:spacing w:before="0" w:beforeLines="0"/>
        <w:ind w:left="2940" w:firstLine="420"/>
        <w:rPr>
          <w:rFonts w:ascii="Times New Roman"/>
          <w:sz w:val="21"/>
          <w:szCs w:val="21"/>
        </w:rPr>
      </w:pPr>
      <w:r>
        <w:rPr>
          <w:rFonts w:ascii="Times New Roman"/>
          <w:sz w:val="21"/>
          <w:szCs w:val="21"/>
        </w:rPr>
        <w:t>投标人：</w:t>
      </w:r>
      <w:r>
        <w:rPr>
          <w:rFonts w:ascii="Times New Roman"/>
          <w:sz w:val="21"/>
          <w:szCs w:val="21"/>
          <w:u w:val="single"/>
        </w:rPr>
        <w:t xml:space="preserve">                    </w:t>
      </w:r>
      <w:r>
        <w:rPr>
          <w:rFonts w:ascii="Times New Roman"/>
          <w:sz w:val="21"/>
          <w:szCs w:val="21"/>
        </w:rPr>
        <w:t>（公章）</w:t>
      </w:r>
    </w:p>
    <w:p w14:paraId="547C1DC5">
      <w:pPr>
        <w:spacing w:before="0" w:beforeLines="0"/>
        <w:ind w:firstLine="420"/>
        <w:rPr>
          <w:rFonts w:ascii="Times New Roman"/>
          <w:sz w:val="21"/>
          <w:szCs w:val="21"/>
          <w:u w:val="single"/>
        </w:rPr>
      </w:pPr>
    </w:p>
    <w:p w14:paraId="5CEF5845">
      <w:pPr>
        <w:spacing w:before="0" w:beforeLines="0"/>
        <w:ind w:left="3780" w:firstLine="420"/>
        <w:rPr>
          <w:rFonts w:ascii="Times New Roman"/>
          <w:sz w:val="21"/>
          <w:szCs w:val="21"/>
        </w:rPr>
      </w:pPr>
      <w:r>
        <w:rPr>
          <w:rFonts w:ascii="Times New Roman"/>
          <w:sz w:val="21"/>
          <w:szCs w:val="21"/>
          <w:u w:val="single"/>
        </w:rPr>
        <w:t xml:space="preserve">        </w:t>
      </w:r>
      <w:r>
        <w:rPr>
          <w:rFonts w:ascii="Times New Roman"/>
          <w:sz w:val="21"/>
          <w:szCs w:val="21"/>
        </w:rPr>
        <w:t>年</w:t>
      </w:r>
      <w:r>
        <w:rPr>
          <w:rFonts w:ascii="Times New Roman"/>
          <w:sz w:val="21"/>
          <w:szCs w:val="21"/>
          <w:u w:val="single"/>
        </w:rPr>
        <w:t xml:space="preserve">    </w:t>
      </w:r>
      <w:r>
        <w:rPr>
          <w:rFonts w:ascii="Times New Roman"/>
          <w:sz w:val="21"/>
          <w:szCs w:val="21"/>
        </w:rPr>
        <w:t>月</w:t>
      </w:r>
      <w:r>
        <w:rPr>
          <w:rFonts w:ascii="Times New Roman"/>
          <w:sz w:val="21"/>
          <w:szCs w:val="21"/>
          <w:u w:val="single"/>
        </w:rPr>
        <w:t xml:space="preserve">    </w:t>
      </w:r>
      <w:r>
        <w:rPr>
          <w:rFonts w:ascii="Times New Roman"/>
          <w:sz w:val="21"/>
          <w:szCs w:val="21"/>
        </w:rPr>
        <w:t>日</w:t>
      </w:r>
    </w:p>
    <w:p w14:paraId="1BA83455">
      <w:pPr>
        <w:spacing w:before="0" w:beforeLines="0"/>
        <w:ind w:firstLine="420"/>
        <w:rPr>
          <w:rFonts w:ascii="Times New Roman"/>
          <w:sz w:val="21"/>
          <w:szCs w:val="21"/>
        </w:rPr>
      </w:pPr>
    </w:p>
    <w:p w14:paraId="3DD9EF06">
      <w:pPr>
        <w:spacing w:before="120" w:beforeLines="0"/>
        <w:ind w:firstLine="0" w:firstLineChars="0"/>
        <w:outlineLvl w:val="1"/>
        <w:rPr>
          <w:rFonts w:ascii="Times New Roman"/>
        </w:rPr>
      </w:pPr>
      <w:r>
        <w:rPr>
          <w:rFonts w:ascii="Times New Roman"/>
          <w:sz w:val="21"/>
          <w:szCs w:val="21"/>
        </w:rPr>
        <w:br w:type="page"/>
      </w:r>
      <w:bookmarkStart w:id="1305" w:name="_Toc193981339"/>
      <w:bookmarkStart w:id="1306" w:name="_Toc491534502"/>
      <w:bookmarkStart w:id="1307" w:name="_Toc9653"/>
      <w:bookmarkStart w:id="1308" w:name="_Toc2002"/>
      <w:bookmarkStart w:id="1309" w:name="_Toc20433"/>
      <w:r>
        <w:rPr>
          <w:rFonts w:ascii="Times New Roman"/>
        </w:rPr>
        <w:t>A3信誉承诺书</w:t>
      </w:r>
      <w:bookmarkEnd w:id="1305"/>
      <w:bookmarkEnd w:id="1306"/>
      <w:bookmarkEnd w:id="1307"/>
      <w:bookmarkEnd w:id="1308"/>
      <w:bookmarkEnd w:id="1309"/>
    </w:p>
    <w:p w14:paraId="0AF514B8">
      <w:pPr>
        <w:pStyle w:val="99"/>
        <w:spacing w:before="312" w:beforeLines="100" w:after="312" w:afterLines="100"/>
        <w:rPr>
          <w:rFonts w:ascii="Times New Roman" w:hAnsi="Times New Roman" w:cs="Times New Roman"/>
        </w:rPr>
      </w:pPr>
      <w:r>
        <w:rPr>
          <w:rFonts w:ascii="Times New Roman" w:hAnsi="Times New Roman" w:cs="Times New Roman"/>
        </w:rPr>
        <w:t>信誉承诺书</w:t>
      </w:r>
    </w:p>
    <w:p w14:paraId="48352614">
      <w:pPr>
        <w:spacing w:before="0" w:beforeLines="0" w:line="360" w:lineRule="auto"/>
        <w:ind w:left="-3" w:leftChars="-10" w:hanging="21" w:hangingChars="10"/>
        <w:rPr>
          <w:rFonts w:hint="eastAsia" w:ascii="Times New Roman"/>
          <w:sz w:val="21"/>
          <w:szCs w:val="21"/>
        </w:rPr>
      </w:pPr>
      <w:r>
        <w:rPr>
          <w:rFonts w:ascii="Times New Roman"/>
          <w:sz w:val="21"/>
          <w:szCs w:val="21"/>
        </w:rPr>
        <w:t>致：</w:t>
      </w:r>
      <w:r>
        <w:rPr>
          <w:rFonts w:hint="eastAsia" w:ascii="Times New Roman"/>
          <w:sz w:val="21"/>
          <w:szCs w:val="21"/>
        </w:rPr>
        <w:t>南宁轨道地产集团有限责任公司</w:t>
      </w:r>
    </w:p>
    <w:p w14:paraId="04D15431">
      <w:pPr>
        <w:spacing w:before="0" w:beforeLines="0" w:line="360" w:lineRule="auto"/>
        <w:ind w:firstLine="420"/>
        <w:rPr>
          <w:rFonts w:ascii="Times New Roman"/>
          <w:sz w:val="21"/>
          <w:szCs w:val="21"/>
        </w:rPr>
      </w:pPr>
      <w:r>
        <w:rPr>
          <w:rFonts w:ascii="Times New Roman"/>
          <w:sz w:val="21"/>
          <w:szCs w:val="21"/>
        </w:rPr>
        <w:t>我司在此郑重承诺：</w:t>
      </w:r>
    </w:p>
    <w:p w14:paraId="05AC5FF4">
      <w:pPr>
        <w:spacing w:before="0" w:beforeLines="0" w:line="360" w:lineRule="auto"/>
        <w:ind w:firstLine="420"/>
        <w:rPr>
          <w:rFonts w:ascii="Times New Roman"/>
          <w:b/>
          <w:spacing w:val="1"/>
          <w:position w:val="-2"/>
          <w:sz w:val="21"/>
          <w:szCs w:val="21"/>
        </w:rPr>
      </w:pPr>
      <w:r>
        <w:rPr>
          <w:rFonts w:ascii="Times New Roman"/>
          <w:sz w:val="21"/>
          <w:szCs w:val="21"/>
        </w:rPr>
        <w:t>1、我司没有处于被责令停业，投标资格被取消，财产被接管、冻结，破产状态；在最近三年内（20</w:t>
      </w:r>
      <w:r>
        <w:rPr>
          <w:rFonts w:hint="eastAsia" w:ascii="Times New Roman"/>
          <w:sz w:val="21"/>
          <w:szCs w:val="21"/>
        </w:rPr>
        <w:t>2</w:t>
      </w:r>
      <w:r>
        <w:rPr>
          <w:rFonts w:hint="eastAsia" w:ascii="Times New Roman"/>
          <w:sz w:val="21"/>
          <w:szCs w:val="21"/>
          <w:lang w:val="en-US" w:eastAsia="zh-CN"/>
        </w:rPr>
        <w:t>3</w:t>
      </w:r>
      <w:r>
        <w:rPr>
          <w:rFonts w:ascii="Times New Roman"/>
          <w:sz w:val="21"/>
          <w:szCs w:val="21"/>
        </w:rPr>
        <w:t>年1月1日至投标截止时间）没有骗取中标或严重违约或较大质量安全责任事故的情况（骗取中标、严重违约的认定以国家住房和城乡建设部在处罚期内通报有不良行为的企业名单为准，较大质量安全责任事故的认定以应急管理部公布的重大生产安全事故责任企业名单为准）。</w:t>
      </w:r>
    </w:p>
    <w:p w14:paraId="0A8E60CC">
      <w:pPr>
        <w:spacing w:before="0" w:beforeLines="0" w:line="360" w:lineRule="auto"/>
        <w:ind w:firstLine="420"/>
        <w:rPr>
          <w:rFonts w:ascii="Times New Roman"/>
          <w:sz w:val="21"/>
          <w:szCs w:val="21"/>
        </w:rPr>
      </w:pPr>
      <w:r>
        <w:rPr>
          <w:rFonts w:ascii="Times New Roman"/>
          <w:sz w:val="21"/>
          <w:szCs w:val="21"/>
        </w:rPr>
        <w:t>2、我司与招标人不存在利害关系，与其他投标人之间不存在单位负责人为同一人或者控股、管理关系的情况。</w:t>
      </w:r>
    </w:p>
    <w:p w14:paraId="469C8F60">
      <w:pPr>
        <w:spacing w:before="0" w:beforeLines="0" w:line="360" w:lineRule="auto"/>
        <w:ind w:firstLine="420"/>
        <w:rPr>
          <w:rFonts w:hint="eastAsia" w:ascii="Times New Roman"/>
          <w:sz w:val="21"/>
          <w:szCs w:val="21"/>
        </w:rPr>
      </w:pPr>
      <w:r>
        <w:rPr>
          <w:rFonts w:ascii="Times New Roman"/>
          <w:sz w:val="21"/>
          <w:szCs w:val="21"/>
        </w:rPr>
        <w:t>3、在参与本次招标投标活动中，如果招标人发现我司存在上述任何情况的，我司愿意承担因弄虚作假造成的一切法律后果，包括被取消中标资格以及被没收投标保证金等后果。</w:t>
      </w:r>
    </w:p>
    <w:p w14:paraId="46F203B4">
      <w:pPr>
        <w:spacing w:before="0" w:beforeLines="0" w:line="360" w:lineRule="auto"/>
        <w:ind w:firstLine="420"/>
        <w:rPr>
          <w:rFonts w:ascii="Times New Roman"/>
          <w:sz w:val="21"/>
          <w:szCs w:val="21"/>
        </w:rPr>
      </w:pPr>
      <w:r>
        <w:rPr>
          <w:rFonts w:hint="eastAsia" w:ascii="Times New Roman"/>
          <w:sz w:val="21"/>
          <w:szCs w:val="21"/>
        </w:rPr>
        <w:t>4、我司在人员、资金等方面具备相应的能力。</w:t>
      </w:r>
    </w:p>
    <w:p w14:paraId="37D6B9E4">
      <w:pPr>
        <w:spacing w:line="360" w:lineRule="auto"/>
        <w:ind w:firstLine="422"/>
        <w:rPr>
          <w:rFonts w:ascii="Times New Roman"/>
          <w:b/>
          <w:sz w:val="21"/>
          <w:szCs w:val="21"/>
        </w:rPr>
      </w:pPr>
    </w:p>
    <w:p w14:paraId="22D7DBAB">
      <w:pPr>
        <w:spacing w:line="360" w:lineRule="auto"/>
        <w:ind w:firstLine="422"/>
        <w:rPr>
          <w:rFonts w:ascii="Times New Roman"/>
          <w:b/>
          <w:sz w:val="21"/>
          <w:szCs w:val="21"/>
        </w:rPr>
      </w:pPr>
    </w:p>
    <w:p w14:paraId="34B47B04">
      <w:pPr>
        <w:spacing w:before="0" w:beforeLines="0"/>
        <w:ind w:left="2100" w:firstLine="420"/>
        <w:rPr>
          <w:rFonts w:ascii="Times New Roman"/>
          <w:sz w:val="21"/>
          <w:szCs w:val="21"/>
          <w:u w:val="single"/>
        </w:rPr>
      </w:pPr>
      <w:r>
        <w:rPr>
          <w:rFonts w:ascii="Times New Roman"/>
          <w:sz w:val="21"/>
          <w:szCs w:val="21"/>
        </w:rPr>
        <w:t>投标人（公章）：</w:t>
      </w:r>
      <w:r>
        <w:rPr>
          <w:rFonts w:ascii="Times New Roman"/>
          <w:sz w:val="21"/>
          <w:szCs w:val="21"/>
          <w:u w:val="single"/>
        </w:rPr>
        <w:t xml:space="preserve">                                        </w:t>
      </w:r>
    </w:p>
    <w:p w14:paraId="5EABCE60">
      <w:pPr>
        <w:spacing w:before="0" w:beforeLines="0"/>
        <w:ind w:left="2100" w:firstLine="420"/>
        <w:rPr>
          <w:rFonts w:ascii="Times New Roman"/>
          <w:sz w:val="21"/>
          <w:szCs w:val="21"/>
        </w:rPr>
      </w:pPr>
    </w:p>
    <w:p w14:paraId="5CD7E4B7">
      <w:pPr>
        <w:spacing w:before="0" w:beforeLines="0"/>
        <w:ind w:left="2100" w:firstLine="420"/>
        <w:rPr>
          <w:rFonts w:ascii="Times New Roman"/>
          <w:sz w:val="21"/>
          <w:szCs w:val="21"/>
          <w:u w:val="single"/>
        </w:rPr>
      </w:pPr>
      <w:r>
        <w:rPr>
          <w:rFonts w:ascii="Times New Roman"/>
          <w:sz w:val="21"/>
          <w:szCs w:val="21"/>
        </w:rPr>
        <w:t>法人代表或委托代理人（签字或盖章）：</w:t>
      </w:r>
      <w:r>
        <w:rPr>
          <w:rFonts w:ascii="Times New Roman"/>
          <w:sz w:val="21"/>
          <w:szCs w:val="21"/>
          <w:u w:val="single"/>
        </w:rPr>
        <w:t xml:space="preserve">                    </w:t>
      </w:r>
    </w:p>
    <w:p w14:paraId="78E4210A">
      <w:pPr>
        <w:spacing w:before="0" w:beforeLines="0"/>
        <w:ind w:left="2100" w:firstLine="420"/>
        <w:rPr>
          <w:rFonts w:ascii="Times New Roman"/>
          <w:sz w:val="21"/>
          <w:szCs w:val="21"/>
        </w:rPr>
      </w:pPr>
    </w:p>
    <w:p w14:paraId="1BD52474">
      <w:pPr>
        <w:spacing w:before="0" w:beforeLines="0"/>
        <w:ind w:left="2100" w:firstLine="420"/>
        <w:rPr>
          <w:rFonts w:ascii="Times New Roman"/>
          <w:sz w:val="21"/>
          <w:szCs w:val="21"/>
        </w:rPr>
      </w:pPr>
      <w:r>
        <w:rPr>
          <w:rFonts w:ascii="Times New Roman"/>
          <w:sz w:val="21"/>
          <w:szCs w:val="21"/>
        </w:rPr>
        <w:t>日期：</w:t>
      </w:r>
      <w:r>
        <w:rPr>
          <w:rFonts w:ascii="Times New Roman"/>
          <w:sz w:val="21"/>
          <w:szCs w:val="21"/>
          <w:u w:val="single"/>
        </w:rPr>
        <w:t xml:space="preserve">        </w:t>
      </w:r>
      <w:r>
        <w:rPr>
          <w:rFonts w:ascii="Times New Roman"/>
          <w:sz w:val="21"/>
          <w:szCs w:val="21"/>
        </w:rPr>
        <w:t>年</w:t>
      </w:r>
      <w:r>
        <w:rPr>
          <w:rFonts w:ascii="Times New Roman"/>
          <w:sz w:val="21"/>
          <w:szCs w:val="21"/>
          <w:u w:val="single"/>
        </w:rPr>
        <w:t xml:space="preserve">    </w:t>
      </w:r>
      <w:r>
        <w:rPr>
          <w:rFonts w:ascii="Times New Roman"/>
          <w:sz w:val="21"/>
          <w:szCs w:val="21"/>
        </w:rPr>
        <w:t>月</w:t>
      </w:r>
      <w:r>
        <w:rPr>
          <w:rFonts w:ascii="Times New Roman"/>
          <w:sz w:val="21"/>
          <w:szCs w:val="21"/>
          <w:u w:val="single"/>
        </w:rPr>
        <w:t xml:space="preserve">    </w:t>
      </w:r>
      <w:r>
        <w:rPr>
          <w:rFonts w:ascii="Times New Roman"/>
          <w:sz w:val="21"/>
          <w:szCs w:val="21"/>
        </w:rPr>
        <w:t>日</w:t>
      </w:r>
    </w:p>
    <w:p w14:paraId="401300EC">
      <w:pPr>
        <w:ind w:firstLine="0" w:firstLineChars="0"/>
        <w:outlineLvl w:val="1"/>
        <w:rPr>
          <w:rFonts w:ascii="Times New Roman"/>
        </w:rPr>
      </w:pPr>
      <w:r>
        <w:rPr>
          <w:rFonts w:ascii="Times New Roman"/>
          <w:sz w:val="21"/>
          <w:szCs w:val="21"/>
        </w:rPr>
        <w:br w:type="page"/>
      </w:r>
      <w:bookmarkStart w:id="1310" w:name="_Toc15327"/>
      <w:bookmarkStart w:id="1311" w:name="_Toc193981340"/>
      <w:bookmarkStart w:id="1312" w:name="_Toc7962"/>
      <w:r>
        <w:rPr>
          <w:rFonts w:ascii="Times New Roman"/>
        </w:rPr>
        <w:t>A4联合体协议书</w:t>
      </w:r>
      <w:bookmarkEnd w:id="1310"/>
      <w:bookmarkEnd w:id="1311"/>
      <w:bookmarkEnd w:id="1312"/>
    </w:p>
    <w:p w14:paraId="5ABA31FB">
      <w:pPr>
        <w:pStyle w:val="99"/>
        <w:spacing w:before="312" w:beforeLines="100" w:after="312" w:afterLines="100"/>
        <w:rPr>
          <w:rFonts w:ascii="Times New Roman" w:hAnsi="Times New Roman" w:cs="Times New Roman"/>
        </w:rPr>
      </w:pPr>
      <w:r>
        <w:rPr>
          <w:rFonts w:ascii="Times New Roman" w:hAnsi="Times New Roman" w:cs="Times New Roman"/>
        </w:rPr>
        <w:t>联合体协议书</w:t>
      </w:r>
    </w:p>
    <w:p w14:paraId="19ED90E7">
      <w:pPr>
        <w:spacing w:before="0" w:beforeLines="0" w:line="360" w:lineRule="auto"/>
        <w:ind w:firstLine="420"/>
        <w:rPr>
          <w:sz w:val="21"/>
          <w:szCs w:val="21"/>
        </w:rPr>
      </w:pPr>
      <w:r>
        <w:rPr>
          <w:sz w:val="21"/>
          <w:szCs w:val="21"/>
        </w:rPr>
        <w:t>牵头人名称：</w:t>
      </w:r>
      <w:r>
        <w:rPr>
          <w:sz w:val="21"/>
          <w:szCs w:val="21"/>
          <w:u w:val="single"/>
        </w:rPr>
        <w:t xml:space="preserve">                                                  </w:t>
      </w:r>
    </w:p>
    <w:p w14:paraId="5E4629D2">
      <w:pPr>
        <w:spacing w:before="0" w:beforeLines="0" w:line="360" w:lineRule="auto"/>
        <w:ind w:firstLine="420"/>
        <w:rPr>
          <w:sz w:val="21"/>
          <w:szCs w:val="21"/>
        </w:rPr>
      </w:pPr>
      <w:r>
        <w:rPr>
          <w:sz w:val="21"/>
          <w:szCs w:val="21"/>
        </w:rPr>
        <w:t>法定代表人：</w:t>
      </w:r>
      <w:r>
        <w:rPr>
          <w:sz w:val="21"/>
          <w:szCs w:val="21"/>
          <w:u w:val="single"/>
        </w:rPr>
        <w:t xml:space="preserve">                                                  </w:t>
      </w:r>
    </w:p>
    <w:p w14:paraId="1CE80AFB">
      <w:pPr>
        <w:spacing w:before="0" w:beforeLines="0" w:line="360" w:lineRule="auto"/>
        <w:ind w:firstLine="420"/>
        <w:rPr>
          <w:sz w:val="21"/>
          <w:szCs w:val="21"/>
        </w:rPr>
      </w:pPr>
      <w:r>
        <w:rPr>
          <w:sz w:val="21"/>
          <w:szCs w:val="21"/>
        </w:rPr>
        <w:t>成员名称：</w:t>
      </w:r>
      <w:r>
        <w:rPr>
          <w:sz w:val="21"/>
          <w:szCs w:val="21"/>
          <w:u w:val="single"/>
        </w:rPr>
        <w:t xml:space="preserve">                                                  </w:t>
      </w:r>
      <w:r>
        <w:rPr>
          <w:rFonts w:hint="eastAsia"/>
          <w:sz w:val="21"/>
          <w:szCs w:val="21"/>
          <w:u w:val="single"/>
        </w:rPr>
        <w:t xml:space="preserve">  </w:t>
      </w:r>
    </w:p>
    <w:p w14:paraId="1F24FC2C">
      <w:pPr>
        <w:spacing w:before="0" w:beforeLines="0" w:line="360" w:lineRule="auto"/>
        <w:ind w:firstLine="420"/>
        <w:rPr>
          <w:sz w:val="21"/>
          <w:szCs w:val="21"/>
        </w:rPr>
      </w:pPr>
      <w:r>
        <w:rPr>
          <w:sz w:val="21"/>
          <w:szCs w:val="21"/>
        </w:rPr>
        <w:t>法定代表人：</w:t>
      </w:r>
      <w:r>
        <w:rPr>
          <w:sz w:val="21"/>
          <w:szCs w:val="21"/>
          <w:u w:val="single"/>
        </w:rPr>
        <w:t xml:space="preserve">                                                  </w:t>
      </w:r>
    </w:p>
    <w:p w14:paraId="4A163BEB">
      <w:pPr>
        <w:spacing w:before="0" w:beforeLines="0" w:line="360" w:lineRule="auto"/>
        <w:ind w:firstLine="420"/>
        <w:rPr>
          <w:rFonts w:hint="eastAsia"/>
          <w:sz w:val="21"/>
          <w:szCs w:val="21"/>
        </w:rPr>
      </w:pPr>
      <w:r>
        <w:rPr>
          <w:sz w:val="21"/>
          <w:szCs w:val="21"/>
        </w:rPr>
        <w:t>鉴于上述各</w:t>
      </w:r>
      <w:r>
        <w:rPr>
          <w:rFonts w:hint="eastAsia"/>
          <w:sz w:val="21"/>
          <w:szCs w:val="21"/>
        </w:rPr>
        <w:t>方</w:t>
      </w:r>
      <w:r>
        <w:rPr>
          <w:sz w:val="21"/>
          <w:szCs w:val="21"/>
        </w:rPr>
        <w:t>经过友好协商，自愿组成</w:t>
      </w:r>
      <w:r>
        <w:rPr>
          <w:sz w:val="21"/>
          <w:szCs w:val="21"/>
          <w:u w:val="single"/>
        </w:rPr>
        <w:t xml:space="preserve">                          联合体</w:t>
      </w:r>
      <w:r>
        <w:rPr>
          <w:sz w:val="21"/>
          <w:szCs w:val="21"/>
        </w:rPr>
        <w:t>（联合体名称），共同参加</w:t>
      </w:r>
      <w:r>
        <w:rPr>
          <w:sz w:val="21"/>
          <w:szCs w:val="21"/>
          <w:u w:val="single"/>
        </w:rPr>
        <w:t xml:space="preserve">            </w:t>
      </w:r>
      <w:r>
        <w:rPr>
          <w:rFonts w:hint="eastAsia"/>
          <w:sz w:val="21"/>
          <w:szCs w:val="21"/>
          <w:u w:val="single"/>
        </w:rPr>
        <w:t xml:space="preserve">                   </w:t>
      </w:r>
      <w:r>
        <w:rPr>
          <w:sz w:val="21"/>
          <w:szCs w:val="21"/>
          <w:u w:val="single"/>
        </w:rPr>
        <w:t xml:space="preserve">      </w:t>
      </w:r>
      <w:r>
        <w:rPr>
          <w:sz w:val="21"/>
          <w:szCs w:val="21"/>
        </w:rPr>
        <w:t>（招标人名称）（以下简称招标人）</w:t>
      </w:r>
      <w:r>
        <w:rPr>
          <w:rFonts w:hint="eastAsia"/>
          <w:sz w:val="21"/>
          <w:szCs w:val="21"/>
        </w:rPr>
        <w:t>组织的</w:t>
      </w:r>
    </w:p>
    <w:p w14:paraId="14F48D35">
      <w:pPr>
        <w:spacing w:before="0" w:beforeLines="0" w:line="360" w:lineRule="auto"/>
        <w:ind w:firstLine="0" w:firstLineChars="0"/>
        <w:rPr>
          <w:sz w:val="21"/>
          <w:szCs w:val="21"/>
        </w:rPr>
      </w:pPr>
      <w:r>
        <w:rPr>
          <w:sz w:val="21"/>
          <w:szCs w:val="21"/>
          <w:u w:val="single"/>
        </w:rPr>
        <w:t xml:space="preserve">                   </w:t>
      </w:r>
      <w:r>
        <w:rPr>
          <w:rFonts w:hint="eastAsia"/>
          <w:sz w:val="21"/>
          <w:szCs w:val="21"/>
          <w:u w:val="single"/>
        </w:rPr>
        <w:t xml:space="preserve">   </w:t>
      </w:r>
      <w:r>
        <w:rPr>
          <w:sz w:val="21"/>
          <w:szCs w:val="21"/>
          <w:u w:val="single"/>
        </w:rPr>
        <w:t xml:space="preserve">     </w:t>
      </w:r>
      <w:r>
        <w:rPr>
          <w:sz w:val="21"/>
          <w:szCs w:val="21"/>
        </w:rPr>
        <w:t>（项目名称）（以下简称本</w:t>
      </w:r>
      <w:r>
        <w:rPr>
          <w:rFonts w:hint="eastAsia"/>
          <w:sz w:val="21"/>
          <w:szCs w:val="21"/>
        </w:rPr>
        <w:t>项目</w:t>
      </w:r>
      <w:r>
        <w:rPr>
          <w:sz w:val="21"/>
          <w:szCs w:val="21"/>
        </w:rPr>
        <w:t>）的投标。现就联合体投标事宜订立如下协议：</w:t>
      </w:r>
    </w:p>
    <w:p w14:paraId="2BB0FA08">
      <w:pPr>
        <w:spacing w:before="0" w:beforeLines="0" w:line="360" w:lineRule="auto"/>
        <w:ind w:firstLine="420"/>
        <w:rPr>
          <w:sz w:val="21"/>
          <w:szCs w:val="21"/>
        </w:rPr>
      </w:pPr>
      <w:r>
        <w:rPr>
          <w:sz w:val="21"/>
          <w:szCs w:val="21"/>
        </w:rPr>
        <w:t>1．</w:t>
      </w:r>
      <w:r>
        <w:rPr>
          <w:sz w:val="21"/>
          <w:szCs w:val="21"/>
          <w:u w:val="single"/>
        </w:rPr>
        <w:t xml:space="preserve">        </w:t>
      </w:r>
      <w:r>
        <w:rPr>
          <w:sz w:val="21"/>
          <w:szCs w:val="21"/>
        </w:rPr>
        <w:t>（某单位名称）为</w:t>
      </w:r>
      <w:r>
        <w:rPr>
          <w:sz w:val="21"/>
          <w:szCs w:val="21"/>
          <w:u w:val="single"/>
        </w:rPr>
        <w:t xml:space="preserve">              </w:t>
      </w:r>
      <w:r>
        <w:rPr>
          <w:sz w:val="21"/>
          <w:szCs w:val="21"/>
        </w:rPr>
        <w:t>（联合体名称）牵头人。</w:t>
      </w:r>
    </w:p>
    <w:p w14:paraId="6CFC1AD8">
      <w:pPr>
        <w:spacing w:before="0" w:beforeLines="0" w:line="360" w:lineRule="auto"/>
        <w:ind w:firstLine="420"/>
        <w:rPr>
          <w:rFonts w:hint="eastAsia" w:cs="宋体"/>
          <w:sz w:val="21"/>
          <w:szCs w:val="21"/>
        </w:rPr>
      </w:pPr>
      <w:r>
        <w:rPr>
          <w:rFonts w:hint="eastAsia"/>
          <w:sz w:val="21"/>
          <w:szCs w:val="21"/>
        </w:rPr>
        <w:t xml:space="preserve">2. </w:t>
      </w:r>
      <w:r>
        <w:rPr>
          <w:rFonts w:hint="eastAsia" w:cs="宋体"/>
          <w:sz w:val="21"/>
          <w:szCs w:val="21"/>
        </w:rPr>
        <w:t>在本项目投标阶段，联合体牵头人合法代表联合体各成员负责本项目投标文件编制活动，代表联合体提交和接收相关的资料、信息及指示，并处理与投标和中标有关的一切事务；联合体中标后，联合体牵头人负责合同订立和合同实施阶段的主办、组织和协调工作。</w:t>
      </w:r>
    </w:p>
    <w:p w14:paraId="040F56B7">
      <w:pPr>
        <w:spacing w:before="0" w:beforeLines="0" w:line="360" w:lineRule="auto"/>
        <w:ind w:firstLine="420"/>
        <w:rPr>
          <w:rFonts w:cs="宋体"/>
          <w:sz w:val="21"/>
          <w:szCs w:val="21"/>
        </w:rPr>
      </w:pPr>
      <w:r>
        <w:rPr>
          <w:rFonts w:hint="eastAsia"/>
          <w:sz w:val="21"/>
          <w:szCs w:val="21"/>
        </w:rPr>
        <w:t xml:space="preserve">3. </w:t>
      </w:r>
      <w:r>
        <w:rPr>
          <w:rFonts w:hint="eastAsia" w:cs="宋体"/>
          <w:sz w:val="21"/>
          <w:szCs w:val="21"/>
        </w:rPr>
        <w:t>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14:paraId="3112F2F1">
      <w:pPr>
        <w:spacing w:before="0" w:beforeLines="0" w:line="360" w:lineRule="auto"/>
        <w:ind w:firstLine="420"/>
        <w:rPr>
          <w:rFonts w:hint="eastAsia"/>
          <w:sz w:val="21"/>
          <w:szCs w:val="21"/>
        </w:rPr>
      </w:pPr>
      <w:r>
        <w:rPr>
          <w:sz w:val="21"/>
          <w:szCs w:val="21"/>
        </w:rPr>
        <w:t>4．联合体</w:t>
      </w:r>
      <w:r>
        <w:rPr>
          <w:rFonts w:hint="eastAsia"/>
          <w:sz w:val="21"/>
          <w:szCs w:val="21"/>
        </w:rPr>
        <w:t>各方</w:t>
      </w:r>
      <w:r>
        <w:rPr>
          <w:sz w:val="21"/>
          <w:szCs w:val="21"/>
        </w:rPr>
        <w:t>内部的职责分工如下：</w:t>
      </w:r>
      <w:r>
        <w:rPr>
          <w:sz w:val="21"/>
          <w:szCs w:val="21"/>
          <w:u w:val="single"/>
        </w:rPr>
        <w:t xml:space="preserve">                                    </w:t>
      </w:r>
      <w:r>
        <w:rPr>
          <w:sz w:val="21"/>
          <w:szCs w:val="21"/>
        </w:rPr>
        <w:t>。</w:t>
      </w:r>
      <w:r>
        <w:rPr>
          <w:rFonts w:hint="eastAsia"/>
          <w:sz w:val="21"/>
          <w:szCs w:val="21"/>
        </w:rPr>
        <w:t>按照本条上述分工，联合体各方各自所承担的合同工作量比例如下：</w:t>
      </w:r>
      <w:r>
        <w:rPr>
          <w:sz w:val="21"/>
          <w:szCs w:val="21"/>
          <w:u w:val="single"/>
        </w:rPr>
        <w:t xml:space="preserve">              </w:t>
      </w:r>
      <w:r>
        <w:rPr>
          <w:sz w:val="21"/>
          <w:szCs w:val="21"/>
        </w:rPr>
        <w:t xml:space="preserve"> </w:t>
      </w:r>
      <w:r>
        <w:rPr>
          <w:rFonts w:hint="eastAsia"/>
          <w:sz w:val="21"/>
          <w:szCs w:val="21"/>
        </w:rPr>
        <w:t>。</w:t>
      </w:r>
    </w:p>
    <w:p w14:paraId="261195B3">
      <w:pPr>
        <w:spacing w:before="0" w:beforeLines="0" w:line="360" w:lineRule="auto"/>
        <w:ind w:firstLine="420"/>
        <w:rPr>
          <w:rFonts w:hint="eastAsia"/>
          <w:sz w:val="21"/>
          <w:szCs w:val="21"/>
        </w:rPr>
      </w:pPr>
      <w:r>
        <w:rPr>
          <w:sz w:val="21"/>
          <w:szCs w:val="21"/>
        </w:rPr>
        <w:t>5</w:t>
      </w:r>
      <w:r>
        <w:rPr>
          <w:rFonts w:hint="eastAsia" w:cs="宋体"/>
          <w:sz w:val="21"/>
          <w:szCs w:val="21"/>
        </w:rPr>
        <w:t>．联合体中标后，本联合体协议是合同的附件，对联合体各方有合同约束力。</w:t>
      </w:r>
    </w:p>
    <w:p w14:paraId="71D94C9A">
      <w:pPr>
        <w:spacing w:before="0" w:beforeLines="0" w:line="360" w:lineRule="auto"/>
        <w:ind w:firstLine="420"/>
        <w:rPr>
          <w:sz w:val="21"/>
          <w:szCs w:val="21"/>
        </w:rPr>
      </w:pPr>
      <w:r>
        <w:rPr>
          <w:sz w:val="21"/>
          <w:szCs w:val="21"/>
        </w:rPr>
        <w:t>6</w:t>
      </w:r>
      <w:r>
        <w:rPr>
          <w:rFonts w:hint="eastAsia" w:cs="宋体"/>
          <w:sz w:val="21"/>
          <w:szCs w:val="21"/>
        </w:rPr>
        <w:t>．本协议书自签署之日起生效，联合体未中标或者中标时合同履行完毕后自动失效。</w:t>
      </w:r>
    </w:p>
    <w:p w14:paraId="12BC3CDD">
      <w:pPr>
        <w:spacing w:before="0" w:beforeLines="0" w:line="360" w:lineRule="auto"/>
        <w:ind w:firstLine="420"/>
        <w:rPr>
          <w:sz w:val="21"/>
          <w:szCs w:val="21"/>
        </w:rPr>
      </w:pPr>
      <w:r>
        <w:rPr>
          <w:sz w:val="21"/>
          <w:szCs w:val="21"/>
        </w:rPr>
        <w:t>7</w:t>
      </w:r>
      <w:r>
        <w:rPr>
          <w:rFonts w:hint="eastAsia" w:cs="宋体"/>
          <w:sz w:val="21"/>
          <w:szCs w:val="21"/>
        </w:rPr>
        <w:t>．本协议书一式</w:t>
      </w:r>
      <w:r>
        <w:rPr>
          <w:sz w:val="21"/>
          <w:szCs w:val="21"/>
          <w:u w:val="single"/>
        </w:rPr>
        <w:t xml:space="preserve">            </w:t>
      </w:r>
      <w:r>
        <w:rPr>
          <w:rFonts w:hint="eastAsia" w:cs="宋体"/>
          <w:sz w:val="21"/>
          <w:szCs w:val="21"/>
        </w:rPr>
        <w:t>份，联合体各方和招标人各执一份。</w:t>
      </w:r>
    </w:p>
    <w:p w14:paraId="06A2C3A3">
      <w:pPr>
        <w:spacing w:before="0" w:beforeLines="0" w:line="360" w:lineRule="auto"/>
        <w:ind w:firstLine="420"/>
        <w:rPr>
          <w:sz w:val="21"/>
          <w:szCs w:val="21"/>
        </w:rPr>
      </w:pPr>
      <w:r>
        <w:rPr>
          <w:sz w:val="21"/>
          <w:szCs w:val="21"/>
        </w:rPr>
        <w:t xml:space="preserve"> </w:t>
      </w:r>
    </w:p>
    <w:p w14:paraId="782402A8">
      <w:pPr>
        <w:spacing w:line="360" w:lineRule="auto"/>
        <w:ind w:firstLine="420"/>
        <w:jc w:val="left"/>
        <w:rPr>
          <w:rFonts w:hint="eastAsia" w:hAnsi="宋体"/>
          <w:sz w:val="21"/>
          <w:szCs w:val="21"/>
        </w:rPr>
      </w:pPr>
      <w:r>
        <w:rPr>
          <w:rFonts w:hint="eastAsia" w:hAnsi="宋体"/>
          <w:sz w:val="21"/>
          <w:szCs w:val="21"/>
        </w:rPr>
        <w:t>联合体牵头人名称：</w:t>
      </w:r>
      <w:r>
        <w:rPr>
          <w:rFonts w:hint="eastAsia" w:hAnsi="宋体"/>
          <w:sz w:val="21"/>
          <w:szCs w:val="21"/>
          <w:u w:val="single"/>
        </w:rPr>
        <w:t xml:space="preserve">                       </w:t>
      </w:r>
      <w:r>
        <w:rPr>
          <w:rFonts w:hint="eastAsia" w:hAnsi="宋体"/>
          <w:sz w:val="21"/>
          <w:szCs w:val="21"/>
        </w:rPr>
        <w:t>（公章）</w:t>
      </w:r>
    </w:p>
    <w:p w14:paraId="4F32BF60">
      <w:pPr>
        <w:spacing w:line="360" w:lineRule="auto"/>
        <w:ind w:firstLine="420"/>
        <w:jc w:val="left"/>
        <w:rPr>
          <w:rFonts w:hint="eastAsia" w:hAnsi="宋体"/>
          <w:sz w:val="21"/>
          <w:szCs w:val="21"/>
        </w:rPr>
      </w:pPr>
      <w:r>
        <w:rPr>
          <w:rFonts w:hint="eastAsia" w:hAnsi="宋体"/>
          <w:sz w:val="21"/>
          <w:szCs w:val="21"/>
        </w:rPr>
        <w:t>法定代表人：</w:t>
      </w:r>
      <w:r>
        <w:rPr>
          <w:rFonts w:hint="eastAsia" w:hAnsi="宋体"/>
          <w:sz w:val="21"/>
          <w:szCs w:val="21"/>
          <w:u w:val="single"/>
        </w:rPr>
        <w:t xml:space="preserve">         </w:t>
      </w:r>
      <w:r>
        <w:rPr>
          <w:rFonts w:hint="eastAsia" w:hAnsi="宋体"/>
          <w:sz w:val="21"/>
          <w:szCs w:val="21"/>
        </w:rPr>
        <w:t>（签字或盖章）</w:t>
      </w:r>
    </w:p>
    <w:p w14:paraId="6F1C7283">
      <w:pPr>
        <w:spacing w:line="360" w:lineRule="auto"/>
        <w:ind w:firstLine="420"/>
        <w:jc w:val="left"/>
        <w:rPr>
          <w:rFonts w:hint="eastAsia" w:hAnsi="宋体"/>
          <w:sz w:val="21"/>
          <w:szCs w:val="21"/>
        </w:rPr>
      </w:pPr>
      <w:r>
        <w:rPr>
          <w:rFonts w:hint="eastAsia" w:hAnsi="宋体"/>
          <w:sz w:val="21"/>
          <w:szCs w:val="21"/>
        </w:rPr>
        <w:t>联合体成员名称：</w:t>
      </w:r>
      <w:r>
        <w:rPr>
          <w:rFonts w:hint="eastAsia" w:hAnsi="宋体"/>
          <w:sz w:val="21"/>
          <w:szCs w:val="21"/>
          <w:u w:val="single"/>
        </w:rPr>
        <w:t xml:space="preserve">                         </w:t>
      </w:r>
      <w:r>
        <w:rPr>
          <w:rFonts w:hint="eastAsia" w:hAnsi="宋体"/>
          <w:sz w:val="21"/>
          <w:szCs w:val="21"/>
        </w:rPr>
        <w:t>（公章）</w:t>
      </w:r>
    </w:p>
    <w:p w14:paraId="4251C84C">
      <w:pPr>
        <w:spacing w:line="360" w:lineRule="auto"/>
        <w:ind w:firstLine="420"/>
        <w:jc w:val="left"/>
        <w:rPr>
          <w:rFonts w:hint="eastAsia" w:hAnsi="宋体"/>
          <w:sz w:val="21"/>
          <w:szCs w:val="21"/>
        </w:rPr>
      </w:pPr>
      <w:r>
        <w:rPr>
          <w:rFonts w:hint="eastAsia" w:hAnsi="宋体"/>
          <w:sz w:val="21"/>
          <w:szCs w:val="21"/>
        </w:rPr>
        <w:t>法定代表人：</w:t>
      </w:r>
      <w:r>
        <w:rPr>
          <w:rFonts w:hint="eastAsia" w:hAnsi="宋体"/>
          <w:sz w:val="21"/>
          <w:szCs w:val="21"/>
          <w:u w:val="single"/>
        </w:rPr>
        <w:t xml:space="preserve">         </w:t>
      </w:r>
      <w:r>
        <w:rPr>
          <w:rFonts w:hint="eastAsia" w:hAnsi="宋体"/>
          <w:sz w:val="21"/>
          <w:szCs w:val="21"/>
        </w:rPr>
        <w:t>（签字或盖章）</w:t>
      </w:r>
    </w:p>
    <w:p w14:paraId="0A1160A6">
      <w:pPr>
        <w:wordWrap w:val="0"/>
        <w:spacing w:before="0" w:beforeLines="0" w:line="360" w:lineRule="auto"/>
        <w:ind w:firstLine="420"/>
        <w:jc w:val="right"/>
        <w:rPr>
          <w:sz w:val="21"/>
          <w:szCs w:val="21"/>
        </w:rPr>
      </w:pPr>
      <w:r>
        <w:rPr>
          <w:sz w:val="21"/>
          <w:szCs w:val="21"/>
          <w:u w:val="single"/>
        </w:rPr>
        <w:t xml:space="preserve">        </w:t>
      </w:r>
      <w:r>
        <w:rPr>
          <w:sz w:val="21"/>
          <w:szCs w:val="21"/>
        </w:rPr>
        <w:t>年</w:t>
      </w:r>
      <w:r>
        <w:rPr>
          <w:sz w:val="21"/>
          <w:szCs w:val="21"/>
          <w:u w:val="single"/>
        </w:rPr>
        <w:t xml:space="preserve">        </w:t>
      </w:r>
      <w:r>
        <w:rPr>
          <w:sz w:val="21"/>
          <w:szCs w:val="21"/>
        </w:rPr>
        <w:t>月</w:t>
      </w:r>
      <w:r>
        <w:rPr>
          <w:sz w:val="21"/>
          <w:szCs w:val="21"/>
          <w:u w:val="single"/>
        </w:rPr>
        <w:t xml:space="preserve">        </w:t>
      </w:r>
      <w:r>
        <w:rPr>
          <w:sz w:val="21"/>
          <w:szCs w:val="21"/>
        </w:rPr>
        <w:t>日</w:t>
      </w:r>
    </w:p>
    <w:bookmarkEnd w:id="1299"/>
    <w:p w14:paraId="10B8BFB6">
      <w:pPr>
        <w:spacing w:after="156" w:afterLines="50"/>
        <w:ind w:firstLine="266" w:firstLineChars="95"/>
        <w:jc w:val="center"/>
        <w:outlineLvl w:val="1"/>
        <w:rPr>
          <w:rFonts w:ascii="Times New Roman"/>
          <w:sz w:val="28"/>
          <w:szCs w:val="28"/>
        </w:rPr>
      </w:pPr>
      <w:bookmarkStart w:id="1313" w:name="_Toc491534503"/>
      <w:bookmarkStart w:id="1314" w:name="_Toc7960"/>
      <w:r>
        <w:rPr>
          <w:rFonts w:ascii="Times New Roman"/>
          <w:sz w:val="28"/>
          <w:szCs w:val="28"/>
        </w:rPr>
        <w:br w:type="page"/>
      </w:r>
      <w:bookmarkStart w:id="1315" w:name="_Toc193981341"/>
      <w:r>
        <w:rPr>
          <w:rFonts w:ascii="Times New Roman"/>
          <w:b/>
          <w:sz w:val="28"/>
          <w:szCs w:val="28"/>
        </w:rPr>
        <w:t>B 资信部分</w:t>
      </w:r>
      <w:bookmarkEnd w:id="1313"/>
      <w:bookmarkEnd w:id="1314"/>
      <w:bookmarkEnd w:id="1315"/>
    </w:p>
    <w:p w14:paraId="3BBC64AA">
      <w:pPr>
        <w:spacing w:before="120" w:beforeLines="0"/>
        <w:ind w:left="480" w:leftChars="200" w:firstLine="420"/>
        <w:rPr>
          <w:rFonts w:ascii="Times New Roman"/>
          <w:sz w:val="21"/>
          <w:szCs w:val="21"/>
        </w:rPr>
      </w:pPr>
      <w:r>
        <w:rPr>
          <w:rFonts w:ascii="Times New Roman"/>
          <w:sz w:val="21"/>
          <w:szCs w:val="21"/>
        </w:rPr>
        <w:t>一、承诺书（格式见B1）</w:t>
      </w:r>
    </w:p>
    <w:p w14:paraId="00D8FB9D">
      <w:pPr>
        <w:spacing w:before="120" w:beforeLines="0"/>
        <w:ind w:left="480" w:leftChars="200" w:firstLine="420"/>
        <w:rPr>
          <w:rFonts w:ascii="Times New Roman"/>
          <w:sz w:val="21"/>
          <w:szCs w:val="21"/>
        </w:rPr>
      </w:pPr>
      <w:r>
        <w:rPr>
          <w:rFonts w:ascii="Times New Roman"/>
          <w:sz w:val="21"/>
          <w:szCs w:val="21"/>
        </w:rPr>
        <w:t>二、投标人基本情况表（格式见B2）（如为联合体投标，联合体各方均须提供)</w:t>
      </w:r>
    </w:p>
    <w:p w14:paraId="2E54FC67">
      <w:pPr>
        <w:spacing w:before="120" w:beforeLines="0"/>
        <w:ind w:left="480" w:leftChars="200" w:firstLine="420"/>
        <w:rPr>
          <w:rFonts w:ascii="Times New Roman"/>
          <w:sz w:val="21"/>
          <w:szCs w:val="21"/>
        </w:rPr>
      </w:pPr>
      <w:r>
        <w:rPr>
          <w:rFonts w:ascii="Times New Roman"/>
          <w:sz w:val="21"/>
          <w:szCs w:val="21"/>
        </w:rPr>
        <w:t>三、企业简介（格式见B3）（如为联合体投标，联合体各方均须提供)</w:t>
      </w:r>
    </w:p>
    <w:p w14:paraId="5B5E1740">
      <w:pPr>
        <w:spacing w:before="120" w:beforeLines="0"/>
        <w:ind w:left="480" w:leftChars="200" w:firstLine="420"/>
        <w:rPr>
          <w:rFonts w:ascii="Times New Roman"/>
          <w:sz w:val="21"/>
          <w:szCs w:val="21"/>
        </w:rPr>
      </w:pPr>
      <w:r>
        <w:rPr>
          <w:rFonts w:ascii="Times New Roman"/>
          <w:sz w:val="21"/>
          <w:szCs w:val="21"/>
        </w:rPr>
        <w:t>四、20</w:t>
      </w:r>
      <w:r>
        <w:rPr>
          <w:rFonts w:hint="eastAsia" w:ascii="Times New Roman"/>
          <w:sz w:val="21"/>
          <w:szCs w:val="21"/>
        </w:rPr>
        <w:t>2</w:t>
      </w:r>
      <w:r>
        <w:rPr>
          <w:rFonts w:hint="eastAsia" w:ascii="Times New Roman"/>
          <w:sz w:val="21"/>
          <w:szCs w:val="21"/>
          <w:lang w:val="en-US" w:eastAsia="zh-CN"/>
        </w:rPr>
        <w:t>3</w:t>
      </w:r>
      <w:r>
        <w:rPr>
          <w:rFonts w:ascii="Times New Roman"/>
          <w:sz w:val="21"/>
          <w:szCs w:val="21"/>
        </w:rPr>
        <w:t>年1月1日以来类似项目业绩（格式见B4）</w:t>
      </w:r>
    </w:p>
    <w:p w14:paraId="10D77928">
      <w:pPr>
        <w:spacing w:before="120" w:beforeLines="0"/>
        <w:ind w:left="480" w:leftChars="200" w:firstLine="420"/>
        <w:rPr>
          <w:rFonts w:ascii="Times New Roman"/>
          <w:sz w:val="21"/>
          <w:szCs w:val="21"/>
        </w:rPr>
      </w:pPr>
      <w:r>
        <w:rPr>
          <w:rFonts w:ascii="Times New Roman"/>
          <w:sz w:val="21"/>
          <w:szCs w:val="21"/>
        </w:rPr>
        <w:t>五、</w:t>
      </w:r>
      <w:r>
        <w:rPr>
          <w:rFonts w:hint="eastAsia" w:ascii="Times New Roman"/>
          <w:sz w:val="21"/>
          <w:szCs w:val="21"/>
        </w:rPr>
        <w:t>企业获奖情况</w:t>
      </w:r>
    </w:p>
    <w:p w14:paraId="44CECEFC">
      <w:pPr>
        <w:spacing w:before="120" w:beforeLines="0"/>
        <w:ind w:left="480" w:leftChars="200" w:firstLine="420" w:firstLineChars="0"/>
        <w:rPr>
          <w:rFonts w:ascii="Times New Roman"/>
          <w:sz w:val="21"/>
          <w:szCs w:val="21"/>
        </w:rPr>
      </w:pPr>
      <w:r>
        <w:rPr>
          <w:rFonts w:hint="eastAsia" w:ascii="Times New Roman"/>
          <w:sz w:val="21"/>
          <w:szCs w:val="21"/>
        </w:rPr>
        <w:t>六</w:t>
      </w:r>
      <w:r>
        <w:rPr>
          <w:rFonts w:ascii="Times New Roman"/>
          <w:sz w:val="21"/>
          <w:szCs w:val="21"/>
        </w:rPr>
        <w:t>、其他招标文件要求出具的资信文件及投标人认为需加以说明的其他内容</w:t>
      </w:r>
    </w:p>
    <w:p w14:paraId="63626088">
      <w:pPr>
        <w:ind w:firstLine="0" w:firstLineChars="0"/>
        <w:outlineLvl w:val="1"/>
        <w:rPr>
          <w:rFonts w:ascii="Times New Roman"/>
          <w:sz w:val="21"/>
          <w:szCs w:val="21"/>
        </w:rPr>
      </w:pPr>
      <w:r>
        <w:rPr>
          <w:rFonts w:ascii="Times New Roman"/>
          <w:sz w:val="21"/>
          <w:szCs w:val="21"/>
        </w:rPr>
        <w:br w:type="page"/>
      </w:r>
      <w:bookmarkStart w:id="1316" w:name="_Toc14965"/>
      <w:bookmarkStart w:id="1317" w:name="_Toc15466"/>
      <w:bookmarkStart w:id="1318" w:name="_Toc193981342"/>
      <w:bookmarkStart w:id="1319" w:name="_Toc23814"/>
      <w:bookmarkStart w:id="1320" w:name="_Toc491534504"/>
      <w:r>
        <w:rPr>
          <w:rFonts w:ascii="Times New Roman"/>
        </w:rPr>
        <w:t>B1承诺书</w:t>
      </w:r>
      <w:bookmarkEnd w:id="1316"/>
      <w:bookmarkEnd w:id="1317"/>
      <w:bookmarkEnd w:id="1318"/>
      <w:bookmarkEnd w:id="1319"/>
      <w:bookmarkEnd w:id="1320"/>
    </w:p>
    <w:p w14:paraId="4DA802A8">
      <w:pPr>
        <w:pStyle w:val="99"/>
        <w:spacing w:before="312" w:beforeLines="100" w:after="312" w:afterLines="100"/>
        <w:rPr>
          <w:rFonts w:ascii="Times New Roman" w:hAnsi="Times New Roman" w:cs="Times New Roman"/>
        </w:rPr>
      </w:pPr>
      <w:r>
        <w:rPr>
          <w:rFonts w:ascii="Times New Roman" w:hAnsi="Times New Roman" w:cs="Times New Roman"/>
        </w:rPr>
        <w:t>一、承诺书</w:t>
      </w:r>
    </w:p>
    <w:p w14:paraId="7EC48935">
      <w:pPr>
        <w:spacing w:before="0" w:beforeLines="0" w:line="360" w:lineRule="auto"/>
        <w:ind w:firstLine="0" w:firstLineChars="0"/>
        <w:jc w:val="left"/>
        <w:rPr>
          <w:rFonts w:hint="eastAsia" w:ascii="Times New Roman"/>
          <w:sz w:val="21"/>
          <w:szCs w:val="21"/>
        </w:rPr>
      </w:pPr>
      <w:r>
        <w:rPr>
          <w:rFonts w:ascii="Times New Roman"/>
          <w:sz w:val="21"/>
          <w:szCs w:val="21"/>
        </w:rPr>
        <w:t>致：</w:t>
      </w:r>
      <w:r>
        <w:rPr>
          <w:rFonts w:hint="eastAsia" w:ascii="Times New Roman"/>
          <w:sz w:val="21"/>
          <w:szCs w:val="21"/>
        </w:rPr>
        <w:t>南宁轨道地产集团有限责任公司</w:t>
      </w:r>
    </w:p>
    <w:p w14:paraId="1F676EAD">
      <w:pPr>
        <w:spacing w:before="0" w:beforeLines="0" w:line="360" w:lineRule="auto"/>
        <w:ind w:firstLine="420"/>
        <w:jc w:val="left"/>
        <w:rPr>
          <w:rFonts w:ascii="Times New Roman"/>
          <w:sz w:val="21"/>
          <w:szCs w:val="21"/>
        </w:rPr>
      </w:pPr>
      <w:r>
        <w:rPr>
          <w:rFonts w:ascii="Times New Roman"/>
          <w:sz w:val="21"/>
          <w:szCs w:val="21"/>
        </w:rPr>
        <w:t>1、在认真研读</w:t>
      </w:r>
      <w:r>
        <w:rPr>
          <w:rFonts w:hint="eastAsia" w:ascii="Times New Roman"/>
          <w:sz w:val="21"/>
          <w:szCs w:val="21"/>
        </w:rPr>
        <w:t>南宁轨道地产集团有限责任公司</w:t>
      </w:r>
      <w:r>
        <w:rPr>
          <w:rFonts w:ascii="Times New Roman"/>
          <w:sz w:val="21"/>
          <w:szCs w:val="21"/>
        </w:rPr>
        <w:t>关于</w:t>
      </w:r>
      <w:r>
        <w:rPr>
          <w:rFonts w:ascii="Times New Roman"/>
          <w:sz w:val="21"/>
          <w:szCs w:val="21"/>
          <w:u w:val="single"/>
        </w:rPr>
        <w:t xml:space="preserve">                     （项目名称）</w:t>
      </w:r>
      <w:r>
        <w:rPr>
          <w:rFonts w:ascii="Times New Roman"/>
          <w:sz w:val="21"/>
          <w:szCs w:val="21"/>
        </w:rPr>
        <w:t>招标文件后，我方经慎重考虑，郑重承诺参加本次投标活动。</w:t>
      </w:r>
    </w:p>
    <w:p w14:paraId="1D3CCD06">
      <w:pPr>
        <w:spacing w:before="0" w:beforeLines="0" w:line="360" w:lineRule="auto"/>
        <w:ind w:firstLine="420"/>
        <w:jc w:val="left"/>
        <w:rPr>
          <w:rFonts w:ascii="Times New Roman"/>
          <w:sz w:val="21"/>
          <w:szCs w:val="21"/>
        </w:rPr>
      </w:pPr>
      <w:r>
        <w:rPr>
          <w:rFonts w:ascii="Times New Roman"/>
          <w:sz w:val="21"/>
          <w:szCs w:val="21"/>
        </w:rPr>
        <w:t>2、我方按照贵方招标文件要求的内容与格式，已编制完成投标文件，现报上。</w:t>
      </w:r>
    </w:p>
    <w:p w14:paraId="4E5D151C">
      <w:pPr>
        <w:spacing w:before="0" w:beforeLines="0" w:line="360" w:lineRule="auto"/>
        <w:ind w:firstLine="420"/>
        <w:jc w:val="left"/>
        <w:rPr>
          <w:rFonts w:ascii="Times New Roman"/>
          <w:sz w:val="21"/>
          <w:szCs w:val="21"/>
        </w:rPr>
      </w:pPr>
      <w:r>
        <w:rPr>
          <w:rFonts w:ascii="Times New Roman"/>
          <w:sz w:val="21"/>
          <w:szCs w:val="21"/>
        </w:rPr>
        <w:t>3、我方承诺：在评标过程中，贵方可调查、审核我方提交的与本招标文件相关的声明、文件和资料，我方准备随时解答贵方提出的疑问。为此，我们授权任何相关的个人和公司向贵方提供要求的和必要的真实情况和资料以证实我们所填报的各项内容。</w:t>
      </w:r>
    </w:p>
    <w:p w14:paraId="1607401D">
      <w:pPr>
        <w:spacing w:before="0" w:beforeLines="0" w:line="360" w:lineRule="auto"/>
        <w:ind w:firstLine="420"/>
        <w:jc w:val="left"/>
        <w:rPr>
          <w:rFonts w:ascii="Times New Roman"/>
          <w:sz w:val="21"/>
          <w:szCs w:val="21"/>
        </w:rPr>
      </w:pPr>
      <w:r>
        <w:rPr>
          <w:rFonts w:ascii="Times New Roman"/>
          <w:sz w:val="21"/>
          <w:szCs w:val="21"/>
        </w:rPr>
        <w:t>4、我方郑重承诺：如果在该项目投标过程中或者在中标后，招标人或者有管辖权的招标投标行政监管机构发现并查实我公司在所填报的该项目投标文件中存在提供虚假或不真实的信息或者伪造数据、资料或证书等情况，不管招标人或者有管辖权的招标投标行政监管机构是否有合法的处罚依据，我公司将无条件地自动放弃该项目的中标资格；如果我公司已经收到中标通知书，我公司无条件地承认，我公司所收到的该项目中标通知书为无效文件，对招标人不具任何法律约束力；由此造成的任何后果和损失均由我公司承担。本段承诺既是我公司投标文件的有效组成内容，也是我公司真实意思的表示，对我公司在与该项目有关的任何行为中始终具有优先的法律约束力。</w:t>
      </w:r>
    </w:p>
    <w:p w14:paraId="1BF72E9B">
      <w:pPr>
        <w:spacing w:before="0" w:beforeLines="0" w:line="360" w:lineRule="auto"/>
        <w:ind w:firstLine="420"/>
        <w:jc w:val="left"/>
        <w:rPr>
          <w:rFonts w:ascii="Times New Roman"/>
          <w:sz w:val="21"/>
          <w:szCs w:val="21"/>
        </w:rPr>
      </w:pPr>
      <w:r>
        <w:rPr>
          <w:rFonts w:ascii="Times New Roman"/>
          <w:sz w:val="21"/>
          <w:szCs w:val="21"/>
        </w:rPr>
        <w:t>5、我方郑重承诺：如中标，将按照投标文件承诺的造价人员准时到位，并满足项目需要的具体要求。</w:t>
      </w:r>
      <w:r>
        <w:rPr>
          <w:rFonts w:ascii="Times New Roman"/>
          <w:kern w:val="0"/>
          <w:sz w:val="21"/>
          <w:szCs w:val="21"/>
          <w:lang w:val="zh-CN"/>
        </w:rPr>
        <w:t>根据工作任务需要或招标人要求增加造价人员时，我方随时增加造价人员的投入。</w:t>
      </w:r>
      <w:r>
        <w:rPr>
          <w:rFonts w:ascii="Times New Roman"/>
          <w:sz w:val="21"/>
          <w:szCs w:val="21"/>
        </w:rPr>
        <w:t>在项目合同实施期间确定的造价人员原则上不经招标人同意不得变化，同时招标人保留对造价工作不得力的同意要求更换的权利。对招标人认为不称职的造价人员我方将及时更换，保证造价工作的连续性。如出现特殊情况我方需要更换个别造价人员时，应事先征得招标人同意后再行更换。</w:t>
      </w:r>
    </w:p>
    <w:p w14:paraId="65ACEE01">
      <w:pPr>
        <w:spacing w:before="0" w:beforeLines="0" w:line="360" w:lineRule="auto"/>
        <w:ind w:firstLine="420"/>
        <w:jc w:val="left"/>
        <w:rPr>
          <w:rFonts w:ascii="Times New Roman"/>
          <w:sz w:val="21"/>
          <w:szCs w:val="21"/>
        </w:rPr>
      </w:pPr>
      <w:r>
        <w:rPr>
          <w:rFonts w:ascii="Times New Roman"/>
          <w:sz w:val="21"/>
          <w:szCs w:val="21"/>
        </w:rPr>
        <w:t>6、我方郑重承诺：如中标，签订合同前完成在南宁市内设立固定办公场所，且保证人员到位、办公软硬件设备配备齐全、具备基本的办公条件。</w:t>
      </w:r>
    </w:p>
    <w:p w14:paraId="4F381566">
      <w:pPr>
        <w:spacing w:before="0" w:beforeLines="0" w:line="360" w:lineRule="auto"/>
        <w:ind w:firstLine="420"/>
        <w:jc w:val="left"/>
        <w:rPr>
          <w:rFonts w:ascii="Times New Roman"/>
          <w:sz w:val="21"/>
          <w:szCs w:val="21"/>
        </w:rPr>
      </w:pPr>
      <w:r>
        <w:rPr>
          <w:rFonts w:ascii="Times New Roman"/>
          <w:sz w:val="21"/>
          <w:szCs w:val="21"/>
        </w:rPr>
        <w:t>7、我方了解：无论是否中标，我方将自行承担与投标活动所需的一切费用。</w:t>
      </w:r>
    </w:p>
    <w:p w14:paraId="22E334D9">
      <w:pPr>
        <w:spacing w:before="0" w:beforeLines="0" w:line="360" w:lineRule="auto"/>
        <w:ind w:firstLine="420"/>
        <w:jc w:val="left"/>
        <w:rPr>
          <w:rFonts w:ascii="Times New Roman"/>
          <w:sz w:val="21"/>
          <w:szCs w:val="21"/>
        </w:rPr>
      </w:pPr>
      <w:r>
        <w:rPr>
          <w:rFonts w:ascii="Times New Roman"/>
          <w:sz w:val="21"/>
          <w:szCs w:val="21"/>
        </w:rPr>
        <w:t>我方声明，我们所填报的资料是完全真实和准确的，并愿为此承担任何相关的法律责任。</w:t>
      </w:r>
    </w:p>
    <w:p w14:paraId="5FC29108">
      <w:pPr>
        <w:spacing w:before="120" w:beforeLines="0"/>
        <w:ind w:firstLine="0" w:firstLineChars="0"/>
        <w:jc w:val="left"/>
        <w:rPr>
          <w:rFonts w:ascii="Times New Roman"/>
        </w:rPr>
      </w:pPr>
    </w:p>
    <w:p w14:paraId="462F2522">
      <w:pPr>
        <w:spacing w:before="120" w:beforeLines="0"/>
        <w:ind w:left="2100" w:firstLine="420"/>
        <w:rPr>
          <w:rFonts w:ascii="Times New Roman"/>
          <w:sz w:val="21"/>
          <w:szCs w:val="21"/>
          <w:u w:val="single"/>
        </w:rPr>
      </w:pPr>
      <w:r>
        <w:rPr>
          <w:rFonts w:ascii="Times New Roman"/>
          <w:sz w:val="21"/>
          <w:szCs w:val="21"/>
        </w:rPr>
        <w:t>投标人（公章）：</w:t>
      </w:r>
      <w:r>
        <w:rPr>
          <w:rFonts w:ascii="Times New Roman"/>
          <w:sz w:val="21"/>
          <w:szCs w:val="21"/>
          <w:u w:val="single"/>
        </w:rPr>
        <w:t xml:space="preserve">                                        </w:t>
      </w:r>
    </w:p>
    <w:p w14:paraId="3D887065">
      <w:pPr>
        <w:spacing w:before="120" w:beforeLines="0"/>
        <w:ind w:left="2100" w:firstLine="420"/>
        <w:rPr>
          <w:rFonts w:ascii="Times New Roman"/>
          <w:sz w:val="21"/>
          <w:szCs w:val="21"/>
          <w:u w:val="single"/>
        </w:rPr>
      </w:pPr>
      <w:r>
        <w:rPr>
          <w:rFonts w:ascii="Times New Roman"/>
          <w:sz w:val="21"/>
          <w:szCs w:val="21"/>
        </w:rPr>
        <w:t>法人代表或委托代理人（签字或盖章）：</w:t>
      </w:r>
      <w:r>
        <w:rPr>
          <w:rFonts w:ascii="Times New Roman"/>
          <w:sz w:val="21"/>
          <w:szCs w:val="21"/>
          <w:u w:val="single"/>
        </w:rPr>
        <w:t xml:space="preserve">                    </w:t>
      </w:r>
    </w:p>
    <w:p w14:paraId="5E865754">
      <w:pPr>
        <w:ind w:firstLine="2398" w:firstLineChars="1142"/>
        <w:rPr>
          <w:rFonts w:ascii="Times New Roman"/>
          <w:sz w:val="21"/>
          <w:szCs w:val="21"/>
        </w:rPr>
      </w:pPr>
      <w:r>
        <w:rPr>
          <w:rFonts w:ascii="Times New Roman"/>
          <w:sz w:val="21"/>
          <w:szCs w:val="21"/>
        </w:rPr>
        <w:t xml:space="preserve"> 日期：</w:t>
      </w:r>
      <w:r>
        <w:rPr>
          <w:rFonts w:ascii="Times New Roman"/>
          <w:sz w:val="21"/>
          <w:szCs w:val="21"/>
          <w:u w:val="single"/>
        </w:rPr>
        <w:t xml:space="preserve">        </w:t>
      </w:r>
      <w:r>
        <w:rPr>
          <w:rFonts w:ascii="Times New Roman"/>
          <w:sz w:val="21"/>
          <w:szCs w:val="21"/>
        </w:rPr>
        <w:t>年</w:t>
      </w:r>
      <w:r>
        <w:rPr>
          <w:rFonts w:ascii="Times New Roman"/>
          <w:sz w:val="21"/>
          <w:szCs w:val="21"/>
          <w:u w:val="single"/>
        </w:rPr>
        <w:t xml:space="preserve">    </w:t>
      </w:r>
      <w:r>
        <w:rPr>
          <w:rFonts w:ascii="Times New Roman"/>
          <w:sz w:val="21"/>
          <w:szCs w:val="21"/>
        </w:rPr>
        <w:t>月</w:t>
      </w:r>
      <w:r>
        <w:rPr>
          <w:rFonts w:ascii="Times New Roman"/>
          <w:sz w:val="21"/>
          <w:szCs w:val="21"/>
          <w:u w:val="single"/>
        </w:rPr>
        <w:t xml:space="preserve">    </w:t>
      </w:r>
      <w:r>
        <w:rPr>
          <w:rFonts w:ascii="Times New Roman"/>
          <w:sz w:val="21"/>
          <w:szCs w:val="21"/>
        </w:rPr>
        <w:t>日</w:t>
      </w:r>
    </w:p>
    <w:p w14:paraId="38CD4893">
      <w:pPr>
        <w:ind w:firstLine="0" w:firstLineChars="0"/>
        <w:outlineLvl w:val="1"/>
        <w:rPr>
          <w:rFonts w:ascii="Times New Roman"/>
        </w:rPr>
      </w:pPr>
      <w:bookmarkStart w:id="1321" w:name="_Toc491534506"/>
      <w:bookmarkStart w:id="1322" w:name="_Toc21252"/>
      <w:r>
        <w:rPr>
          <w:rFonts w:ascii="Times New Roman"/>
        </w:rPr>
        <w:br w:type="page"/>
      </w:r>
      <w:bookmarkStart w:id="1323" w:name="_Toc20010"/>
      <w:bookmarkStart w:id="1324" w:name="_Toc30469"/>
      <w:bookmarkStart w:id="1325" w:name="_Toc193981343"/>
      <w:r>
        <w:rPr>
          <w:rFonts w:ascii="Times New Roman"/>
        </w:rPr>
        <w:t>B2投标人基本情况表</w:t>
      </w:r>
      <w:bookmarkEnd w:id="1321"/>
      <w:bookmarkEnd w:id="1322"/>
      <w:bookmarkEnd w:id="1323"/>
      <w:bookmarkEnd w:id="1324"/>
      <w:bookmarkEnd w:id="1325"/>
    </w:p>
    <w:p w14:paraId="1F74A847">
      <w:pPr>
        <w:pStyle w:val="99"/>
        <w:spacing w:before="312" w:beforeLines="100" w:after="312" w:afterLines="100"/>
        <w:rPr>
          <w:rFonts w:ascii="Times New Roman" w:hAnsi="Times New Roman" w:cs="Times New Roman"/>
        </w:rPr>
      </w:pPr>
      <w:bookmarkStart w:id="1326" w:name="_Toc384823625"/>
      <w:r>
        <w:rPr>
          <w:rFonts w:ascii="Times New Roman" w:hAnsi="Times New Roman" w:cs="Times New Roman"/>
        </w:rPr>
        <w:t>二、投标人基本情况表</w:t>
      </w:r>
      <w:bookmarkEnd w:id="1326"/>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1042"/>
        <w:gridCol w:w="195"/>
        <w:gridCol w:w="1682"/>
        <w:gridCol w:w="1147"/>
        <w:gridCol w:w="1571"/>
        <w:gridCol w:w="616"/>
        <w:gridCol w:w="1534"/>
      </w:tblGrid>
      <w:tr w14:paraId="6D7DD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85" w:type="dxa"/>
            <w:noWrap w:val="0"/>
            <w:vAlign w:val="center"/>
          </w:tcPr>
          <w:p w14:paraId="0131494B">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投标人全称</w:t>
            </w:r>
          </w:p>
        </w:tc>
        <w:tc>
          <w:tcPr>
            <w:tcW w:w="7787" w:type="dxa"/>
            <w:gridSpan w:val="7"/>
            <w:noWrap w:val="0"/>
            <w:vAlign w:val="center"/>
          </w:tcPr>
          <w:p w14:paraId="25486627">
            <w:pPr>
              <w:keepNext w:val="0"/>
              <w:keepLines w:val="0"/>
              <w:suppressLineNumbers w:val="0"/>
              <w:autoSpaceDE w:val="0"/>
              <w:autoSpaceDN w:val="0"/>
              <w:spacing w:before="0" w:beforeLines="0" w:beforeAutospacing="0" w:after="0" w:afterAutospacing="0" w:line="240" w:lineRule="auto"/>
              <w:ind w:left="0" w:right="0" w:firstLine="0" w:firstLineChars="0"/>
              <w:jc w:val="right"/>
              <w:rPr>
                <w:rFonts w:ascii="Times New Roman" w:hAnsi="Calibri" w:eastAsia="宋体" w:cs="Times New Roman"/>
                <w:sz w:val="21"/>
                <w:szCs w:val="21"/>
                <w:lang w:val="zh-CN"/>
              </w:rPr>
            </w:pPr>
          </w:p>
        </w:tc>
      </w:tr>
      <w:tr w14:paraId="0BB7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85" w:type="dxa"/>
            <w:noWrap w:val="0"/>
            <w:vAlign w:val="center"/>
          </w:tcPr>
          <w:p w14:paraId="19F6D47D">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企业地址</w:t>
            </w:r>
          </w:p>
        </w:tc>
        <w:tc>
          <w:tcPr>
            <w:tcW w:w="2919" w:type="dxa"/>
            <w:gridSpan w:val="3"/>
            <w:noWrap w:val="0"/>
            <w:vAlign w:val="center"/>
          </w:tcPr>
          <w:p w14:paraId="1D99DB8B">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c>
          <w:tcPr>
            <w:tcW w:w="1147" w:type="dxa"/>
            <w:noWrap w:val="0"/>
            <w:vAlign w:val="center"/>
          </w:tcPr>
          <w:p w14:paraId="145BAEB6">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注册资本</w:t>
            </w:r>
          </w:p>
        </w:tc>
        <w:tc>
          <w:tcPr>
            <w:tcW w:w="3721" w:type="dxa"/>
            <w:gridSpan w:val="3"/>
            <w:noWrap w:val="0"/>
            <w:vAlign w:val="center"/>
          </w:tcPr>
          <w:p w14:paraId="551AA85F">
            <w:pPr>
              <w:keepNext w:val="0"/>
              <w:keepLines w:val="0"/>
              <w:suppressLineNumbers w:val="0"/>
              <w:autoSpaceDE w:val="0"/>
              <w:autoSpaceDN w:val="0"/>
              <w:spacing w:before="0" w:beforeLines="0" w:beforeAutospacing="0" w:after="0" w:afterAutospacing="0" w:line="240" w:lineRule="auto"/>
              <w:ind w:left="0" w:right="0" w:firstLine="0" w:firstLineChars="0"/>
              <w:jc w:val="right"/>
              <w:rPr>
                <w:rFonts w:ascii="Times New Roman" w:hAnsi="Calibri" w:eastAsia="宋体" w:cs="Times New Roman"/>
                <w:sz w:val="21"/>
                <w:szCs w:val="21"/>
                <w:lang w:val="zh-CN"/>
              </w:rPr>
            </w:pPr>
            <w:r>
              <w:rPr>
                <w:rFonts w:ascii="Times New Roman" w:hAnsi="Calibri" w:eastAsia="宋体" w:cs="Times New Roman"/>
                <w:sz w:val="21"/>
                <w:szCs w:val="21"/>
                <w:lang w:val="zh-CN"/>
              </w:rPr>
              <w:t>万元</w:t>
            </w:r>
          </w:p>
        </w:tc>
      </w:tr>
      <w:tr w14:paraId="3380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285" w:type="dxa"/>
            <w:vMerge w:val="restart"/>
            <w:noWrap w:val="0"/>
            <w:vAlign w:val="center"/>
          </w:tcPr>
          <w:p w14:paraId="3B6B641B">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联系方式</w:t>
            </w:r>
          </w:p>
        </w:tc>
        <w:tc>
          <w:tcPr>
            <w:tcW w:w="1042" w:type="dxa"/>
            <w:noWrap w:val="0"/>
            <w:vAlign w:val="center"/>
          </w:tcPr>
          <w:p w14:paraId="49A6E3B3">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联 系 人</w:t>
            </w:r>
          </w:p>
        </w:tc>
        <w:tc>
          <w:tcPr>
            <w:tcW w:w="1877" w:type="dxa"/>
            <w:gridSpan w:val="2"/>
            <w:noWrap w:val="0"/>
            <w:vAlign w:val="center"/>
          </w:tcPr>
          <w:p w14:paraId="25D76885">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c>
          <w:tcPr>
            <w:tcW w:w="1147" w:type="dxa"/>
            <w:noWrap w:val="0"/>
            <w:vAlign w:val="center"/>
          </w:tcPr>
          <w:p w14:paraId="0E50295D">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电    话</w:t>
            </w:r>
          </w:p>
        </w:tc>
        <w:tc>
          <w:tcPr>
            <w:tcW w:w="3721" w:type="dxa"/>
            <w:gridSpan w:val="3"/>
            <w:noWrap w:val="0"/>
            <w:vAlign w:val="center"/>
          </w:tcPr>
          <w:p w14:paraId="228CBECC">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r>
      <w:tr w14:paraId="014A0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285" w:type="dxa"/>
            <w:vMerge w:val="continue"/>
            <w:noWrap w:val="0"/>
            <w:vAlign w:val="center"/>
          </w:tcPr>
          <w:p w14:paraId="2E0B0D8F">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p>
        </w:tc>
        <w:tc>
          <w:tcPr>
            <w:tcW w:w="1042" w:type="dxa"/>
            <w:noWrap w:val="0"/>
            <w:vAlign w:val="center"/>
          </w:tcPr>
          <w:p w14:paraId="22DA820B">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传    真</w:t>
            </w:r>
          </w:p>
        </w:tc>
        <w:tc>
          <w:tcPr>
            <w:tcW w:w="1877" w:type="dxa"/>
            <w:gridSpan w:val="2"/>
            <w:noWrap w:val="0"/>
            <w:vAlign w:val="center"/>
          </w:tcPr>
          <w:p w14:paraId="37EFE5E7">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c>
          <w:tcPr>
            <w:tcW w:w="1147" w:type="dxa"/>
            <w:noWrap w:val="0"/>
            <w:vAlign w:val="center"/>
          </w:tcPr>
          <w:p w14:paraId="6CF8ED12">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电子邮件</w:t>
            </w:r>
          </w:p>
        </w:tc>
        <w:tc>
          <w:tcPr>
            <w:tcW w:w="3721" w:type="dxa"/>
            <w:gridSpan w:val="3"/>
            <w:noWrap w:val="0"/>
            <w:vAlign w:val="center"/>
          </w:tcPr>
          <w:p w14:paraId="30B43D4B">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r>
      <w:tr w14:paraId="6A65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285" w:type="dxa"/>
            <w:noWrap w:val="0"/>
            <w:vAlign w:val="center"/>
          </w:tcPr>
          <w:p w14:paraId="3F5ECFEC">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法定代表人</w:t>
            </w:r>
          </w:p>
        </w:tc>
        <w:tc>
          <w:tcPr>
            <w:tcW w:w="1042" w:type="dxa"/>
            <w:noWrap w:val="0"/>
            <w:vAlign w:val="center"/>
          </w:tcPr>
          <w:p w14:paraId="4A6B9CD5">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姓    名</w:t>
            </w:r>
          </w:p>
        </w:tc>
        <w:tc>
          <w:tcPr>
            <w:tcW w:w="1877" w:type="dxa"/>
            <w:gridSpan w:val="2"/>
            <w:noWrap w:val="0"/>
            <w:vAlign w:val="center"/>
          </w:tcPr>
          <w:p w14:paraId="6F24689D">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c>
          <w:tcPr>
            <w:tcW w:w="1147" w:type="dxa"/>
            <w:noWrap w:val="0"/>
            <w:vAlign w:val="center"/>
          </w:tcPr>
          <w:p w14:paraId="7E4BE285">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技术职称</w:t>
            </w:r>
          </w:p>
        </w:tc>
        <w:tc>
          <w:tcPr>
            <w:tcW w:w="1571" w:type="dxa"/>
            <w:noWrap w:val="0"/>
            <w:vAlign w:val="center"/>
          </w:tcPr>
          <w:p w14:paraId="2F0DF6A5">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c>
          <w:tcPr>
            <w:tcW w:w="616" w:type="dxa"/>
            <w:noWrap w:val="0"/>
            <w:vAlign w:val="center"/>
          </w:tcPr>
          <w:p w14:paraId="1DDE742F">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电话</w:t>
            </w:r>
          </w:p>
        </w:tc>
        <w:tc>
          <w:tcPr>
            <w:tcW w:w="1534" w:type="dxa"/>
            <w:noWrap w:val="0"/>
            <w:vAlign w:val="center"/>
          </w:tcPr>
          <w:p w14:paraId="7EED55F7">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r>
      <w:tr w14:paraId="7704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285" w:type="dxa"/>
            <w:noWrap w:val="0"/>
            <w:vAlign w:val="center"/>
          </w:tcPr>
          <w:p w14:paraId="17A6E7F9">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技术负责人</w:t>
            </w:r>
          </w:p>
        </w:tc>
        <w:tc>
          <w:tcPr>
            <w:tcW w:w="1042" w:type="dxa"/>
            <w:noWrap w:val="0"/>
            <w:vAlign w:val="center"/>
          </w:tcPr>
          <w:p w14:paraId="3F52FCD9">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姓    名</w:t>
            </w:r>
          </w:p>
        </w:tc>
        <w:tc>
          <w:tcPr>
            <w:tcW w:w="1877" w:type="dxa"/>
            <w:gridSpan w:val="2"/>
            <w:noWrap w:val="0"/>
            <w:vAlign w:val="center"/>
          </w:tcPr>
          <w:p w14:paraId="64E27886">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c>
          <w:tcPr>
            <w:tcW w:w="1147" w:type="dxa"/>
            <w:noWrap w:val="0"/>
            <w:vAlign w:val="center"/>
          </w:tcPr>
          <w:p w14:paraId="78C968FD">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技术职称</w:t>
            </w:r>
          </w:p>
        </w:tc>
        <w:tc>
          <w:tcPr>
            <w:tcW w:w="1571" w:type="dxa"/>
            <w:noWrap w:val="0"/>
            <w:vAlign w:val="center"/>
          </w:tcPr>
          <w:p w14:paraId="488C3A40">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c>
          <w:tcPr>
            <w:tcW w:w="616" w:type="dxa"/>
            <w:noWrap w:val="0"/>
            <w:vAlign w:val="center"/>
          </w:tcPr>
          <w:p w14:paraId="5F59AB2C">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电话</w:t>
            </w:r>
          </w:p>
        </w:tc>
        <w:tc>
          <w:tcPr>
            <w:tcW w:w="1534" w:type="dxa"/>
            <w:noWrap w:val="0"/>
            <w:vAlign w:val="center"/>
          </w:tcPr>
          <w:p w14:paraId="435F0425">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r>
      <w:tr w14:paraId="6C5AC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85" w:type="dxa"/>
            <w:noWrap w:val="0"/>
            <w:vAlign w:val="center"/>
          </w:tcPr>
          <w:p w14:paraId="21DEBDF8">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经营范围</w:t>
            </w:r>
          </w:p>
        </w:tc>
        <w:tc>
          <w:tcPr>
            <w:tcW w:w="7787" w:type="dxa"/>
            <w:gridSpan w:val="7"/>
            <w:noWrap w:val="0"/>
            <w:vAlign w:val="center"/>
          </w:tcPr>
          <w:p w14:paraId="3BA18471">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r>
      <w:tr w14:paraId="7F25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85" w:type="dxa"/>
            <w:noWrap w:val="0"/>
            <w:vAlign w:val="center"/>
          </w:tcPr>
          <w:p w14:paraId="7B2278DD">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专业资质</w:t>
            </w:r>
          </w:p>
        </w:tc>
        <w:tc>
          <w:tcPr>
            <w:tcW w:w="7787" w:type="dxa"/>
            <w:gridSpan w:val="7"/>
            <w:noWrap w:val="0"/>
            <w:vAlign w:val="center"/>
          </w:tcPr>
          <w:p w14:paraId="75440814">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rPr>
            </w:pPr>
            <w:r>
              <w:rPr>
                <w:rFonts w:ascii="Times New Roman" w:hAnsi="Calibri" w:eastAsia="宋体" w:cs="Times New Roman"/>
                <w:sz w:val="21"/>
                <w:szCs w:val="21"/>
              </w:rPr>
              <w:t>1.资质：</w:t>
            </w:r>
          </w:p>
          <w:p w14:paraId="22C44FE2">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rPr>
            </w:pPr>
            <w:r>
              <w:rPr>
                <w:rFonts w:ascii="Times New Roman" w:hAnsi="Calibri" w:eastAsia="宋体" w:cs="Times New Roman"/>
                <w:sz w:val="21"/>
                <w:szCs w:val="21"/>
              </w:rPr>
              <w:t>2.证书号：</w:t>
            </w:r>
          </w:p>
          <w:p w14:paraId="470ED918">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r>
              <w:rPr>
                <w:rFonts w:ascii="Times New Roman" w:hAnsi="Calibri" w:eastAsia="宋体" w:cs="Times New Roman"/>
                <w:sz w:val="21"/>
                <w:szCs w:val="21"/>
              </w:rPr>
              <w:t>3.发证单位：</w:t>
            </w:r>
          </w:p>
        </w:tc>
      </w:tr>
      <w:tr w14:paraId="0E35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85" w:type="dxa"/>
            <w:noWrap w:val="0"/>
            <w:vAlign w:val="center"/>
          </w:tcPr>
          <w:p w14:paraId="6A5A1C68">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管理体系</w:t>
            </w:r>
          </w:p>
          <w:p w14:paraId="1FC6B017">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认证证书</w:t>
            </w:r>
          </w:p>
        </w:tc>
        <w:tc>
          <w:tcPr>
            <w:tcW w:w="7787" w:type="dxa"/>
            <w:gridSpan w:val="7"/>
            <w:noWrap w:val="0"/>
            <w:vAlign w:val="center"/>
          </w:tcPr>
          <w:p w14:paraId="27537B51">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Cs w:val="21"/>
              </w:rPr>
            </w:pPr>
          </w:p>
        </w:tc>
      </w:tr>
      <w:tr w14:paraId="1B09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85" w:type="dxa"/>
            <w:noWrap w:val="0"/>
            <w:vAlign w:val="center"/>
          </w:tcPr>
          <w:p w14:paraId="4B70E827">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职工人数</w:t>
            </w:r>
          </w:p>
        </w:tc>
        <w:tc>
          <w:tcPr>
            <w:tcW w:w="2919" w:type="dxa"/>
            <w:gridSpan w:val="3"/>
            <w:noWrap w:val="0"/>
            <w:vAlign w:val="center"/>
          </w:tcPr>
          <w:p w14:paraId="0E069499">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c>
          <w:tcPr>
            <w:tcW w:w="4868" w:type="dxa"/>
            <w:gridSpan w:val="4"/>
            <w:noWrap w:val="0"/>
            <w:vAlign w:val="center"/>
          </w:tcPr>
          <w:p w14:paraId="5196A1E2">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r>
              <w:rPr>
                <w:rFonts w:ascii="Times New Roman" w:hAnsi="Calibri" w:eastAsia="宋体" w:cs="Times New Roman"/>
                <w:sz w:val="21"/>
                <w:szCs w:val="21"/>
                <w:lang w:val="zh-CN"/>
              </w:rPr>
              <w:t>其中：</w:t>
            </w:r>
          </w:p>
          <w:p w14:paraId="40920224">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u w:val="single"/>
                <w:lang w:val="zh-CN"/>
              </w:rPr>
            </w:pPr>
            <w:r>
              <w:rPr>
                <w:rFonts w:ascii="Times New Roman" w:hAnsi="Calibri" w:eastAsia="宋体" w:cs="Times New Roman"/>
                <w:sz w:val="21"/>
                <w:szCs w:val="21"/>
                <w:lang w:val="zh-CN"/>
              </w:rPr>
              <w:t>注册造价师</w:t>
            </w:r>
            <w:r>
              <w:rPr>
                <w:rFonts w:ascii="Times New Roman" w:hAnsi="Calibri" w:eastAsia="宋体" w:cs="Times New Roman"/>
                <w:sz w:val="21"/>
                <w:szCs w:val="21"/>
                <w:u w:val="single"/>
                <w:lang w:val="zh-CN"/>
              </w:rPr>
              <w:t xml:space="preserve">     </w:t>
            </w:r>
            <w:r>
              <w:rPr>
                <w:rFonts w:ascii="Times New Roman" w:hAnsi="Calibri" w:eastAsia="宋体" w:cs="Times New Roman"/>
                <w:sz w:val="21"/>
                <w:szCs w:val="21"/>
                <w:lang w:val="zh-CN"/>
              </w:rPr>
              <w:t xml:space="preserve"> 人，中级以上职称</w:t>
            </w:r>
            <w:r>
              <w:rPr>
                <w:rFonts w:ascii="Times New Roman" w:hAnsi="Calibri" w:eastAsia="宋体" w:cs="Times New Roman"/>
                <w:sz w:val="21"/>
                <w:szCs w:val="21"/>
                <w:u w:val="single"/>
                <w:lang w:val="zh-CN"/>
              </w:rPr>
              <w:t xml:space="preserve">      </w:t>
            </w:r>
            <w:r>
              <w:rPr>
                <w:rFonts w:ascii="Times New Roman" w:hAnsi="Calibri" w:eastAsia="宋体" w:cs="Times New Roman"/>
                <w:sz w:val="21"/>
                <w:szCs w:val="21"/>
                <w:lang w:val="zh-CN"/>
              </w:rPr>
              <w:t>人</w:t>
            </w:r>
          </w:p>
        </w:tc>
      </w:tr>
      <w:tr w14:paraId="1C7A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85" w:type="dxa"/>
            <w:noWrap w:val="0"/>
            <w:vAlign w:val="center"/>
          </w:tcPr>
          <w:p w14:paraId="60818FED">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办公面积</w:t>
            </w:r>
          </w:p>
        </w:tc>
        <w:tc>
          <w:tcPr>
            <w:tcW w:w="2919" w:type="dxa"/>
            <w:gridSpan w:val="3"/>
            <w:noWrap w:val="0"/>
            <w:vAlign w:val="center"/>
          </w:tcPr>
          <w:p w14:paraId="77F0233F">
            <w:pPr>
              <w:keepNext w:val="0"/>
              <w:keepLines w:val="0"/>
              <w:suppressLineNumbers w:val="0"/>
              <w:autoSpaceDE w:val="0"/>
              <w:autoSpaceDN w:val="0"/>
              <w:spacing w:before="0" w:beforeLines="0" w:beforeAutospacing="0" w:after="0" w:afterAutospacing="0" w:line="240" w:lineRule="auto"/>
              <w:ind w:left="0" w:right="0" w:firstLine="0" w:firstLineChars="0"/>
              <w:jc w:val="right"/>
              <w:rPr>
                <w:rFonts w:ascii="Times New Roman" w:hAnsi="Calibri" w:eastAsia="宋体" w:cs="Times New Roman"/>
                <w:sz w:val="21"/>
                <w:szCs w:val="21"/>
                <w:lang w:val="zh-CN"/>
              </w:rPr>
            </w:pPr>
            <w:r>
              <w:rPr>
                <w:rFonts w:ascii="Times New Roman" w:hAnsi="Calibri" w:eastAsia="宋体" w:cs="Times New Roman"/>
                <w:sz w:val="21"/>
                <w:szCs w:val="21"/>
                <w:lang w:val="zh-CN"/>
              </w:rPr>
              <w:t>平方米</w:t>
            </w:r>
          </w:p>
        </w:tc>
        <w:tc>
          <w:tcPr>
            <w:tcW w:w="1147" w:type="dxa"/>
            <w:noWrap w:val="0"/>
            <w:vAlign w:val="center"/>
          </w:tcPr>
          <w:p w14:paraId="24E5C5A1">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r>
              <w:rPr>
                <w:rFonts w:ascii="Times New Roman" w:hAnsi="Calibri" w:eastAsia="宋体" w:cs="Times New Roman"/>
                <w:sz w:val="21"/>
                <w:szCs w:val="21"/>
                <w:lang w:val="zh-CN"/>
              </w:rPr>
              <w:t>其中：</w:t>
            </w:r>
          </w:p>
        </w:tc>
        <w:tc>
          <w:tcPr>
            <w:tcW w:w="3721" w:type="dxa"/>
            <w:gridSpan w:val="3"/>
            <w:noWrap w:val="0"/>
            <w:vAlign w:val="center"/>
          </w:tcPr>
          <w:p w14:paraId="577733B9">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r>
              <w:rPr>
                <w:rFonts w:ascii="Times New Roman" w:hAnsi="Calibri" w:eastAsia="宋体" w:cs="Times New Roman"/>
                <w:sz w:val="21"/>
                <w:szCs w:val="21"/>
                <w:lang w:val="zh-CN"/>
              </w:rPr>
              <w:t>自有面积      平方米</w:t>
            </w:r>
          </w:p>
          <w:p w14:paraId="5A9DE123">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r>
              <w:rPr>
                <w:rFonts w:ascii="Times New Roman" w:hAnsi="Calibri" w:eastAsia="宋体" w:cs="Times New Roman"/>
                <w:sz w:val="21"/>
                <w:szCs w:val="21"/>
                <w:lang w:val="zh-CN"/>
              </w:rPr>
              <w:t>承租面积      平方米</w:t>
            </w:r>
          </w:p>
        </w:tc>
      </w:tr>
      <w:tr w14:paraId="55EF8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22" w:type="dxa"/>
            <w:gridSpan w:val="3"/>
            <w:noWrap w:val="0"/>
            <w:vAlign w:val="center"/>
          </w:tcPr>
          <w:p w14:paraId="79614773">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已完成或正在履行的重大合同情况</w:t>
            </w:r>
          </w:p>
        </w:tc>
        <w:tc>
          <w:tcPr>
            <w:tcW w:w="6550" w:type="dxa"/>
            <w:gridSpan w:val="5"/>
            <w:noWrap w:val="0"/>
            <w:vAlign w:val="center"/>
          </w:tcPr>
          <w:p w14:paraId="54818B85">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r>
      <w:tr w14:paraId="4376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22" w:type="dxa"/>
            <w:gridSpan w:val="3"/>
            <w:noWrap w:val="0"/>
            <w:vAlign w:val="center"/>
          </w:tcPr>
          <w:p w14:paraId="43A61076">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最近3年内在经营过程中受到何种奖励或处分</w:t>
            </w:r>
          </w:p>
        </w:tc>
        <w:tc>
          <w:tcPr>
            <w:tcW w:w="6550" w:type="dxa"/>
            <w:gridSpan w:val="5"/>
            <w:noWrap w:val="0"/>
            <w:vAlign w:val="center"/>
          </w:tcPr>
          <w:p w14:paraId="0FE915B3">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r>
              <w:rPr>
                <w:rFonts w:ascii="Times New Roman" w:hAnsi="Calibri" w:eastAsia="宋体" w:cs="Times New Roman"/>
                <w:sz w:val="21"/>
                <w:szCs w:val="21"/>
                <w:lang w:val="zh-CN"/>
              </w:rPr>
              <w:t>（包括财政、工商、税务、物价等部门稽查情况和结果）</w:t>
            </w:r>
          </w:p>
        </w:tc>
      </w:tr>
      <w:tr w14:paraId="5440D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22" w:type="dxa"/>
            <w:gridSpan w:val="3"/>
            <w:noWrap w:val="0"/>
            <w:vAlign w:val="center"/>
          </w:tcPr>
          <w:p w14:paraId="2BF724BE">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最近3年内有无因违纪或是其他原因被消费者投诉或起诉的情况及说明</w:t>
            </w:r>
          </w:p>
        </w:tc>
        <w:tc>
          <w:tcPr>
            <w:tcW w:w="6550" w:type="dxa"/>
            <w:gridSpan w:val="5"/>
            <w:noWrap w:val="0"/>
            <w:vAlign w:val="center"/>
          </w:tcPr>
          <w:p w14:paraId="65E028E5">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r>
              <w:rPr>
                <w:rFonts w:ascii="Times New Roman" w:hAnsi="Calibri" w:eastAsia="宋体" w:cs="Times New Roman"/>
                <w:sz w:val="21"/>
                <w:szCs w:val="21"/>
                <w:lang w:val="zh-CN"/>
              </w:rPr>
              <w:t>（包括解决方式和结果）</w:t>
            </w:r>
          </w:p>
        </w:tc>
      </w:tr>
      <w:tr w14:paraId="43769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22" w:type="dxa"/>
            <w:gridSpan w:val="3"/>
            <w:noWrap w:val="0"/>
            <w:vAlign w:val="center"/>
          </w:tcPr>
          <w:p w14:paraId="68A2609A">
            <w:pPr>
              <w:keepNext w:val="0"/>
              <w:keepLines w:val="0"/>
              <w:suppressLineNumbers w:val="0"/>
              <w:autoSpaceDE w:val="0"/>
              <w:autoSpaceDN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lang w:val="zh-CN"/>
              </w:rPr>
            </w:pPr>
            <w:r>
              <w:rPr>
                <w:rFonts w:ascii="Times New Roman" w:hAnsi="Calibri" w:eastAsia="宋体" w:cs="Times New Roman"/>
                <w:sz w:val="21"/>
                <w:szCs w:val="21"/>
                <w:lang w:val="zh-CN"/>
              </w:rPr>
              <w:t>最近3年内主要负责人有无因经济犯罪被司法机关追究的情况及说明</w:t>
            </w:r>
          </w:p>
        </w:tc>
        <w:tc>
          <w:tcPr>
            <w:tcW w:w="6550" w:type="dxa"/>
            <w:gridSpan w:val="5"/>
            <w:noWrap w:val="0"/>
            <w:vAlign w:val="center"/>
          </w:tcPr>
          <w:p w14:paraId="632AC76A">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r>
      <w:tr w14:paraId="1C35B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2" w:type="dxa"/>
            <w:gridSpan w:val="8"/>
            <w:noWrap w:val="0"/>
            <w:vAlign w:val="top"/>
          </w:tcPr>
          <w:p w14:paraId="1EA9F1FA">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r>
              <w:rPr>
                <w:rFonts w:ascii="Times New Roman" w:hAnsi="Calibri" w:eastAsia="宋体" w:cs="Times New Roman"/>
                <w:sz w:val="21"/>
                <w:szCs w:val="21"/>
                <w:lang w:val="zh-CN"/>
              </w:rPr>
              <w:t>其他需要说明的情况：</w:t>
            </w:r>
          </w:p>
          <w:p w14:paraId="687DD7FD">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p w14:paraId="0FE38FFE">
            <w:pPr>
              <w:keepNext w:val="0"/>
              <w:keepLines w:val="0"/>
              <w:suppressLineNumbers w:val="0"/>
              <w:autoSpaceDE w:val="0"/>
              <w:autoSpaceDN w:val="0"/>
              <w:spacing w:before="0" w:beforeLines="0" w:beforeAutospacing="0" w:after="0" w:afterAutospacing="0" w:line="240" w:lineRule="auto"/>
              <w:ind w:left="0" w:right="0" w:firstLine="0" w:firstLineChars="0"/>
              <w:rPr>
                <w:rFonts w:ascii="Times New Roman" w:hAnsi="Calibri" w:eastAsia="宋体" w:cs="Times New Roman"/>
                <w:sz w:val="21"/>
                <w:szCs w:val="21"/>
                <w:lang w:val="zh-CN"/>
              </w:rPr>
            </w:pPr>
          </w:p>
        </w:tc>
      </w:tr>
    </w:tbl>
    <w:p w14:paraId="0788CACA">
      <w:pPr>
        <w:spacing w:before="0" w:beforeLines="0"/>
        <w:ind w:left="420" w:hanging="420" w:hangingChars="200"/>
        <w:rPr>
          <w:rFonts w:ascii="Times New Roman"/>
          <w:sz w:val="21"/>
          <w:szCs w:val="21"/>
        </w:rPr>
      </w:pPr>
      <w:r>
        <w:rPr>
          <w:rFonts w:ascii="Times New Roman"/>
          <w:sz w:val="21"/>
          <w:szCs w:val="21"/>
        </w:rPr>
        <w:t>注：须附加盖公章的营业执照、资质证书（如有）、管理体系认证证书（如有）等证书及相关资料的复印件或扫描件。</w:t>
      </w:r>
    </w:p>
    <w:p w14:paraId="7BD58D24">
      <w:pPr>
        <w:ind w:firstLine="0" w:firstLineChars="0"/>
        <w:outlineLvl w:val="1"/>
        <w:rPr>
          <w:rFonts w:ascii="Times New Roman"/>
        </w:rPr>
      </w:pPr>
      <w:r>
        <w:rPr>
          <w:rFonts w:ascii="Times New Roman"/>
          <w:sz w:val="21"/>
          <w:szCs w:val="21"/>
        </w:rPr>
        <w:br w:type="page"/>
      </w:r>
      <w:bookmarkStart w:id="1327" w:name="_Toc15409"/>
      <w:bookmarkStart w:id="1328" w:name="_Toc5688"/>
      <w:bookmarkStart w:id="1329" w:name="_Toc193981344"/>
      <w:bookmarkStart w:id="1330" w:name="_Toc3062"/>
      <w:bookmarkStart w:id="1331" w:name="_Toc491534507"/>
      <w:r>
        <w:rPr>
          <w:rFonts w:ascii="Times New Roman"/>
        </w:rPr>
        <w:t>B3企业简介</w:t>
      </w:r>
      <w:bookmarkEnd w:id="1327"/>
      <w:bookmarkEnd w:id="1328"/>
      <w:bookmarkEnd w:id="1329"/>
      <w:bookmarkEnd w:id="1330"/>
      <w:bookmarkEnd w:id="1331"/>
    </w:p>
    <w:p w14:paraId="00445515">
      <w:pPr>
        <w:pStyle w:val="99"/>
        <w:spacing w:before="312" w:beforeLines="100" w:after="312" w:afterLines="100"/>
        <w:rPr>
          <w:rFonts w:ascii="Times New Roman" w:hAnsi="Times New Roman" w:cs="Times New Roman"/>
        </w:rPr>
      </w:pPr>
      <w:bookmarkStart w:id="1332" w:name="_Toc384823626"/>
      <w:r>
        <w:rPr>
          <w:rFonts w:ascii="Times New Roman" w:hAnsi="Times New Roman" w:cs="Times New Roman"/>
        </w:rPr>
        <w:t>三、企业简介</w:t>
      </w:r>
      <w:bookmarkEnd w:id="1332"/>
    </w:p>
    <w:p w14:paraId="53DAA3D7">
      <w:pPr>
        <w:spacing w:before="0" w:beforeLines="0"/>
        <w:ind w:firstLine="0" w:firstLineChars="0"/>
        <w:jc w:val="center"/>
        <w:rPr>
          <w:rFonts w:ascii="Times New Roman"/>
          <w:sz w:val="21"/>
          <w:szCs w:val="21"/>
        </w:rPr>
      </w:pPr>
      <w:r>
        <w:rPr>
          <w:rFonts w:ascii="Times New Roman"/>
          <w:sz w:val="21"/>
          <w:szCs w:val="21"/>
        </w:rPr>
        <w:t>（格式自拟，并附企业组织结构框图）</w:t>
      </w:r>
    </w:p>
    <w:p w14:paraId="28CE9D5A">
      <w:pPr>
        <w:ind w:firstLine="0" w:firstLineChars="0"/>
        <w:outlineLvl w:val="1"/>
        <w:rPr>
          <w:rFonts w:ascii="Times New Roman"/>
        </w:rPr>
      </w:pPr>
      <w:r>
        <w:rPr>
          <w:rFonts w:ascii="Times New Roman"/>
          <w:sz w:val="21"/>
          <w:szCs w:val="21"/>
        </w:rPr>
        <w:br w:type="page"/>
      </w:r>
      <w:bookmarkStart w:id="1333" w:name="_Toc193981345"/>
      <w:bookmarkStart w:id="1334" w:name="_Toc5918"/>
      <w:bookmarkStart w:id="1335" w:name="_Toc27802"/>
      <w:bookmarkStart w:id="1336" w:name="_Toc4292"/>
      <w:bookmarkStart w:id="1337" w:name="_Toc491534508"/>
      <w:r>
        <w:rPr>
          <w:rFonts w:ascii="Times New Roman"/>
        </w:rPr>
        <w:t>B4类似项目业绩</w:t>
      </w:r>
      <w:bookmarkEnd w:id="1333"/>
      <w:bookmarkEnd w:id="1334"/>
      <w:bookmarkEnd w:id="1335"/>
      <w:bookmarkEnd w:id="1336"/>
      <w:bookmarkEnd w:id="1337"/>
    </w:p>
    <w:p w14:paraId="3E2E4F3A">
      <w:pPr>
        <w:pStyle w:val="99"/>
        <w:spacing w:before="312" w:beforeLines="100" w:after="312" w:afterLines="100"/>
        <w:rPr>
          <w:rFonts w:ascii="Times New Roman" w:hAnsi="Times New Roman" w:cs="Times New Roman"/>
        </w:rPr>
      </w:pPr>
      <w:bookmarkStart w:id="1338" w:name="_Toc384823627"/>
      <w:r>
        <w:rPr>
          <w:rFonts w:ascii="Times New Roman" w:hAnsi="Times New Roman" w:cs="Times New Roman"/>
        </w:rPr>
        <w:t>四、类似项目业绩</w:t>
      </w:r>
      <w:bookmarkEnd w:id="1338"/>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00"/>
        <w:gridCol w:w="1239"/>
        <w:gridCol w:w="1255"/>
        <w:gridCol w:w="1523"/>
        <w:gridCol w:w="1170"/>
        <w:gridCol w:w="1256"/>
        <w:gridCol w:w="1256"/>
        <w:gridCol w:w="1029"/>
      </w:tblGrid>
      <w:tr w14:paraId="24180C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0AB98A1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序号</w:t>
            </w:r>
          </w:p>
        </w:tc>
        <w:tc>
          <w:tcPr>
            <w:tcW w:w="1239" w:type="dxa"/>
            <w:noWrap w:val="0"/>
            <w:vAlign w:val="center"/>
          </w:tcPr>
          <w:p w14:paraId="64ECBD2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项目名称</w:t>
            </w:r>
          </w:p>
        </w:tc>
        <w:tc>
          <w:tcPr>
            <w:tcW w:w="1255" w:type="dxa"/>
            <w:noWrap w:val="0"/>
            <w:vAlign w:val="center"/>
          </w:tcPr>
          <w:p w14:paraId="0C01277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工程地址</w:t>
            </w:r>
          </w:p>
        </w:tc>
        <w:tc>
          <w:tcPr>
            <w:tcW w:w="1523" w:type="dxa"/>
            <w:noWrap w:val="0"/>
            <w:vAlign w:val="center"/>
          </w:tcPr>
          <w:p w14:paraId="7D0220D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项目概况</w:t>
            </w:r>
          </w:p>
        </w:tc>
        <w:tc>
          <w:tcPr>
            <w:tcW w:w="1170" w:type="dxa"/>
            <w:noWrap w:val="0"/>
            <w:vAlign w:val="center"/>
          </w:tcPr>
          <w:p w14:paraId="625F325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项目内容（土建/安装)</w:t>
            </w:r>
          </w:p>
        </w:tc>
        <w:tc>
          <w:tcPr>
            <w:tcW w:w="1256" w:type="dxa"/>
            <w:noWrap w:val="0"/>
            <w:vAlign w:val="center"/>
          </w:tcPr>
          <w:p w14:paraId="0E94EE7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委托人名称</w:t>
            </w:r>
          </w:p>
        </w:tc>
        <w:tc>
          <w:tcPr>
            <w:tcW w:w="1256" w:type="dxa"/>
            <w:noWrap w:val="0"/>
            <w:vAlign w:val="center"/>
          </w:tcPr>
          <w:p w14:paraId="637AC7CE">
            <w:pPr>
              <w:pStyle w:val="21"/>
              <w:keepNext w:val="0"/>
              <w:keepLines w:val="0"/>
              <w:widowControl w:val="0"/>
              <w:suppressLineNumbers w:val="0"/>
              <w:adjustRightInd w:val="0"/>
              <w:snapToGrid w:val="0"/>
              <w:spacing w:before="0" w:beforeAutospacing="0" w:after="0" w:afterAutospacing="0" w:line="240" w:lineRule="auto"/>
              <w:ind w:left="0" w:right="0"/>
              <w:rPr>
                <w:rFonts w:ascii="Times New Roman" w:hAnsi="Times New Roman" w:eastAsia="宋体" w:cs="Times New Roman"/>
                <w:kern w:val="2"/>
                <w:sz w:val="21"/>
                <w:szCs w:val="21"/>
              </w:rPr>
            </w:pPr>
            <w:r>
              <w:rPr>
                <w:rFonts w:ascii="Times New Roman" w:hAnsi="Times New Roman" w:eastAsia="宋体" w:cs="Times New Roman"/>
                <w:kern w:val="2"/>
                <w:sz w:val="21"/>
                <w:szCs w:val="21"/>
              </w:rPr>
              <w:t>合同总价</w:t>
            </w:r>
          </w:p>
        </w:tc>
        <w:tc>
          <w:tcPr>
            <w:tcW w:w="1029" w:type="dxa"/>
            <w:noWrap w:val="0"/>
            <w:vAlign w:val="center"/>
          </w:tcPr>
          <w:p w14:paraId="6B488845">
            <w:pPr>
              <w:pStyle w:val="21"/>
              <w:keepNext w:val="0"/>
              <w:keepLines w:val="0"/>
              <w:widowControl w:val="0"/>
              <w:suppressLineNumbers w:val="0"/>
              <w:adjustRightInd w:val="0"/>
              <w:snapToGrid w:val="0"/>
              <w:spacing w:before="0" w:beforeAutospacing="0" w:after="0" w:afterAutospacing="0" w:line="240" w:lineRule="auto"/>
              <w:ind w:left="0" w:right="0"/>
              <w:rPr>
                <w:rFonts w:ascii="Times New Roman" w:hAnsi="Times New Roman" w:eastAsia="宋体" w:cs="Times New Roman"/>
                <w:kern w:val="2"/>
                <w:sz w:val="21"/>
                <w:szCs w:val="21"/>
              </w:rPr>
            </w:pPr>
            <w:r>
              <w:rPr>
                <w:rFonts w:ascii="Times New Roman" w:hAnsi="Times New Roman" w:eastAsia="宋体" w:cs="Times New Roman"/>
                <w:kern w:val="2"/>
                <w:sz w:val="21"/>
                <w:szCs w:val="21"/>
              </w:rPr>
              <w:t>备注（已完成/未完成）</w:t>
            </w:r>
          </w:p>
        </w:tc>
      </w:tr>
      <w:tr w14:paraId="605F3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29F760D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1</w:t>
            </w:r>
          </w:p>
        </w:tc>
        <w:tc>
          <w:tcPr>
            <w:tcW w:w="1239" w:type="dxa"/>
            <w:noWrap w:val="0"/>
            <w:vAlign w:val="center"/>
          </w:tcPr>
          <w:p w14:paraId="3DA48FA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5" w:type="dxa"/>
            <w:noWrap w:val="0"/>
            <w:vAlign w:val="center"/>
          </w:tcPr>
          <w:p w14:paraId="48CEF40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523" w:type="dxa"/>
            <w:noWrap w:val="0"/>
            <w:vAlign w:val="center"/>
          </w:tcPr>
          <w:p w14:paraId="25CADF6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70" w:type="dxa"/>
            <w:noWrap w:val="0"/>
            <w:vAlign w:val="center"/>
          </w:tcPr>
          <w:p w14:paraId="36977B7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3DC560C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68A2505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29" w:type="dxa"/>
            <w:noWrap w:val="0"/>
            <w:vAlign w:val="center"/>
          </w:tcPr>
          <w:p w14:paraId="0ECD6B3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3BA83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18205A2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2</w:t>
            </w:r>
          </w:p>
        </w:tc>
        <w:tc>
          <w:tcPr>
            <w:tcW w:w="1239" w:type="dxa"/>
            <w:noWrap w:val="0"/>
            <w:vAlign w:val="center"/>
          </w:tcPr>
          <w:p w14:paraId="1DD3095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5" w:type="dxa"/>
            <w:noWrap w:val="0"/>
            <w:vAlign w:val="center"/>
          </w:tcPr>
          <w:p w14:paraId="0BE59E3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523" w:type="dxa"/>
            <w:noWrap w:val="0"/>
            <w:vAlign w:val="center"/>
          </w:tcPr>
          <w:p w14:paraId="7F81CEB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70" w:type="dxa"/>
            <w:noWrap w:val="0"/>
            <w:vAlign w:val="center"/>
          </w:tcPr>
          <w:p w14:paraId="7E5A729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353243A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42234CA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29" w:type="dxa"/>
            <w:noWrap w:val="0"/>
            <w:vAlign w:val="center"/>
          </w:tcPr>
          <w:p w14:paraId="5CECBC3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348E06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7274569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3</w:t>
            </w:r>
          </w:p>
        </w:tc>
        <w:tc>
          <w:tcPr>
            <w:tcW w:w="1239" w:type="dxa"/>
            <w:noWrap w:val="0"/>
            <w:vAlign w:val="center"/>
          </w:tcPr>
          <w:p w14:paraId="0E4685B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5" w:type="dxa"/>
            <w:noWrap w:val="0"/>
            <w:vAlign w:val="center"/>
          </w:tcPr>
          <w:p w14:paraId="0497A06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523" w:type="dxa"/>
            <w:noWrap w:val="0"/>
            <w:vAlign w:val="center"/>
          </w:tcPr>
          <w:p w14:paraId="7A07FAE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70" w:type="dxa"/>
            <w:noWrap w:val="0"/>
            <w:vAlign w:val="center"/>
          </w:tcPr>
          <w:p w14:paraId="72B9AFF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7503C9B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786A331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29" w:type="dxa"/>
            <w:noWrap w:val="0"/>
            <w:vAlign w:val="center"/>
          </w:tcPr>
          <w:p w14:paraId="5E84A27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0A6200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7A85DC6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4</w:t>
            </w:r>
          </w:p>
        </w:tc>
        <w:tc>
          <w:tcPr>
            <w:tcW w:w="1239" w:type="dxa"/>
            <w:noWrap w:val="0"/>
            <w:vAlign w:val="center"/>
          </w:tcPr>
          <w:p w14:paraId="7DA4566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5" w:type="dxa"/>
            <w:noWrap w:val="0"/>
            <w:vAlign w:val="center"/>
          </w:tcPr>
          <w:p w14:paraId="6180988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523" w:type="dxa"/>
            <w:noWrap w:val="0"/>
            <w:vAlign w:val="center"/>
          </w:tcPr>
          <w:p w14:paraId="4574837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70" w:type="dxa"/>
            <w:noWrap w:val="0"/>
            <w:vAlign w:val="center"/>
          </w:tcPr>
          <w:p w14:paraId="3E4C511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399E3C9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7A2165F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29" w:type="dxa"/>
            <w:noWrap w:val="0"/>
            <w:vAlign w:val="center"/>
          </w:tcPr>
          <w:p w14:paraId="3DC1CF6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591F6D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24957AE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5</w:t>
            </w:r>
          </w:p>
        </w:tc>
        <w:tc>
          <w:tcPr>
            <w:tcW w:w="1239" w:type="dxa"/>
            <w:noWrap w:val="0"/>
            <w:vAlign w:val="center"/>
          </w:tcPr>
          <w:p w14:paraId="55FA793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5" w:type="dxa"/>
            <w:noWrap w:val="0"/>
            <w:vAlign w:val="center"/>
          </w:tcPr>
          <w:p w14:paraId="336971E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523" w:type="dxa"/>
            <w:noWrap w:val="0"/>
            <w:vAlign w:val="center"/>
          </w:tcPr>
          <w:p w14:paraId="11595A1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70" w:type="dxa"/>
            <w:noWrap w:val="0"/>
            <w:vAlign w:val="center"/>
          </w:tcPr>
          <w:p w14:paraId="6CA5663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7D9F785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15915C5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29" w:type="dxa"/>
            <w:noWrap w:val="0"/>
            <w:vAlign w:val="center"/>
          </w:tcPr>
          <w:p w14:paraId="4537297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4059D6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4EE4BC7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6</w:t>
            </w:r>
          </w:p>
        </w:tc>
        <w:tc>
          <w:tcPr>
            <w:tcW w:w="1239" w:type="dxa"/>
            <w:noWrap w:val="0"/>
            <w:vAlign w:val="center"/>
          </w:tcPr>
          <w:p w14:paraId="19F1570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5" w:type="dxa"/>
            <w:noWrap w:val="0"/>
            <w:vAlign w:val="center"/>
          </w:tcPr>
          <w:p w14:paraId="1015498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523" w:type="dxa"/>
            <w:noWrap w:val="0"/>
            <w:vAlign w:val="center"/>
          </w:tcPr>
          <w:p w14:paraId="4D70696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70" w:type="dxa"/>
            <w:noWrap w:val="0"/>
            <w:vAlign w:val="center"/>
          </w:tcPr>
          <w:p w14:paraId="7A89E2C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16876D0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289BBB5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29" w:type="dxa"/>
            <w:noWrap w:val="0"/>
            <w:vAlign w:val="center"/>
          </w:tcPr>
          <w:p w14:paraId="4214698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495654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254B0E7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7</w:t>
            </w:r>
          </w:p>
        </w:tc>
        <w:tc>
          <w:tcPr>
            <w:tcW w:w="1239" w:type="dxa"/>
            <w:noWrap w:val="0"/>
            <w:vAlign w:val="center"/>
          </w:tcPr>
          <w:p w14:paraId="23A022F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5" w:type="dxa"/>
            <w:noWrap w:val="0"/>
            <w:vAlign w:val="center"/>
          </w:tcPr>
          <w:p w14:paraId="7087289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523" w:type="dxa"/>
            <w:noWrap w:val="0"/>
            <w:vAlign w:val="center"/>
          </w:tcPr>
          <w:p w14:paraId="4F74224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70" w:type="dxa"/>
            <w:noWrap w:val="0"/>
            <w:vAlign w:val="center"/>
          </w:tcPr>
          <w:p w14:paraId="738A003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4D69BF3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0D5DE97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29" w:type="dxa"/>
            <w:noWrap w:val="0"/>
            <w:vAlign w:val="center"/>
          </w:tcPr>
          <w:p w14:paraId="4F7F2A7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62B653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53FE10A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8</w:t>
            </w:r>
          </w:p>
        </w:tc>
        <w:tc>
          <w:tcPr>
            <w:tcW w:w="1239" w:type="dxa"/>
            <w:noWrap w:val="0"/>
            <w:vAlign w:val="center"/>
          </w:tcPr>
          <w:p w14:paraId="09CCCBB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5" w:type="dxa"/>
            <w:noWrap w:val="0"/>
            <w:vAlign w:val="center"/>
          </w:tcPr>
          <w:p w14:paraId="275C8D2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523" w:type="dxa"/>
            <w:noWrap w:val="0"/>
            <w:vAlign w:val="center"/>
          </w:tcPr>
          <w:p w14:paraId="7F4CDAD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70" w:type="dxa"/>
            <w:noWrap w:val="0"/>
            <w:vAlign w:val="center"/>
          </w:tcPr>
          <w:p w14:paraId="6253E36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572C3E2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37F572E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29" w:type="dxa"/>
            <w:noWrap w:val="0"/>
            <w:vAlign w:val="center"/>
          </w:tcPr>
          <w:p w14:paraId="0A96FE5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05E96C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3906F6D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9</w:t>
            </w:r>
          </w:p>
        </w:tc>
        <w:tc>
          <w:tcPr>
            <w:tcW w:w="1239" w:type="dxa"/>
            <w:noWrap w:val="0"/>
            <w:vAlign w:val="center"/>
          </w:tcPr>
          <w:p w14:paraId="562CFDA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5" w:type="dxa"/>
            <w:noWrap w:val="0"/>
            <w:vAlign w:val="center"/>
          </w:tcPr>
          <w:p w14:paraId="21894C2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523" w:type="dxa"/>
            <w:noWrap w:val="0"/>
            <w:vAlign w:val="center"/>
          </w:tcPr>
          <w:p w14:paraId="5C8517F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70" w:type="dxa"/>
            <w:noWrap w:val="0"/>
            <w:vAlign w:val="center"/>
          </w:tcPr>
          <w:p w14:paraId="7B9EF46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64316FD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4EF44B1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29" w:type="dxa"/>
            <w:noWrap w:val="0"/>
            <w:vAlign w:val="center"/>
          </w:tcPr>
          <w:p w14:paraId="226F932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565C5C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3209313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10</w:t>
            </w:r>
          </w:p>
        </w:tc>
        <w:tc>
          <w:tcPr>
            <w:tcW w:w="1239" w:type="dxa"/>
            <w:noWrap w:val="0"/>
            <w:vAlign w:val="center"/>
          </w:tcPr>
          <w:p w14:paraId="7BFBF2C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5" w:type="dxa"/>
            <w:noWrap w:val="0"/>
            <w:vAlign w:val="center"/>
          </w:tcPr>
          <w:p w14:paraId="6F59150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523" w:type="dxa"/>
            <w:noWrap w:val="0"/>
            <w:vAlign w:val="center"/>
          </w:tcPr>
          <w:p w14:paraId="15D4714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70" w:type="dxa"/>
            <w:noWrap w:val="0"/>
            <w:vAlign w:val="center"/>
          </w:tcPr>
          <w:p w14:paraId="0047E71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48A798D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18C636D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29" w:type="dxa"/>
            <w:noWrap w:val="0"/>
            <w:vAlign w:val="center"/>
          </w:tcPr>
          <w:p w14:paraId="1ED7A64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21563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00" w:type="dxa"/>
            <w:noWrap w:val="0"/>
            <w:vAlign w:val="center"/>
          </w:tcPr>
          <w:p w14:paraId="74C341C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w:t>
            </w:r>
          </w:p>
        </w:tc>
        <w:tc>
          <w:tcPr>
            <w:tcW w:w="1239" w:type="dxa"/>
            <w:noWrap w:val="0"/>
            <w:vAlign w:val="center"/>
          </w:tcPr>
          <w:p w14:paraId="3657222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5" w:type="dxa"/>
            <w:noWrap w:val="0"/>
            <w:vAlign w:val="center"/>
          </w:tcPr>
          <w:p w14:paraId="0B791CA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523" w:type="dxa"/>
            <w:noWrap w:val="0"/>
            <w:vAlign w:val="center"/>
          </w:tcPr>
          <w:p w14:paraId="6ABDA0A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70" w:type="dxa"/>
            <w:noWrap w:val="0"/>
            <w:vAlign w:val="center"/>
          </w:tcPr>
          <w:p w14:paraId="2A25B3A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017759B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56" w:type="dxa"/>
            <w:noWrap w:val="0"/>
            <w:vAlign w:val="center"/>
          </w:tcPr>
          <w:p w14:paraId="337D16E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29" w:type="dxa"/>
            <w:noWrap w:val="0"/>
            <w:vAlign w:val="center"/>
          </w:tcPr>
          <w:p w14:paraId="46CC6D9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bl>
    <w:p w14:paraId="48F944FD">
      <w:pPr>
        <w:spacing w:before="0" w:beforeLines="0"/>
        <w:ind w:firstLine="0" w:firstLineChars="0"/>
        <w:rPr>
          <w:rFonts w:ascii="Times New Roman"/>
          <w:sz w:val="21"/>
          <w:szCs w:val="21"/>
        </w:rPr>
      </w:pPr>
      <w:r>
        <w:rPr>
          <w:rFonts w:ascii="Times New Roman"/>
          <w:sz w:val="21"/>
          <w:szCs w:val="21"/>
        </w:rPr>
        <w:t>注：</w:t>
      </w:r>
    </w:p>
    <w:p w14:paraId="02F5F055">
      <w:pPr>
        <w:numPr>
          <w:ilvl w:val="0"/>
          <w:numId w:val="49"/>
        </w:numPr>
        <w:spacing w:before="0" w:beforeLines="0"/>
        <w:ind w:firstLine="420"/>
        <w:rPr>
          <w:rFonts w:ascii="Times New Roman"/>
          <w:sz w:val="21"/>
          <w:szCs w:val="21"/>
        </w:rPr>
      </w:pPr>
      <w:r>
        <w:rPr>
          <w:rFonts w:ascii="Times New Roman"/>
          <w:sz w:val="21"/>
          <w:szCs w:val="21"/>
        </w:rPr>
        <w:t>投标人须随此表附上能明确反映出类似项目定义中工程特征的业绩证明材料（指中标通知书、合同或业主证明中的一项或多项，业绩证明材料须能明确体现业绩要求的评审信息，否则不予认可）。</w:t>
      </w:r>
    </w:p>
    <w:p w14:paraId="38FFF5A0">
      <w:pPr>
        <w:numPr>
          <w:ilvl w:val="0"/>
          <w:numId w:val="49"/>
        </w:numPr>
        <w:spacing w:before="0" w:beforeLines="0"/>
        <w:ind w:firstLine="420"/>
        <w:rPr>
          <w:rFonts w:ascii="Times New Roman"/>
          <w:sz w:val="21"/>
          <w:szCs w:val="21"/>
        </w:rPr>
      </w:pPr>
      <w:r>
        <w:rPr>
          <w:rFonts w:ascii="Times New Roman"/>
          <w:sz w:val="21"/>
          <w:szCs w:val="21"/>
        </w:rPr>
        <w:t>项目概况包括：项目名称、项目等级、规模、总投资、咨询服务周期、负责人。</w:t>
      </w:r>
    </w:p>
    <w:p w14:paraId="34A68109">
      <w:pPr>
        <w:numPr>
          <w:ilvl w:val="0"/>
          <w:numId w:val="49"/>
        </w:numPr>
        <w:spacing w:before="0" w:beforeLines="0"/>
        <w:ind w:firstLine="420"/>
        <w:rPr>
          <w:rFonts w:ascii="Times New Roman"/>
          <w:sz w:val="21"/>
          <w:szCs w:val="21"/>
        </w:rPr>
      </w:pPr>
      <w:r>
        <w:rPr>
          <w:rFonts w:ascii="Times New Roman"/>
          <w:sz w:val="21"/>
          <w:szCs w:val="21"/>
        </w:rPr>
        <w:t>投标人应在项目内容栏内注明该项目为土建/安装。</w:t>
      </w:r>
    </w:p>
    <w:p w14:paraId="7AB02CFA">
      <w:pPr>
        <w:numPr>
          <w:ilvl w:val="0"/>
          <w:numId w:val="49"/>
        </w:numPr>
        <w:spacing w:before="0" w:beforeLines="0"/>
        <w:ind w:firstLine="420"/>
        <w:rPr>
          <w:rFonts w:ascii="Times New Roman"/>
          <w:sz w:val="21"/>
          <w:szCs w:val="21"/>
        </w:rPr>
      </w:pPr>
      <w:r>
        <w:rPr>
          <w:rFonts w:ascii="Times New Roman"/>
          <w:sz w:val="21"/>
          <w:szCs w:val="21"/>
        </w:rPr>
        <w:t>投标人应在备注栏内注明该项目为已完成/未完成。</w:t>
      </w:r>
    </w:p>
    <w:p w14:paraId="5BB4780C">
      <w:pPr>
        <w:numPr>
          <w:ilvl w:val="0"/>
          <w:numId w:val="49"/>
        </w:numPr>
        <w:spacing w:before="0" w:beforeLines="0"/>
        <w:ind w:firstLine="420"/>
        <w:rPr>
          <w:rFonts w:ascii="Times New Roman"/>
          <w:sz w:val="21"/>
          <w:szCs w:val="21"/>
        </w:rPr>
      </w:pPr>
      <w:r>
        <w:rPr>
          <w:rFonts w:ascii="Times New Roman"/>
          <w:sz w:val="21"/>
          <w:szCs w:val="21"/>
        </w:rPr>
        <w:t>如投标人法人机构发生合法变更或重组或法人名称变更，应提供相关部门的合法批件或其他相关证明材料来证明其所附业绩的继承性。</w:t>
      </w:r>
    </w:p>
    <w:p w14:paraId="212DD20B">
      <w:pPr>
        <w:pStyle w:val="99"/>
        <w:spacing w:before="312" w:beforeLines="100" w:after="312" w:afterLines="100"/>
        <w:rPr>
          <w:rFonts w:ascii="Times New Roman" w:hAnsi="Times New Roman" w:cs="Times New Roman"/>
        </w:rPr>
      </w:pPr>
      <w:r>
        <w:br w:type="page"/>
      </w:r>
      <w:r>
        <w:rPr>
          <w:rFonts w:hint="eastAsia" w:ascii="Times New Roman" w:hAnsi="Times New Roman" w:cs="Times New Roman"/>
        </w:rPr>
        <w:t>五</w:t>
      </w:r>
      <w:r>
        <w:rPr>
          <w:rFonts w:ascii="Times New Roman" w:hAnsi="Times New Roman" w:cs="Times New Roman"/>
        </w:rPr>
        <w:t>、</w:t>
      </w:r>
      <w:r>
        <w:rPr>
          <w:rFonts w:hint="eastAsia" w:ascii="Times New Roman" w:hAnsi="Times New Roman" w:cs="Times New Roman"/>
        </w:rPr>
        <w:t>企业</w:t>
      </w:r>
      <w:r>
        <w:rPr>
          <w:rFonts w:ascii="Times New Roman" w:hAnsi="Times New Roman" w:cs="Times New Roman"/>
        </w:rPr>
        <w:t>获奖情况</w:t>
      </w:r>
    </w:p>
    <w:p w14:paraId="3A760219">
      <w:pPr>
        <w:spacing w:before="0" w:beforeLines="0"/>
        <w:ind w:firstLine="420"/>
        <w:rPr>
          <w:rFonts w:ascii="Times New Roman"/>
          <w:sz w:val="21"/>
          <w:szCs w:val="21"/>
        </w:rPr>
      </w:pPr>
    </w:p>
    <w:p w14:paraId="74D9D31F">
      <w:pPr>
        <w:spacing w:before="0" w:beforeLines="0"/>
        <w:ind w:firstLine="420"/>
        <w:rPr>
          <w:rFonts w:ascii="Times New Roman"/>
          <w:sz w:val="21"/>
          <w:szCs w:val="21"/>
        </w:rPr>
        <w:sectPr>
          <w:footerReference r:id="rId12" w:type="default"/>
          <w:footerReference r:id="rId13" w:type="even"/>
          <w:pgSz w:w="11906" w:h="16838"/>
          <w:pgMar w:top="1440" w:right="1800" w:bottom="1440" w:left="1800" w:header="737" w:footer="737" w:gutter="0"/>
          <w:cols w:space="720" w:num="1"/>
          <w:docGrid w:type="lines" w:linePitch="312" w:charSpace="0"/>
        </w:sectPr>
      </w:pPr>
    </w:p>
    <w:p w14:paraId="5C3EFBA5">
      <w:pPr>
        <w:spacing w:before="0" w:beforeLines="0"/>
        <w:ind w:left="422" w:leftChars="176" w:firstLine="0" w:firstLineChars="0"/>
        <w:rPr>
          <w:rFonts w:ascii="Times New Roman" w:eastAsia="黑体"/>
          <w:spacing w:val="-6"/>
          <w:sz w:val="28"/>
          <w:szCs w:val="28"/>
        </w:rPr>
      </w:pPr>
      <w:r>
        <w:rPr>
          <w:rFonts w:ascii="Times New Roman" w:eastAsia="黑体"/>
          <w:spacing w:val="-6"/>
          <w:sz w:val="28"/>
          <w:szCs w:val="28"/>
        </w:rPr>
        <w:t>八、其他招标文件要求出具的资信文件及投标人认为需加以说明的其他内容</w:t>
      </w:r>
    </w:p>
    <w:p w14:paraId="019093A3">
      <w:pPr>
        <w:spacing w:after="156" w:afterLines="50"/>
        <w:ind w:firstLine="228" w:firstLineChars="95"/>
        <w:jc w:val="center"/>
        <w:outlineLvl w:val="1"/>
        <w:rPr>
          <w:rFonts w:ascii="Times New Roman"/>
          <w:sz w:val="28"/>
          <w:szCs w:val="28"/>
        </w:rPr>
      </w:pPr>
      <w:bookmarkStart w:id="1339" w:name="_Toc384823634"/>
      <w:r>
        <w:rPr>
          <w:rFonts w:ascii="Times New Roman"/>
        </w:rPr>
        <w:br w:type="page"/>
      </w:r>
      <w:bookmarkStart w:id="1340" w:name="_Toc16519"/>
      <w:bookmarkStart w:id="1341" w:name="_Toc193981346"/>
      <w:bookmarkStart w:id="1342" w:name="_Toc491534513"/>
      <w:r>
        <w:rPr>
          <w:rFonts w:ascii="Times New Roman"/>
          <w:b/>
          <w:sz w:val="28"/>
          <w:szCs w:val="28"/>
        </w:rPr>
        <w:t>C技术部分</w:t>
      </w:r>
      <w:bookmarkEnd w:id="1340"/>
      <w:bookmarkEnd w:id="1341"/>
      <w:bookmarkEnd w:id="1342"/>
    </w:p>
    <w:p w14:paraId="7B9F5829">
      <w:pPr>
        <w:numPr>
          <w:ilvl w:val="0"/>
          <w:numId w:val="50"/>
        </w:numPr>
        <w:ind w:firstLine="960" w:firstLineChars="0"/>
        <w:rPr>
          <w:rFonts w:hint="eastAsia" w:ascii="Times New Roman"/>
          <w:sz w:val="21"/>
          <w:szCs w:val="21"/>
        </w:rPr>
      </w:pPr>
      <w:r>
        <w:rPr>
          <w:rFonts w:hint="eastAsia" w:ascii="Times New Roman"/>
          <w:sz w:val="21"/>
          <w:szCs w:val="21"/>
        </w:rPr>
        <w:t>拟投入本项目主要人员一览表</w:t>
      </w:r>
      <w:r>
        <w:rPr>
          <w:rFonts w:ascii="Times New Roman"/>
          <w:sz w:val="21"/>
          <w:szCs w:val="21"/>
        </w:rPr>
        <w:t>（格式见C1）</w:t>
      </w:r>
    </w:p>
    <w:p w14:paraId="026E1650">
      <w:pPr>
        <w:numPr>
          <w:ilvl w:val="0"/>
          <w:numId w:val="50"/>
        </w:numPr>
        <w:ind w:firstLine="960" w:firstLineChars="0"/>
        <w:rPr>
          <w:rFonts w:hint="eastAsia" w:ascii="Times New Roman"/>
          <w:sz w:val="21"/>
          <w:szCs w:val="21"/>
        </w:rPr>
      </w:pPr>
      <w:r>
        <w:rPr>
          <w:rFonts w:hint="eastAsia" w:ascii="Times New Roman"/>
          <w:sz w:val="21"/>
          <w:szCs w:val="21"/>
        </w:rPr>
        <w:t>拟派人员汇总表</w:t>
      </w:r>
      <w:r>
        <w:rPr>
          <w:rFonts w:ascii="Times New Roman"/>
          <w:sz w:val="21"/>
          <w:szCs w:val="21"/>
        </w:rPr>
        <w:t>（格式见C</w:t>
      </w:r>
      <w:r>
        <w:rPr>
          <w:rFonts w:hint="eastAsia" w:ascii="Times New Roman"/>
          <w:sz w:val="21"/>
          <w:szCs w:val="21"/>
        </w:rPr>
        <w:t>2</w:t>
      </w:r>
      <w:r>
        <w:rPr>
          <w:rFonts w:ascii="Times New Roman"/>
          <w:sz w:val="21"/>
          <w:szCs w:val="21"/>
        </w:rPr>
        <w:t>）</w:t>
      </w:r>
    </w:p>
    <w:p w14:paraId="3B18B940">
      <w:pPr>
        <w:numPr>
          <w:ilvl w:val="0"/>
          <w:numId w:val="50"/>
        </w:numPr>
        <w:ind w:firstLine="960" w:firstLineChars="0"/>
        <w:rPr>
          <w:rFonts w:hint="eastAsia" w:ascii="Times New Roman"/>
          <w:sz w:val="21"/>
          <w:szCs w:val="21"/>
        </w:rPr>
      </w:pPr>
      <w:r>
        <w:rPr>
          <w:rFonts w:hint="eastAsia" w:ascii="Times New Roman"/>
          <w:sz w:val="21"/>
          <w:szCs w:val="21"/>
        </w:rPr>
        <w:t>拟投入本项目人员简历表</w:t>
      </w:r>
      <w:r>
        <w:rPr>
          <w:rFonts w:ascii="Times New Roman"/>
          <w:sz w:val="21"/>
          <w:szCs w:val="21"/>
        </w:rPr>
        <w:t>（格式见C</w:t>
      </w:r>
      <w:r>
        <w:rPr>
          <w:rFonts w:hint="eastAsia" w:ascii="Times New Roman"/>
          <w:sz w:val="21"/>
          <w:szCs w:val="21"/>
        </w:rPr>
        <w:t>3</w:t>
      </w:r>
      <w:r>
        <w:rPr>
          <w:rFonts w:ascii="Times New Roman"/>
          <w:sz w:val="21"/>
          <w:szCs w:val="21"/>
        </w:rPr>
        <w:t>）</w:t>
      </w:r>
    </w:p>
    <w:p w14:paraId="2400575F">
      <w:pPr>
        <w:numPr>
          <w:ilvl w:val="0"/>
          <w:numId w:val="50"/>
        </w:numPr>
        <w:ind w:firstLine="960" w:firstLineChars="0"/>
        <w:rPr>
          <w:rFonts w:ascii="Times New Roman"/>
          <w:sz w:val="21"/>
          <w:szCs w:val="21"/>
        </w:rPr>
      </w:pPr>
      <w:r>
        <w:rPr>
          <w:rFonts w:ascii="Times New Roman"/>
          <w:sz w:val="21"/>
          <w:szCs w:val="21"/>
        </w:rPr>
        <w:t>工程造价咨询服务方案（格式见C</w:t>
      </w:r>
      <w:r>
        <w:rPr>
          <w:rFonts w:hint="eastAsia" w:ascii="Times New Roman"/>
          <w:sz w:val="21"/>
          <w:szCs w:val="21"/>
        </w:rPr>
        <w:t>4</w:t>
      </w:r>
      <w:r>
        <w:rPr>
          <w:rFonts w:ascii="Times New Roman"/>
          <w:sz w:val="21"/>
          <w:szCs w:val="21"/>
        </w:rPr>
        <w:t>）</w:t>
      </w:r>
    </w:p>
    <w:p w14:paraId="3FD00EBF">
      <w:pPr>
        <w:numPr>
          <w:ilvl w:val="0"/>
          <w:numId w:val="50"/>
        </w:numPr>
        <w:ind w:firstLine="960" w:firstLineChars="0"/>
        <w:rPr>
          <w:rFonts w:ascii="Times New Roman"/>
          <w:sz w:val="21"/>
          <w:szCs w:val="21"/>
        </w:rPr>
      </w:pPr>
      <w:r>
        <w:rPr>
          <w:rFonts w:ascii="Times New Roman"/>
          <w:sz w:val="21"/>
          <w:szCs w:val="21"/>
        </w:rPr>
        <w:t>专业资料及软件配备情况表（格式见C</w:t>
      </w:r>
      <w:r>
        <w:rPr>
          <w:rFonts w:hint="eastAsia" w:ascii="Times New Roman"/>
          <w:sz w:val="21"/>
          <w:szCs w:val="21"/>
        </w:rPr>
        <w:t>5</w:t>
      </w:r>
      <w:r>
        <w:rPr>
          <w:rFonts w:ascii="Times New Roman"/>
          <w:sz w:val="21"/>
          <w:szCs w:val="21"/>
        </w:rPr>
        <w:t>）</w:t>
      </w:r>
    </w:p>
    <w:p w14:paraId="341362D9">
      <w:pPr>
        <w:numPr>
          <w:ilvl w:val="0"/>
          <w:numId w:val="50"/>
        </w:numPr>
        <w:ind w:firstLine="960" w:firstLineChars="0"/>
        <w:rPr>
          <w:rFonts w:ascii="Times New Roman"/>
          <w:sz w:val="21"/>
          <w:szCs w:val="21"/>
        </w:rPr>
      </w:pPr>
      <w:r>
        <w:rPr>
          <w:rFonts w:ascii="Times New Roman"/>
          <w:sz w:val="21"/>
          <w:szCs w:val="21"/>
        </w:rPr>
        <w:t>其他招标文件要求出具的技术文件及投标人认为需加以说明的其他内容</w:t>
      </w:r>
    </w:p>
    <w:p w14:paraId="401569EE">
      <w:pPr>
        <w:ind w:firstLine="0" w:firstLineChars="0"/>
        <w:outlineLvl w:val="1"/>
        <w:rPr>
          <w:rFonts w:ascii="Times New Roman"/>
        </w:rPr>
        <w:sectPr>
          <w:pgSz w:w="11906" w:h="16838"/>
          <w:pgMar w:top="1797" w:right="1440" w:bottom="1797" w:left="1440" w:header="737" w:footer="737" w:gutter="0"/>
          <w:cols w:space="720" w:num="1"/>
          <w:docGrid w:type="lines" w:linePitch="312" w:charSpace="0"/>
        </w:sectPr>
      </w:pPr>
      <w:bookmarkStart w:id="1343" w:name="_Toc10420"/>
      <w:bookmarkStart w:id="1344" w:name="_Toc21381"/>
      <w:bookmarkStart w:id="1345" w:name="_Toc15577"/>
      <w:bookmarkStart w:id="1346" w:name="_Toc491534509"/>
      <w:bookmarkStart w:id="1347" w:name="_Toc20325"/>
      <w:bookmarkStart w:id="1348" w:name="_Toc27051"/>
      <w:bookmarkStart w:id="1349" w:name="_Toc28447"/>
      <w:bookmarkStart w:id="1350" w:name="_Toc491534514"/>
    </w:p>
    <w:p w14:paraId="417FFC70">
      <w:pPr>
        <w:ind w:firstLine="0" w:firstLineChars="0"/>
        <w:outlineLvl w:val="1"/>
        <w:rPr>
          <w:rFonts w:ascii="Times New Roman"/>
        </w:rPr>
      </w:pPr>
      <w:bookmarkStart w:id="1351" w:name="_Toc193981347"/>
      <w:r>
        <w:rPr>
          <w:rFonts w:hint="eastAsia" w:ascii="Times New Roman"/>
        </w:rPr>
        <w:t>C1</w:t>
      </w:r>
      <w:r>
        <w:rPr>
          <w:rFonts w:ascii="Times New Roman"/>
        </w:rPr>
        <w:t>拟投入本项目主要人员一览表</w:t>
      </w:r>
      <w:bookmarkEnd w:id="1343"/>
      <w:bookmarkEnd w:id="1344"/>
      <w:bookmarkEnd w:id="1345"/>
      <w:bookmarkEnd w:id="1346"/>
      <w:bookmarkEnd w:id="1351"/>
    </w:p>
    <w:p w14:paraId="5CE108C3">
      <w:pPr>
        <w:pStyle w:val="99"/>
        <w:spacing w:before="312" w:beforeLines="100" w:after="312" w:afterLines="100"/>
        <w:rPr>
          <w:rFonts w:ascii="Times New Roman" w:hAnsi="Times New Roman" w:cs="Times New Roman"/>
        </w:rPr>
      </w:pPr>
      <w:bookmarkStart w:id="1352" w:name="_Toc384823628"/>
      <w:r>
        <w:rPr>
          <w:rFonts w:hint="eastAsia" w:ascii="Times New Roman" w:hAnsi="Times New Roman" w:cs="Times New Roman"/>
        </w:rPr>
        <w:t>一</w:t>
      </w:r>
      <w:r>
        <w:rPr>
          <w:rFonts w:ascii="Times New Roman" w:hAnsi="Times New Roman" w:cs="Times New Roman"/>
        </w:rPr>
        <w:t>、拟投入本项目主要人员一览表</w:t>
      </w:r>
      <w:bookmarkEnd w:id="1352"/>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424"/>
        <w:gridCol w:w="781"/>
        <w:gridCol w:w="1185"/>
        <w:gridCol w:w="705"/>
        <w:gridCol w:w="2943"/>
        <w:gridCol w:w="1224"/>
        <w:gridCol w:w="1224"/>
        <w:gridCol w:w="1224"/>
        <w:gridCol w:w="1354"/>
        <w:gridCol w:w="1354"/>
      </w:tblGrid>
      <w:tr w14:paraId="6662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0"/>
            <w:vAlign w:val="center"/>
          </w:tcPr>
          <w:p w14:paraId="0AEE98E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序号</w:t>
            </w:r>
          </w:p>
        </w:tc>
        <w:tc>
          <w:tcPr>
            <w:tcW w:w="1424" w:type="dxa"/>
            <w:noWrap w:val="0"/>
            <w:vAlign w:val="center"/>
          </w:tcPr>
          <w:p w14:paraId="09F3106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姓名</w:t>
            </w:r>
          </w:p>
        </w:tc>
        <w:tc>
          <w:tcPr>
            <w:tcW w:w="781" w:type="dxa"/>
            <w:noWrap w:val="0"/>
            <w:vAlign w:val="center"/>
          </w:tcPr>
          <w:p w14:paraId="1979A6A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性别</w:t>
            </w:r>
          </w:p>
        </w:tc>
        <w:tc>
          <w:tcPr>
            <w:tcW w:w="1185" w:type="dxa"/>
            <w:noWrap w:val="0"/>
            <w:vAlign w:val="center"/>
          </w:tcPr>
          <w:p w14:paraId="73ACA5A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出生年月</w:t>
            </w:r>
          </w:p>
        </w:tc>
        <w:tc>
          <w:tcPr>
            <w:tcW w:w="705" w:type="dxa"/>
            <w:noWrap w:val="0"/>
            <w:vAlign w:val="center"/>
          </w:tcPr>
          <w:p w14:paraId="7DBAE82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工作年限</w:t>
            </w:r>
          </w:p>
        </w:tc>
        <w:tc>
          <w:tcPr>
            <w:tcW w:w="2943" w:type="dxa"/>
            <w:noWrap w:val="0"/>
            <w:vAlign w:val="center"/>
          </w:tcPr>
          <w:p w14:paraId="41C8518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毕业院校</w:t>
            </w:r>
          </w:p>
        </w:tc>
        <w:tc>
          <w:tcPr>
            <w:tcW w:w="1224" w:type="dxa"/>
            <w:noWrap w:val="0"/>
            <w:vAlign w:val="center"/>
          </w:tcPr>
          <w:p w14:paraId="5B85CE6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专业</w:t>
            </w:r>
          </w:p>
        </w:tc>
        <w:tc>
          <w:tcPr>
            <w:tcW w:w="1224" w:type="dxa"/>
            <w:noWrap w:val="0"/>
            <w:vAlign w:val="center"/>
          </w:tcPr>
          <w:p w14:paraId="4309EC7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学历</w:t>
            </w:r>
          </w:p>
        </w:tc>
        <w:tc>
          <w:tcPr>
            <w:tcW w:w="1224" w:type="dxa"/>
            <w:noWrap w:val="0"/>
            <w:vAlign w:val="center"/>
          </w:tcPr>
          <w:p w14:paraId="34E4228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职称</w:t>
            </w:r>
          </w:p>
        </w:tc>
        <w:tc>
          <w:tcPr>
            <w:tcW w:w="1354" w:type="dxa"/>
            <w:noWrap w:val="0"/>
            <w:vAlign w:val="center"/>
          </w:tcPr>
          <w:p w14:paraId="4222744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执业资格</w:t>
            </w:r>
          </w:p>
        </w:tc>
        <w:tc>
          <w:tcPr>
            <w:tcW w:w="1354" w:type="dxa"/>
            <w:noWrap w:val="0"/>
            <w:vAlign w:val="center"/>
          </w:tcPr>
          <w:p w14:paraId="667868C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拟在本项目担任职务</w:t>
            </w:r>
          </w:p>
        </w:tc>
      </w:tr>
      <w:tr w14:paraId="665F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0"/>
            <w:vAlign w:val="center"/>
          </w:tcPr>
          <w:p w14:paraId="725A60D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424" w:type="dxa"/>
            <w:noWrap w:val="0"/>
            <w:vAlign w:val="center"/>
          </w:tcPr>
          <w:p w14:paraId="33AC224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81" w:type="dxa"/>
            <w:noWrap w:val="0"/>
            <w:vAlign w:val="center"/>
          </w:tcPr>
          <w:p w14:paraId="62CB541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85" w:type="dxa"/>
            <w:noWrap w:val="0"/>
            <w:vAlign w:val="center"/>
          </w:tcPr>
          <w:p w14:paraId="6A7EC76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05" w:type="dxa"/>
            <w:noWrap w:val="0"/>
            <w:vAlign w:val="center"/>
          </w:tcPr>
          <w:p w14:paraId="7A8423D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943" w:type="dxa"/>
            <w:noWrap w:val="0"/>
            <w:vAlign w:val="center"/>
          </w:tcPr>
          <w:p w14:paraId="65E113F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69B5D10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481B6F4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71FE729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316EB24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61BFCA0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58D05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0"/>
            <w:vAlign w:val="center"/>
          </w:tcPr>
          <w:p w14:paraId="5B8A650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424" w:type="dxa"/>
            <w:noWrap w:val="0"/>
            <w:vAlign w:val="center"/>
          </w:tcPr>
          <w:p w14:paraId="6830320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81" w:type="dxa"/>
            <w:noWrap w:val="0"/>
            <w:vAlign w:val="center"/>
          </w:tcPr>
          <w:p w14:paraId="4BF0E74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85" w:type="dxa"/>
            <w:noWrap w:val="0"/>
            <w:vAlign w:val="center"/>
          </w:tcPr>
          <w:p w14:paraId="7F798A0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05" w:type="dxa"/>
            <w:noWrap w:val="0"/>
            <w:vAlign w:val="center"/>
          </w:tcPr>
          <w:p w14:paraId="5F7F2E3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943" w:type="dxa"/>
            <w:noWrap w:val="0"/>
            <w:vAlign w:val="center"/>
          </w:tcPr>
          <w:p w14:paraId="1366168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30FFFA1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09CA243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12C5C36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7145A16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301D655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78F2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0"/>
            <w:vAlign w:val="center"/>
          </w:tcPr>
          <w:p w14:paraId="265827B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424" w:type="dxa"/>
            <w:noWrap w:val="0"/>
            <w:vAlign w:val="center"/>
          </w:tcPr>
          <w:p w14:paraId="79177E2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81" w:type="dxa"/>
            <w:noWrap w:val="0"/>
            <w:vAlign w:val="center"/>
          </w:tcPr>
          <w:p w14:paraId="151613B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85" w:type="dxa"/>
            <w:noWrap w:val="0"/>
            <w:vAlign w:val="center"/>
          </w:tcPr>
          <w:p w14:paraId="69E1F52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05" w:type="dxa"/>
            <w:noWrap w:val="0"/>
            <w:vAlign w:val="center"/>
          </w:tcPr>
          <w:p w14:paraId="4E53674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943" w:type="dxa"/>
            <w:noWrap w:val="0"/>
            <w:vAlign w:val="center"/>
          </w:tcPr>
          <w:p w14:paraId="5F1316A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73536DE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77FEDC2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66E98E3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4D61BDC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08C8421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7B472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0"/>
            <w:vAlign w:val="center"/>
          </w:tcPr>
          <w:p w14:paraId="25A531B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424" w:type="dxa"/>
            <w:noWrap w:val="0"/>
            <w:vAlign w:val="center"/>
          </w:tcPr>
          <w:p w14:paraId="225C9C7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81" w:type="dxa"/>
            <w:noWrap w:val="0"/>
            <w:vAlign w:val="center"/>
          </w:tcPr>
          <w:p w14:paraId="69A4250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85" w:type="dxa"/>
            <w:noWrap w:val="0"/>
            <w:vAlign w:val="center"/>
          </w:tcPr>
          <w:p w14:paraId="30FFBCE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05" w:type="dxa"/>
            <w:noWrap w:val="0"/>
            <w:vAlign w:val="center"/>
          </w:tcPr>
          <w:p w14:paraId="50B3554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943" w:type="dxa"/>
            <w:noWrap w:val="0"/>
            <w:vAlign w:val="center"/>
          </w:tcPr>
          <w:p w14:paraId="0EFE34F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54A1C0A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5187039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0A75D29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71D2A27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5E2717C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48C6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0"/>
            <w:vAlign w:val="center"/>
          </w:tcPr>
          <w:p w14:paraId="31AA580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424" w:type="dxa"/>
            <w:noWrap w:val="0"/>
            <w:vAlign w:val="center"/>
          </w:tcPr>
          <w:p w14:paraId="6F8B120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81" w:type="dxa"/>
            <w:noWrap w:val="0"/>
            <w:vAlign w:val="center"/>
          </w:tcPr>
          <w:p w14:paraId="463E4A0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85" w:type="dxa"/>
            <w:noWrap w:val="0"/>
            <w:vAlign w:val="center"/>
          </w:tcPr>
          <w:p w14:paraId="7B0C60F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05" w:type="dxa"/>
            <w:noWrap w:val="0"/>
            <w:vAlign w:val="center"/>
          </w:tcPr>
          <w:p w14:paraId="2730D74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943" w:type="dxa"/>
            <w:noWrap w:val="0"/>
            <w:vAlign w:val="center"/>
          </w:tcPr>
          <w:p w14:paraId="29F1D6B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0ACE024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4B407A9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3AEAB9E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4D94FFE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590F4C6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07915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0"/>
            <w:vAlign w:val="center"/>
          </w:tcPr>
          <w:p w14:paraId="7EB9F54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424" w:type="dxa"/>
            <w:noWrap w:val="0"/>
            <w:vAlign w:val="center"/>
          </w:tcPr>
          <w:p w14:paraId="01D48F0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81" w:type="dxa"/>
            <w:noWrap w:val="0"/>
            <w:vAlign w:val="center"/>
          </w:tcPr>
          <w:p w14:paraId="5404010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85" w:type="dxa"/>
            <w:noWrap w:val="0"/>
            <w:vAlign w:val="center"/>
          </w:tcPr>
          <w:p w14:paraId="2460DCC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05" w:type="dxa"/>
            <w:noWrap w:val="0"/>
            <w:vAlign w:val="center"/>
          </w:tcPr>
          <w:p w14:paraId="3B5A849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943" w:type="dxa"/>
            <w:noWrap w:val="0"/>
            <w:vAlign w:val="center"/>
          </w:tcPr>
          <w:p w14:paraId="12FFF16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5B79C52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2BC28AC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4E81277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3A50471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0AF02A3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39E9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0"/>
            <w:vAlign w:val="center"/>
          </w:tcPr>
          <w:p w14:paraId="3E3BC75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424" w:type="dxa"/>
            <w:noWrap w:val="0"/>
            <w:vAlign w:val="center"/>
          </w:tcPr>
          <w:p w14:paraId="062BA99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81" w:type="dxa"/>
            <w:noWrap w:val="0"/>
            <w:vAlign w:val="center"/>
          </w:tcPr>
          <w:p w14:paraId="7D0D8BC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85" w:type="dxa"/>
            <w:noWrap w:val="0"/>
            <w:vAlign w:val="center"/>
          </w:tcPr>
          <w:p w14:paraId="4709A57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05" w:type="dxa"/>
            <w:noWrap w:val="0"/>
            <w:vAlign w:val="center"/>
          </w:tcPr>
          <w:p w14:paraId="0BA5205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943" w:type="dxa"/>
            <w:noWrap w:val="0"/>
            <w:vAlign w:val="center"/>
          </w:tcPr>
          <w:p w14:paraId="4079B08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70F0D16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1B7AEFE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0CD0EEA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1BD4AF7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4844F15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76498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0"/>
            <w:vAlign w:val="center"/>
          </w:tcPr>
          <w:p w14:paraId="2CA7928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424" w:type="dxa"/>
            <w:noWrap w:val="0"/>
            <w:vAlign w:val="center"/>
          </w:tcPr>
          <w:p w14:paraId="7E36410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81" w:type="dxa"/>
            <w:noWrap w:val="0"/>
            <w:vAlign w:val="center"/>
          </w:tcPr>
          <w:p w14:paraId="0A97DCB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85" w:type="dxa"/>
            <w:noWrap w:val="0"/>
            <w:vAlign w:val="center"/>
          </w:tcPr>
          <w:p w14:paraId="19C3D10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05" w:type="dxa"/>
            <w:noWrap w:val="0"/>
            <w:vAlign w:val="center"/>
          </w:tcPr>
          <w:p w14:paraId="2B19ED3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943" w:type="dxa"/>
            <w:noWrap w:val="0"/>
            <w:vAlign w:val="center"/>
          </w:tcPr>
          <w:p w14:paraId="1C0142A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7FAA599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4635A8D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1B7C977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7B01897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2914287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371F6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0"/>
            <w:vAlign w:val="center"/>
          </w:tcPr>
          <w:p w14:paraId="1E6B2C0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424" w:type="dxa"/>
            <w:noWrap w:val="0"/>
            <w:vAlign w:val="center"/>
          </w:tcPr>
          <w:p w14:paraId="378F987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81" w:type="dxa"/>
            <w:noWrap w:val="0"/>
            <w:vAlign w:val="center"/>
          </w:tcPr>
          <w:p w14:paraId="341C391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85" w:type="dxa"/>
            <w:noWrap w:val="0"/>
            <w:vAlign w:val="center"/>
          </w:tcPr>
          <w:p w14:paraId="581FEE1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05" w:type="dxa"/>
            <w:noWrap w:val="0"/>
            <w:vAlign w:val="center"/>
          </w:tcPr>
          <w:p w14:paraId="1B7439F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943" w:type="dxa"/>
            <w:noWrap w:val="0"/>
            <w:vAlign w:val="center"/>
          </w:tcPr>
          <w:p w14:paraId="32FBD95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0021B87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66465D9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14D87D8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2E98697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61B99AC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1FAFA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0"/>
            <w:vAlign w:val="center"/>
          </w:tcPr>
          <w:p w14:paraId="4737A1F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424" w:type="dxa"/>
            <w:noWrap w:val="0"/>
            <w:vAlign w:val="center"/>
          </w:tcPr>
          <w:p w14:paraId="350502A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81" w:type="dxa"/>
            <w:noWrap w:val="0"/>
            <w:vAlign w:val="center"/>
          </w:tcPr>
          <w:p w14:paraId="227D310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85" w:type="dxa"/>
            <w:noWrap w:val="0"/>
            <w:vAlign w:val="center"/>
          </w:tcPr>
          <w:p w14:paraId="58698D5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705" w:type="dxa"/>
            <w:noWrap w:val="0"/>
            <w:vAlign w:val="center"/>
          </w:tcPr>
          <w:p w14:paraId="2026BD4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943" w:type="dxa"/>
            <w:noWrap w:val="0"/>
            <w:vAlign w:val="center"/>
          </w:tcPr>
          <w:p w14:paraId="62A6779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7BA85A7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28D48B7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224" w:type="dxa"/>
            <w:noWrap w:val="0"/>
            <w:vAlign w:val="center"/>
          </w:tcPr>
          <w:p w14:paraId="6A30EEA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21361C8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354" w:type="dxa"/>
            <w:noWrap w:val="0"/>
            <w:vAlign w:val="center"/>
          </w:tcPr>
          <w:p w14:paraId="3D15EEA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bl>
    <w:p w14:paraId="6A266357">
      <w:pPr>
        <w:spacing w:before="0" w:beforeLines="0"/>
        <w:ind w:left="422" w:leftChars="176" w:firstLine="0" w:firstLineChars="0"/>
        <w:rPr>
          <w:rFonts w:ascii="Times New Roman"/>
          <w:sz w:val="21"/>
          <w:szCs w:val="21"/>
        </w:rPr>
      </w:pPr>
      <w:r>
        <w:rPr>
          <w:rFonts w:ascii="Times New Roman"/>
          <w:sz w:val="21"/>
          <w:szCs w:val="21"/>
        </w:rPr>
        <w:t>注：</w:t>
      </w:r>
    </w:p>
    <w:p w14:paraId="30FF6B05">
      <w:pPr>
        <w:spacing w:before="0" w:beforeLines="0"/>
        <w:ind w:left="422" w:leftChars="176" w:firstLine="0" w:firstLineChars="0"/>
        <w:rPr>
          <w:rFonts w:ascii="Times New Roman"/>
          <w:sz w:val="21"/>
          <w:szCs w:val="21"/>
        </w:rPr>
      </w:pPr>
      <w:r>
        <w:rPr>
          <w:rFonts w:ascii="Times New Roman"/>
          <w:sz w:val="21"/>
          <w:szCs w:val="21"/>
        </w:rPr>
        <w:t>1、本表格只需要填写投标人拟投入本项目的项目负责人、组长。</w:t>
      </w:r>
    </w:p>
    <w:p w14:paraId="437552DF">
      <w:pPr>
        <w:spacing w:before="0" w:beforeLines="0"/>
        <w:ind w:left="422" w:leftChars="176" w:firstLine="0" w:firstLineChars="0"/>
        <w:rPr>
          <w:rFonts w:ascii="Times New Roman"/>
          <w:sz w:val="21"/>
          <w:szCs w:val="21"/>
        </w:rPr>
      </w:pPr>
      <w:r>
        <w:rPr>
          <w:rFonts w:ascii="Times New Roman"/>
          <w:sz w:val="21"/>
          <w:szCs w:val="21"/>
        </w:rPr>
        <w:t>2、本表可续页。</w:t>
      </w:r>
    </w:p>
    <w:p w14:paraId="77A90740">
      <w:pPr>
        <w:spacing w:before="0" w:beforeLines="0"/>
        <w:ind w:left="422" w:leftChars="176" w:firstLine="0" w:firstLineChars="0"/>
        <w:rPr>
          <w:rFonts w:ascii="Times New Roman"/>
          <w:sz w:val="21"/>
          <w:szCs w:val="21"/>
        </w:rPr>
      </w:pPr>
    </w:p>
    <w:p w14:paraId="26FEF8A3">
      <w:pPr>
        <w:ind w:firstLine="0" w:firstLineChars="0"/>
        <w:outlineLvl w:val="1"/>
        <w:rPr>
          <w:rFonts w:ascii="Times New Roman"/>
        </w:rPr>
      </w:pPr>
      <w:r>
        <w:rPr>
          <w:rFonts w:ascii="Times New Roman"/>
          <w:sz w:val="21"/>
          <w:szCs w:val="21"/>
        </w:rPr>
        <w:br w:type="page"/>
      </w:r>
      <w:bookmarkStart w:id="1353" w:name="_Toc31379"/>
      <w:bookmarkStart w:id="1354" w:name="_Toc193981348"/>
      <w:bookmarkStart w:id="1355" w:name="_Toc23065"/>
      <w:bookmarkStart w:id="1356" w:name="_Toc16244"/>
      <w:bookmarkStart w:id="1357" w:name="_Toc491534510"/>
      <w:r>
        <w:rPr>
          <w:rFonts w:hint="eastAsia" w:ascii="Times New Roman"/>
        </w:rPr>
        <w:t>C2</w:t>
      </w:r>
      <w:r>
        <w:rPr>
          <w:rFonts w:ascii="Times New Roman"/>
        </w:rPr>
        <w:t>拟派人员汇总表</w:t>
      </w:r>
      <w:bookmarkEnd w:id="1353"/>
      <w:bookmarkEnd w:id="1354"/>
      <w:bookmarkEnd w:id="1355"/>
      <w:bookmarkEnd w:id="1356"/>
      <w:bookmarkEnd w:id="1357"/>
    </w:p>
    <w:p w14:paraId="4EB58F15">
      <w:pPr>
        <w:pStyle w:val="99"/>
        <w:spacing w:before="312" w:beforeLines="100" w:after="312" w:afterLines="100"/>
        <w:rPr>
          <w:rFonts w:ascii="Times New Roman" w:hAnsi="Times New Roman" w:cs="Times New Roman"/>
        </w:rPr>
      </w:pPr>
      <w:bookmarkStart w:id="1358" w:name="_Toc384823629"/>
      <w:r>
        <w:rPr>
          <w:rFonts w:hint="eastAsia" w:ascii="Times New Roman" w:hAnsi="Times New Roman" w:cs="Times New Roman"/>
        </w:rPr>
        <w:t>二</w:t>
      </w:r>
      <w:r>
        <w:rPr>
          <w:rFonts w:ascii="Times New Roman" w:hAnsi="Times New Roman" w:cs="Times New Roman"/>
        </w:rPr>
        <w:t>、拟派人员汇总表</w:t>
      </w:r>
      <w:bookmarkEnd w:id="1358"/>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755"/>
        <w:gridCol w:w="785"/>
        <w:gridCol w:w="768"/>
        <w:gridCol w:w="1269"/>
        <w:gridCol w:w="2035"/>
        <w:gridCol w:w="3399"/>
        <w:gridCol w:w="1074"/>
        <w:gridCol w:w="1432"/>
        <w:gridCol w:w="717"/>
        <w:gridCol w:w="896"/>
      </w:tblGrid>
      <w:tr w14:paraId="1104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7AE5541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序号</w:t>
            </w:r>
          </w:p>
        </w:tc>
        <w:tc>
          <w:tcPr>
            <w:tcW w:w="755" w:type="dxa"/>
            <w:noWrap w:val="0"/>
            <w:vAlign w:val="center"/>
          </w:tcPr>
          <w:p w14:paraId="5ED1E22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姓名</w:t>
            </w:r>
          </w:p>
        </w:tc>
        <w:tc>
          <w:tcPr>
            <w:tcW w:w="785" w:type="dxa"/>
            <w:noWrap w:val="0"/>
            <w:vAlign w:val="center"/>
          </w:tcPr>
          <w:p w14:paraId="3AFF42E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性别</w:t>
            </w:r>
          </w:p>
        </w:tc>
        <w:tc>
          <w:tcPr>
            <w:tcW w:w="768" w:type="dxa"/>
            <w:noWrap w:val="0"/>
            <w:vAlign w:val="center"/>
          </w:tcPr>
          <w:p w14:paraId="1592BAD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年龄</w:t>
            </w:r>
          </w:p>
        </w:tc>
        <w:tc>
          <w:tcPr>
            <w:tcW w:w="1269" w:type="dxa"/>
            <w:noWrap w:val="0"/>
            <w:vAlign w:val="center"/>
          </w:tcPr>
          <w:p w14:paraId="2BD53E9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技术职称</w:t>
            </w:r>
          </w:p>
        </w:tc>
        <w:tc>
          <w:tcPr>
            <w:tcW w:w="2035" w:type="dxa"/>
            <w:noWrap w:val="0"/>
            <w:vAlign w:val="center"/>
          </w:tcPr>
          <w:p w14:paraId="494D597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拟担任的职务</w:t>
            </w:r>
          </w:p>
        </w:tc>
        <w:tc>
          <w:tcPr>
            <w:tcW w:w="3399" w:type="dxa"/>
            <w:noWrap w:val="0"/>
            <w:vAlign w:val="center"/>
          </w:tcPr>
          <w:p w14:paraId="04FF6CE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有何种证书 （编号）</w:t>
            </w:r>
          </w:p>
        </w:tc>
        <w:tc>
          <w:tcPr>
            <w:tcW w:w="1074" w:type="dxa"/>
            <w:noWrap w:val="0"/>
            <w:vAlign w:val="center"/>
          </w:tcPr>
          <w:p w14:paraId="7BEAB7A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学历</w:t>
            </w:r>
          </w:p>
        </w:tc>
        <w:tc>
          <w:tcPr>
            <w:tcW w:w="1432" w:type="dxa"/>
            <w:noWrap w:val="0"/>
            <w:vAlign w:val="center"/>
          </w:tcPr>
          <w:p w14:paraId="6F866CB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专业</w:t>
            </w:r>
          </w:p>
        </w:tc>
        <w:tc>
          <w:tcPr>
            <w:tcW w:w="717" w:type="dxa"/>
            <w:noWrap w:val="0"/>
            <w:vAlign w:val="center"/>
          </w:tcPr>
          <w:p w14:paraId="029BFC3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从业</w:t>
            </w:r>
          </w:p>
          <w:p w14:paraId="6F19A3B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年限</w:t>
            </w:r>
          </w:p>
        </w:tc>
        <w:tc>
          <w:tcPr>
            <w:tcW w:w="896" w:type="dxa"/>
            <w:noWrap w:val="0"/>
            <w:vAlign w:val="center"/>
          </w:tcPr>
          <w:p w14:paraId="36ECA30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备注</w:t>
            </w:r>
          </w:p>
        </w:tc>
      </w:tr>
      <w:tr w14:paraId="4A584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048456E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rPr>
            </w:pPr>
            <w:r>
              <w:rPr>
                <w:rFonts w:ascii="Times New Roman" w:hAnsi="Calibri" w:eastAsia="宋体" w:cs="Times New Roman"/>
              </w:rPr>
              <w:t>1</w:t>
            </w:r>
          </w:p>
        </w:tc>
        <w:tc>
          <w:tcPr>
            <w:tcW w:w="755" w:type="dxa"/>
            <w:noWrap w:val="0"/>
            <w:vAlign w:val="center"/>
          </w:tcPr>
          <w:p w14:paraId="3CD2A44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85" w:type="dxa"/>
            <w:noWrap w:val="0"/>
            <w:vAlign w:val="center"/>
          </w:tcPr>
          <w:p w14:paraId="4957FB5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68" w:type="dxa"/>
            <w:noWrap w:val="0"/>
            <w:vAlign w:val="center"/>
          </w:tcPr>
          <w:p w14:paraId="5E7FD8F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269" w:type="dxa"/>
            <w:noWrap w:val="0"/>
            <w:vAlign w:val="center"/>
          </w:tcPr>
          <w:p w14:paraId="5EEF3A3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2035" w:type="dxa"/>
            <w:noWrap w:val="0"/>
            <w:vAlign w:val="center"/>
          </w:tcPr>
          <w:p w14:paraId="04734AD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3399" w:type="dxa"/>
            <w:noWrap w:val="0"/>
            <w:vAlign w:val="center"/>
          </w:tcPr>
          <w:p w14:paraId="31CD74F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074" w:type="dxa"/>
            <w:noWrap w:val="0"/>
            <w:vAlign w:val="center"/>
          </w:tcPr>
          <w:p w14:paraId="1C9BD2D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432" w:type="dxa"/>
            <w:noWrap w:val="0"/>
            <w:vAlign w:val="center"/>
          </w:tcPr>
          <w:p w14:paraId="7D53CE4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17" w:type="dxa"/>
            <w:noWrap w:val="0"/>
            <w:vAlign w:val="center"/>
          </w:tcPr>
          <w:p w14:paraId="639ABF4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896" w:type="dxa"/>
            <w:noWrap w:val="0"/>
            <w:vAlign w:val="center"/>
          </w:tcPr>
          <w:p w14:paraId="1659B8C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r>
      <w:tr w14:paraId="6133A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51DCB5F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rPr>
            </w:pPr>
            <w:r>
              <w:rPr>
                <w:rFonts w:ascii="Times New Roman" w:hAnsi="Calibri" w:eastAsia="宋体" w:cs="Times New Roman"/>
              </w:rPr>
              <w:t>2</w:t>
            </w:r>
          </w:p>
        </w:tc>
        <w:tc>
          <w:tcPr>
            <w:tcW w:w="755" w:type="dxa"/>
            <w:noWrap w:val="0"/>
            <w:vAlign w:val="center"/>
          </w:tcPr>
          <w:p w14:paraId="2336C53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85" w:type="dxa"/>
            <w:noWrap w:val="0"/>
            <w:vAlign w:val="center"/>
          </w:tcPr>
          <w:p w14:paraId="02C6EEE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68" w:type="dxa"/>
            <w:noWrap w:val="0"/>
            <w:vAlign w:val="center"/>
          </w:tcPr>
          <w:p w14:paraId="2C595B2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269" w:type="dxa"/>
            <w:noWrap w:val="0"/>
            <w:vAlign w:val="center"/>
          </w:tcPr>
          <w:p w14:paraId="4D99A88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2035" w:type="dxa"/>
            <w:noWrap w:val="0"/>
            <w:vAlign w:val="center"/>
          </w:tcPr>
          <w:p w14:paraId="18E2793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3399" w:type="dxa"/>
            <w:noWrap w:val="0"/>
            <w:vAlign w:val="center"/>
          </w:tcPr>
          <w:p w14:paraId="7829B6D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074" w:type="dxa"/>
            <w:noWrap w:val="0"/>
            <w:vAlign w:val="center"/>
          </w:tcPr>
          <w:p w14:paraId="22BD0DE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432" w:type="dxa"/>
            <w:noWrap w:val="0"/>
            <w:vAlign w:val="center"/>
          </w:tcPr>
          <w:p w14:paraId="2071410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17" w:type="dxa"/>
            <w:noWrap w:val="0"/>
            <w:vAlign w:val="center"/>
          </w:tcPr>
          <w:p w14:paraId="5A837B1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896" w:type="dxa"/>
            <w:noWrap w:val="0"/>
            <w:vAlign w:val="center"/>
          </w:tcPr>
          <w:p w14:paraId="636E54F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r>
      <w:tr w14:paraId="44530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243CF4B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rPr>
            </w:pPr>
            <w:r>
              <w:rPr>
                <w:rFonts w:ascii="Times New Roman" w:hAnsi="Calibri" w:eastAsia="宋体" w:cs="Times New Roman"/>
              </w:rPr>
              <w:t>3</w:t>
            </w:r>
          </w:p>
        </w:tc>
        <w:tc>
          <w:tcPr>
            <w:tcW w:w="755" w:type="dxa"/>
            <w:noWrap w:val="0"/>
            <w:vAlign w:val="center"/>
          </w:tcPr>
          <w:p w14:paraId="223A56F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85" w:type="dxa"/>
            <w:noWrap w:val="0"/>
            <w:vAlign w:val="center"/>
          </w:tcPr>
          <w:p w14:paraId="435555C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68" w:type="dxa"/>
            <w:noWrap w:val="0"/>
            <w:vAlign w:val="center"/>
          </w:tcPr>
          <w:p w14:paraId="1D5D70C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269" w:type="dxa"/>
            <w:noWrap w:val="0"/>
            <w:vAlign w:val="center"/>
          </w:tcPr>
          <w:p w14:paraId="523A2CA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2035" w:type="dxa"/>
            <w:noWrap w:val="0"/>
            <w:vAlign w:val="center"/>
          </w:tcPr>
          <w:p w14:paraId="57F3A44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3399" w:type="dxa"/>
            <w:noWrap w:val="0"/>
            <w:vAlign w:val="center"/>
          </w:tcPr>
          <w:p w14:paraId="465BC7E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074" w:type="dxa"/>
            <w:noWrap w:val="0"/>
            <w:vAlign w:val="center"/>
          </w:tcPr>
          <w:p w14:paraId="172EE05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432" w:type="dxa"/>
            <w:noWrap w:val="0"/>
            <w:vAlign w:val="center"/>
          </w:tcPr>
          <w:p w14:paraId="7ABEAFA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17" w:type="dxa"/>
            <w:noWrap w:val="0"/>
            <w:vAlign w:val="center"/>
          </w:tcPr>
          <w:p w14:paraId="0E57E86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896" w:type="dxa"/>
            <w:noWrap w:val="0"/>
            <w:vAlign w:val="center"/>
          </w:tcPr>
          <w:p w14:paraId="58EACF7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r>
      <w:tr w14:paraId="36743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67BB3CB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rPr>
            </w:pPr>
            <w:r>
              <w:rPr>
                <w:rFonts w:ascii="Times New Roman" w:hAnsi="Calibri" w:eastAsia="宋体" w:cs="Times New Roman"/>
              </w:rPr>
              <w:t>4</w:t>
            </w:r>
          </w:p>
        </w:tc>
        <w:tc>
          <w:tcPr>
            <w:tcW w:w="755" w:type="dxa"/>
            <w:noWrap w:val="0"/>
            <w:vAlign w:val="center"/>
          </w:tcPr>
          <w:p w14:paraId="17C14A5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85" w:type="dxa"/>
            <w:noWrap w:val="0"/>
            <w:vAlign w:val="center"/>
          </w:tcPr>
          <w:p w14:paraId="7D825AF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68" w:type="dxa"/>
            <w:noWrap w:val="0"/>
            <w:vAlign w:val="center"/>
          </w:tcPr>
          <w:p w14:paraId="56F958A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269" w:type="dxa"/>
            <w:noWrap w:val="0"/>
            <w:vAlign w:val="center"/>
          </w:tcPr>
          <w:p w14:paraId="77B0A8A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2035" w:type="dxa"/>
            <w:noWrap w:val="0"/>
            <w:vAlign w:val="center"/>
          </w:tcPr>
          <w:p w14:paraId="608E34C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3399" w:type="dxa"/>
            <w:noWrap w:val="0"/>
            <w:vAlign w:val="center"/>
          </w:tcPr>
          <w:p w14:paraId="4132626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074" w:type="dxa"/>
            <w:noWrap w:val="0"/>
            <w:vAlign w:val="center"/>
          </w:tcPr>
          <w:p w14:paraId="33FD78C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432" w:type="dxa"/>
            <w:noWrap w:val="0"/>
            <w:vAlign w:val="center"/>
          </w:tcPr>
          <w:p w14:paraId="28B6332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17" w:type="dxa"/>
            <w:noWrap w:val="0"/>
            <w:vAlign w:val="center"/>
          </w:tcPr>
          <w:p w14:paraId="1B8BD5F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896" w:type="dxa"/>
            <w:noWrap w:val="0"/>
            <w:vAlign w:val="center"/>
          </w:tcPr>
          <w:p w14:paraId="4B31D90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r>
      <w:tr w14:paraId="562EC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6885AF7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rPr>
            </w:pPr>
            <w:r>
              <w:rPr>
                <w:rFonts w:ascii="Times New Roman" w:hAnsi="Calibri" w:eastAsia="宋体" w:cs="Times New Roman"/>
              </w:rPr>
              <w:t>5</w:t>
            </w:r>
          </w:p>
        </w:tc>
        <w:tc>
          <w:tcPr>
            <w:tcW w:w="755" w:type="dxa"/>
            <w:noWrap w:val="0"/>
            <w:vAlign w:val="center"/>
          </w:tcPr>
          <w:p w14:paraId="7AE1140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85" w:type="dxa"/>
            <w:noWrap w:val="0"/>
            <w:vAlign w:val="center"/>
          </w:tcPr>
          <w:p w14:paraId="56D47DF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68" w:type="dxa"/>
            <w:noWrap w:val="0"/>
            <w:vAlign w:val="center"/>
          </w:tcPr>
          <w:p w14:paraId="4811FC3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269" w:type="dxa"/>
            <w:noWrap w:val="0"/>
            <w:vAlign w:val="center"/>
          </w:tcPr>
          <w:p w14:paraId="321964A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2035" w:type="dxa"/>
            <w:noWrap w:val="0"/>
            <w:vAlign w:val="center"/>
          </w:tcPr>
          <w:p w14:paraId="087DFB8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3399" w:type="dxa"/>
            <w:noWrap w:val="0"/>
            <w:vAlign w:val="center"/>
          </w:tcPr>
          <w:p w14:paraId="38FE640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074" w:type="dxa"/>
            <w:noWrap w:val="0"/>
            <w:vAlign w:val="center"/>
          </w:tcPr>
          <w:p w14:paraId="22B6C59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432" w:type="dxa"/>
            <w:noWrap w:val="0"/>
            <w:vAlign w:val="center"/>
          </w:tcPr>
          <w:p w14:paraId="114FC6C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17" w:type="dxa"/>
            <w:noWrap w:val="0"/>
            <w:vAlign w:val="center"/>
          </w:tcPr>
          <w:p w14:paraId="0E55A5B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896" w:type="dxa"/>
            <w:noWrap w:val="0"/>
            <w:vAlign w:val="center"/>
          </w:tcPr>
          <w:p w14:paraId="2FA7CE9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r>
      <w:tr w14:paraId="6592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3A29A66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rPr>
            </w:pPr>
            <w:r>
              <w:rPr>
                <w:rFonts w:ascii="Times New Roman" w:hAnsi="Calibri" w:eastAsia="宋体" w:cs="Times New Roman"/>
              </w:rPr>
              <w:t>6</w:t>
            </w:r>
          </w:p>
        </w:tc>
        <w:tc>
          <w:tcPr>
            <w:tcW w:w="755" w:type="dxa"/>
            <w:noWrap w:val="0"/>
            <w:vAlign w:val="center"/>
          </w:tcPr>
          <w:p w14:paraId="22104A5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85" w:type="dxa"/>
            <w:noWrap w:val="0"/>
            <w:vAlign w:val="center"/>
          </w:tcPr>
          <w:p w14:paraId="27F477A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68" w:type="dxa"/>
            <w:noWrap w:val="0"/>
            <w:vAlign w:val="center"/>
          </w:tcPr>
          <w:p w14:paraId="5D829BA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269" w:type="dxa"/>
            <w:noWrap w:val="0"/>
            <w:vAlign w:val="center"/>
          </w:tcPr>
          <w:p w14:paraId="57F61B4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2035" w:type="dxa"/>
            <w:noWrap w:val="0"/>
            <w:vAlign w:val="center"/>
          </w:tcPr>
          <w:p w14:paraId="6E0A05B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3399" w:type="dxa"/>
            <w:noWrap w:val="0"/>
            <w:vAlign w:val="center"/>
          </w:tcPr>
          <w:p w14:paraId="6685D0D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074" w:type="dxa"/>
            <w:noWrap w:val="0"/>
            <w:vAlign w:val="center"/>
          </w:tcPr>
          <w:p w14:paraId="3582877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432" w:type="dxa"/>
            <w:noWrap w:val="0"/>
            <w:vAlign w:val="center"/>
          </w:tcPr>
          <w:p w14:paraId="699E80F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17" w:type="dxa"/>
            <w:noWrap w:val="0"/>
            <w:vAlign w:val="center"/>
          </w:tcPr>
          <w:p w14:paraId="2AE51FF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896" w:type="dxa"/>
            <w:noWrap w:val="0"/>
            <w:vAlign w:val="center"/>
          </w:tcPr>
          <w:p w14:paraId="492F9C2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r>
      <w:tr w14:paraId="5A38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2959DE5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rPr>
            </w:pPr>
            <w:r>
              <w:rPr>
                <w:rFonts w:ascii="Times New Roman" w:hAnsi="Calibri" w:eastAsia="宋体" w:cs="Times New Roman"/>
              </w:rPr>
              <w:t>7</w:t>
            </w:r>
          </w:p>
        </w:tc>
        <w:tc>
          <w:tcPr>
            <w:tcW w:w="755" w:type="dxa"/>
            <w:noWrap w:val="0"/>
            <w:vAlign w:val="center"/>
          </w:tcPr>
          <w:p w14:paraId="56371F2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85" w:type="dxa"/>
            <w:noWrap w:val="0"/>
            <w:vAlign w:val="center"/>
          </w:tcPr>
          <w:p w14:paraId="377DF0F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68" w:type="dxa"/>
            <w:noWrap w:val="0"/>
            <w:vAlign w:val="center"/>
          </w:tcPr>
          <w:p w14:paraId="3AE2189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269" w:type="dxa"/>
            <w:noWrap w:val="0"/>
            <w:vAlign w:val="center"/>
          </w:tcPr>
          <w:p w14:paraId="182E215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2035" w:type="dxa"/>
            <w:noWrap w:val="0"/>
            <w:vAlign w:val="center"/>
          </w:tcPr>
          <w:p w14:paraId="51D1E08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3399" w:type="dxa"/>
            <w:noWrap w:val="0"/>
            <w:vAlign w:val="center"/>
          </w:tcPr>
          <w:p w14:paraId="6C1D625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074" w:type="dxa"/>
            <w:noWrap w:val="0"/>
            <w:vAlign w:val="center"/>
          </w:tcPr>
          <w:p w14:paraId="5EB46DD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432" w:type="dxa"/>
            <w:noWrap w:val="0"/>
            <w:vAlign w:val="center"/>
          </w:tcPr>
          <w:p w14:paraId="47E46E5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17" w:type="dxa"/>
            <w:noWrap w:val="0"/>
            <w:vAlign w:val="center"/>
          </w:tcPr>
          <w:p w14:paraId="20B9750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896" w:type="dxa"/>
            <w:noWrap w:val="0"/>
            <w:vAlign w:val="center"/>
          </w:tcPr>
          <w:p w14:paraId="680A92F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r>
      <w:tr w14:paraId="5083B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2DB6F07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rPr>
            </w:pPr>
            <w:r>
              <w:rPr>
                <w:rFonts w:ascii="Times New Roman" w:hAnsi="Calibri" w:eastAsia="宋体" w:cs="Times New Roman"/>
              </w:rPr>
              <w:t>8</w:t>
            </w:r>
          </w:p>
        </w:tc>
        <w:tc>
          <w:tcPr>
            <w:tcW w:w="755" w:type="dxa"/>
            <w:noWrap w:val="0"/>
            <w:vAlign w:val="center"/>
          </w:tcPr>
          <w:p w14:paraId="7ED4010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85" w:type="dxa"/>
            <w:noWrap w:val="0"/>
            <w:vAlign w:val="center"/>
          </w:tcPr>
          <w:p w14:paraId="6BB0FBE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68" w:type="dxa"/>
            <w:noWrap w:val="0"/>
            <w:vAlign w:val="center"/>
          </w:tcPr>
          <w:p w14:paraId="1EE0934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269" w:type="dxa"/>
            <w:noWrap w:val="0"/>
            <w:vAlign w:val="center"/>
          </w:tcPr>
          <w:p w14:paraId="5FF79B4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2035" w:type="dxa"/>
            <w:noWrap w:val="0"/>
            <w:vAlign w:val="center"/>
          </w:tcPr>
          <w:p w14:paraId="764B1BA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3399" w:type="dxa"/>
            <w:noWrap w:val="0"/>
            <w:vAlign w:val="center"/>
          </w:tcPr>
          <w:p w14:paraId="38CE139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074" w:type="dxa"/>
            <w:noWrap w:val="0"/>
            <w:vAlign w:val="center"/>
          </w:tcPr>
          <w:p w14:paraId="18506BD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432" w:type="dxa"/>
            <w:noWrap w:val="0"/>
            <w:vAlign w:val="center"/>
          </w:tcPr>
          <w:p w14:paraId="049426F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17" w:type="dxa"/>
            <w:noWrap w:val="0"/>
            <w:vAlign w:val="center"/>
          </w:tcPr>
          <w:p w14:paraId="762A640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896" w:type="dxa"/>
            <w:noWrap w:val="0"/>
            <w:vAlign w:val="center"/>
          </w:tcPr>
          <w:p w14:paraId="14F57C4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r>
      <w:tr w14:paraId="5754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1D2C343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rPr>
            </w:pPr>
            <w:r>
              <w:rPr>
                <w:rFonts w:ascii="Times New Roman" w:hAnsi="Calibri" w:eastAsia="宋体" w:cs="Times New Roman"/>
              </w:rPr>
              <w:t>9</w:t>
            </w:r>
          </w:p>
        </w:tc>
        <w:tc>
          <w:tcPr>
            <w:tcW w:w="755" w:type="dxa"/>
            <w:noWrap w:val="0"/>
            <w:vAlign w:val="center"/>
          </w:tcPr>
          <w:p w14:paraId="79A70FE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85" w:type="dxa"/>
            <w:noWrap w:val="0"/>
            <w:vAlign w:val="center"/>
          </w:tcPr>
          <w:p w14:paraId="0C90E29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68" w:type="dxa"/>
            <w:noWrap w:val="0"/>
            <w:vAlign w:val="center"/>
          </w:tcPr>
          <w:p w14:paraId="76E4DB9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269" w:type="dxa"/>
            <w:noWrap w:val="0"/>
            <w:vAlign w:val="center"/>
          </w:tcPr>
          <w:p w14:paraId="4614773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2035" w:type="dxa"/>
            <w:noWrap w:val="0"/>
            <w:vAlign w:val="center"/>
          </w:tcPr>
          <w:p w14:paraId="30252EF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3399" w:type="dxa"/>
            <w:noWrap w:val="0"/>
            <w:vAlign w:val="center"/>
          </w:tcPr>
          <w:p w14:paraId="6B2A50E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074" w:type="dxa"/>
            <w:noWrap w:val="0"/>
            <w:vAlign w:val="center"/>
          </w:tcPr>
          <w:p w14:paraId="077A1CE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432" w:type="dxa"/>
            <w:noWrap w:val="0"/>
            <w:vAlign w:val="center"/>
          </w:tcPr>
          <w:p w14:paraId="6263806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17" w:type="dxa"/>
            <w:noWrap w:val="0"/>
            <w:vAlign w:val="center"/>
          </w:tcPr>
          <w:p w14:paraId="2E13F30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896" w:type="dxa"/>
            <w:noWrap w:val="0"/>
            <w:vAlign w:val="center"/>
          </w:tcPr>
          <w:p w14:paraId="3717B0A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r>
      <w:tr w14:paraId="1BCDD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68DF2AD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rPr>
            </w:pPr>
            <w:r>
              <w:rPr>
                <w:rFonts w:ascii="Times New Roman" w:hAnsi="Calibri" w:eastAsia="宋体" w:cs="Times New Roman"/>
              </w:rPr>
              <w:t>10</w:t>
            </w:r>
          </w:p>
        </w:tc>
        <w:tc>
          <w:tcPr>
            <w:tcW w:w="755" w:type="dxa"/>
            <w:noWrap w:val="0"/>
            <w:vAlign w:val="center"/>
          </w:tcPr>
          <w:p w14:paraId="76A1319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85" w:type="dxa"/>
            <w:noWrap w:val="0"/>
            <w:vAlign w:val="center"/>
          </w:tcPr>
          <w:p w14:paraId="4742F50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68" w:type="dxa"/>
            <w:noWrap w:val="0"/>
            <w:vAlign w:val="center"/>
          </w:tcPr>
          <w:p w14:paraId="5DCCA15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269" w:type="dxa"/>
            <w:noWrap w:val="0"/>
            <w:vAlign w:val="center"/>
          </w:tcPr>
          <w:p w14:paraId="6B80FF6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2035" w:type="dxa"/>
            <w:noWrap w:val="0"/>
            <w:vAlign w:val="center"/>
          </w:tcPr>
          <w:p w14:paraId="0F0ADD3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3399" w:type="dxa"/>
            <w:noWrap w:val="0"/>
            <w:vAlign w:val="center"/>
          </w:tcPr>
          <w:p w14:paraId="146EDF8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074" w:type="dxa"/>
            <w:noWrap w:val="0"/>
            <w:vAlign w:val="center"/>
          </w:tcPr>
          <w:p w14:paraId="4512441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432" w:type="dxa"/>
            <w:noWrap w:val="0"/>
            <w:vAlign w:val="center"/>
          </w:tcPr>
          <w:p w14:paraId="3954A74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17" w:type="dxa"/>
            <w:noWrap w:val="0"/>
            <w:vAlign w:val="center"/>
          </w:tcPr>
          <w:p w14:paraId="4535C9C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896" w:type="dxa"/>
            <w:noWrap w:val="0"/>
            <w:vAlign w:val="center"/>
          </w:tcPr>
          <w:p w14:paraId="24E5A7D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r>
      <w:tr w14:paraId="6D88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noWrap w:val="0"/>
            <w:vAlign w:val="center"/>
          </w:tcPr>
          <w:p w14:paraId="662EF5A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rPr>
            </w:pPr>
            <w:r>
              <w:rPr>
                <w:rFonts w:ascii="Times New Roman" w:hAnsi="Calibri" w:eastAsia="宋体" w:cs="Times New Roman"/>
                <w:sz w:val="21"/>
                <w:szCs w:val="21"/>
              </w:rPr>
              <w:t>…</w:t>
            </w:r>
          </w:p>
        </w:tc>
        <w:tc>
          <w:tcPr>
            <w:tcW w:w="755" w:type="dxa"/>
            <w:noWrap w:val="0"/>
            <w:vAlign w:val="center"/>
          </w:tcPr>
          <w:p w14:paraId="30FC04B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85" w:type="dxa"/>
            <w:noWrap w:val="0"/>
            <w:vAlign w:val="center"/>
          </w:tcPr>
          <w:p w14:paraId="3F7ADE0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68" w:type="dxa"/>
            <w:noWrap w:val="0"/>
            <w:vAlign w:val="center"/>
          </w:tcPr>
          <w:p w14:paraId="4EC503D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269" w:type="dxa"/>
            <w:noWrap w:val="0"/>
            <w:vAlign w:val="center"/>
          </w:tcPr>
          <w:p w14:paraId="5EC2FDF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2035" w:type="dxa"/>
            <w:noWrap w:val="0"/>
            <w:vAlign w:val="center"/>
          </w:tcPr>
          <w:p w14:paraId="788B507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3399" w:type="dxa"/>
            <w:noWrap w:val="0"/>
            <w:vAlign w:val="center"/>
          </w:tcPr>
          <w:p w14:paraId="4A12776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074" w:type="dxa"/>
            <w:noWrap w:val="0"/>
            <w:vAlign w:val="center"/>
          </w:tcPr>
          <w:p w14:paraId="7325D32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1432" w:type="dxa"/>
            <w:noWrap w:val="0"/>
            <w:vAlign w:val="center"/>
          </w:tcPr>
          <w:p w14:paraId="4F40B89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717" w:type="dxa"/>
            <w:noWrap w:val="0"/>
            <w:vAlign w:val="center"/>
          </w:tcPr>
          <w:p w14:paraId="46A0069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c>
          <w:tcPr>
            <w:tcW w:w="896" w:type="dxa"/>
            <w:noWrap w:val="0"/>
            <w:vAlign w:val="center"/>
          </w:tcPr>
          <w:p w14:paraId="22B6021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Cs w:val="21"/>
              </w:rPr>
            </w:pPr>
          </w:p>
        </w:tc>
      </w:tr>
    </w:tbl>
    <w:p w14:paraId="381E66AD">
      <w:pPr>
        <w:spacing w:before="0" w:beforeLines="0"/>
        <w:ind w:firstLine="0" w:firstLineChars="0"/>
        <w:rPr>
          <w:rFonts w:ascii="Times New Roman"/>
          <w:sz w:val="21"/>
          <w:szCs w:val="21"/>
        </w:rPr>
      </w:pPr>
      <w:r>
        <w:rPr>
          <w:rFonts w:ascii="Times New Roman"/>
          <w:sz w:val="21"/>
          <w:szCs w:val="21"/>
        </w:rPr>
        <w:t>注：</w:t>
      </w:r>
    </w:p>
    <w:p w14:paraId="3BE8DE4E">
      <w:pPr>
        <w:spacing w:before="0" w:beforeLines="0"/>
        <w:ind w:firstLine="0" w:firstLineChars="0"/>
        <w:rPr>
          <w:rFonts w:ascii="Times New Roman"/>
          <w:sz w:val="21"/>
          <w:szCs w:val="21"/>
        </w:rPr>
      </w:pPr>
      <w:r>
        <w:rPr>
          <w:rFonts w:ascii="Times New Roman"/>
          <w:sz w:val="21"/>
          <w:szCs w:val="21"/>
        </w:rPr>
        <w:t xml:space="preserve">1、按照本项目造价人员组织机构图所填人员填写此表格。 </w:t>
      </w:r>
    </w:p>
    <w:p w14:paraId="3FA49CE6">
      <w:pPr>
        <w:spacing w:before="0" w:beforeLines="0"/>
        <w:ind w:firstLine="0" w:firstLineChars="0"/>
        <w:rPr>
          <w:rFonts w:ascii="Times New Roman"/>
          <w:sz w:val="21"/>
          <w:szCs w:val="21"/>
        </w:rPr>
      </w:pPr>
      <w:r>
        <w:rPr>
          <w:rFonts w:ascii="Times New Roman"/>
          <w:sz w:val="21"/>
          <w:szCs w:val="21"/>
        </w:rPr>
        <w:t>2、本表可续页。</w:t>
      </w:r>
    </w:p>
    <w:p w14:paraId="1B296AA2">
      <w:pPr>
        <w:spacing w:before="0" w:beforeLines="0"/>
        <w:ind w:firstLine="420"/>
        <w:rPr>
          <w:rFonts w:ascii="Times New Roman"/>
          <w:sz w:val="21"/>
          <w:szCs w:val="21"/>
        </w:rPr>
        <w:sectPr>
          <w:pgSz w:w="16838" w:h="11906" w:orient="landscape"/>
          <w:pgMar w:top="1440" w:right="1800" w:bottom="1440" w:left="1800" w:header="737" w:footer="737" w:gutter="0"/>
          <w:cols w:space="720" w:num="1"/>
          <w:docGrid w:type="linesAndChars" w:linePitch="312" w:charSpace="0"/>
        </w:sectPr>
      </w:pPr>
    </w:p>
    <w:p w14:paraId="7822B419">
      <w:pPr>
        <w:ind w:firstLine="0" w:firstLineChars="0"/>
        <w:outlineLvl w:val="1"/>
        <w:rPr>
          <w:rFonts w:ascii="Times New Roman"/>
        </w:rPr>
      </w:pPr>
      <w:bookmarkStart w:id="1359" w:name="_Toc193981349"/>
      <w:bookmarkStart w:id="1360" w:name="_Toc27578"/>
      <w:bookmarkStart w:id="1361" w:name="_Toc31765"/>
      <w:bookmarkStart w:id="1362" w:name="_Toc10245"/>
      <w:bookmarkStart w:id="1363" w:name="_Toc491534511"/>
      <w:r>
        <w:rPr>
          <w:rFonts w:hint="eastAsia" w:ascii="Times New Roman"/>
        </w:rPr>
        <w:t>C3</w:t>
      </w:r>
      <w:r>
        <w:rPr>
          <w:rFonts w:ascii="Times New Roman"/>
        </w:rPr>
        <w:t>拟投入本项目人员简历表</w:t>
      </w:r>
      <w:bookmarkEnd w:id="1359"/>
      <w:bookmarkEnd w:id="1360"/>
      <w:bookmarkEnd w:id="1361"/>
      <w:bookmarkEnd w:id="1362"/>
      <w:bookmarkEnd w:id="1363"/>
    </w:p>
    <w:p w14:paraId="10C8B5CA">
      <w:pPr>
        <w:pStyle w:val="99"/>
        <w:spacing w:before="312" w:beforeLines="100" w:after="312" w:afterLines="100"/>
        <w:rPr>
          <w:rFonts w:ascii="Times New Roman" w:hAnsi="Times New Roman" w:cs="Times New Roman"/>
        </w:rPr>
      </w:pPr>
      <w:bookmarkStart w:id="1364" w:name="_Toc384823630"/>
      <w:r>
        <w:rPr>
          <w:rFonts w:hint="eastAsia" w:ascii="Times New Roman" w:hAnsi="Times New Roman" w:cs="Times New Roman"/>
        </w:rPr>
        <w:t>三</w:t>
      </w:r>
      <w:r>
        <w:rPr>
          <w:rFonts w:ascii="Times New Roman" w:hAnsi="Times New Roman" w:cs="Times New Roman"/>
        </w:rPr>
        <w:t>、拟投入本项目人员简历表</w:t>
      </w:r>
      <w:bookmarkEnd w:id="1364"/>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657"/>
        <w:gridCol w:w="1136"/>
        <w:gridCol w:w="1032"/>
        <w:gridCol w:w="1145"/>
        <w:gridCol w:w="1129"/>
        <w:gridCol w:w="2504"/>
      </w:tblGrid>
      <w:tr w14:paraId="796BB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9" w:type="dxa"/>
            <w:noWrap w:val="0"/>
            <w:vAlign w:val="center"/>
          </w:tcPr>
          <w:p w14:paraId="1D072A8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姓    名</w:t>
            </w:r>
          </w:p>
        </w:tc>
        <w:tc>
          <w:tcPr>
            <w:tcW w:w="1793" w:type="dxa"/>
            <w:gridSpan w:val="2"/>
            <w:noWrap w:val="0"/>
            <w:vAlign w:val="center"/>
          </w:tcPr>
          <w:p w14:paraId="7031B0E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032" w:type="dxa"/>
            <w:noWrap w:val="0"/>
            <w:vAlign w:val="center"/>
          </w:tcPr>
          <w:p w14:paraId="04CB7AA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性别</w:t>
            </w:r>
          </w:p>
        </w:tc>
        <w:tc>
          <w:tcPr>
            <w:tcW w:w="1145" w:type="dxa"/>
            <w:noWrap w:val="0"/>
            <w:vAlign w:val="center"/>
          </w:tcPr>
          <w:p w14:paraId="27CEE3B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29" w:type="dxa"/>
            <w:noWrap w:val="0"/>
            <w:vAlign w:val="center"/>
          </w:tcPr>
          <w:p w14:paraId="7BAAFA3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出生日期</w:t>
            </w:r>
          </w:p>
        </w:tc>
        <w:tc>
          <w:tcPr>
            <w:tcW w:w="2504" w:type="dxa"/>
            <w:noWrap w:val="0"/>
            <w:vAlign w:val="center"/>
          </w:tcPr>
          <w:p w14:paraId="0560EFD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年  月  日</w:t>
            </w:r>
          </w:p>
        </w:tc>
      </w:tr>
      <w:tr w14:paraId="3C6F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9" w:type="dxa"/>
            <w:noWrap w:val="0"/>
            <w:vAlign w:val="center"/>
          </w:tcPr>
          <w:p w14:paraId="6236FCA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现任职务</w:t>
            </w:r>
          </w:p>
        </w:tc>
        <w:tc>
          <w:tcPr>
            <w:tcW w:w="2825" w:type="dxa"/>
            <w:gridSpan w:val="3"/>
            <w:noWrap w:val="0"/>
            <w:vAlign w:val="center"/>
          </w:tcPr>
          <w:p w14:paraId="7C23254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01C6BC64">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拟在本项目中的职务</w:t>
            </w:r>
          </w:p>
        </w:tc>
        <w:tc>
          <w:tcPr>
            <w:tcW w:w="2504" w:type="dxa"/>
            <w:noWrap w:val="0"/>
            <w:vAlign w:val="center"/>
          </w:tcPr>
          <w:p w14:paraId="4E8B8D2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21238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9" w:type="dxa"/>
            <w:noWrap w:val="0"/>
            <w:vAlign w:val="center"/>
          </w:tcPr>
          <w:p w14:paraId="1C671AD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毕业院校</w:t>
            </w:r>
          </w:p>
          <w:p w14:paraId="181B9A2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及专业</w:t>
            </w:r>
          </w:p>
        </w:tc>
        <w:tc>
          <w:tcPr>
            <w:tcW w:w="3970" w:type="dxa"/>
            <w:gridSpan w:val="4"/>
            <w:noWrap w:val="0"/>
            <w:vAlign w:val="center"/>
          </w:tcPr>
          <w:p w14:paraId="23CEEE9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1129" w:type="dxa"/>
            <w:noWrap w:val="0"/>
            <w:vAlign w:val="center"/>
          </w:tcPr>
          <w:p w14:paraId="61C9957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毕业时间</w:t>
            </w:r>
          </w:p>
        </w:tc>
        <w:tc>
          <w:tcPr>
            <w:tcW w:w="2504" w:type="dxa"/>
            <w:noWrap w:val="0"/>
            <w:vAlign w:val="center"/>
          </w:tcPr>
          <w:p w14:paraId="0ECA2D3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年  月  日</w:t>
            </w:r>
          </w:p>
        </w:tc>
      </w:tr>
      <w:tr w14:paraId="0EE5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noWrap w:val="0"/>
            <w:vAlign w:val="center"/>
          </w:tcPr>
          <w:p w14:paraId="51CA3D7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从事本专业时间</w:t>
            </w:r>
          </w:p>
        </w:tc>
        <w:tc>
          <w:tcPr>
            <w:tcW w:w="2168" w:type="dxa"/>
            <w:gridSpan w:val="2"/>
            <w:noWrap w:val="0"/>
            <w:vAlign w:val="center"/>
          </w:tcPr>
          <w:p w14:paraId="486B2A4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455FA10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为投标人服务时间</w:t>
            </w:r>
          </w:p>
        </w:tc>
        <w:tc>
          <w:tcPr>
            <w:tcW w:w="2504" w:type="dxa"/>
            <w:noWrap w:val="0"/>
            <w:vAlign w:val="center"/>
          </w:tcPr>
          <w:p w14:paraId="46797E1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3E1B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vMerge w:val="restart"/>
            <w:noWrap w:val="0"/>
            <w:vAlign w:val="center"/>
          </w:tcPr>
          <w:p w14:paraId="7264787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执业证书</w:t>
            </w:r>
          </w:p>
          <w:p w14:paraId="48AD412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及职称证书</w:t>
            </w:r>
          </w:p>
        </w:tc>
        <w:tc>
          <w:tcPr>
            <w:tcW w:w="2168" w:type="dxa"/>
            <w:gridSpan w:val="2"/>
            <w:noWrap w:val="0"/>
            <w:vAlign w:val="center"/>
          </w:tcPr>
          <w:p w14:paraId="57B53F4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证书名</w:t>
            </w:r>
          </w:p>
        </w:tc>
        <w:tc>
          <w:tcPr>
            <w:tcW w:w="2274" w:type="dxa"/>
            <w:gridSpan w:val="2"/>
            <w:noWrap w:val="0"/>
            <w:vAlign w:val="center"/>
          </w:tcPr>
          <w:p w14:paraId="7D972B2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证书号</w:t>
            </w:r>
          </w:p>
        </w:tc>
        <w:tc>
          <w:tcPr>
            <w:tcW w:w="2504" w:type="dxa"/>
            <w:noWrap w:val="0"/>
            <w:vAlign w:val="center"/>
          </w:tcPr>
          <w:p w14:paraId="139F753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起止时间</w:t>
            </w:r>
          </w:p>
        </w:tc>
      </w:tr>
      <w:tr w14:paraId="49860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vMerge w:val="continue"/>
            <w:noWrap w:val="0"/>
            <w:vAlign w:val="center"/>
          </w:tcPr>
          <w:p w14:paraId="6E6F649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168" w:type="dxa"/>
            <w:gridSpan w:val="2"/>
            <w:noWrap w:val="0"/>
            <w:vAlign w:val="center"/>
          </w:tcPr>
          <w:p w14:paraId="0F21BBDC">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3F4A9B7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504" w:type="dxa"/>
            <w:noWrap w:val="0"/>
            <w:vAlign w:val="center"/>
          </w:tcPr>
          <w:p w14:paraId="67ECFD8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2943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vMerge w:val="continue"/>
            <w:noWrap w:val="0"/>
            <w:vAlign w:val="center"/>
          </w:tcPr>
          <w:p w14:paraId="292EBA3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168" w:type="dxa"/>
            <w:gridSpan w:val="2"/>
            <w:noWrap w:val="0"/>
            <w:vAlign w:val="center"/>
          </w:tcPr>
          <w:p w14:paraId="0AFB399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75AC306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504" w:type="dxa"/>
            <w:noWrap w:val="0"/>
            <w:vAlign w:val="center"/>
          </w:tcPr>
          <w:p w14:paraId="3A5C3A8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3D04C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2" w:type="dxa"/>
            <w:gridSpan w:val="7"/>
            <w:noWrap w:val="0"/>
            <w:vAlign w:val="center"/>
          </w:tcPr>
          <w:p w14:paraId="645C393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城市轨道交通工程造价咨询工作业绩情况</w:t>
            </w:r>
          </w:p>
        </w:tc>
      </w:tr>
      <w:tr w14:paraId="2589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noWrap w:val="0"/>
            <w:vAlign w:val="center"/>
          </w:tcPr>
          <w:p w14:paraId="7189105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时   间</w:t>
            </w:r>
          </w:p>
        </w:tc>
        <w:tc>
          <w:tcPr>
            <w:tcW w:w="2168" w:type="dxa"/>
            <w:gridSpan w:val="2"/>
            <w:noWrap w:val="0"/>
            <w:vAlign w:val="center"/>
          </w:tcPr>
          <w:p w14:paraId="1F1BB55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项目名称</w:t>
            </w:r>
          </w:p>
        </w:tc>
        <w:tc>
          <w:tcPr>
            <w:tcW w:w="2274" w:type="dxa"/>
            <w:gridSpan w:val="2"/>
            <w:noWrap w:val="0"/>
            <w:vAlign w:val="center"/>
          </w:tcPr>
          <w:p w14:paraId="54A59C5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负责专业及工作内容</w:t>
            </w:r>
          </w:p>
        </w:tc>
        <w:tc>
          <w:tcPr>
            <w:tcW w:w="2504" w:type="dxa"/>
            <w:noWrap w:val="0"/>
            <w:vAlign w:val="center"/>
          </w:tcPr>
          <w:p w14:paraId="5BFBFBC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r>
              <w:rPr>
                <w:rFonts w:ascii="Times New Roman" w:hAnsi="Calibri" w:eastAsia="宋体" w:cs="Times New Roman"/>
                <w:sz w:val="21"/>
                <w:szCs w:val="21"/>
              </w:rPr>
              <w:t>备   注</w:t>
            </w:r>
          </w:p>
        </w:tc>
      </w:tr>
      <w:tr w14:paraId="0DF0C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noWrap w:val="0"/>
            <w:vAlign w:val="center"/>
          </w:tcPr>
          <w:p w14:paraId="571C351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168" w:type="dxa"/>
            <w:gridSpan w:val="2"/>
            <w:noWrap w:val="0"/>
            <w:vAlign w:val="center"/>
          </w:tcPr>
          <w:p w14:paraId="299FCDE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7D5EBD1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504" w:type="dxa"/>
            <w:noWrap w:val="0"/>
            <w:vAlign w:val="center"/>
          </w:tcPr>
          <w:p w14:paraId="0DFD30D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1A5E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noWrap w:val="0"/>
            <w:vAlign w:val="center"/>
          </w:tcPr>
          <w:p w14:paraId="6FB1897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168" w:type="dxa"/>
            <w:gridSpan w:val="2"/>
            <w:noWrap w:val="0"/>
            <w:vAlign w:val="center"/>
          </w:tcPr>
          <w:p w14:paraId="71D0F47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37913098">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504" w:type="dxa"/>
            <w:noWrap w:val="0"/>
            <w:vAlign w:val="center"/>
          </w:tcPr>
          <w:p w14:paraId="709D60A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53B13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noWrap w:val="0"/>
            <w:vAlign w:val="center"/>
          </w:tcPr>
          <w:p w14:paraId="6FE9253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168" w:type="dxa"/>
            <w:gridSpan w:val="2"/>
            <w:noWrap w:val="0"/>
            <w:vAlign w:val="center"/>
          </w:tcPr>
          <w:p w14:paraId="2EE640E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3FD1C89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504" w:type="dxa"/>
            <w:noWrap w:val="0"/>
            <w:vAlign w:val="center"/>
          </w:tcPr>
          <w:p w14:paraId="22DF897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3AEDD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noWrap w:val="0"/>
            <w:vAlign w:val="center"/>
          </w:tcPr>
          <w:p w14:paraId="5A876CD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168" w:type="dxa"/>
            <w:gridSpan w:val="2"/>
            <w:noWrap w:val="0"/>
            <w:vAlign w:val="center"/>
          </w:tcPr>
          <w:p w14:paraId="12B2048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668AE3A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504" w:type="dxa"/>
            <w:noWrap w:val="0"/>
            <w:vAlign w:val="center"/>
          </w:tcPr>
          <w:p w14:paraId="6E5DB14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0EEF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noWrap w:val="0"/>
            <w:vAlign w:val="center"/>
          </w:tcPr>
          <w:p w14:paraId="2AD6420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168" w:type="dxa"/>
            <w:gridSpan w:val="2"/>
            <w:noWrap w:val="0"/>
            <w:vAlign w:val="center"/>
          </w:tcPr>
          <w:p w14:paraId="6BE3803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487FC762">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504" w:type="dxa"/>
            <w:noWrap w:val="0"/>
            <w:vAlign w:val="center"/>
          </w:tcPr>
          <w:p w14:paraId="19FC2B7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43CC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noWrap w:val="0"/>
            <w:vAlign w:val="center"/>
          </w:tcPr>
          <w:p w14:paraId="60EAB631">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168" w:type="dxa"/>
            <w:gridSpan w:val="2"/>
            <w:noWrap w:val="0"/>
            <w:vAlign w:val="center"/>
          </w:tcPr>
          <w:p w14:paraId="19474FB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2ACED9D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504" w:type="dxa"/>
            <w:noWrap w:val="0"/>
            <w:vAlign w:val="center"/>
          </w:tcPr>
          <w:p w14:paraId="54A5ED0A">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56CA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noWrap w:val="0"/>
            <w:vAlign w:val="center"/>
          </w:tcPr>
          <w:p w14:paraId="28D4A7E5">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168" w:type="dxa"/>
            <w:gridSpan w:val="2"/>
            <w:noWrap w:val="0"/>
            <w:vAlign w:val="center"/>
          </w:tcPr>
          <w:p w14:paraId="7E528B4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0A5A83BD">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504" w:type="dxa"/>
            <w:noWrap w:val="0"/>
            <w:vAlign w:val="center"/>
          </w:tcPr>
          <w:p w14:paraId="7512F9AF">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58F37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noWrap w:val="0"/>
            <w:vAlign w:val="center"/>
          </w:tcPr>
          <w:p w14:paraId="4C7E84CB">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168" w:type="dxa"/>
            <w:gridSpan w:val="2"/>
            <w:noWrap w:val="0"/>
            <w:vAlign w:val="center"/>
          </w:tcPr>
          <w:p w14:paraId="5195F0D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3E56E4C3">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504" w:type="dxa"/>
            <w:noWrap w:val="0"/>
            <w:vAlign w:val="center"/>
          </w:tcPr>
          <w:p w14:paraId="54C4875E">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r w14:paraId="5D4D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26" w:type="dxa"/>
            <w:gridSpan w:val="2"/>
            <w:noWrap w:val="0"/>
            <w:vAlign w:val="center"/>
          </w:tcPr>
          <w:p w14:paraId="29E19D29">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168" w:type="dxa"/>
            <w:gridSpan w:val="2"/>
            <w:noWrap w:val="0"/>
            <w:vAlign w:val="center"/>
          </w:tcPr>
          <w:p w14:paraId="50B328E0">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274" w:type="dxa"/>
            <w:gridSpan w:val="2"/>
            <w:noWrap w:val="0"/>
            <w:vAlign w:val="center"/>
          </w:tcPr>
          <w:p w14:paraId="39BC4977">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c>
          <w:tcPr>
            <w:tcW w:w="2504" w:type="dxa"/>
            <w:noWrap w:val="0"/>
            <w:vAlign w:val="center"/>
          </w:tcPr>
          <w:p w14:paraId="0D753236">
            <w:pPr>
              <w:keepNext w:val="0"/>
              <w:keepLines w:val="0"/>
              <w:suppressLineNumbers w:val="0"/>
              <w:spacing w:before="0" w:beforeLines="0" w:beforeAutospacing="0" w:after="0" w:afterAutospacing="0" w:line="240" w:lineRule="auto"/>
              <w:ind w:left="0" w:right="0" w:firstLine="0" w:firstLineChars="0"/>
              <w:jc w:val="center"/>
              <w:rPr>
                <w:rFonts w:ascii="Times New Roman" w:hAnsi="Calibri" w:eastAsia="宋体" w:cs="Times New Roman"/>
                <w:sz w:val="21"/>
                <w:szCs w:val="21"/>
              </w:rPr>
            </w:pPr>
          </w:p>
        </w:tc>
      </w:tr>
    </w:tbl>
    <w:p w14:paraId="0F389DDA">
      <w:pPr>
        <w:spacing w:before="0" w:beforeLines="0"/>
        <w:ind w:left="422" w:leftChars="176" w:firstLine="0" w:firstLineChars="0"/>
        <w:rPr>
          <w:rFonts w:ascii="Times New Roman"/>
          <w:sz w:val="21"/>
          <w:szCs w:val="21"/>
        </w:rPr>
      </w:pPr>
      <w:r>
        <w:rPr>
          <w:rFonts w:ascii="Times New Roman"/>
          <w:sz w:val="21"/>
          <w:szCs w:val="21"/>
        </w:rPr>
        <w:t>注：</w:t>
      </w:r>
    </w:p>
    <w:p w14:paraId="720F91DC">
      <w:pPr>
        <w:spacing w:before="0" w:beforeLines="0"/>
        <w:ind w:left="422" w:leftChars="176" w:firstLine="0" w:firstLineChars="0"/>
        <w:rPr>
          <w:rFonts w:ascii="Times New Roman"/>
          <w:sz w:val="21"/>
          <w:szCs w:val="21"/>
        </w:rPr>
      </w:pPr>
      <w:r>
        <w:rPr>
          <w:rFonts w:ascii="Times New Roman"/>
          <w:sz w:val="21"/>
          <w:szCs w:val="21"/>
        </w:rPr>
        <w:t>1、本表按照拟派人员汇总表中序号依序编制。</w:t>
      </w:r>
    </w:p>
    <w:p w14:paraId="3BDCC568">
      <w:pPr>
        <w:ind w:firstLine="0" w:firstLineChars="0"/>
        <w:rPr>
          <w:rFonts w:hint="eastAsia" w:ascii="Times New Roman"/>
          <w:sz w:val="21"/>
          <w:szCs w:val="21"/>
        </w:rPr>
      </w:pPr>
      <w:r>
        <w:rPr>
          <w:rFonts w:ascii="Times New Roman"/>
          <w:sz w:val="21"/>
          <w:szCs w:val="21"/>
        </w:rPr>
        <w:t>2、本表后须附人员有效的身份证复印件或扫描件</w:t>
      </w:r>
      <w:r>
        <w:rPr>
          <w:rFonts w:hint="eastAsia" w:ascii="Times New Roman"/>
          <w:sz w:val="21"/>
          <w:szCs w:val="21"/>
        </w:rPr>
        <w:t>劳动合同（或社保证明）</w:t>
      </w:r>
      <w:r>
        <w:rPr>
          <w:rFonts w:ascii="Times New Roman"/>
          <w:sz w:val="21"/>
          <w:szCs w:val="21"/>
        </w:rPr>
        <w:t>、职称证书、资格证书、注册证书复印件或扫描件，工作年限证明，否则不予认可）。</w:t>
      </w:r>
    </w:p>
    <w:p w14:paraId="420C4A00">
      <w:pPr>
        <w:ind w:firstLine="0" w:firstLineChars="0"/>
        <w:outlineLvl w:val="1"/>
        <w:rPr>
          <w:rFonts w:ascii="Times New Roman"/>
        </w:rPr>
      </w:pPr>
      <w:r>
        <w:rPr>
          <w:rFonts w:ascii="Times New Roman"/>
          <w:sz w:val="21"/>
          <w:szCs w:val="21"/>
        </w:rPr>
        <w:br w:type="page"/>
      </w:r>
      <w:bookmarkStart w:id="1365" w:name="_Toc193981350"/>
      <w:r>
        <w:rPr>
          <w:rFonts w:ascii="Times New Roman"/>
        </w:rPr>
        <w:t>C</w:t>
      </w:r>
      <w:r>
        <w:rPr>
          <w:rFonts w:hint="eastAsia" w:ascii="Times New Roman"/>
        </w:rPr>
        <w:t>4</w:t>
      </w:r>
      <w:r>
        <w:rPr>
          <w:rFonts w:ascii="Times New Roman"/>
        </w:rPr>
        <w:t>工程造价咨询服务方案</w:t>
      </w:r>
      <w:bookmarkEnd w:id="1347"/>
      <w:bookmarkEnd w:id="1348"/>
      <w:bookmarkEnd w:id="1349"/>
      <w:bookmarkEnd w:id="1350"/>
      <w:bookmarkEnd w:id="1365"/>
    </w:p>
    <w:p w14:paraId="493D2715">
      <w:pPr>
        <w:pStyle w:val="99"/>
        <w:spacing w:before="312" w:beforeLines="100" w:after="312" w:afterLines="100"/>
        <w:rPr>
          <w:rFonts w:ascii="Times New Roman" w:hAnsi="Times New Roman" w:cs="Times New Roman"/>
        </w:rPr>
      </w:pPr>
      <w:r>
        <w:rPr>
          <w:rFonts w:hint="eastAsia" w:ascii="Times New Roman" w:hAnsi="Times New Roman" w:cs="Times New Roman"/>
        </w:rPr>
        <w:t>四</w:t>
      </w:r>
      <w:r>
        <w:rPr>
          <w:rFonts w:ascii="Times New Roman" w:hAnsi="Times New Roman" w:cs="Times New Roman"/>
        </w:rPr>
        <w:t>、工程造价咨询服务方案</w:t>
      </w:r>
      <w:bookmarkEnd w:id="1339"/>
    </w:p>
    <w:p w14:paraId="0A4286C1">
      <w:pPr>
        <w:spacing w:before="120" w:beforeLines="0"/>
        <w:ind w:firstLine="420"/>
        <w:rPr>
          <w:rFonts w:ascii="Times New Roman"/>
          <w:sz w:val="21"/>
          <w:szCs w:val="21"/>
        </w:rPr>
      </w:pPr>
      <w:r>
        <w:rPr>
          <w:rFonts w:ascii="Times New Roman"/>
          <w:sz w:val="21"/>
          <w:szCs w:val="21"/>
        </w:rPr>
        <w:t>应包含但不限于以下内容：</w:t>
      </w:r>
    </w:p>
    <w:p w14:paraId="013C2A42">
      <w:pPr>
        <w:spacing w:before="120" w:beforeLines="0"/>
        <w:ind w:firstLine="420"/>
        <w:rPr>
          <w:rFonts w:ascii="Times New Roman"/>
          <w:sz w:val="21"/>
          <w:szCs w:val="21"/>
        </w:rPr>
      </w:pPr>
      <w:r>
        <w:rPr>
          <w:rFonts w:ascii="Times New Roman"/>
          <w:sz w:val="21"/>
          <w:szCs w:val="21"/>
        </w:rPr>
        <w:t>1、本工程造价咨询服务的总体服务方案；</w:t>
      </w:r>
    </w:p>
    <w:p w14:paraId="03E1F59A">
      <w:pPr>
        <w:spacing w:before="120" w:beforeLines="0"/>
        <w:ind w:firstLine="420"/>
        <w:rPr>
          <w:rFonts w:hint="eastAsia" w:ascii="Times New Roman"/>
          <w:sz w:val="21"/>
          <w:szCs w:val="21"/>
        </w:rPr>
      </w:pPr>
      <w:r>
        <w:rPr>
          <w:rFonts w:ascii="Times New Roman"/>
          <w:sz w:val="21"/>
          <w:szCs w:val="21"/>
        </w:rPr>
        <w:t>2、本工程造价咨询服务的工作流程；</w:t>
      </w:r>
    </w:p>
    <w:p w14:paraId="6EC0DFE5">
      <w:pPr>
        <w:spacing w:before="120" w:beforeLines="0"/>
        <w:ind w:firstLine="420"/>
        <w:rPr>
          <w:rFonts w:ascii="Times New Roman"/>
          <w:sz w:val="21"/>
          <w:szCs w:val="21"/>
        </w:rPr>
      </w:pPr>
      <w:r>
        <w:rPr>
          <w:rFonts w:hint="eastAsia" w:ascii="Times New Roman"/>
          <w:sz w:val="21"/>
          <w:szCs w:val="21"/>
        </w:rPr>
        <w:t>3、</w:t>
      </w:r>
      <w:r>
        <w:rPr>
          <w:rFonts w:ascii="Times New Roman"/>
          <w:sz w:val="21"/>
          <w:szCs w:val="21"/>
        </w:rPr>
        <w:t>本工程造价咨询服务的</w:t>
      </w:r>
      <w:r>
        <w:rPr>
          <w:rFonts w:hint="eastAsia" w:ascii="Times New Roman"/>
          <w:sz w:val="21"/>
          <w:szCs w:val="21"/>
        </w:rPr>
        <w:t>廉政工作承诺；</w:t>
      </w:r>
    </w:p>
    <w:p w14:paraId="0EBF37E9">
      <w:pPr>
        <w:spacing w:before="120" w:beforeLines="0"/>
        <w:ind w:firstLine="420"/>
        <w:rPr>
          <w:rFonts w:ascii="Times New Roman"/>
          <w:sz w:val="21"/>
          <w:szCs w:val="21"/>
        </w:rPr>
      </w:pPr>
      <w:r>
        <w:rPr>
          <w:rFonts w:ascii="Times New Roman"/>
          <w:sz w:val="21"/>
          <w:szCs w:val="21"/>
        </w:rPr>
        <w:t>4、本工程造价咨询服务的重点、难点分析及合理化建议；</w:t>
      </w:r>
    </w:p>
    <w:p w14:paraId="22C765D5">
      <w:pPr>
        <w:spacing w:before="120" w:beforeLines="0"/>
        <w:ind w:firstLine="420"/>
        <w:rPr>
          <w:rFonts w:hint="eastAsia" w:ascii="Times New Roman"/>
          <w:sz w:val="21"/>
          <w:szCs w:val="21"/>
        </w:rPr>
      </w:pPr>
      <w:r>
        <w:rPr>
          <w:rFonts w:ascii="Times New Roman"/>
          <w:sz w:val="21"/>
          <w:szCs w:val="21"/>
        </w:rPr>
        <w:t>5、服务承诺（</w:t>
      </w:r>
      <w:r>
        <w:rPr>
          <w:rFonts w:hint="eastAsia" w:ascii="Times New Roman"/>
          <w:sz w:val="21"/>
          <w:szCs w:val="21"/>
        </w:rPr>
        <w:t>服务期、服务承诺及质量保证、解决问题时间、回访计划、完成进度、成果质量、技术服务、成果保密等实际情况提出具体的服务承诺方案等</w:t>
      </w:r>
      <w:r>
        <w:rPr>
          <w:rFonts w:ascii="Times New Roman"/>
          <w:sz w:val="21"/>
          <w:szCs w:val="21"/>
        </w:rPr>
        <w:t>）</w:t>
      </w:r>
      <w:r>
        <w:rPr>
          <w:rFonts w:hint="eastAsia" w:ascii="Times New Roman"/>
          <w:sz w:val="21"/>
          <w:szCs w:val="21"/>
        </w:rPr>
        <w:t>；</w:t>
      </w:r>
    </w:p>
    <w:p w14:paraId="0C26B790">
      <w:pPr>
        <w:spacing w:before="0" w:beforeLines="0"/>
        <w:ind w:firstLine="420"/>
        <w:rPr>
          <w:rFonts w:ascii="Times New Roman"/>
          <w:sz w:val="21"/>
          <w:szCs w:val="21"/>
        </w:rPr>
      </w:pPr>
      <w:r>
        <w:rPr>
          <w:rFonts w:ascii="Times New Roman"/>
          <w:sz w:val="21"/>
          <w:szCs w:val="21"/>
        </w:rPr>
        <w:t>……</w:t>
      </w:r>
    </w:p>
    <w:p w14:paraId="7940FE59">
      <w:pPr>
        <w:ind w:firstLine="0" w:firstLineChars="0"/>
        <w:outlineLvl w:val="1"/>
        <w:rPr>
          <w:rFonts w:ascii="Times New Roman"/>
        </w:rPr>
      </w:pPr>
      <w:r>
        <w:rPr>
          <w:rFonts w:ascii="Times New Roman"/>
          <w:sz w:val="21"/>
          <w:szCs w:val="21"/>
        </w:rPr>
        <w:br w:type="page"/>
      </w:r>
      <w:bookmarkStart w:id="1366" w:name="_Toc23880"/>
      <w:bookmarkStart w:id="1367" w:name="_Toc7078"/>
      <w:bookmarkStart w:id="1368" w:name="_Toc193981351"/>
      <w:bookmarkStart w:id="1369" w:name="_Toc491534515"/>
      <w:bookmarkStart w:id="1370" w:name="_Toc5065"/>
      <w:r>
        <w:rPr>
          <w:rFonts w:ascii="Times New Roman"/>
        </w:rPr>
        <w:t>C</w:t>
      </w:r>
      <w:r>
        <w:rPr>
          <w:rFonts w:hint="eastAsia" w:ascii="Times New Roman"/>
        </w:rPr>
        <w:t>5</w:t>
      </w:r>
      <w:r>
        <w:rPr>
          <w:rFonts w:ascii="Times New Roman"/>
        </w:rPr>
        <w:t>专业资料及软件配备情况表</w:t>
      </w:r>
      <w:bookmarkEnd w:id="1366"/>
      <w:bookmarkEnd w:id="1367"/>
      <w:bookmarkEnd w:id="1368"/>
      <w:bookmarkEnd w:id="1369"/>
      <w:bookmarkEnd w:id="1370"/>
    </w:p>
    <w:p w14:paraId="0A33237B">
      <w:pPr>
        <w:pStyle w:val="99"/>
        <w:spacing w:before="312" w:beforeLines="100" w:after="312" w:afterLines="100"/>
        <w:rPr>
          <w:rFonts w:ascii="Times New Roman" w:hAnsi="Times New Roman" w:cs="Times New Roman"/>
        </w:rPr>
      </w:pPr>
      <w:r>
        <w:rPr>
          <w:rFonts w:hint="eastAsia" w:ascii="Times New Roman" w:hAnsi="Times New Roman" w:cs="Times New Roman"/>
        </w:rPr>
        <w:t>五</w:t>
      </w:r>
      <w:r>
        <w:rPr>
          <w:rFonts w:ascii="Times New Roman" w:hAnsi="Times New Roman" w:cs="Times New Roman"/>
        </w:rPr>
        <w:t>、专业资料及软件配备情况表</w:t>
      </w:r>
    </w:p>
    <w:tbl>
      <w:tblPr>
        <w:tblStyle w:val="48"/>
        <w:tblW w:w="0" w:type="auto"/>
        <w:jc w:val="center"/>
        <w:tblLayout w:type="fixed"/>
        <w:tblCellMar>
          <w:top w:w="0" w:type="dxa"/>
          <w:left w:w="108" w:type="dxa"/>
          <w:bottom w:w="0" w:type="dxa"/>
          <w:right w:w="108" w:type="dxa"/>
        </w:tblCellMar>
      </w:tblPr>
      <w:tblGrid>
        <w:gridCol w:w="720"/>
        <w:gridCol w:w="3603"/>
        <w:gridCol w:w="741"/>
        <w:gridCol w:w="786"/>
        <w:gridCol w:w="1467"/>
        <w:gridCol w:w="1755"/>
      </w:tblGrid>
      <w:tr w14:paraId="0EDE5E47">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7AF2F6B5">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lang w:val="zh-CN"/>
              </w:rPr>
              <w:t>序号</w:t>
            </w:r>
          </w:p>
        </w:tc>
        <w:tc>
          <w:tcPr>
            <w:tcW w:w="3603" w:type="dxa"/>
            <w:tcBorders>
              <w:top w:val="single" w:color="auto" w:sz="6" w:space="0"/>
              <w:left w:val="single" w:color="auto" w:sz="6" w:space="0"/>
              <w:bottom w:val="single" w:color="auto" w:sz="6" w:space="0"/>
              <w:right w:val="single" w:color="auto" w:sz="6" w:space="0"/>
            </w:tcBorders>
            <w:noWrap w:val="0"/>
            <w:vAlign w:val="center"/>
          </w:tcPr>
          <w:p w14:paraId="67218875">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lang w:val="zh-CN"/>
              </w:rPr>
              <w:t>资料及软件名称</w:t>
            </w:r>
          </w:p>
        </w:tc>
        <w:tc>
          <w:tcPr>
            <w:tcW w:w="741" w:type="dxa"/>
            <w:tcBorders>
              <w:top w:val="single" w:color="auto" w:sz="6" w:space="0"/>
              <w:left w:val="single" w:color="auto" w:sz="6" w:space="0"/>
              <w:bottom w:val="single" w:color="auto" w:sz="6" w:space="0"/>
              <w:right w:val="single" w:color="auto" w:sz="6" w:space="0"/>
            </w:tcBorders>
            <w:noWrap w:val="0"/>
            <w:vAlign w:val="center"/>
          </w:tcPr>
          <w:p w14:paraId="775C403E">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单位</w:t>
            </w:r>
          </w:p>
        </w:tc>
        <w:tc>
          <w:tcPr>
            <w:tcW w:w="786" w:type="dxa"/>
            <w:tcBorders>
              <w:top w:val="single" w:color="auto" w:sz="6" w:space="0"/>
              <w:left w:val="single" w:color="auto" w:sz="6" w:space="0"/>
              <w:bottom w:val="single" w:color="auto" w:sz="6" w:space="0"/>
              <w:right w:val="single" w:color="auto" w:sz="6" w:space="0"/>
            </w:tcBorders>
            <w:noWrap w:val="0"/>
            <w:vAlign w:val="center"/>
          </w:tcPr>
          <w:p w14:paraId="5EF0C97E">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数量</w:t>
            </w:r>
          </w:p>
        </w:tc>
        <w:tc>
          <w:tcPr>
            <w:tcW w:w="1467" w:type="dxa"/>
            <w:tcBorders>
              <w:top w:val="single" w:color="auto" w:sz="6" w:space="0"/>
              <w:left w:val="single" w:color="auto" w:sz="6" w:space="0"/>
              <w:bottom w:val="single" w:color="auto" w:sz="6" w:space="0"/>
              <w:right w:val="single" w:color="auto" w:sz="6" w:space="0"/>
            </w:tcBorders>
            <w:noWrap w:val="0"/>
            <w:vAlign w:val="center"/>
          </w:tcPr>
          <w:p w14:paraId="54332EB2">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自有或新购</w:t>
            </w:r>
          </w:p>
        </w:tc>
        <w:tc>
          <w:tcPr>
            <w:tcW w:w="1755" w:type="dxa"/>
            <w:tcBorders>
              <w:top w:val="single" w:color="auto" w:sz="6" w:space="0"/>
              <w:left w:val="single" w:color="auto" w:sz="6" w:space="0"/>
              <w:bottom w:val="single" w:color="auto" w:sz="6" w:space="0"/>
              <w:right w:val="single" w:color="auto" w:sz="6" w:space="0"/>
            </w:tcBorders>
            <w:noWrap w:val="0"/>
            <w:vAlign w:val="center"/>
          </w:tcPr>
          <w:p w14:paraId="44096ABC">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备注</w:t>
            </w:r>
          </w:p>
        </w:tc>
      </w:tr>
      <w:tr w14:paraId="65ED3527">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2069FB34">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5E41CF44">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4637AB59">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70A7728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4CA752C0">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7B2A20C3">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6958A274">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78CA6F6E">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0000488E">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149A464B">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2ACBA118">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2292807C">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5EEFD050">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4CE366F0">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462CB99D">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19DD265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7C2313BE">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0C4D306B">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2C5A5980">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7F864D81">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2685E9A3">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6A6C1E8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16EE102B">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75449216">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4A6A766C">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743D7173">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7FBC03E6">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58062A7D">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3CAEC75D">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75B3C7E4">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01E9F9A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4DFBF126">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05014F08">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7D20022A">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5235BC02">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7473735E">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1A6423E8">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3CD4A1A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1FE2B35D">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2B8F300A">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32D45F87">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4129EAE1">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686127BC">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7E54D2BB">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13F9EBFA">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39C1F470">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626B1A22">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245C3620">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679F9A5C">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3331774B">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11E07F5B">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0F5621D2">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72AD2468">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3772EA53">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1449A37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7834DF38">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753999D6">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34E435E3">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17E36C12">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4C2F8AEB">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1A48499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387AE320">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26EEBA72">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7EB528A5">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62F6BB4E">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54354666">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077AD730">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3A9BEF14">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73F21A5B">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6A1DEEE1">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3A3405B5">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010676FE">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36902305">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181D83FC">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3FFF10D1">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22EB0E1D">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397A2FD5">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18A148D4">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67418061">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10E158C6">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3F30955D">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52A1AB49">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72BC74C0">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7B80F916">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0DC5BF5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2A348125">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0E7CB3F4">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31DB4DFE">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568A25A9">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203D76A3">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48E59D83">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5618AC98">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4F9B5EB2">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359EDF45">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63F00D6C">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2981BB15">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2535DE63">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6370AC92">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5B22C9D3">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0A6A24C0">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7764F051">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351BBAD3">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618FFA45">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150D6F81">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35624CE1">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2A77C1B8">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356BF583">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5B51846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75F048EC">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259879E1">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26759D5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54762A28">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140FBE71">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53DA9E48">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5F35D1B8">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24A278BC">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530F16E4">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4A1A919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2BEBB8DD">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3DAABF5D">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79D3E983">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11272055">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3B439E9E">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2AAED982">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323F9C0C">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r w14:paraId="11BC125A">
        <w:tblPrEx>
          <w:tblCellMar>
            <w:top w:w="0" w:type="dxa"/>
            <w:left w:w="108" w:type="dxa"/>
            <w:bottom w:w="0" w:type="dxa"/>
            <w:right w:w="108" w:type="dxa"/>
          </w:tblCellMar>
        </w:tblPrEx>
        <w:trPr>
          <w:trHeight w:val="454" w:hRule="atLeast"/>
          <w:jc w:val="center"/>
        </w:trPr>
        <w:tc>
          <w:tcPr>
            <w:tcW w:w="720" w:type="dxa"/>
            <w:tcBorders>
              <w:top w:val="single" w:color="auto" w:sz="6" w:space="0"/>
              <w:left w:val="single" w:color="auto" w:sz="6" w:space="0"/>
              <w:bottom w:val="single" w:color="auto" w:sz="6" w:space="0"/>
              <w:right w:val="single" w:color="auto" w:sz="6" w:space="0"/>
            </w:tcBorders>
            <w:noWrap w:val="0"/>
            <w:vAlign w:val="center"/>
          </w:tcPr>
          <w:p w14:paraId="74603872">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3603" w:type="dxa"/>
            <w:tcBorders>
              <w:top w:val="single" w:color="auto" w:sz="6" w:space="0"/>
              <w:left w:val="single" w:color="auto" w:sz="6" w:space="0"/>
              <w:bottom w:val="single" w:color="auto" w:sz="6" w:space="0"/>
              <w:right w:val="single" w:color="auto" w:sz="6" w:space="0"/>
            </w:tcBorders>
            <w:noWrap w:val="0"/>
            <w:vAlign w:val="center"/>
          </w:tcPr>
          <w:p w14:paraId="60A198E0">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41" w:type="dxa"/>
            <w:tcBorders>
              <w:top w:val="single" w:color="auto" w:sz="6" w:space="0"/>
              <w:left w:val="single" w:color="auto" w:sz="6" w:space="0"/>
              <w:bottom w:val="single" w:color="auto" w:sz="6" w:space="0"/>
              <w:right w:val="single" w:color="auto" w:sz="6" w:space="0"/>
            </w:tcBorders>
            <w:noWrap w:val="0"/>
            <w:vAlign w:val="center"/>
          </w:tcPr>
          <w:p w14:paraId="2B3F5267">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786" w:type="dxa"/>
            <w:tcBorders>
              <w:top w:val="single" w:color="auto" w:sz="6" w:space="0"/>
              <w:left w:val="single" w:color="auto" w:sz="6" w:space="0"/>
              <w:bottom w:val="single" w:color="auto" w:sz="6" w:space="0"/>
              <w:right w:val="single" w:color="auto" w:sz="6" w:space="0"/>
            </w:tcBorders>
            <w:noWrap w:val="0"/>
            <w:vAlign w:val="center"/>
          </w:tcPr>
          <w:p w14:paraId="594547C6">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467" w:type="dxa"/>
            <w:tcBorders>
              <w:top w:val="single" w:color="auto" w:sz="6" w:space="0"/>
              <w:left w:val="single" w:color="auto" w:sz="6" w:space="0"/>
              <w:bottom w:val="single" w:color="auto" w:sz="6" w:space="0"/>
              <w:right w:val="single" w:color="auto" w:sz="6" w:space="0"/>
            </w:tcBorders>
            <w:noWrap w:val="0"/>
            <w:vAlign w:val="center"/>
          </w:tcPr>
          <w:p w14:paraId="68BA1F97">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c>
          <w:tcPr>
            <w:tcW w:w="1755" w:type="dxa"/>
            <w:tcBorders>
              <w:top w:val="single" w:color="auto" w:sz="6" w:space="0"/>
              <w:left w:val="single" w:color="auto" w:sz="6" w:space="0"/>
              <w:bottom w:val="single" w:color="auto" w:sz="6" w:space="0"/>
              <w:right w:val="single" w:color="auto" w:sz="6" w:space="0"/>
            </w:tcBorders>
            <w:noWrap w:val="0"/>
            <w:vAlign w:val="center"/>
          </w:tcPr>
          <w:p w14:paraId="7D96221F">
            <w:pPr>
              <w:pStyle w:val="98"/>
              <w:keepNext w:val="0"/>
              <w:keepLines w:val="0"/>
              <w:widowControl/>
              <w:suppressLineNumbers w:val="0"/>
              <w:adjustRightInd w:val="0"/>
              <w:snapToGrid w:val="0"/>
              <w:spacing w:before="0" w:beforeAutospacing="0" w:after="0" w:afterAutospacing="0" w:line="240" w:lineRule="auto"/>
              <w:ind w:left="0" w:right="0"/>
              <w:rPr>
                <w:rFonts w:ascii="Times New Roman" w:hAnsi="Times New Roman" w:eastAsia="宋体" w:cs="Times New Roman"/>
              </w:rPr>
            </w:pPr>
          </w:p>
        </w:tc>
      </w:tr>
    </w:tbl>
    <w:p w14:paraId="2897CFB0">
      <w:pPr>
        <w:spacing w:before="120" w:beforeLines="0"/>
        <w:ind w:firstLine="478" w:firstLineChars="228"/>
        <w:rPr>
          <w:rFonts w:ascii="Times New Roman"/>
          <w:sz w:val="21"/>
          <w:szCs w:val="21"/>
        </w:rPr>
      </w:pPr>
      <w:r>
        <w:rPr>
          <w:rFonts w:ascii="Times New Roman"/>
          <w:sz w:val="21"/>
          <w:szCs w:val="21"/>
        </w:rPr>
        <w:t>注：列出开展本项目工程造价咨询工作所需的定额、概预算编制办法、造价文件或造价信息等。</w:t>
      </w:r>
    </w:p>
    <w:p w14:paraId="44FBE553">
      <w:pPr>
        <w:ind w:firstLine="0" w:firstLineChars="0"/>
        <w:rPr>
          <w:rFonts w:ascii="Times New Roman" w:eastAsia="黑体"/>
          <w:spacing w:val="-5"/>
          <w:sz w:val="28"/>
          <w:szCs w:val="28"/>
        </w:rPr>
      </w:pPr>
      <w:r>
        <w:rPr>
          <w:rFonts w:ascii="Times New Roman"/>
          <w:sz w:val="21"/>
          <w:szCs w:val="21"/>
        </w:rPr>
        <w:br w:type="page"/>
      </w:r>
      <w:r>
        <w:rPr>
          <w:rFonts w:hint="eastAsia" w:ascii="Times New Roman" w:eastAsia="黑体"/>
          <w:spacing w:val="-5"/>
          <w:sz w:val="28"/>
          <w:szCs w:val="28"/>
        </w:rPr>
        <w:t>六</w:t>
      </w:r>
      <w:r>
        <w:rPr>
          <w:rFonts w:ascii="Times New Roman" w:eastAsia="黑体"/>
          <w:spacing w:val="-5"/>
          <w:sz w:val="28"/>
          <w:szCs w:val="28"/>
        </w:rPr>
        <w:t>、其他招标文件要求出具的技术文件及投标人认为需加以说明的其他内容</w:t>
      </w:r>
    </w:p>
    <w:p w14:paraId="381E9246">
      <w:pPr>
        <w:spacing w:after="156" w:afterLines="50"/>
        <w:ind w:firstLine="256" w:firstLineChars="95"/>
        <w:jc w:val="center"/>
        <w:outlineLvl w:val="1"/>
        <w:rPr>
          <w:rFonts w:ascii="Times New Roman"/>
          <w:sz w:val="28"/>
          <w:szCs w:val="28"/>
        </w:rPr>
      </w:pPr>
      <w:r>
        <w:rPr>
          <w:rFonts w:ascii="Times New Roman" w:eastAsia="黑体"/>
          <w:spacing w:val="-5"/>
          <w:sz w:val="28"/>
          <w:szCs w:val="28"/>
        </w:rPr>
        <w:br w:type="page"/>
      </w:r>
      <w:bookmarkStart w:id="1371" w:name="_Toc491534516"/>
      <w:bookmarkStart w:id="1372" w:name="_Toc11146"/>
      <w:bookmarkStart w:id="1373" w:name="_Toc193981352"/>
      <w:r>
        <w:rPr>
          <w:rFonts w:ascii="Times New Roman"/>
          <w:b/>
          <w:sz w:val="28"/>
          <w:szCs w:val="28"/>
        </w:rPr>
        <w:t>D报价部分</w:t>
      </w:r>
      <w:bookmarkEnd w:id="1371"/>
      <w:bookmarkEnd w:id="1372"/>
      <w:bookmarkEnd w:id="1373"/>
    </w:p>
    <w:p w14:paraId="4ED59402">
      <w:pPr>
        <w:numPr>
          <w:ilvl w:val="0"/>
          <w:numId w:val="51"/>
        </w:numPr>
        <w:spacing w:before="120" w:beforeLines="0"/>
        <w:ind w:firstLine="960" w:firstLineChars="0"/>
        <w:rPr>
          <w:rFonts w:ascii="Times New Roman"/>
          <w:sz w:val="21"/>
          <w:szCs w:val="21"/>
        </w:rPr>
      </w:pPr>
      <w:r>
        <w:rPr>
          <w:rFonts w:ascii="Times New Roman"/>
          <w:sz w:val="21"/>
          <w:szCs w:val="21"/>
        </w:rPr>
        <w:t>投标函（格式见D1）</w:t>
      </w:r>
    </w:p>
    <w:p w14:paraId="116F626F">
      <w:pPr>
        <w:numPr>
          <w:ilvl w:val="0"/>
          <w:numId w:val="51"/>
        </w:numPr>
        <w:spacing w:before="120" w:beforeLines="0"/>
        <w:ind w:firstLine="960" w:firstLineChars="0"/>
        <w:rPr>
          <w:rFonts w:ascii="Times New Roman"/>
          <w:sz w:val="21"/>
          <w:szCs w:val="21"/>
        </w:rPr>
      </w:pPr>
      <w:r>
        <w:rPr>
          <w:rFonts w:ascii="Times New Roman"/>
          <w:sz w:val="21"/>
          <w:szCs w:val="21"/>
        </w:rPr>
        <w:t>投标函附录（格式见D2）</w:t>
      </w:r>
    </w:p>
    <w:p w14:paraId="2333541C">
      <w:pPr>
        <w:ind w:firstLine="0" w:firstLineChars="0"/>
        <w:outlineLvl w:val="1"/>
        <w:rPr>
          <w:rFonts w:ascii="Times New Roman"/>
        </w:rPr>
      </w:pPr>
      <w:r>
        <w:rPr>
          <w:rFonts w:ascii="Times New Roman"/>
          <w:sz w:val="21"/>
          <w:szCs w:val="21"/>
        </w:rPr>
        <w:br w:type="page"/>
      </w:r>
      <w:bookmarkStart w:id="1374" w:name="_Toc30964"/>
      <w:bookmarkStart w:id="1375" w:name="_Toc8937"/>
      <w:bookmarkStart w:id="1376" w:name="_Toc193981353"/>
      <w:bookmarkStart w:id="1377" w:name="_Toc491534517"/>
      <w:bookmarkStart w:id="1378" w:name="_Toc25683"/>
      <w:r>
        <w:rPr>
          <w:rFonts w:ascii="Times New Roman"/>
        </w:rPr>
        <w:t>D1投标函</w:t>
      </w:r>
      <w:bookmarkEnd w:id="1374"/>
      <w:bookmarkEnd w:id="1375"/>
      <w:bookmarkEnd w:id="1376"/>
      <w:bookmarkEnd w:id="1377"/>
      <w:bookmarkEnd w:id="1378"/>
    </w:p>
    <w:p w14:paraId="10111354">
      <w:pPr>
        <w:pStyle w:val="99"/>
        <w:spacing w:before="312" w:beforeLines="100" w:after="312" w:afterLines="100"/>
        <w:rPr>
          <w:rFonts w:ascii="Times New Roman" w:hAnsi="Times New Roman" w:cs="Times New Roman"/>
        </w:rPr>
      </w:pPr>
      <w:r>
        <w:rPr>
          <w:rFonts w:ascii="Times New Roman" w:hAnsi="Times New Roman" w:cs="Times New Roman"/>
        </w:rPr>
        <w:t>一、 投标函</w:t>
      </w:r>
    </w:p>
    <w:p w14:paraId="448047FF">
      <w:pPr>
        <w:spacing w:before="120" w:beforeLines="0" w:line="360" w:lineRule="auto"/>
        <w:ind w:firstLine="0" w:firstLineChars="0"/>
        <w:rPr>
          <w:rFonts w:hint="eastAsia" w:ascii="Times New Roman"/>
          <w:sz w:val="21"/>
          <w:szCs w:val="21"/>
        </w:rPr>
      </w:pPr>
      <w:r>
        <w:rPr>
          <w:rFonts w:ascii="Times New Roman"/>
          <w:sz w:val="21"/>
          <w:szCs w:val="21"/>
        </w:rPr>
        <w:t>致：</w:t>
      </w:r>
      <w:r>
        <w:rPr>
          <w:rFonts w:hint="eastAsia" w:ascii="Times New Roman"/>
          <w:sz w:val="21"/>
          <w:szCs w:val="21"/>
        </w:rPr>
        <w:t>南宁轨道地产集团有限责任公司</w:t>
      </w:r>
    </w:p>
    <w:p w14:paraId="3464AA50">
      <w:pPr>
        <w:spacing w:before="0" w:beforeLines="0" w:line="360" w:lineRule="auto"/>
        <w:ind w:firstLine="420"/>
        <w:rPr>
          <w:rFonts w:ascii="Times New Roman"/>
          <w:sz w:val="21"/>
          <w:szCs w:val="21"/>
        </w:rPr>
      </w:pPr>
      <w:r>
        <w:rPr>
          <w:rFonts w:ascii="Times New Roman"/>
          <w:sz w:val="21"/>
          <w:szCs w:val="21"/>
        </w:rPr>
        <w:t>1.在研究了</w:t>
      </w:r>
      <w:r>
        <w:rPr>
          <w:rFonts w:hint="eastAsia" w:ascii="Times New Roman"/>
          <w:sz w:val="21"/>
          <w:szCs w:val="21"/>
        </w:rPr>
        <w:t xml:space="preserve"> </w:t>
      </w:r>
      <w:r>
        <w:rPr>
          <w:rFonts w:hint="eastAsia" w:ascii="Times New Roman"/>
          <w:sz w:val="21"/>
          <w:szCs w:val="21"/>
          <w:u w:val="single"/>
          <w:lang w:eastAsia="zh-CN"/>
        </w:rPr>
        <w:t>轨道御玺君临湾项目结算阶段造价服务</w:t>
      </w:r>
      <w:r>
        <w:rPr>
          <w:rFonts w:hint="eastAsia" w:ascii="Times New Roman"/>
          <w:sz w:val="21"/>
          <w:szCs w:val="21"/>
        </w:rPr>
        <w:t xml:space="preserve"> </w:t>
      </w:r>
      <w:r>
        <w:rPr>
          <w:rFonts w:ascii="Times New Roman"/>
          <w:sz w:val="21"/>
          <w:szCs w:val="21"/>
        </w:rPr>
        <w:t>招标文件（含答疑及其补充文件）之后，我方愿意按委托人的要求承担</w:t>
      </w:r>
      <w:r>
        <w:rPr>
          <w:rFonts w:hint="eastAsia" w:ascii="Times New Roman"/>
          <w:sz w:val="21"/>
          <w:szCs w:val="21"/>
        </w:rPr>
        <w:t xml:space="preserve"> </w:t>
      </w:r>
      <w:r>
        <w:rPr>
          <w:rFonts w:hint="eastAsia" w:ascii="Times New Roman"/>
          <w:sz w:val="21"/>
          <w:szCs w:val="21"/>
          <w:u w:val="single"/>
          <w:lang w:eastAsia="zh-CN"/>
        </w:rPr>
        <w:t>轨道御玺君临湾项目结算阶段造价服务</w:t>
      </w:r>
      <w:r>
        <w:rPr>
          <w:rFonts w:hint="eastAsia" w:ascii="Times New Roman"/>
          <w:sz w:val="21"/>
          <w:szCs w:val="21"/>
        </w:rPr>
        <w:t xml:space="preserve"> </w:t>
      </w:r>
      <w:r>
        <w:rPr>
          <w:rFonts w:ascii="Times New Roman"/>
          <w:sz w:val="21"/>
          <w:szCs w:val="21"/>
        </w:rPr>
        <w:t>的造价咨询服务工作，</w:t>
      </w:r>
      <w:r>
        <w:rPr>
          <w:rFonts w:ascii="Times New Roman"/>
          <w:color w:val="auto"/>
          <w:sz w:val="21"/>
          <w:szCs w:val="21"/>
          <w:highlight w:val="none"/>
        </w:rPr>
        <w:t>以</w:t>
      </w:r>
      <w:r>
        <w:rPr>
          <w:rFonts w:hint="eastAsia" w:ascii="Times New Roman"/>
          <w:color w:val="auto"/>
          <w:sz w:val="21"/>
          <w:szCs w:val="21"/>
          <w:highlight w:val="none"/>
          <w:lang w:bidi="ar"/>
        </w:rPr>
        <w:t>总价</w:t>
      </w:r>
      <w:r>
        <w:rPr>
          <w:rFonts w:ascii="Times New Roman"/>
          <w:color w:val="auto"/>
          <w:sz w:val="21"/>
          <w:szCs w:val="21"/>
          <w:highlight w:val="none"/>
          <w:u w:val="single"/>
          <w:lang w:bidi="ar"/>
        </w:rPr>
        <w:t xml:space="preserve">  </w:t>
      </w:r>
      <w:r>
        <w:rPr>
          <w:rFonts w:hint="eastAsia" w:ascii="Times New Roman"/>
          <w:color w:val="auto"/>
          <w:sz w:val="21"/>
          <w:szCs w:val="21"/>
          <w:highlight w:val="none"/>
          <w:u w:val="single"/>
          <w:lang w:bidi="ar"/>
        </w:rPr>
        <w:t xml:space="preserve">  </w:t>
      </w:r>
      <w:r>
        <w:rPr>
          <w:rFonts w:ascii="Times New Roman"/>
          <w:color w:val="auto"/>
          <w:sz w:val="21"/>
          <w:szCs w:val="21"/>
          <w:highlight w:val="none"/>
          <w:u w:val="single"/>
          <w:lang w:bidi="ar"/>
        </w:rPr>
        <w:t xml:space="preserve"> </w:t>
      </w:r>
      <w:r>
        <w:rPr>
          <w:rFonts w:hint="eastAsia" w:ascii="Times New Roman"/>
          <w:color w:val="auto"/>
          <w:sz w:val="21"/>
          <w:szCs w:val="21"/>
          <w:highlight w:val="none"/>
          <w:lang w:bidi="ar"/>
        </w:rPr>
        <w:t>元</w:t>
      </w:r>
      <w:r>
        <w:rPr>
          <w:rFonts w:ascii="Times New Roman"/>
          <w:color w:val="auto"/>
          <w:sz w:val="21"/>
          <w:szCs w:val="21"/>
          <w:highlight w:val="none"/>
        </w:rPr>
        <w:t>进行报价</w:t>
      </w:r>
      <w:r>
        <w:rPr>
          <w:rFonts w:hint="eastAsia" w:ascii="Times New Roman"/>
          <w:color w:val="auto"/>
          <w:sz w:val="21"/>
          <w:szCs w:val="21"/>
          <w:highlight w:val="none"/>
          <w:lang w:eastAsia="zh-CN"/>
        </w:rPr>
        <w:t>（</w:t>
      </w:r>
      <w:r>
        <w:rPr>
          <w:rFonts w:hint="eastAsia" w:ascii="Times New Roman"/>
          <w:color w:val="auto"/>
          <w:sz w:val="21"/>
          <w:szCs w:val="21"/>
          <w:highlight w:val="none"/>
          <w:lang w:val="en-US" w:eastAsia="zh-CN"/>
        </w:rPr>
        <w:t>其中不含税金额     元，税率   %，税金     元</w:t>
      </w:r>
      <w:r>
        <w:rPr>
          <w:rFonts w:hint="eastAsia" w:ascii="Times New Roman"/>
          <w:color w:val="auto"/>
          <w:sz w:val="21"/>
          <w:szCs w:val="21"/>
          <w:highlight w:val="none"/>
          <w:lang w:eastAsia="zh-CN"/>
        </w:rPr>
        <w:t>）</w:t>
      </w:r>
      <w:r>
        <w:rPr>
          <w:rFonts w:ascii="Times New Roman"/>
          <w:color w:val="auto"/>
          <w:sz w:val="21"/>
          <w:szCs w:val="21"/>
          <w:highlight w:val="none"/>
        </w:rPr>
        <w:t>，</w:t>
      </w:r>
      <w:r>
        <w:rPr>
          <w:rFonts w:ascii="Times New Roman"/>
          <w:sz w:val="21"/>
          <w:szCs w:val="21"/>
        </w:rPr>
        <w:t>按照合同条款约定计取造价咨询服务费。</w:t>
      </w:r>
    </w:p>
    <w:p w14:paraId="3C0216A1">
      <w:pPr>
        <w:spacing w:before="0" w:beforeLines="0" w:line="360" w:lineRule="auto"/>
        <w:ind w:firstLine="420"/>
        <w:rPr>
          <w:rFonts w:ascii="Times New Roman"/>
          <w:sz w:val="21"/>
          <w:szCs w:val="21"/>
        </w:rPr>
      </w:pPr>
      <w:r>
        <w:rPr>
          <w:rFonts w:ascii="Times New Roman"/>
          <w:sz w:val="21"/>
          <w:szCs w:val="21"/>
        </w:rPr>
        <w:t>2.如果我方中标，我方将保证在贵方确定的各阶段工期计划内完成咨询服务，达到合同约定的质量标准。</w:t>
      </w:r>
    </w:p>
    <w:p w14:paraId="6836DBE8">
      <w:pPr>
        <w:spacing w:before="0" w:beforeLines="0" w:line="360" w:lineRule="auto"/>
        <w:ind w:firstLine="420"/>
        <w:rPr>
          <w:rFonts w:ascii="Times New Roman"/>
          <w:sz w:val="21"/>
          <w:szCs w:val="21"/>
        </w:rPr>
      </w:pPr>
      <w:r>
        <w:rPr>
          <w:rFonts w:ascii="Times New Roman"/>
          <w:sz w:val="21"/>
          <w:szCs w:val="21"/>
        </w:rPr>
        <w:t>3.如果我方中标，我方将保证按贵方的要求提交履约担保。</w:t>
      </w:r>
    </w:p>
    <w:p w14:paraId="1301F43C">
      <w:pPr>
        <w:spacing w:before="0" w:beforeLines="0" w:line="360" w:lineRule="auto"/>
        <w:ind w:firstLine="420"/>
        <w:rPr>
          <w:rFonts w:ascii="Times New Roman"/>
          <w:sz w:val="21"/>
          <w:szCs w:val="21"/>
        </w:rPr>
      </w:pPr>
      <w:r>
        <w:rPr>
          <w:rFonts w:ascii="Times New Roman"/>
          <w:sz w:val="21"/>
          <w:szCs w:val="21"/>
        </w:rPr>
        <w:t>4.如果我方中标，我方将保证按投标文件承诺的人员及各项资源配置或贵方提出的要求投入本项目中，如违反以上承诺，我方接受合同文件及委托人颁布的相关管理办法中关于人员管理要求的相关规定进行处理。</w:t>
      </w:r>
    </w:p>
    <w:p w14:paraId="71C8FDEE">
      <w:pPr>
        <w:spacing w:before="0" w:beforeLines="0" w:line="360" w:lineRule="auto"/>
        <w:ind w:firstLine="420"/>
        <w:rPr>
          <w:rFonts w:ascii="Times New Roman"/>
          <w:sz w:val="21"/>
          <w:szCs w:val="21"/>
        </w:rPr>
      </w:pPr>
      <w:r>
        <w:rPr>
          <w:rFonts w:ascii="Times New Roman"/>
          <w:sz w:val="21"/>
          <w:szCs w:val="21"/>
        </w:rPr>
        <w:t>5. 我方同意在从规定的开标之日起</w:t>
      </w:r>
      <w:r>
        <w:rPr>
          <w:rFonts w:hint="eastAsia" w:ascii="Times New Roman"/>
          <w:sz w:val="21"/>
          <w:szCs w:val="21"/>
          <w:u w:val="single"/>
        </w:rPr>
        <w:t>12</w:t>
      </w:r>
      <w:r>
        <w:rPr>
          <w:rFonts w:ascii="Times New Roman"/>
          <w:sz w:val="21"/>
          <w:szCs w:val="21"/>
          <w:u w:val="single"/>
        </w:rPr>
        <w:t>0</w:t>
      </w:r>
      <w:r>
        <w:rPr>
          <w:rFonts w:ascii="Times New Roman"/>
          <w:sz w:val="21"/>
          <w:szCs w:val="21"/>
        </w:rPr>
        <w:t>天的投标有效期内严格遵守本投标函的各项承诺。在此期限届满之前，本投标函始终将对我方具有约束力，并随时接受中标。</w:t>
      </w:r>
    </w:p>
    <w:p w14:paraId="49D8947A">
      <w:pPr>
        <w:spacing w:before="0" w:beforeLines="0" w:line="360" w:lineRule="auto"/>
        <w:ind w:firstLine="420"/>
        <w:rPr>
          <w:rFonts w:ascii="Times New Roman"/>
          <w:sz w:val="21"/>
          <w:szCs w:val="21"/>
        </w:rPr>
      </w:pPr>
      <w:r>
        <w:rPr>
          <w:rFonts w:ascii="Times New Roman"/>
          <w:sz w:val="21"/>
          <w:szCs w:val="21"/>
        </w:rPr>
        <w:t>6.在合同协议书正式签署生效之前，本投标函连同贵方的中标通知书将构成你我双方之间共同遵守的文件，对双方具有约束力。</w:t>
      </w:r>
    </w:p>
    <w:p w14:paraId="0D63C627">
      <w:pPr>
        <w:spacing w:before="0" w:beforeLines="0" w:line="360" w:lineRule="auto"/>
        <w:ind w:firstLine="420"/>
        <w:rPr>
          <w:rFonts w:ascii="Times New Roman"/>
          <w:sz w:val="21"/>
          <w:szCs w:val="21"/>
        </w:rPr>
      </w:pPr>
      <w:r>
        <w:rPr>
          <w:rFonts w:ascii="Times New Roman"/>
          <w:sz w:val="21"/>
          <w:szCs w:val="21"/>
        </w:rPr>
        <w:t>7.我方理解，贵方不一定接受最低报价的投标或其他任何投标；贵方不负担我方的任何投标费用。同时也理解，贵方关于不对未中标人给予投标补偿的声明。</w:t>
      </w:r>
    </w:p>
    <w:p w14:paraId="6662768A">
      <w:pPr>
        <w:pStyle w:val="2"/>
        <w:ind w:left="480" w:firstLine="480"/>
        <w:rPr>
          <w:rFonts w:ascii="Times New Roman"/>
        </w:rPr>
      </w:pPr>
    </w:p>
    <w:p w14:paraId="0859E269">
      <w:pPr>
        <w:spacing w:before="120" w:beforeLines="0"/>
        <w:ind w:firstLine="420"/>
        <w:rPr>
          <w:rFonts w:ascii="Times New Roman"/>
          <w:sz w:val="21"/>
          <w:szCs w:val="21"/>
        </w:rPr>
      </w:pPr>
      <w:r>
        <w:rPr>
          <w:rFonts w:ascii="Times New Roman"/>
          <w:sz w:val="21"/>
          <w:szCs w:val="21"/>
        </w:rPr>
        <w:t>投 标 人：</w:t>
      </w:r>
      <w:r>
        <w:rPr>
          <w:rFonts w:ascii="Times New Roman"/>
          <w:sz w:val="21"/>
          <w:szCs w:val="21"/>
          <w:u w:val="single"/>
        </w:rPr>
        <w:t xml:space="preserve">                 （公章）                </w:t>
      </w:r>
    </w:p>
    <w:p w14:paraId="4CAFA645">
      <w:pPr>
        <w:spacing w:before="120" w:beforeLines="0"/>
        <w:ind w:firstLine="420"/>
        <w:rPr>
          <w:rFonts w:ascii="Times New Roman"/>
          <w:sz w:val="21"/>
          <w:szCs w:val="21"/>
        </w:rPr>
      </w:pPr>
      <w:r>
        <w:rPr>
          <w:rFonts w:ascii="Times New Roman"/>
          <w:sz w:val="21"/>
          <w:szCs w:val="21"/>
        </w:rPr>
        <w:t>单位地址：</w:t>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 xml:space="preserve">  </w:t>
      </w:r>
      <w:r>
        <w:rPr>
          <w:rFonts w:ascii="Times New Roman"/>
          <w:sz w:val="21"/>
          <w:szCs w:val="21"/>
          <w:u w:val="single"/>
        </w:rPr>
        <w:tab/>
      </w:r>
      <w:r>
        <w:rPr>
          <w:rFonts w:ascii="Times New Roman"/>
          <w:sz w:val="21"/>
          <w:szCs w:val="21"/>
          <w:u w:val="single"/>
        </w:rPr>
        <w:t xml:space="preserve">                   </w:t>
      </w:r>
    </w:p>
    <w:p w14:paraId="27A10B0B">
      <w:pPr>
        <w:spacing w:before="120" w:beforeLines="0"/>
        <w:ind w:firstLine="420"/>
        <w:rPr>
          <w:rFonts w:ascii="Times New Roman"/>
          <w:sz w:val="21"/>
          <w:szCs w:val="21"/>
        </w:rPr>
      </w:pPr>
      <w:r>
        <w:rPr>
          <w:rFonts w:ascii="Times New Roman"/>
          <w:sz w:val="21"/>
          <w:szCs w:val="21"/>
        </w:rPr>
        <w:t>法定代表人或其委托代理人：</w:t>
      </w:r>
      <w:r>
        <w:rPr>
          <w:rFonts w:ascii="Times New Roman"/>
          <w:sz w:val="21"/>
          <w:szCs w:val="21"/>
          <w:u w:val="single"/>
        </w:rPr>
        <w:t xml:space="preserve">       （签字或盖章）    </w:t>
      </w:r>
    </w:p>
    <w:p w14:paraId="5C7960D9">
      <w:pPr>
        <w:spacing w:before="120" w:beforeLines="0"/>
        <w:ind w:firstLine="420"/>
        <w:rPr>
          <w:rFonts w:ascii="Times New Roman"/>
          <w:sz w:val="21"/>
          <w:szCs w:val="21"/>
          <w:u w:val="single"/>
        </w:rPr>
      </w:pPr>
      <w:r>
        <w:rPr>
          <w:rFonts w:ascii="Times New Roman"/>
          <w:sz w:val="21"/>
          <w:szCs w:val="21"/>
        </w:rPr>
        <w:t>邮政编码：</w:t>
      </w:r>
      <w:r>
        <w:rPr>
          <w:rFonts w:ascii="Times New Roman"/>
          <w:sz w:val="21"/>
          <w:szCs w:val="21"/>
          <w:u w:val="single"/>
        </w:rPr>
        <w:t xml:space="preserve">        </w:t>
      </w:r>
      <w:r>
        <w:rPr>
          <w:rFonts w:ascii="Times New Roman"/>
          <w:sz w:val="21"/>
          <w:szCs w:val="21"/>
        </w:rPr>
        <w:t>电话：</w:t>
      </w:r>
      <w:r>
        <w:rPr>
          <w:rFonts w:ascii="Times New Roman"/>
          <w:sz w:val="21"/>
          <w:szCs w:val="21"/>
          <w:u w:val="single"/>
        </w:rPr>
        <w:t xml:space="preserve">          </w:t>
      </w:r>
      <w:r>
        <w:rPr>
          <w:rFonts w:ascii="Times New Roman"/>
          <w:sz w:val="21"/>
          <w:szCs w:val="21"/>
        </w:rPr>
        <w:t>传真：</w:t>
      </w:r>
      <w:r>
        <w:rPr>
          <w:rFonts w:ascii="Times New Roman"/>
          <w:sz w:val="21"/>
          <w:szCs w:val="21"/>
          <w:u w:val="single"/>
        </w:rPr>
        <w:t xml:space="preserve">           </w:t>
      </w:r>
    </w:p>
    <w:p w14:paraId="20318F1F">
      <w:pPr>
        <w:spacing w:before="120" w:beforeLines="0"/>
        <w:ind w:firstLine="420"/>
        <w:rPr>
          <w:rFonts w:ascii="Times New Roman"/>
          <w:sz w:val="21"/>
          <w:szCs w:val="21"/>
        </w:rPr>
      </w:pPr>
      <w:r>
        <w:rPr>
          <w:rFonts w:ascii="Times New Roman"/>
          <w:sz w:val="21"/>
          <w:szCs w:val="21"/>
        </w:rPr>
        <w:t>开户银行名称：</w:t>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 xml:space="preserve">     </w:t>
      </w:r>
      <w:r>
        <w:rPr>
          <w:rFonts w:ascii="Times New Roman"/>
          <w:sz w:val="21"/>
          <w:szCs w:val="21"/>
          <w:u w:val="single"/>
        </w:rPr>
        <w:tab/>
      </w:r>
      <w:r>
        <w:rPr>
          <w:rFonts w:ascii="Times New Roman"/>
          <w:sz w:val="21"/>
          <w:szCs w:val="21"/>
          <w:u w:val="single"/>
        </w:rPr>
        <w:tab/>
      </w:r>
      <w:r>
        <w:rPr>
          <w:rFonts w:ascii="Times New Roman"/>
          <w:sz w:val="21"/>
          <w:szCs w:val="21"/>
          <w:u w:val="single"/>
        </w:rPr>
        <w:t xml:space="preserve">       </w:t>
      </w:r>
    </w:p>
    <w:p w14:paraId="3AC23499">
      <w:pPr>
        <w:spacing w:before="120" w:beforeLines="0"/>
        <w:ind w:firstLine="420"/>
        <w:rPr>
          <w:rFonts w:ascii="Times New Roman"/>
          <w:sz w:val="21"/>
          <w:szCs w:val="21"/>
        </w:rPr>
      </w:pPr>
      <w:r>
        <w:rPr>
          <w:rFonts w:ascii="Times New Roman"/>
          <w:sz w:val="21"/>
          <w:szCs w:val="21"/>
        </w:rPr>
        <w:t>开户银行账号：</w:t>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 xml:space="preserve">     </w:t>
      </w:r>
      <w:r>
        <w:rPr>
          <w:rFonts w:ascii="Times New Roman"/>
          <w:sz w:val="21"/>
          <w:szCs w:val="21"/>
          <w:u w:val="single"/>
        </w:rPr>
        <w:tab/>
      </w:r>
      <w:r>
        <w:rPr>
          <w:rFonts w:ascii="Times New Roman"/>
          <w:sz w:val="21"/>
          <w:szCs w:val="21"/>
          <w:u w:val="single"/>
        </w:rPr>
        <w:tab/>
      </w:r>
      <w:r>
        <w:rPr>
          <w:rFonts w:ascii="Times New Roman"/>
          <w:sz w:val="21"/>
          <w:szCs w:val="21"/>
          <w:u w:val="single"/>
        </w:rPr>
        <w:t xml:space="preserve">       </w:t>
      </w:r>
    </w:p>
    <w:p w14:paraId="654168D0">
      <w:pPr>
        <w:spacing w:before="120" w:beforeLines="0"/>
        <w:ind w:firstLine="420"/>
        <w:rPr>
          <w:rFonts w:ascii="Times New Roman"/>
          <w:sz w:val="21"/>
          <w:szCs w:val="21"/>
        </w:rPr>
      </w:pPr>
      <w:r>
        <w:rPr>
          <w:rFonts w:ascii="Times New Roman"/>
          <w:sz w:val="21"/>
          <w:szCs w:val="21"/>
        </w:rPr>
        <w:t>开户银行地址：</w:t>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 xml:space="preserve">     </w:t>
      </w:r>
      <w:r>
        <w:rPr>
          <w:rFonts w:ascii="Times New Roman"/>
          <w:sz w:val="21"/>
          <w:szCs w:val="21"/>
          <w:u w:val="single"/>
        </w:rPr>
        <w:tab/>
      </w:r>
      <w:r>
        <w:rPr>
          <w:rFonts w:ascii="Times New Roman"/>
          <w:sz w:val="21"/>
          <w:szCs w:val="21"/>
          <w:u w:val="single"/>
        </w:rPr>
        <w:tab/>
      </w:r>
      <w:r>
        <w:rPr>
          <w:rFonts w:ascii="Times New Roman"/>
          <w:sz w:val="21"/>
          <w:szCs w:val="21"/>
          <w:u w:val="single"/>
        </w:rPr>
        <w:t xml:space="preserve">       </w:t>
      </w:r>
    </w:p>
    <w:p w14:paraId="60A4685E">
      <w:pPr>
        <w:spacing w:before="120" w:beforeLines="0"/>
        <w:ind w:firstLine="420"/>
        <w:rPr>
          <w:rFonts w:ascii="Times New Roman"/>
          <w:sz w:val="21"/>
          <w:szCs w:val="21"/>
        </w:rPr>
      </w:pPr>
      <w:r>
        <w:rPr>
          <w:rFonts w:ascii="Times New Roman"/>
          <w:sz w:val="21"/>
          <w:szCs w:val="21"/>
        </w:rPr>
        <w:t>开户银行电话：</w:t>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ab/>
      </w:r>
      <w:r>
        <w:rPr>
          <w:rFonts w:ascii="Times New Roman"/>
          <w:sz w:val="21"/>
          <w:szCs w:val="21"/>
          <w:u w:val="single"/>
        </w:rPr>
        <w:t xml:space="preserve">     </w:t>
      </w:r>
      <w:r>
        <w:rPr>
          <w:rFonts w:ascii="Times New Roman"/>
          <w:sz w:val="21"/>
          <w:szCs w:val="21"/>
          <w:u w:val="single"/>
        </w:rPr>
        <w:tab/>
      </w:r>
      <w:r>
        <w:rPr>
          <w:rFonts w:ascii="Times New Roman"/>
          <w:sz w:val="21"/>
          <w:szCs w:val="21"/>
          <w:u w:val="single"/>
        </w:rPr>
        <w:tab/>
      </w:r>
      <w:r>
        <w:rPr>
          <w:rFonts w:ascii="Times New Roman"/>
          <w:sz w:val="21"/>
          <w:szCs w:val="21"/>
          <w:u w:val="single"/>
        </w:rPr>
        <w:t xml:space="preserve">       </w:t>
      </w:r>
    </w:p>
    <w:p w14:paraId="192481BB">
      <w:pPr>
        <w:spacing w:before="120" w:beforeLines="0"/>
        <w:ind w:firstLine="420"/>
        <w:rPr>
          <w:rFonts w:ascii="Times New Roman"/>
          <w:sz w:val="21"/>
          <w:szCs w:val="21"/>
        </w:rPr>
      </w:pPr>
      <w:r>
        <w:rPr>
          <w:rFonts w:ascii="Times New Roman"/>
          <w:sz w:val="21"/>
          <w:szCs w:val="21"/>
        </w:rPr>
        <w:t>日    期：</w:t>
      </w:r>
      <w:r>
        <w:rPr>
          <w:rFonts w:ascii="Times New Roman"/>
          <w:sz w:val="21"/>
          <w:szCs w:val="21"/>
          <w:u w:val="single"/>
        </w:rPr>
        <w:t xml:space="preserve">              </w:t>
      </w:r>
      <w:r>
        <w:rPr>
          <w:rFonts w:ascii="Times New Roman"/>
          <w:sz w:val="21"/>
          <w:szCs w:val="21"/>
        </w:rPr>
        <w:t>年</w:t>
      </w:r>
      <w:r>
        <w:rPr>
          <w:rFonts w:ascii="Times New Roman"/>
          <w:sz w:val="21"/>
          <w:szCs w:val="21"/>
          <w:u w:val="single"/>
        </w:rPr>
        <w:t xml:space="preserve">         </w:t>
      </w:r>
      <w:r>
        <w:rPr>
          <w:rFonts w:ascii="Times New Roman"/>
          <w:sz w:val="21"/>
          <w:szCs w:val="21"/>
        </w:rPr>
        <w:t>月</w:t>
      </w:r>
      <w:r>
        <w:rPr>
          <w:rFonts w:ascii="Times New Roman"/>
          <w:sz w:val="21"/>
          <w:szCs w:val="21"/>
          <w:u w:val="single"/>
        </w:rPr>
        <w:t xml:space="preserve">         </w:t>
      </w:r>
      <w:r>
        <w:rPr>
          <w:rFonts w:ascii="Times New Roman"/>
          <w:sz w:val="21"/>
          <w:szCs w:val="21"/>
        </w:rPr>
        <w:t>日</w:t>
      </w:r>
    </w:p>
    <w:p w14:paraId="685D32A2">
      <w:pPr>
        <w:ind w:firstLine="0" w:firstLineChars="0"/>
        <w:outlineLvl w:val="1"/>
        <w:rPr>
          <w:rFonts w:ascii="Times New Roman"/>
        </w:rPr>
      </w:pPr>
      <w:bookmarkStart w:id="1379" w:name="_Toc12773"/>
      <w:bookmarkStart w:id="1380" w:name="_Toc29428"/>
      <w:bookmarkStart w:id="1381" w:name="_Toc491534518"/>
      <w:bookmarkStart w:id="1382" w:name="_Toc3481"/>
      <w:r>
        <w:rPr>
          <w:rFonts w:ascii="Times New Roman"/>
        </w:rPr>
        <w:br w:type="page"/>
      </w:r>
      <w:bookmarkStart w:id="1383" w:name="_Toc193981354"/>
      <w:r>
        <w:rPr>
          <w:rFonts w:ascii="Times New Roman"/>
        </w:rPr>
        <w:t>D2投标函附录</w:t>
      </w:r>
      <w:bookmarkEnd w:id="1379"/>
      <w:bookmarkEnd w:id="1380"/>
      <w:bookmarkEnd w:id="1381"/>
      <w:bookmarkEnd w:id="1382"/>
      <w:bookmarkEnd w:id="1383"/>
    </w:p>
    <w:p w14:paraId="7D0D92E7">
      <w:pPr>
        <w:pStyle w:val="99"/>
        <w:spacing w:before="312" w:beforeLines="100" w:after="312" w:afterLines="100"/>
        <w:rPr>
          <w:rFonts w:ascii="Times New Roman" w:hAnsi="Times New Roman" w:cs="Times New Roman"/>
        </w:rPr>
      </w:pPr>
      <w:r>
        <w:rPr>
          <w:rFonts w:ascii="Times New Roman" w:hAnsi="Times New Roman" w:cs="Times New Roman"/>
        </w:rPr>
        <w:t>二、投标函附录</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3819"/>
        <w:gridCol w:w="1278"/>
        <w:gridCol w:w="2363"/>
      </w:tblGrid>
      <w:tr w14:paraId="4D27C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612" w:type="dxa"/>
            <w:noWrap w:val="0"/>
            <w:vAlign w:val="center"/>
          </w:tcPr>
          <w:p w14:paraId="1A4B0167">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项目名称</w:t>
            </w:r>
          </w:p>
        </w:tc>
        <w:tc>
          <w:tcPr>
            <w:tcW w:w="3819" w:type="dxa"/>
            <w:noWrap w:val="0"/>
            <w:vAlign w:val="center"/>
          </w:tcPr>
          <w:p w14:paraId="15742024">
            <w:pPr>
              <w:pStyle w:val="98"/>
              <w:keepNext w:val="0"/>
              <w:keepLines w:val="0"/>
              <w:widowControl/>
              <w:suppressLineNumbers w:val="0"/>
              <w:spacing w:before="0" w:beforeAutospacing="0" w:after="0" w:afterAutospacing="0" w:line="240" w:lineRule="auto"/>
              <w:ind w:left="0" w:right="0"/>
              <w:rPr>
                <w:rFonts w:hint="eastAsia" w:ascii="Times New Roman" w:hAnsi="Times New Roman" w:eastAsia="宋体" w:cs="Times New Roman"/>
                <w:lang w:eastAsia="zh-CN"/>
              </w:rPr>
            </w:pPr>
            <w:r>
              <w:rPr>
                <w:rFonts w:hint="eastAsia" w:ascii="Times New Roman" w:hAnsi="Times New Roman" w:eastAsia="宋体" w:cs="Times New Roman"/>
                <w:lang w:eastAsia="zh-CN"/>
              </w:rPr>
              <w:t>轨道御玺君临湾项目结算阶段造价服务</w:t>
            </w:r>
          </w:p>
        </w:tc>
        <w:tc>
          <w:tcPr>
            <w:tcW w:w="1278" w:type="dxa"/>
            <w:noWrap w:val="0"/>
            <w:vAlign w:val="center"/>
          </w:tcPr>
          <w:p w14:paraId="15910553">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招标编号</w:t>
            </w:r>
          </w:p>
        </w:tc>
        <w:tc>
          <w:tcPr>
            <w:tcW w:w="2363" w:type="dxa"/>
            <w:noWrap w:val="0"/>
            <w:vAlign w:val="center"/>
          </w:tcPr>
          <w:p w14:paraId="6BF925C3">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p>
        </w:tc>
      </w:tr>
      <w:tr w14:paraId="4C48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12" w:type="dxa"/>
            <w:noWrap w:val="0"/>
            <w:vAlign w:val="center"/>
          </w:tcPr>
          <w:p w14:paraId="212D8FE7">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投标人名称</w:t>
            </w:r>
          </w:p>
        </w:tc>
        <w:tc>
          <w:tcPr>
            <w:tcW w:w="7460" w:type="dxa"/>
            <w:gridSpan w:val="3"/>
            <w:noWrap w:val="0"/>
            <w:vAlign w:val="center"/>
          </w:tcPr>
          <w:p w14:paraId="30792942">
            <w:pPr>
              <w:pStyle w:val="98"/>
              <w:keepNext w:val="0"/>
              <w:keepLines w:val="0"/>
              <w:widowControl/>
              <w:suppressLineNumbers w:val="0"/>
              <w:spacing w:before="0" w:beforeAutospacing="0" w:after="0" w:afterAutospacing="0" w:line="240" w:lineRule="auto"/>
              <w:ind w:left="0" w:right="0"/>
              <w:jc w:val="both"/>
              <w:rPr>
                <w:rFonts w:ascii="Times New Roman" w:hAnsi="Times New Roman" w:eastAsia="宋体" w:cs="Times New Roman"/>
              </w:rPr>
            </w:pPr>
          </w:p>
        </w:tc>
      </w:tr>
      <w:tr w14:paraId="78F3D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12" w:type="dxa"/>
            <w:noWrap w:val="0"/>
            <w:vAlign w:val="center"/>
          </w:tcPr>
          <w:p w14:paraId="24AADC9F">
            <w:pPr>
              <w:pStyle w:val="98"/>
              <w:keepNext w:val="0"/>
              <w:keepLines w:val="0"/>
              <w:widowControl/>
              <w:suppressLineNumbers w:val="0"/>
              <w:spacing w:before="0" w:beforeAutospacing="0" w:after="0" w:afterAutospacing="0" w:line="240" w:lineRule="auto"/>
              <w:ind w:left="0" w:right="0"/>
              <w:rPr>
                <w:rFonts w:hint="eastAsia" w:ascii="Times New Roman" w:hAnsi="Times New Roman" w:eastAsia="宋体" w:cs="Times New Roman"/>
              </w:rPr>
            </w:pPr>
            <w:r>
              <w:rPr>
                <w:rFonts w:ascii="Times New Roman" w:hAnsi="Times New Roman" w:eastAsia="宋体" w:cs="Times New Roman"/>
              </w:rPr>
              <w:t>投标报价</w:t>
            </w:r>
            <w:r>
              <w:rPr>
                <w:rFonts w:hint="eastAsia" w:ascii="Times New Roman" w:hAnsi="Times New Roman" w:eastAsia="宋体" w:cs="Times New Roman"/>
              </w:rPr>
              <w:t>（元）</w:t>
            </w:r>
          </w:p>
        </w:tc>
        <w:tc>
          <w:tcPr>
            <w:tcW w:w="7460" w:type="dxa"/>
            <w:gridSpan w:val="3"/>
            <w:noWrap w:val="0"/>
            <w:vAlign w:val="center"/>
          </w:tcPr>
          <w:p w14:paraId="3C2D197E">
            <w:pPr>
              <w:pStyle w:val="98"/>
              <w:keepNext w:val="0"/>
              <w:keepLines w:val="0"/>
              <w:widowControl/>
              <w:suppressLineNumbers w:val="0"/>
              <w:spacing w:before="0" w:beforeAutospacing="0" w:after="0" w:afterAutospacing="0" w:line="240" w:lineRule="auto"/>
              <w:ind w:left="0" w:right="0"/>
              <w:jc w:val="both"/>
              <w:rPr>
                <w:rFonts w:ascii="Times New Roman" w:hAnsi="Times New Roman" w:eastAsia="宋体" w:cs="Times New Roman"/>
              </w:rPr>
            </w:pPr>
          </w:p>
        </w:tc>
      </w:tr>
      <w:tr w14:paraId="2827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12" w:type="dxa"/>
            <w:noWrap w:val="0"/>
            <w:vAlign w:val="center"/>
          </w:tcPr>
          <w:p w14:paraId="0ECDA31E">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服务周期</w:t>
            </w:r>
          </w:p>
        </w:tc>
        <w:tc>
          <w:tcPr>
            <w:tcW w:w="7460" w:type="dxa"/>
            <w:gridSpan w:val="3"/>
            <w:noWrap w:val="0"/>
            <w:vAlign w:val="center"/>
          </w:tcPr>
          <w:p w14:paraId="4BDFD9BC">
            <w:pPr>
              <w:pStyle w:val="98"/>
              <w:keepNext w:val="0"/>
              <w:keepLines w:val="0"/>
              <w:widowControl/>
              <w:suppressLineNumbers w:val="0"/>
              <w:spacing w:before="0" w:beforeAutospacing="0" w:after="0" w:afterAutospacing="0" w:line="240" w:lineRule="auto"/>
              <w:ind w:left="0" w:right="0"/>
              <w:jc w:val="both"/>
              <w:rPr>
                <w:rFonts w:hint="eastAsia" w:eastAsia="宋体"/>
              </w:rPr>
            </w:pPr>
            <w:r>
              <w:rPr>
                <w:rFonts w:hint="eastAsia" w:eastAsia="宋体"/>
              </w:rPr>
              <w:t>签订合同之日起至项目所有合同结算完成。</w:t>
            </w:r>
          </w:p>
        </w:tc>
      </w:tr>
      <w:tr w14:paraId="71D6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12" w:type="dxa"/>
            <w:noWrap w:val="0"/>
            <w:vAlign w:val="center"/>
          </w:tcPr>
          <w:p w14:paraId="14719C72">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质量要求</w:t>
            </w:r>
          </w:p>
        </w:tc>
        <w:tc>
          <w:tcPr>
            <w:tcW w:w="7460" w:type="dxa"/>
            <w:gridSpan w:val="3"/>
            <w:noWrap w:val="0"/>
            <w:vAlign w:val="center"/>
          </w:tcPr>
          <w:p w14:paraId="005882F8">
            <w:pPr>
              <w:pStyle w:val="98"/>
              <w:keepNext w:val="0"/>
              <w:keepLines w:val="0"/>
              <w:widowControl/>
              <w:suppressLineNumbers w:val="0"/>
              <w:spacing w:before="0" w:beforeAutospacing="0" w:after="0" w:afterAutospacing="0" w:line="240" w:lineRule="auto"/>
              <w:ind w:left="0" w:right="0"/>
              <w:jc w:val="both"/>
              <w:rPr>
                <w:rFonts w:ascii="Times New Roman" w:hAnsi="Times New Roman" w:eastAsia="宋体" w:cs="Times New Roman"/>
              </w:rPr>
            </w:pPr>
            <w:r>
              <w:rPr>
                <w:rFonts w:hint="eastAsia" w:eastAsia="宋体"/>
              </w:rPr>
              <w:t>按服务范围内的建设工程造价咨询业务，保质保量按时完成合同约定造价咨询服务事项，并符合中国工程造价管理协会颁布的《建设项目全过程造价咨询规程》（CECAGC4-2017）要求及国家及地方现行有关法律、法规、标准的规定。</w:t>
            </w:r>
          </w:p>
        </w:tc>
      </w:tr>
      <w:tr w14:paraId="081A5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12" w:type="dxa"/>
            <w:noWrap w:val="0"/>
            <w:vAlign w:val="center"/>
          </w:tcPr>
          <w:p w14:paraId="6A67ADD8">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履约担保形式</w:t>
            </w:r>
          </w:p>
        </w:tc>
        <w:tc>
          <w:tcPr>
            <w:tcW w:w="7460" w:type="dxa"/>
            <w:gridSpan w:val="3"/>
            <w:noWrap w:val="0"/>
            <w:vAlign w:val="center"/>
          </w:tcPr>
          <w:p w14:paraId="274CA67C">
            <w:pPr>
              <w:pStyle w:val="98"/>
              <w:keepNext w:val="0"/>
              <w:keepLines w:val="0"/>
              <w:widowControl/>
              <w:suppressLineNumbers w:val="0"/>
              <w:spacing w:before="0" w:beforeAutospacing="0" w:after="0" w:afterAutospacing="0" w:line="240" w:lineRule="auto"/>
              <w:ind w:left="0" w:right="0"/>
              <w:jc w:val="both"/>
              <w:rPr>
                <w:rFonts w:ascii="Times New Roman" w:hAnsi="Times New Roman" w:eastAsia="宋体" w:cs="Times New Roman"/>
              </w:rPr>
            </w:pPr>
            <w:r>
              <w:rPr>
                <w:rFonts w:hint="eastAsia" w:ascii="Times New Roman" w:hAnsi="Times New Roman" w:eastAsia="宋体" w:cs="Times New Roman"/>
              </w:rPr>
              <w:t>/</w:t>
            </w:r>
          </w:p>
        </w:tc>
      </w:tr>
      <w:tr w14:paraId="39F6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12" w:type="dxa"/>
            <w:noWrap w:val="0"/>
            <w:vAlign w:val="center"/>
          </w:tcPr>
          <w:p w14:paraId="1B35D3A8">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履约担保金额</w:t>
            </w:r>
          </w:p>
        </w:tc>
        <w:tc>
          <w:tcPr>
            <w:tcW w:w="7460" w:type="dxa"/>
            <w:gridSpan w:val="3"/>
            <w:noWrap w:val="0"/>
            <w:vAlign w:val="center"/>
          </w:tcPr>
          <w:p w14:paraId="2D672F6F">
            <w:pPr>
              <w:pStyle w:val="98"/>
              <w:keepNext w:val="0"/>
              <w:keepLines w:val="0"/>
              <w:widowControl/>
              <w:suppressLineNumbers w:val="0"/>
              <w:spacing w:before="0" w:beforeAutospacing="0" w:after="0" w:afterAutospacing="0" w:line="240" w:lineRule="auto"/>
              <w:ind w:left="0" w:right="0"/>
              <w:jc w:val="both"/>
              <w:rPr>
                <w:rFonts w:ascii="Times New Roman" w:hAnsi="Times New Roman" w:eastAsia="宋体" w:cs="Times New Roman"/>
              </w:rPr>
            </w:pPr>
            <w:r>
              <w:rPr>
                <w:rFonts w:hint="eastAsia" w:ascii="Times New Roman" w:hAnsi="Times New Roman" w:eastAsia="宋体" w:cs="Times New Roman"/>
              </w:rPr>
              <w:t>/</w:t>
            </w:r>
          </w:p>
        </w:tc>
      </w:tr>
      <w:tr w14:paraId="5B97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8" w:hRule="atLeast"/>
          <w:jc w:val="center"/>
        </w:trPr>
        <w:tc>
          <w:tcPr>
            <w:tcW w:w="1612" w:type="dxa"/>
            <w:noWrap w:val="0"/>
            <w:vAlign w:val="center"/>
          </w:tcPr>
          <w:p w14:paraId="65A70B90">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r>
              <w:rPr>
                <w:rFonts w:ascii="Times New Roman" w:hAnsi="Times New Roman" w:eastAsia="宋体" w:cs="Times New Roman"/>
              </w:rPr>
              <w:t>备注</w:t>
            </w:r>
          </w:p>
        </w:tc>
        <w:tc>
          <w:tcPr>
            <w:tcW w:w="7460" w:type="dxa"/>
            <w:gridSpan w:val="3"/>
            <w:noWrap w:val="0"/>
            <w:vAlign w:val="center"/>
          </w:tcPr>
          <w:p w14:paraId="10848072">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p>
          <w:p w14:paraId="6998D9D4">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p>
          <w:p w14:paraId="6586D53E">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p>
          <w:p w14:paraId="2B3B75BD">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p>
          <w:p w14:paraId="4C3B36FF">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p>
          <w:p w14:paraId="2A207E3E">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p>
          <w:p w14:paraId="5CCDB5BC">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p>
          <w:p w14:paraId="12BD4C59">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p>
          <w:p w14:paraId="217395F4">
            <w:pPr>
              <w:pStyle w:val="98"/>
              <w:keepNext w:val="0"/>
              <w:keepLines w:val="0"/>
              <w:widowControl/>
              <w:suppressLineNumbers w:val="0"/>
              <w:spacing w:before="0" w:beforeAutospacing="0" w:after="0" w:afterAutospacing="0" w:line="240" w:lineRule="auto"/>
              <w:ind w:left="0" w:right="0"/>
              <w:rPr>
                <w:rFonts w:ascii="Times New Roman" w:hAnsi="Times New Roman" w:eastAsia="宋体" w:cs="Times New Roman"/>
              </w:rPr>
            </w:pPr>
          </w:p>
        </w:tc>
      </w:tr>
    </w:tbl>
    <w:p w14:paraId="62FA2317">
      <w:pPr>
        <w:spacing w:before="0" w:beforeLines="0"/>
        <w:ind w:firstLine="420"/>
        <w:rPr>
          <w:rFonts w:ascii="Times New Roman"/>
          <w:sz w:val="21"/>
          <w:szCs w:val="21"/>
        </w:rPr>
      </w:pPr>
    </w:p>
    <w:p w14:paraId="317C89D5">
      <w:pPr>
        <w:spacing w:before="0" w:beforeLines="0"/>
        <w:ind w:firstLine="420"/>
        <w:rPr>
          <w:rFonts w:ascii="Times New Roman"/>
          <w:sz w:val="21"/>
          <w:szCs w:val="21"/>
        </w:rPr>
      </w:pPr>
    </w:p>
    <w:p w14:paraId="4E33AF06">
      <w:pPr>
        <w:spacing w:before="0" w:beforeLines="0"/>
        <w:ind w:left="2100" w:firstLine="420"/>
        <w:rPr>
          <w:rFonts w:ascii="Times New Roman"/>
          <w:sz w:val="21"/>
          <w:szCs w:val="21"/>
          <w:u w:val="single"/>
        </w:rPr>
      </w:pPr>
      <w:r>
        <w:rPr>
          <w:rFonts w:ascii="Times New Roman"/>
          <w:sz w:val="21"/>
          <w:szCs w:val="21"/>
        </w:rPr>
        <w:t>投标人（公章）：</w:t>
      </w:r>
      <w:r>
        <w:rPr>
          <w:rFonts w:ascii="Times New Roman"/>
          <w:sz w:val="21"/>
          <w:szCs w:val="21"/>
          <w:u w:val="single"/>
        </w:rPr>
        <w:t xml:space="preserve">                                        </w:t>
      </w:r>
    </w:p>
    <w:p w14:paraId="5FC6A504">
      <w:pPr>
        <w:spacing w:before="0" w:beforeLines="0"/>
        <w:ind w:left="2100" w:firstLine="420"/>
        <w:rPr>
          <w:rFonts w:ascii="Times New Roman"/>
          <w:sz w:val="21"/>
          <w:szCs w:val="21"/>
        </w:rPr>
      </w:pPr>
      <w:r>
        <w:rPr>
          <w:rFonts w:ascii="Times New Roman"/>
          <w:sz w:val="21"/>
          <w:szCs w:val="21"/>
        </w:rPr>
        <w:t>法人代表或委托代理人（签字或盖章）：</w:t>
      </w:r>
      <w:r>
        <w:rPr>
          <w:rFonts w:ascii="Times New Roman"/>
          <w:sz w:val="21"/>
          <w:szCs w:val="21"/>
          <w:u w:val="single"/>
        </w:rPr>
        <w:t xml:space="preserve">                    </w:t>
      </w:r>
    </w:p>
    <w:p w14:paraId="6C6BE17C">
      <w:pPr>
        <w:spacing w:before="0" w:beforeLines="0"/>
        <w:ind w:left="4620" w:firstLine="420"/>
        <w:rPr>
          <w:rFonts w:ascii="Times New Roman"/>
          <w:sz w:val="21"/>
          <w:szCs w:val="21"/>
        </w:rPr>
      </w:pPr>
      <w:r>
        <w:rPr>
          <w:rFonts w:ascii="Times New Roman"/>
          <w:sz w:val="21"/>
          <w:szCs w:val="21"/>
        </w:rPr>
        <w:t>日期：</w:t>
      </w:r>
      <w:r>
        <w:rPr>
          <w:rFonts w:ascii="Times New Roman"/>
          <w:sz w:val="21"/>
          <w:szCs w:val="21"/>
          <w:u w:val="single"/>
        </w:rPr>
        <w:t xml:space="preserve">        </w:t>
      </w:r>
      <w:r>
        <w:rPr>
          <w:rFonts w:ascii="Times New Roman"/>
          <w:sz w:val="21"/>
          <w:szCs w:val="21"/>
        </w:rPr>
        <w:t>年</w:t>
      </w:r>
      <w:r>
        <w:rPr>
          <w:rFonts w:ascii="Times New Roman"/>
          <w:sz w:val="21"/>
          <w:szCs w:val="21"/>
          <w:u w:val="single"/>
        </w:rPr>
        <w:t xml:space="preserve">    </w:t>
      </w:r>
      <w:r>
        <w:rPr>
          <w:rFonts w:ascii="Times New Roman"/>
          <w:sz w:val="21"/>
          <w:szCs w:val="21"/>
        </w:rPr>
        <w:t>月</w:t>
      </w:r>
      <w:r>
        <w:rPr>
          <w:rFonts w:ascii="Times New Roman"/>
          <w:sz w:val="21"/>
          <w:szCs w:val="21"/>
          <w:u w:val="single"/>
        </w:rPr>
        <w:t xml:space="preserve">    </w:t>
      </w:r>
      <w:r>
        <w:rPr>
          <w:rFonts w:ascii="Times New Roman"/>
          <w:sz w:val="21"/>
          <w:szCs w:val="21"/>
        </w:rPr>
        <w:t>日</w:t>
      </w:r>
    </w:p>
    <w:sectPr>
      <w:pgSz w:w="11906" w:h="16838"/>
      <w:pgMar w:top="1440" w:right="1800" w:bottom="1440" w:left="1800" w:header="737" w:footer="737"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方正书宋简体">
    <w:altName w:val="宋体"/>
    <w:panose1 w:val="02000000000000000000"/>
    <w:charset w:val="86"/>
    <w:family w:val="script"/>
    <w:pitch w:val="default"/>
    <w:sig w:usb0="00000000" w:usb1="00000000" w:usb2="00000000" w:usb3="00000000" w:csb0="00040000" w:csb1="00000000"/>
  </w:font>
  <w:font w:name="Lucida Fax">
    <w:altName w:val="Segoe Print"/>
    <w:panose1 w:val="02060602050505020204"/>
    <w:charset w:val="00"/>
    <w:family w:val="roman"/>
    <w:pitch w:val="default"/>
    <w:sig w:usb0="00000000" w:usb1="00000000" w:usb2="00000000" w:usb3="00000000" w:csb0="20000001" w:csb1="00000000"/>
  </w:font>
  <w:font w:name="Calibri Light">
    <w:panose1 w:val="020F0302020204030204"/>
    <w:charset w:val="00"/>
    <w:family w:val="swiss"/>
    <w:pitch w:val="default"/>
    <w:sig w:usb0="E4002EFF" w:usb1="C000247B" w:usb2="00000009" w:usb3="00000000" w:csb0="200001FF" w:csb1="00000000"/>
  </w:font>
  <w:font w:name="瀹嬩綋">
    <w:altName w:val="Segoe Print"/>
    <w:panose1 w:val="00000000000000000000"/>
    <w:charset w:val="00"/>
    <w:family w:val="auto"/>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822CA">
    <w:pPr>
      <w:pStyle w:val="33"/>
      <w:spacing w:before="120" w:beforeLines="0"/>
      <w:ind w:firstLine="0" w:firstLineChars="0"/>
      <w:jc w:val="center"/>
      <w:rPr>
        <w:rFonts w:hint="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47AE6">
    <w:pPr>
      <w:pStyle w:val="33"/>
      <w:spacing w:before="120" w:beforeLines="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9DBD3">
    <w:pPr>
      <w:pStyle w:val="33"/>
      <w:spacing w:before="120" w:beforeLines="0"/>
      <w:ind w:firstLine="360"/>
      <w:jc w:val="center"/>
      <w:rPr>
        <w:rFonts w:hint="eastAsia"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7115CB8">
                          <w:pPr>
                            <w:pStyle w:val="33"/>
                            <w:spacing w:before="120" w:beforeLines="0"/>
                            <w:ind w:firstLine="360"/>
                          </w:pPr>
                          <w:r>
                            <w:fldChar w:fldCharType="begin"/>
                          </w:r>
                          <w:r>
                            <w:rPr>
                              <w:rStyle w:val="52"/>
                            </w:rPr>
                            <w:instrText xml:space="preserve"> PAGE  </w:instrText>
                          </w:r>
                          <w:r>
                            <w:fldChar w:fldCharType="separate"/>
                          </w:r>
                          <w:r>
                            <w:rPr>
                              <w:rStyle w:val="52"/>
                            </w:rPr>
                            <w:t>5</w:t>
                          </w:r>
                          <w:r>
                            <w:fldChar w:fldCharType="end"/>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hZ0EHSAQAAo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l5RYZnDg518/z7//&#10;nv/8IKskT++hxqx7j3lx+OgGXJr5HvAysR5kMOmLfAjGUdzTRVwxRMLTo2pZVSWGOMZmB/GLx+c+&#10;QLwTzpBkNDTg9LKo7PgZ4pg6p6Rq1t0qrfMEtSU9oq6q96v84hJCdG2xSGIxdpusOOyGidrOtSdk&#10;1uMKNNTixlOiP1lUOG3LbITZ2M3GwQe17/I6pVbAfzhEbCd3mSqMsFNhnF3mOe1ZWo6nfs56/Lc2&#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qFnQQdIBAACjAwAADgAAAAAAAAABACAAAAAi&#10;AQAAZHJzL2Uyb0RvYy54bWxQSwUGAAAAAAYABgBZAQAAZgUAAAAA&#10;">
              <v:fill on="f" focussize="0,0"/>
              <v:stroke on="f" weight="1.25pt"/>
              <v:imagedata o:title=""/>
              <o:lock v:ext="edit" aspectratio="f"/>
              <v:textbox inset="0mm,0mm,0mm,0mm" style="mso-fit-shape-to-text:t;">
                <w:txbxContent>
                  <w:p w14:paraId="37115CB8">
                    <w:pPr>
                      <w:pStyle w:val="33"/>
                      <w:spacing w:before="120" w:beforeLines="0"/>
                      <w:ind w:firstLine="360"/>
                    </w:pPr>
                    <w:r>
                      <w:fldChar w:fldCharType="begin"/>
                    </w:r>
                    <w:r>
                      <w:rPr>
                        <w:rStyle w:val="52"/>
                      </w:rPr>
                      <w:instrText xml:space="preserve"> PAGE  </w:instrText>
                    </w:r>
                    <w:r>
                      <w:fldChar w:fldCharType="separate"/>
                    </w:r>
                    <w:r>
                      <w:rPr>
                        <w:rStyle w:val="52"/>
                      </w:rP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35C74">
    <w:pPr>
      <w:pStyle w:val="33"/>
      <w:spacing w:before="120" w:beforeLines="0"/>
      <w:ind w:firstLine="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B189A48">
                          <w:pPr>
                            <w:pStyle w:val="33"/>
                            <w:spacing w:before="120" w:beforeLines="0"/>
                            <w:ind w:firstLine="360"/>
                            <w:jc w:val="center"/>
                          </w:pPr>
                          <w:r>
                            <w:fldChar w:fldCharType="begin"/>
                          </w:r>
                          <w:r>
                            <w:rPr>
                              <w:rStyle w:val="52"/>
                            </w:rPr>
                            <w:instrText xml:space="preserve"> PAGE </w:instrText>
                          </w:r>
                          <w:r>
                            <w:fldChar w:fldCharType="separate"/>
                          </w:r>
                          <w:r>
                            <w:rPr>
                              <w:rStyle w:val="52"/>
                            </w:rPr>
                            <w:t>1</w:t>
                          </w:r>
                          <w: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8k0Nn9IBAACjAwAADgAAAAAAAAABACAAAAAi&#10;AQAAZHJzL2Uyb0RvYy54bWxQSwUGAAAAAAYABgBZAQAAZgUAAAAA&#10;">
              <v:fill on="f" focussize="0,0"/>
              <v:stroke on="f" weight="1.25pt"/>
              <v:imagedata o:title=""/>
              <o:lock v:ext="edit" aspectratio="f"/>
              <v:textbox inset="0mm,0mm,0mm,0mm" style="mso-fit-shape-to-text:t;">
                <w:txbxContent>
                  <w:p w14:paraId="3B189A48">
                    <w:pPr>
                      <w:pStyle w:val="33"/>
                      <w:spacing w:before="120" w:beforeLines="0"/>
                      <w:ind w:firstLine="360"/>
                      <w:jc w:val="center"/>
                    </w:pPr>
                    <w:r>
                      <w:fldChar w:fldCharType="begin"/>
                    </w:r>
                    <w:r>
                      <w:rPr>
                        <w:rStyle w:val="52"/>
                      </w:rPr>
                      <w:instrText xml:space="preserve"> PAGE </w:instrText>
                    </w:r>
                    <w:r>
                      <w:fldChar w:fldCharType="separate"/>
                    </w:r>
                    <w:r>
                      <w:rPr>
                        <w:rStyle w:val="52"/>
                      </w:rP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76F39">
    <w:pPr>
      <w:pStyle w:val="33"/>
      <w:spacing w:before="120"/>
      <w:ind w:firstLine="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2CADEB9">
                          <w:pPr>
                            <w:pStyle w:val="33"/>
                            <w:spacing w:before="120"/>
                            <w:ind w:firstLine="360"/>
                          </w:pPr>
                          <w:r>
                            <w:fldChar w:fldCharType="begin"/>
                          </w:r>
                          <w:r>
                            <w:instrText xml:space="preserve"> PAGE  \* MERGEFORMAT </w:instrText>
                          </w:r>
                          <w:r>
                            <w:fldChar w:fldCharType="separate"/>
                          </w:r>
                          <w:r>
                            <w:t>70</w:t>
                          </w:r>
                          <w: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Pf4VVrTAQAApAMAAA4AAAAAAAAAAQAgAAAA&#10;IgEAAGRycy9lMm9Eb2MueG1sUEsFBgAAAAAGAAYAWQEAAGcFAAAAAA==&#10;">
              <v:fill on="f" focussize="0,0"/>
              <v:stroke on="f" weight="1.25pt"/>
              <v:imagedata o:title=""/>
              <o:lock v:ext="edit" aspectratio="f"/>
              <v:textbox inset="0mm,0mm,0mm,0mm" style="mso-fit-shape-to-text:t;">
                <w:txbxContent>
                  <w:p w14:paraId="32CADEB9">
                    <w:pPr>
                      <w:pStyle w:val="33"/>
                      <w:spacing w:before="120"/>
                      <w:ind w:firstLine="360"/>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6A465">
    <w:pPr>
      <w:pStyle w:val="33"/>
      <w:spacing w:before="120"/>
      <w:ind w:firstLine="360"/>
    </w:pPr>
    <w:r>
      <w:rPr>
        <w:rFonts w:hint="eastAsia"/>
      </w:rPr>
      <w:t xml:space="preserve">— </w:t>
    </w:r>
    <w:r>
      <w:fldChar w:fldCharType="begin"/>
    </w:r>
    <w:r>
      <w:instrText xml:space="preserve">PAGE   \* MERGEFORMAT</w:instrText>
    </w:r>
    <w:r>
      <w:fldChar w:fldCharType="separate"/>
    </w:r>
    <w:r>
      <w:rPr>
        <w:lang w:val="zh-CN"/>
      </w:rPr>
      <w:t>10</w:t>
    </w:r>
    <w:r>
      <w:fldChar w:fldCharType="end"/>
    </w:r>
    <w:r>
      <w:rPr>
        <w:rFonts w:hint="eastAsia"/>
      </w:rPr>
      <w:t xml:space="preserve"> —</w:t>
    </w:r>
  </w:p>
  <w:p w14:paraId="5B0AA7C5">
    <w:pPr>
      <w:pStyle w:val="33"/>
      <w:spacing w:before="120"/>
      <w:ind w:firstLine="360"/>
    </w:pPr>
  </w:p>
  <w:p w14:paraId="26435984">
    <w:pPr>
      <w:spacing w:before="120"/>
      <w:ind w:firstLine="4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ind w:firstLine="480"/>
      </w:pPr>
      <w:r>
        <w:separator/>
      </w:r>
    </w:p>
  </w:footnote>
  <w:footnote w:type="continuationSeparator" w:id="1">
    <w:p>
      <w:pPr>
        <w:spacing w:before="0" w:after="0" w:line="30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EF436">
    <w:pPr>
      <w:spacing w:before="120" w:beforeLines="0"/>
      <w:ind w:left="480" w:leftChars="20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DA8DC">
    <w:pPr>
      <w:spacing w:before="120" w:beforeLines="0"/>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C885E">
    <w:pPr>
      <w:spacing w:before="120" w:beforeLines="0"/>
      <w:ind w:firstLine="0" w:firstLineChars="0"/>
      <w:jc w:val="cent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0.%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00000014"/>
    <w:multiLevelType w:val="multilevel"/>
    <w:tmpl w:val="00000014"/>
    <w:lvl w:ilvl="0" w:tentative="0">
      <w:start w:val="1"/>
      <w:numFmt w:val="decimal"/>
      <w:lvlText w:val="2.%1"/>
      <w:lvlJc w:val="left"/>
      <w:pPr>
        <w:tabs>
          <w:tab w:val="left" w:pos="987"/>
        </w:tabs>
        <w:ind w:left="987" w:hanging="567"/>
      </w:pPr>
      <w:rPr>
        <w:rFonts w:hint="eastAsia" w:cs="Times New Roman"/>
      </w:rPr>
    </w:lvl>
    <w:lvl w:ilvl="1" w:tentative="0">
      <w:start w:val="1"/>
      <w:numFmt w:val="lowerLetter"/>
      <w:lvlText w:val="%2)"/>
      <w:lvlJc w:val="left"/>
      <w:pPr>
        <w:tabs>
          <w:tab w:val="left" w:pos="976"/>
        </w:tabs>
        <w:ind w:left="976" w:hanging="420"/>
      </w:pPr>
      <w:rPr>
        <w:rFonts w:cs="Times New Roman"/>
      </w:rPr>
    </w:lvl>
    <w:lvl w:ilvl="2" w:tentative="0">
      <w:start w:val="1"/>
      <w:numFmt w:val="lowerRoman"/>
      <w:lvlText w:val="%3."/>
      <w:lvlJc w:val="right"/>
      <w:pPr>
        <w:tabs>
          <w:tab w:val="left" w:pos="1396"/>
        </w:tabs>
        <w:ind w:left="1396" w:hanging="420"/>
      </w:pPr>
      <w:rPr>
        <w:rFonts w:cs="Times New Roman"/>
      </w:rPr>
    </w:lvl>
    <w:lvl w:ilvl="3" w:tentative="0">
      <w:start w:val="1"/>
      <w:numFmt w:val="decimal"/>
      <w:lvlText w:val="%4."/>
      <w:lvlJc w:val="left"/>
      <w:pPr>
        <w:tabs>
          <w:tab w:val="left" w:pos="1816"/>
        </w:tabs>
        <w:ind w:left="1816" w:hanging="420"/>
      </w:pPr>
      <w:rPr>
        <w:rFonts w:cs="Times New Roman"/>
      </w:rPr>
    </w:lvl>
    <w:lvl w:ilvl="4" w:tentative="0">
      <w:start w:val="1"/>
      <w:numFmt w:val="lowerLetter"/>
      <w:lvlText w:val="%5)"/>
      <w:lvlJc w:val="left"/>
      <w:pPr>
        <w:tabs>
          <w:tab w:val="left" w:pos="2236"/>
        </w:tabs>
        <w:ind w:left="2236" w:hanging="420"/>
      </w:pPr>
      <w:rPr>
        <w:rFonts w:cs="Times New Roman"/>
      </w:rPr>
    </w:lvl>
    <w:lvl w:ilvl="5" w:tentative="0">
      <w:start w:val="1"/>
      <w:numFmt w:val="lowerRoman"/>
      <w:lvlText w:val="%6."/>
      <w:lvlJc w:val="right"/>
      <w:pPr>
        <w:tabs>
          <w:tab w:val="left" w:pos="2656"/>
        </w:tabs>
        <w:ind w:left="2656" w:hanging="420"/>
      </w:pPr>
      <w:rPr>
        <w:rFonts w:cs="Times New Roman"/>
      </w:rPr>
    </w:lvl>
    <w:lvl w:ilvl="6" w:tentative="0">
      <w:start w:val="1"/>
      <w:numFmt w:val="decimal"/>
      <w:lvlText w:val="%7."/>
      <w:lvlJc w:val="left"/>
      <w:pPr>
        <w:tabs>
          <w:tab w:val="left" w:pos="3076"/>
        </w:tabs>
        <w:ind w:left="3076" w:hanging="420"/>
      </w:pPr>
      <w:rPr>
        <w:rFonts w:cs="Times New Roman"/>
      </w:rPr>
    </w:lvl>
    <w:lvl w:ilvl="7" w:tentative="0">
      <w:start w:val="1"/>
      <w:numFmt w:val="lowerLetter"/>
      <w:lvlText w:val="%8)"/>
      <w:lvlJc w:val="left"/>
      <w:pPr>
        <w:tabs>
          <w:tab w:val="left" w:pos="3496"/>
        </w:tabs>
        <w:ind w:left="3496" w:hanging="420"/>
      </w:pPr>
      <w:rPr>
        <w:rFonts w:cs="Times New Roman"/>
      </w:rPr>
    </w:lvl>
    <w:lvl w:ilvl="8" w:tentative="0">
      <w:start w:val="1"/>
      <w:numFmt w:val="lowerRoman"/>
      <w:lvlText w:val="%9."/>
      <w:lvlJc w:val="right"/>
      <w:pPr>
        <w:tabs>
          <w:tab w:val="left" w:pos="3916"/>
        </w:tabs>
        <w:ind w:left="3916" w:hanging="420"/>
      </w:pPr>
      <w:rPr>
        <w:rFonts w:cs="Times New Roman"/>
      </w:rPr>
    </w:lvl>
  </w:abstractNum>
  <w:abstractNum w:abstractNumId="2">
    <w:nsid w:val="00000018"/>
    <w:multiLevelType w:val="multilevel"/>
    <w:tmpl w:val="00000018"/>
    <w:lvl w:ilvl="0" w:tentative="0">
      <w:start w:val="1"/>
      <w:numFmt w:val="decimal"/>
      <w:lvlText w:val="9.%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00000038"/>
    <w:multiLevelType w:val="multilevel"/>
    <w:tmpl w:val="00000038"/>
    <w:lvl w:ilvl="0" w:tentative="0">
      <w:start w:val="1"/>
      <w:numFmt w:val="decimal"/>
      <w:lvlText w:val="7.%1"/>
      <w:lvlJc w:val="left"/>
      <w:pPr>
        <w:tabs>
          <w:tab w:val="left" w:pos="1134"/>
        </w:tabs>
        <w:ind w:left="1134" w:hanging="1134"/>
      </w:pPr>
      <w:rPr>
        <w:rFonts w:hint="eastAsia"/>
        <w:b w:val="0"/>
        <w:i w:val="0"/>
      </w:rPr>
    </w:lvl>
    <w:lvl w:ilvl="1" w:tentative="0">
      <w:start w:val="1"/>
      <w:numFmt w:val="decimal"/>
      <w:lvlText w:val="8.%2"/>
      <w:lvlJc w:val="left"/>
      <w:pPr>
        <w:tabs>
          <w:tab w:val="left" w:pos="1134"/>
        </w:tabs>
        <w:ind w:left="1134" w:hanging="1134"/>
      </w:pPr>
      <w:rPr>
        <w:rFonts w:hint="eastAsia"/>
        <w:b w:val="0"/>
        <w:i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3B"/>
    <w:multiLevelType w:val="multilevel"/>
    <w:tmpl w:val="0000003B"/>
    <w:lvl w:ilvl="0" w:tentative="0">
      <w:start w:val="1"/>
      <w:numFmt w:val="chineseCountingThousand"/>
      <w:lvlText w:val="%1"/>
      <w:lvlJc w:val="left"/>
      <w:pPr>
        <w:tabs>
          <w:tab w:val="left" w:pos="1134"/>
        </w:tabs>
        <w:ind w:left="1134" w:hanging="1134"/>
      </w:pPr>
      <w:rPr>
        <w:rFonts w:hint="eastAsia"/>
        <w:b/>
        <w:i w:val="0"/>
      </w:rPr>
    </w:lvl>
    <w:lvl w:ilvl="1" w:tentative="0">
      <w:start w:val="1"/>
      <w:numFmt w:val="decimal"/>
      <w:lvlText w:val="7.%2"/>
      <w:lvlJc w:val="left"/>
      <w:pPr>
        <w:tabs>
          <w:tab w:val="left" w:pos="1134"/>
        </w:tabs>
        <w:ind w:left="1134" w:hanging="1134"/>
      </w:pPr>
      <w:rPr>
        <w:rFonts w:hint="eastAsia"/>
        <w:b w:val="0"/>
        <w:i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3C"/>
    <w:multiLevelType w:val="multilevel"/>
    <w:tmpl w:val="0000003C"/>
    <w:lvl w:ilvl="0" w:tentative="0">
      <w:start w:val="1"/>
      <w:numFmt w:val="decimal"/>
      <w:lvlText w:val="（%1）"/>
      <w:lvlJc w:val="left"/>
      <w:pPr>
        <w:tabs>
          <w:tab w:val="left" w:pos="1814"/>
        </w:tabs>
        <w:ind w:left="1814" w:hanging="68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41"/>
    <w:multiLevelType w:val="multilevel"/>
    <w:tmpl w:val="00000041"/>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1134"/>
        </w:tabs>
        <w:ind w:left="1134" w:hanging="1134"/>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00000043"/>
    <w:multiLevelType w:val="multilevel"/>
    <w:tmpl w:val="00000043"/>
    <w:lvl w:ilvl="0" w:tentative="0">
      <w:start w:val="14"/>
      <w:numFmt w:val="decimal"/>
      <w:lvlText w:val="%1"/>
      <w:lvlJc w:val="left"/>
      <w:pPr>
        <w:tabs>
          <w:tab w:val="left" w:pos="420"/>
        </w:tabs>
        <w:ind w:left="420" w:hanging="420"/>
      </w:pPr>
      <w:rPr>
        <w:rFonts w:hint="default"/>
      </w:rPr>
    </w:lvl>
    <w:lvl w:ilvl="1" w:tentative="0">
      <w:start w:val="1"/>
      <w:numFmt w:val="decimal"/>
      <w:lvlText w:val="13.%2"/>
      <w:lvlJc w:val="left"/>
      <w:pPr>
        <w:tabs>
          <w:tab w:val="left" w:pos="1134"/>
        </w:tabs>
        <w:ind w:left="1134" w:hanging="1134"/>
      </w:pPr>
      <w:rPr>
        <w:rFonts w:hint="eastAsia"/>
        <w:b w:val="0"/>
        <w:i w:val="0"/>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8">
    <w:nsid w:val="0000004E"/>
    <w:multiLevelType w:val="multilevel"/>
    <w:tmpl w:val="0000004E"/>
    <w:lvl w:ilvl="0" w:tentative="0">
      <w:start w:val="1"/>
      <w:numFmt w:val="chineseCountingThousand"/>
      <w:lvlText w:val="第%1章"/>
      <w:lvlJc w:val="left"/>
      <w:pPr>
        <w:tabs>
          <w:tab w:val="left" w:pos="1134"/>
        </w:tabs>
        <w:ind w:left="1134" w:hanging="113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50"/>
    <w:multiLevelType w:val="multilevel"/>
    <w:tmpl w:val="00000050"/>
    <w:lvl w:ilvl="0" w:tentative="0">
      <w:start w:val="1"/>
      <w:numFmt w:val="decimal"/>
      <w:lvlText w:val="%1."/>
      <w:lvlJc w:val="left"/>
      <w:pPr>
        <w:tabs>
          <w:tab w:val="left" w:pos="1134"/>
        </w:tabs>
        <w:ind w:left="1134" w:hanging="1134"/>
      </w:pPr>
      <w:rPr>
        <w:rFonts w:hint="eastAsia"/>
      </w:rPr>
    </w:lvl>
    <w:lvl w:ilvl="1" w:tentative="0">
      <w:start w:val="1"/>
      <w:numFmt w:val="decimal"/>
      <w:isLgl/>
      <w:lvlText w:val="5.%2"/>
      <w:lvlJc w:val="left"/>
      <w:pPr>
        <w:tabs>
          <w:tab w:val="left" w:pos="1134"/>
        </w:tabs>
        <w:ind w:left="1134" w:hanging="1134"/>
      </w:pPr>
      <w:rPr>
        <w:rFonts w:hint="default"/>
      </w:r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10">
    <w:nsid w:val="00000052"/>
    <w:multiLevelType w:val="multilevel"/>
    <w:tmpl w:val="00000052"/>
    <w:lvl w:ilvl="0" w:tentative="0">
      <w:start w:val="1"/>
      <w:numFmt w:val="none"/>
      <w:lvlText w:val="1.1.1"/>
      <w:lvlJc w:val="left"/>
      <w:pPr>
        <w:tabs>
          <w:tab w:val="left" w:pos="450"/>
        </w:tabs>
        <w:ind w:left="450" w:hanging="450"/>
      </w:pPr>
      <w:rPr>
        <w:rFonts w:hint="default"/>
      </w:rPr>
    </w:lvl>
    <w:lvl w:ilvl="1" w:tentative="0">
      <w:start w:val="1"/>
      <w:numFmt w:val="decimal"/>
      <w:lvlText w:val="2.%2"/>
      <w:lvlJc w:val="left"/>
      <w:pPr>
        <w:tabs>
          <w:tab w:val="left" w:pos="1134"/>
        </w:tabs>
        <w:ind w:left="1134" w:hanging="1134"/>
      </w:pPr>
      <w:rPr>
        <w:rFonts w:hint="eastAsia" w:ascii="宋体" w:hAnsi="宋体" w:cs="Arial"/>
        <w:color w:val="auto"/>
      </w:rPr>
    </w:lvl>
    <w:lvl w:ilvl="2" w:tentative="0">
      <w:start w:val="1"/>
      <w:numFmt w:val="decimal"/>
      <w:lvlText w:val="%11.%2.%3"/>
      <w:lvlJc w:val="left"/>
      <w:pPr>
        <w:tabs>
          <w:tab w:val="left" w:pos="1134"/>
        </w:tabs>
        <w:ind w:left="1134" w:hanging="1134"/>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520"/>
        </w:tabs>
        <w:ind w:left="2520" w:hanging="2520"/>
      </w:pPr>
      <w:rPr>
        <w:rFonts w:hint="default"/>
      </w:rPr>
    </w:lvl>
    <w:lvl w:ilvl="8" w:tentative="0">
      <w:start w:val="1"/>
      <w:numFmt w:val="decimal"/>
      <w:lvlText w:val="%1.%2.%3.%4.%5.%6.%7.%8.%9"/>
      <w:lvlJc w:val="left"/>
      <w:pPr>
        <w:tabs>
          <w:tab w:val="left" w:pos="2880"/>
        </w:tabs>
        <w:ind w:left="2880" w:hanging="2880"/>
      </w:pPr>
      <w:rPr>
        <w:rFonts w:hint="default"/>
      </w:rPr>
    </w:lvl>
  </w:abstractNum>
  <w:abstractNum w:abstractNumId="11">
    <w:nsid w:val="00000060"/>
    <w:multiLevelType w:val="multilevel"/>
    <w:tmpl w:val="00000060"/>
    <w:lvl w:ilvl="0" w:tentative="0">
      <w:start w:val="1"/>
      <w:numFmt w:val="decimal"/>
      <w:lvlText w:val="12.%1"/>
      <w:lvlJc w:val="left"/>
      <w:pPr>
        <w:tabs>
          <w:tab w:val="left" w:pos="1418"/>
        </w:tabs>
        <w:ind w:left="1418" w:hanging="1134"/>
      </w:pPr>
      <w:rPr>
        <w:rFonts w:hint="eastAsia"/>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0000065"/>
    <w:multiLevelType w:val="multilevel"/>
    <w:tmpl w:val="00000065"/>
    <w:lvl w:ilvl="0" w:tentative="0">
      <w:start w:val="1"/>
      <w:numFmt w:val="decimal"/>
      <w:lvlText w:val="%1"/>
      <w:lvlJc w:val="left"/>
      <w:pPr>
        <w:tabs>
          <w:tab w:val="left" w:pos="567"/>
        </w:tabs>
        <w:ind w:left="567" w:hanging="567"/>
      </w:pPr>
      <w:rPr>
        <w:rFonts w:hint="eastAsia" w:cs="Times New Roman"/>
      </w:rPr>
    </w:lvl>
    <w:lvl w:ilvl="1" w:tentative="0">
      <w:start w:val="1"/>
      <w:numFmt w:val="decimal"/>
      <w:lvlText w:val="6.%2"/>
      <w:lvlJc w:val="left"/>
      <w:pPr>
        <w:tabs>
          <w:tab w:val="left" w:pos="1134"/>
        </w:tabs>
        <w:ind w:left="1134" w:hanging="1134"/>
      </w:pPr>
      <w:rPr>
        <w:rFonts w:hint="eastAsia" w:ascii="宋体" w:hAnsi="宋体" w:eastAsia="宋体" w:cs="Times New Roman"/>
        <w:b w:val="0"/>
        <w:i w:val="0"/>
      </w:rPr>
    </w:lvl>
    <w:lvl w:ilvl="2" w:tentative="0">
      <w:start w:val="1"/>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3">
    <w:nsid w:val="0000006E"/>
    <w:multiLevelType w:val="multilevel"/>
    <w:tmpl w:val="0000006E"/>
    <w:lvl w:ilvl="0" w:tentative="0">
      <w:start w:val="1"/>
      <w:numFmt w:val="decimal"/>
      <w:lvlText w:val="11.%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4">
    <w:nsid w:val="00000070"/>
    <w:multiLevelType w:val="multilevel"/>
    <w:tmpl w:val="00000070"/>
    <w:lvl w:ilvl="0" w:tentative="0">
      <w:start w:val="9"/>
      <w:numFmt w:val="decimal"/>
      <w:lvlText w:val="%1"/>
      <w:lvlJc w:val="left"/>
      <w:pPr>
        <w:tabs>
          <w:tab w:val="left" w:pos="360"/>
        </w:tabs>
        <w:ind w:left="360" w:hanging="360"/>
      </w:pPr>
      <w:rPr>
        <w:rFonts w:hint="default"/>
      </w:rPr>
    </w:lvl>
    <w:lvl w:ilvl="1" w:tentative="0">
      <w:start w:val="1"/>
      <w:numFmt w:val="decimal"/>
      <w:lvlText w:val="%1.%2"/>
      <w:lvlJc w:val="left"/>
      <w:pPr>
        <w:tabs>
          <w:tab w:val="left" w:pos="1134"/>
        </w:tabs>
        <w:ind w:left="1134" w:hanging="1134"/>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00000071"/>
    <w:multiLevelType w:val="multilevel"/>
    <w:tmpl w:val="00000071"/>
    <w:lvl w:ilvl="0" w:tentative="0">
      <w:start w:val="1"/>
      <w:numFmt w:val="decimal"/>
      <w:lvlText w:val="5.%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6">
    <w:nsid w:val="0000007C"/>
    <w:multiLevelType w:val="multilevel"/>
    <w:tmpl w:val="0000007C"/>
    <w:lvl w:ilvl="0" w:tentative="0">
      <w:start w:val="1"/>
      <w:numFmt w:val="decimal"/>
      <w:lvlText w:val="3.%1"/>
      <w:lvlJc w:val="left"/>
      <w:pPr>
        <w:tabs>
          <w:tab w:val="left" w:pos="709"/>
        </w:tabs>
        <w:ind w:left="709" w:hanging="567"/>
      </w:pPr>
      <w:rPr>
        <w:rFonts w:hint="eastAsia"/>
      </w:rPr>
    </w:lvl>
    <w:lvl w:ilvl="1" w:tentative="0">
      <w:start w:val="1"/>
      <w:numFmt w:val="decimal"/>
      <w:lvlText w:val="（%2）"/>
      <w:lvlJc w:val="left"/>
      <w:pPr>
        <w:tabs>
          <w:tab w:val="left" w:pos="718"/>
        </w:tabs>
        <w:ind w:left="718" w:hanging="576"/>
      </w:pPr>
      <w:rPr>
        <w:rFonts w:hint="eastAsia" w:ascii="宋体" w:hAnsi="宋体" w:eastAsia="宋体" w:cs="Times New Roman"/>
      </w:rPr>
    </w:lvl>
    <w:lvl w:ilvl="2" w:tentative="0">
      <w:start w:val="1"/>
      <w:numFmt w:val="decimal"/>
      <w:lvlText w:val="7.1.%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7">
    <w:nsid w:val="0000007E"/>
    <w:multiLevelType w:val="multilevel"/>
    <w:tmpl w:val="0000007E"/>
    <w:lvl w:ilvl="0" w:tentative="0">
      <w:start w:val="2"/>
      <w:numFmt w:val="decimal"/>
      <w:lvlText w:val="%1"/>
      <w:lvlJc w:val="left"/>
      <w:pPr>
        <w:tabs>
          <w:tab w:val="left" w:pos="450"/>
        </w:tabs>
        <w:ind w:left="450" w:hanging="450"/>
      </w:pPr>
      <w:rPr>
        <w:rFonts w:hint="default"/>
      </w:rPr>
    </w:lvl>
    <w:lvl w:ilvl="1" w:tentative="0">
      <w:start w:val="1"/>
      <w:numFmt w:val="decimal"/>
      <w:lvlText w:val="11.%2"/>
      <w:lvlJc w:val="left"/>
      <w:pPr>
        <w:tabs>
          <w:tab w:val="left" w:pos="1134"/>
        </w:tabs>
        <w:ind w:left="1134" w:hanging="1134"/>
      </w:pPr>
      <w:rPr>
        <w:rFonts w:hint="eastAsia" w:ascii="宋体" w:hAnsi="宋体" w:eastAsia="宋体" w:cs="Arial"/>
        <w:b w:val="0"/>
        <w:i w:val="0"/>
        <w:strike w:val="0"/>
        <w:color w:val="auto"/>
        <w:sz w:val="21"/>
        <w:szCs w:val="21"/>
      </w:rPr>
    </w:lvl>
    <w:lvl w:ilvl="2" w:tentative="0">
      <w:start w:val="1"/>
      <w:numFmt w:val="decimal"/>
      <w:lvlText w:val="%1.%2.%3"/>
      <w:lvlJc w:val="left"/>
      <w:pPr>
        <w:tabs>
          <w:tab w:val="left" w:pos="1080"/>
        </w:tabs>
        <w:ind w:left="1080" w:hanging="108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520"/>
        </w:tabs>
        <w:ind w:left="2520" w:hanging="2520"/>
      </w:pPr>
      <w:rPr>
        <w:rFonts w:hint="default"/>
      </w:rPr>
    </w:lvl>
    <w:lvl w:ilvl="8" w:tentative="0">
      <w:start w:val="1"/>
      <w:numFmt w:val="decimal"/>
      <w:lvlText w:val="%1.%2.%3.%4.%5.%6.%7.%8.%9"/>
      <w:lvlJc w:val="left"/>
      <w:pPr>
        <w:tabs>
          <w:tab w:val="left" w:pos="2880"/>
        </w:tabs>
        <w:ind w:left="2880" w:hanging="2880"/>
      </w:pPr>
      <w:rPr>
        <w:rFonts w:hint="default"/>
      </w:rPr>
    </w:lvl>
  </w:abstractNum>
  <w:abstractNum w:abstractNumId="18">
    <w:nsid w:val="00000083"/>
    <w:multiLevelType w:val="multilevel"/>
    <w:tmpl w:val="00000083"/>
    <w:lvl w:ilvl="0" w:tentative="0">
      <w:start w:val="1"/>
      <w:numFmt w:val="decimal"/>
      <w:lvlText w:val="8.%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9">
    <w:nsid w:val="00000085"/>
    <w:multiLevelType w:val="multilevel"/>
    <w:tmpl w:val="00000085"/>
    <w:lvl w:ilvl="0" w:tentative="0">
      <w:start w:val="1"/>
      <w:numFmt w:val="decimal"/>
      <w:lvlText w:val="7.%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0">
    <w:nsid w:val="0000008B"/>
    <w:multiLevelType w:val="multilevel"/>
    <w:tmpl w:val="0000008B"/>
    <w:lvl w:ilvl="0" w:tentative="0">
      <w:start w:val="1"/>
      <w:numFmt w:val="decimal"/>
      <w:isLgl/>
      <w:lvlText w:val="1.%1"/>
      <w:lvlJc w:val="left"/>
      <w:pPr>
        <w:tabs>
          <w:tab w:val="left" w:pos="1134"/>
        </w:tabs>
        <w:ind w:left="1134" w:hanging="113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00000093"/>
    <w:multiLevelType w:val="multilevel"/>
    <w:tmpl w:val="00000093"/>
    <w:lvl w:ilvl="0" w:tentative="0">
      <w:start w:val="1"/>
      <w:numFmt w:val="decimal"/>
      <w:lvlText w:val="3.%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2">
    <w:nsid w:val="00000096"/>
    <w:multiLevelType w:val="multilevel"/>
    <w:tmpl w:val="00000096"/>
    <w:lvl w:ilvl="0" w:tentative="0">
      <w:start w:val="1"/>
      <w:numFmt w:val="decimal"/>
      <w:lvlText w:val="4.%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3">
    <w:nsid w:val="0000009B"/>
    <w:multiLevelType w:val="multilevel"/>
    <w:tmpl w:val="0000009B"/>
    <w:lvl w:ilvl="0" w:tentative="0">
      <w:start w:val="2"/>
      <w:numFmt w:val="decimal"/>
      <w:lvlText w:val="%1"/>
      <w:lvlJc w:val="left"/>
      <w:pPr>
        <w:tabs>
          <w:tab w:val="left" w:pos="450"/>
        </w:tabs>
        <w:ind w:left="450" w:hanging="450"/>
      </w:pPr>
      <w:rPr>
        <w:rFonts w:hint="default"/>
      </w:rPr>
    </w:lvl>
    <w:lvl w:ilvl="1" w:tentative="0">
      <w:start w:val="1"/>
      <w:numFmt w:val="decimal"/>
      <w:lvlText w:val="10.%2"/>
      <w:lvlJc w:val="left"/>
      <w:pPr>
        <w:tabs>
          <w:tab w:val="left" w:pos="1134"/>
        </w:tabs>
        <w:ind w:left="1134" w:hanging="1134"/>
      </w:pPr>
      <w:rPr>
        <w:rFonts w:hint="eastAsia" w:ascii="宋体" w:hAnsi="宋体" w:eastAsia="宋体" w:cs="Arial"/>
        <w:sz w:val="21"/>
        <w:szCs w:val="21"/>
      </w:rPr>
    </w:lvl>
    <w:lvl w:ilvl="2" w:tentative="0">
      <w:start w:val="1"/>
      <w:numFmt w:val="decimal"/>
      <w:lvlText w:val="%1.%2.%3"/>
      <w:lvlJc w:val="left"/>
      <w:pPr>
        <w:tabs>
          <w:tab w:val="left" w:pos="1080"/>
        </w:tabs>
        <w:ind w:left="1080" w:hanging="108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520"/>
        </w:tabs>
        <w:ind w:left="2520" w:hanging="2520"/>
      </w:pPr>
      <w:rPr>
        <w:rFonts w:hint="default"/>
      </w:rPr>
    </w:lvl>
    <w:lvl w:ilvl="8" w:tentative="0">
      <w:start w:val="1"/>
      <w:numFmt w:val="decimal"/>
      <w:lvlText w:val="%1.%2.%3.%4.%5.%6.%7.%8.%9"/>
      <w:lvlJc w:val="left"/>
      <w:pPr>
        <w:tabs>
          <w:tab w:val="left" w:pos="2880"/>
        </w:tabs>
        <w:ind w:left="2880" w:hanging="2880"/>
      </w:pPr>
      <w:rPr>
        <w:rFonts w:hint="default"/>
      </w:rPr>
    </w:lvl>
  </w:abstractNum>
  <w:abstractNum w:abstractNumId="24">
    <w:nsid w:val="399E555F"/>
    <w:multiLevelType w:val="singleLevel"/>
    <w:tmpl w:val="399E555F"/>
    <w:lvl w:ilvl="0" w:tentative="0">
      <w:start w:val="1"/>
      <w:numFmt w:val="decimal"/>
      <w:suff w:val="nothing"/>
      <w:lvlText w:val="（%1）"/>
      <w:lvlJc w:val="left"/>
    </w:lvl>
  </w:abstractNum>
  <w:abstractNum w:abstractNumId="25">
    <w:nsid w:val="534C9302"/>
    <w:multiLevelType w:val="singleLevel"/>
    <w:tmpl w:val="534C9302"/>
    <w:lvl w:ilvl="0" w:tentative="0">
      <w:start w:val="1"/>
      <w:numFmt w:val="chineseCounting"/>
      <w:suff w:val="nothing"/>
      <w:lvlText w:val="%1、"/>
      <w:lvlJc w:val="left"/>
      <w:pPr>
        <w:ind w:left="0" w:firstLine="420"/>
      </w:pPr>
      <w:rPr>
        <w:rFonts w:hint="eastAsia"/>
      </w:rPr>
    </w:lvl>
  </w:abstractNum>
  <w:abstractNum w:abstractNumId="26">
    <w:nsid w:val="534C9C66"/>
    <w:multiLevelType w:val="singleLevel"/>
    <w:tmpl w:val="534C9C66"/>
    <w:lvl w:ilvl="0" w:tentative="0">
      <w:start w:val="1"/>
      <w:numFmt w:val="chineseCounting"/>
      <w:suff w:val="nothing"/>
      <w:lvlText w:val="%1、"/>
      <w:lvlJc w:val="left"/>
      <w:pPr>
        <w:ind w:left="0" w:firstLine="420"/>
      </w:pPr>
      <w:rPr>
        <w:rFonts w:hint="eastAsia"/>
      </w:rPr>
    </w:lvl>
  </w:abstractNum>
  <w:abstractNum w:abstractNumId="27">
    <w:nsid w:val="534C9E34"/>
    <w:multiLevelType w:val="singleLevel"/>
    <w:tmpl w:val="534C9E34"/>
    <w:lvl w:ilvl="0" w:tentative="0">
      <w:start w:val="1"/>
      <w:numFmt w:val="chineseCounting"/>
      <w:suff w:val="nothing"/>
      <w:lvlText w:val="%1、"/>
      <w:lvlJc w:val="left"/>
      <w:pPr>
        <w:ind w:left="0" w:firstLine="420"/>
      </w:pPr>
      <w:rPr>
        <w:rFonts w:hint="eastAsia"/>
      </w:rPr>
    </w:lvl>
  </w:abstractNum>
  <w:abstractNum w:abstractNumId="28">
    <w:nsid w:val="535C807D"/>
    <w:multiLevelType w:val="multilevel"/>
    <w:tmpl w:val="535C807D"/>
    <w:lvl w:ilvl="0" w:tentative="0">
      <w:start w:val="16"/>
      <w:numFmt w:val="decimal"/>
      <w:lvlText w:val="%1"/>
      <w:lvlJc w:val="left"/>
      <w:pPr>
        <w:tabs>
          <w:tab w:val="left" w:pos="420"/>
        </w:tabs>
        <w:ind w:left="420" w:hanging="420"/>
      </w:pPr>
      <w:rPr>
        <w:rFonts w:hint="default"/>
      </w:rPr>
    </w:lvl>
    <w:lvl w:ilvl="1" w:tentative="0">
      <w:start w:val="1"/>
      <w:numFmt w:val="decimal"/>
      <w:lvlText w:val="14.%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1134"/>
        </w:tabs>
        <w:ind w:left="1134" w:hanging="1134"/>
      </w:pPr>
      <w:rPr>
        <w:rFonts w:hint="default" w:ascii="宋体" w:hAnsi="宋体" w:eastAsia="宋体" w:cs="宋体"/>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9">
    <w:nsid w:val="535C81C3"/>
    <w:multiLevelType w:val="multilevel"/>
    <w:tmpl w:val="535C81C3"/>
    <w:lvl w:ilvl="0" w:tentative="0">
      <w:start w:val="1"/>
      <w:numFmt w:val="decimal"/>
      <w:isLgl/>
      <w:lvlText w:val="15.%1"/>
      <w:lvlJc w:val="left"/>
      <w:pPr>
        <w:tabs>
          <w:tab w:val="left" w:pos="1134"/>
        </w:tabs>
        <w:ind w:left="1134" w:hanging="1134"/>
      </w:pPr>
      <w:rPr>
        <w:rFonts w:hint="default" w:ascii="宋体" w:hAnsi="宋体" w:eastAsia="宋体" w:cs="宋体"/>
      </w:rPr>
    </w:lvl>
    <w:lvl w:ilvl="1" w:tentative="0">
      <w:start w:val="0"/>
      <w:numFmt w:val="none"/>
      <w:lvlText w:val=""/>
      <w:lvlJc w:val="left"/>
      <w:pPr>
        <w:tabs>
          <w:tab w:val="left" w:pos="360"/>
        </w:tabs>
      </w:p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0">
    <w:nsid w:val="535C8386"/>
    <w:multiLevelType w:val="multilevel"/>
    <w:tmpl w:val="535C8386"/>
    <w:lvl w:ilvl="0" w:tentative="0">
      <w:start w:val="18"/>
      <w:numFmt w:val="decimal"/>
      <w:lvlText w:val="%1"/>
      <w:lvlJc w:val="left"/>
      <w:pPr>
        <w:tabs>
          <w:tab w:val="left" w:pos="420"/>
        </w:tabs>
        <w:ind w:left="420" w:hanging="420"/>
      </w:pPr>
      <w:rPr>
        <w:rFonts w:hint="default"/>
      </w:rPr>
    </w:lvl>
    <w:lvl w:ilvl="1" w:tentative="0">
      <w:start w:val="1"/>
      <w:numFmt w:val="decimal"/>
      <w:lvlText w:val="16.%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1">
    <w:nsid w:val="535C83C6"/>
    <w:multiLevelType w:val="multilevel"/>
    <w:tmpl w:val="535C83C6"/>
    <w:lvl w:ilvl="0" w:tentative="0">
      <w:start w:val="19"/>
      <w:numFmt w:val="decimal"/>
      <w:lvlText w:val="%1"/>
      <w:lvlJc w:val="left"/>
      <w:pPr>
        <w:tabs>
          <w:tab w:val="left" w:pos="420"/>
        </w:tabs>
        <w:ind w:left="420" w:hanging="420"/>
      </w:pPr>
      <w:rPr>
        <w:rFonts w:hint="default"/>
      </w:rPr>
    </w:lvl>
    <w:lvl w:ilvl="1" w:tentative="0">
      <w:start w:val="1"/>
      <w:numFmt w:val="decimal"/>
      <w:lvlText w:val="17.%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2">
    <w:nsid w:val="535C84A4"/>
    <w:multiLevelType w:val="multilevel"/>
    <w:tmpl w:val="535C84A4"/>
    <w:lvl w:ilvl="0" w:tentative="0">
      <w:start w:val="1"/>
      <w:numFmt w:val="decimal"/>
      <w:isLgl/>
      <w:lvlText w:val="18.%1"/>
      <w:lvlJc w:val="left"/>
      <w:pPr>
        <w:tabs>
          <w:tab w:val="left" w:pos="1134"/>
        </w:tabs>
        <w:ind w:left="1134" w:hanging="1134"/>
      </w:pPr>
      <w:rPr>
        <w:rFonts w:hint="default" w:ascii="宋体" w:hAnsi="宋体" w:eastAsia="宋体" w:cs="宋体"/>
        <w:b w:val="0"/>
        <w:bCs w:val="0"/>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3">
    <w:nsid w:val="535C854C"/>
    <w:multiLevelType w:val="multilevel"/>
    <w:tmpl w:val="535C854C"/>
    <w:lvl w:ilvl="0" w:tentative="0">
      <w:start w:val="1"/>
      <w:numFmt w:val="decimal"/>
      <w:isLgl/>
      <w:lvlText w:val="19.%1"/>
      <w:lvlJc w:val="left"/>
      <w:pPr>
        <w:tabs>
          <w:tab w:val="left" w:pos="1134"/>
        </w:tabs>
        <w:ind w:left="1134" w:hanging="1134"/>
      </w:pPr>
      <w:rPr>
        <w:rFonts w:hint="default" w:ascii="宋体" w:hAnsi="宋体" w:eastAsia="宋体" w:cs="宋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535C8611"/>
    <w:multiLevelType w:val="multilevel"/>
    <w:tmpl w:val="535C8611"/>
    <w:lvl w:ilvl="0" w:tentative="0">
      <w:start w:val="1"/>
      <w:numFmt w:val="decimal"/>
      <w:isLgl/>
      <w:lvlText w:val="20.%1"/>
      <w:lvlJc w:val="left"/>
      <w:pPr>
        <w:tabs>
          <w:tab w:val="left" w:pos="1134"/>
        </w:tabs>
        <w:ind w:left="1134" w:hanging="1134"/>
      </w:pPr>
      <w:rPr>
        <w:rFonts w:hint="default" w:ascii="宋体" w:hAnsi="宋体" w:eastAsia="宋体" w:cs="宋体"/>
      </w:rPr>
    </w:lvl>
    <w:lvl w:ilvl="1" w:tentative="0">
      <w:start w:val="1"/>
      <w:numFmt w:val="lowerLetter"/>
      <w:lvlText w:val="%2)"/>
      <w:lvlJc w:val="left"/>
      <w:pPr>
        <w:tabs>
          <w:tab w:val="left" w:pos="840"/>
        </w:tabs>
        <w:ind w:left="840" w:hanging="420"/>
      </w:pPr>
      <w:rPr>
        <w:rFonts w:hint="default" w:ascii="宋体" w:hAnsi="宋体" w:eastAsia="宋体" w:cs="宋体"/>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535C86B2"/>
    <w:multiLevelType w:val="multilevel"/>
    <w:tmpl w:val="535C86B2"/>
    <w:lvl w:ilvl="0" w:tentative="0">
      <w:start w:val="23"/>
      <w:numFmt w:val="decimal"/>
      <w:lvlText w:val="%1"/>
      <w:lvlJc w:val="left"/>
      <w:pPr>
        <w:tabs>
          <w:tab w:val="left" w:pos="420"/>
        </w:tabs>
        <w:ind w:left="420" w:hanging="420"/>
      </w:pPr>
      <w:rPr>
        <w:rFonts w:hint="default" w:ascii="宋体" w:hAnsi="宋体" w:eastAsia="宋体" w:cs="宋体"/>
      </w:rPr>
    </w:lvl>
    <w:lvl w:ilvl="1" w:tentative="0">
      <w:start w:val="1"/>
      <w:numFmt w:val="decimal"/>
      <w:lvlText w:val="21.%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1134"/>
        </w:tabs>
        <w:ind w:left="1134" w:hanging="1134"/>
      </w:pPr>
      <w:rPr>
        <w:rFonts w:hint="default"/>
      </w:rPr>
    </w:lvl>
    <w:lvl w:ilvl="3" w:tentative="0">
      <w:start w:val="1"/>
      <w:numFmt w:val="decimal"/>
      <w:lvlText w:val="%1.%2.%3.%4"/>
      <w:lvlJc w:val="left"/>
      <w:pPr>
        <w:tabs>
          <w:tab w:val="left" w:pos="1134"/>
        </w:tabs>
        <w:ind w:left="1134" w:hanging="1134"/>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6">
    <w:nsid w:val="535C87F5"/>
    <w:multiLevelType w:val="multilevel"/>
    <w:tmpl w:val="535C87F5"/>
    <w:lvl w:ilvl="0" w:tentative="0">
      <w:start w:val="25"/>
      <w:numFmt w:val="decimal"/>
      <w:lvlText w:val="%1"/>
      <w:lvlJc w:val="left"/>
      <w:pPr>
        <w:tabs>
          <w:tab w:val="left" w:pos="420"/>
        </w:tabs>
        <w:ind w:left="420" w:hanging="420"/>
      </w:pPr>
      <w:rPr>
        <w:rFonts w:hint="default" w:ascii="宋体" w:hAnsi="宋体" w:eastAsia="宋体"/>
      </w:rPr>
    </w:lvl>
    <w:lvl w:ilvl="1" w:tentative="0">
      <w:start w:val="1"/>
      <w:numFmt w:val="decimal"/>
      <w:lvlText w:val="23.%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ascii="宋体" w:hAnsi="宋体" w:eastAsia="宋体"/>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7">
    <w:nsid w:val="535C88DC"/>
    <w:multiLevelType w:val="multilevel"/>
    <w:tmpl w:val="535C88DC"/>
    <w:lvl w:ilvl="0" w:tentative="0">
      <w:start w:val="25"/>
      <w:numFmt w:val="decimal"/>
      <w:lvlText w:val="%1"/>
      <w:lvlJc w:val="left"/>
      <w:pPr>
        <w:tabs>
          <w:tab w:val="left" w:pos="420"/>
        </w:tabs>
        <w:ind w:left="420" w:hanging="420"/>
      </w:pPr>
      <w:rPr>
        <w:rFonts w:hint="default" w:ascii="宋体" w:hAnsi="宋体" w:eastAsia="宋体" w:cs="Times New Roman"/>
      </w:rPr>
    </w:lvl>
    <w:lvl w:ilvl="1" w:tentative="0">
      <w:start w:val="1"/>
      <w:numFmt w:val="decimal"/>
      <w:lvlText w:val="24.%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ascii="宋体" w:hAnsi="宋体" w:eastAsia="宋体" w:cs="Times New Roman"/>
      </w:rPr>
    </w:lvl>
    <w:lvl w:ilvl="3" w:tentative="0">
      <w:start w:val="1"/>
      <w:numFmt w:val="decimal"/>
      <w:lvlText w:val="%1.%2.%3.%4"/>
      <w:lvlJc w:val="left"/>
      <w:pPr>
        <w:tabs>
          <w:tab w:val="left" w:pos="1080"/>
        </w:tabs>
        <w:ind w:left="1080" w:hanging="1080"/>
      </w:pPr>
      <w:rPr>
        <w:rFonts w:hint="default" w:cs="Times New Roman"/>
      </w:rPr>
    </w:lvl>
    <w:lvl w:ilvl="4" w:tentative="0">
      <w:start w:val="1"/>
      <w:numFmt w:val="decimal"/>
      <w:lvlText w:val="%1.%2.%3.%4.%5"/>
      <w:lvlJc w:val="left"/>
      <w:pPr>
        <w:tabs>
          <w:tab w:val="left" w:pos="1080"/>
        </w:tabs>
        <w:ind w:left="1080" w:hanging="1080"/>
      </w:pPr>
      <w:rPr>
        <w:rFonts w:hint="default" w:cs="Times New Roman"/>
      </w:rPr>
    </w:lvl>
    <w:lvl w:ilvl="5" w:tentative="0">
      <w:start w:val="1"/>
      <w:numFmt w:val="decimal"/>
      <w:lvlText w:val="%1.%2.%3.%4.%5.%6"/>
      <w:lvlJc w:val="left"/>
      <w:pPr>
        <w:tabs>
          <w:tab w:val="left" w:pos="1440"/>
        </w:tabs>
        <w:ind w:left="1440" w:hanging="144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800"/>
        </w:tabs>
        <w:ind w:left="1800" w:hanging="180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38">
    <w:nsid w:val="535C890A"/>
    <w:multiLevelType w:val="multilevel"/>
    <w:tmpl w:val="535C890A"/>
    <w:lvl w:ilvl="0" w:tentative="0">
      <w:start w:val="25"/>
      <w:numFmt w:val="decimal"/>
      <w:lvlText w:val="%1"/>
      <w:lvlJc w:val="left"/>
      <w:pPr>
        <w:tabs>
          <w:tab w:val="left" w:pos="420"/>
        </w:tabs>
        <w:ind w:left="420" w:hanging="420"/>
      </w:pPr>
      <w:rPr>
        <w:rFonts w:hint="default" w:ascii="宋体" w:hAnsi="宋体" w:eastAsia="宋体" w:cs="Times New Roman"/>
      </w:rPr>
    </w:lvl>
    <w:lvl w:ilvl="1" w:tentative="0">
      <w:start w:val="1"/>
      <w:numFmt w:val="decimal"/>
      <w:lvlText w:val="26.%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ascii="宋体" w:hAnsi="宋体" w:eastAsia="宋体" w:cs="Times New Roman"/>
      </w:rPr>
    </w:lvl>
    <w:lvl w:ilvl="3" w:tentative="0">
      <w:start w:val="1"/>
      <w:numFmt w:val="decimal"/>
      <w:lvlText w:val="%1.%2.%3.%4"/>
      <w:lvlJc w:val="left"/>
      <w:pPr>
        <w:tabs>
          <w:tab w:val="left" w:pos="1080"/>
        </w:tabs>
        <w:ind w:left="1080" w:hanging="1080"/>
      </w:pPr>
      <w:rPr>
        <w:rFonts w:hint="default" w:cs="Times New Roman"/>
      </w:rPr>
    </w:lvl>
    <w:lvl w:ilvl="4" w:tentative="0">
      <w:start w:val="1"/>
      <w:numFmt w:val="decimal"/>
      <w:lvlText w:val="%1.%2.%3.%4.%5"/>
      <w:lvlJc w:val="left"/>
      <w:pPr>
        <w:tabs>
          <w:tab w:val="left" w:pos="1080"/>
        </w:tabs>
        <w:ind w:left="1080" w:hanging="1080"/>
      </w:pPr>
      <w:rPr>
        <w:rFonts w:hint="default" w:cs="Times New Roman"/>
      </w:rPr>
    </w:lvl>
    <w:lvl w:ilvl="5" w:tentative="0">
      <w:start w:val="1"/>
      <w:numFmt w:val="decimal"/>
      <w:lvlText w:val="%1.%2.%3.%4.%5.%6"/>
      <w:lvlJc w:val="left"/>
      <w:pPr>
        <w:tabs>
          <w:tab w:val="left" w:pos="1440"/>
        </w:tabs>
        <w:ind w:left="1440" w:hanging="144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800"/>
        </w:tabs>
        <w:ind w:left="1800" w:hanging="180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39">
    <w:nsid w:val="535C91D0"/>
    <w:multiLevelType w:val="multilevel"/>
    <w:tmpl w:val="535C91D0"/>
    <w:lvl w:ilvl="0" w:tentative="0">
      <w:start w:val="25"/>
      <w:numFmt w:val="decimal"/>
      <w:lvlText w:val="%1"/>
      <w:lvlJc w:val="left"/>
      <w:pPr>
        <w:tabs>
          <w:tab w:val="left" w:pos="420"/>
        </w:tabs>
        <w:ind w:left="420" w:hanging="420"/>
      </w:pPr>
      <w:rPr>
        <w:rFonts w:hint="default" w:ascii="宋体" w:hAnsi="宋体" w:eastAsia="宋体" w:cs="Times New Roman"/>
      </w:rPr>
    </w:lvl>
    <w:lvl w:ilvl="1" w:tentative="0">
      <w:start w:val="1"/>
      <w:numFmt w:val="decimal"/>
      <w:lvlText w:val="27.%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ascii="宋体" w:hAnsi="宋体" w:eastAsia="宋体" w:cs="Times New Roman"/>
      </w:rPr>
    </w:lvl>
    <w:lvl w:ilvl="3" w:tentative="0">
      <w:start w:val="1"/>
      <w:numFmt w:val="decimal"/>
      <w:lvlText w:val="%1.%2.%3.%4"/>
      <w:lvlJc w:val="left"/>
      <w:pPr>
        <w:tabs>
          <w:tab w:val="left" w:pos="1080"/>
        </w:tabs>
        <w:ind w:left="1080" w:hanging="1080"/>
      </w:pPr>
      <w:rPr>
        <w:rFonts w:hint="default" w:cs="Times New Roman"/>
      </w:rPr>
    </w:lvl>
    <w:lvl w:ilvl="4" w:tentative="0">
      <w:start w:val="1"/>
      <w:numFmt w:val="decimal"/>
      <w:lvlText w:val="%1.%2.%3.%4.%5"/>
      <w:lvlJc w:val="left"/>
      <w:pPr>
        <w:tabs>
          <w:tab w:val="left" w:pos="1080"/>
        </w:tabs>
        <w:ind w:left="1080" w:hanging="1080"/>
      </w:pPr>
      <w:rPr>
        <w:rFonts w:hint="default" w:cs="Times New Roman"/>
      </w:rPr>
    </w:lvl>
    <w:lvl w:ilvl="5" w:tentative="0">
      <w:start w:val="1"/>
      <w:numFmt w:val="decimal"/>
      <w:lvlText w:val="%1.%2.%3.%4.%5.%6"/>
      <w:lvlJc w:val="left"/>
      <w:pPr>
        <w:tabs>
          <w:tab w:val="left" w:pos="1440"/>
        </w:tabs>
        <w:ind w:left="1440" w:hanging="144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800"/>
        </w:tabs>
        <w:ind w:left="1800" w:hanging="180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40">
    <w:nsid w:val="535C9258"/>
    <w:multiLevelType w:val="multilevel"/>
    <w:tmpl w:val="535C9258"/>
    <w:lvl w:ilvl="0" w:tentative="0">
      <w:start w:val="25"/>
      <w:numFmt w:val="decimal"/>
      <w:lvlText w:val="%1"/>
      <w:lvlJc w:val="left"/>
      <w:pPr>
        <w:tabs>
          <w:tab w:val="left" w:pos="420"/>
        </w:tabs>
        <w:ind w:left="420" w:hanging="420"/>
      </w:pPr>
      <w:rPr>
        <w:rFonts w:hint="default" w:ascii="宋体" w:hAnsi="宋体" w:eastAsia="宋体" w:cs="Times New Roman"/>
      </w:rPr>
    </w:lvl>
    <w:lvl w:ilvl="1" w:tentative="0">
      <w:start w:val="1"/>
      <w:numFmt w:val="decimal"/>
      <w:lvlText w:val="28.%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ascii="宋体" w:hAnsi="宋体" w:eastAsia="宋体" w:cs="Times New Roman"/>
      </w:rPr>
    </w:lvl>
    <w:lvl w:ilvl="3" w:tentative="0">
      <w:start w:val="1"/>
      <w:numFmt w:val="decimal"/>
      <w:lvlText w:val="%1.%2.%3.%4"/>
      <w:lvlJc w:val="left"/>
      <w:pPr>
        <w:tabs>
          <w:tab w:val="left" w:pos="1080"/>
        </w:tabs>
        <w:ind w:left="1080" w:hanging="1080"/>
      </w:pPr>
      <w:rPr>
        <w:rFonts w:hint="default" w:cs="Times New Roman"/>
      </w:rPr>
    </w:lvl>
    <w:lvl w:ilvl="4" w:tentative="0">
      <w:start w:val="1"/>
      <w:numFmt w:val="decimal"/>
      <w:lvlText w:val="%1.%2.%3.%4.%5"/>
      <w:lvlJc w:val="left"/>
      <w:pPr>
        <w:tabs>
          <w:tab w:val="left" w:pos="1080"/>
        </w:tabs>
        <w:ind w:left="1080" w:hanging="1080"/>
      </w:pPr>
      <w:rPr>
        <w:rFonts w:hint="default" w:cs="Times New Roman"/>
      </w:rPr>
    </w:lvl>
    <w:lvl w:ilvl="5" w:tentative="0">
      <w:start w:val="1"/>
      <w:numFmt w:val="decimal"/>
      <w:lvlText w:val="%1.%2.%3.%4.%5.%6"/>
      <w:lvlJc w:val="left"/>
      <w:pPr>
        <w:tabs>
          <w:tab w:val="left" w:pos="1440"/>
        </w:tabs>
        <w:ind w:left="1440" w:hanging="144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800"/>
        </w:tabs>
        <w:ind w:left="1800" w:hanging="180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41">
    <w:nsid w:val="535C9324"/>
    <w:multiLevelType w:val="multilevel"/>
    <w:tmpl w:val="535C9324"/>
    <w:lvl w:ilvl="0" w:tentative="0">
      <w:start w:val="25"/>
      <w:numFmt w:val="decimal"/>
      <w:lvlText w:val="%1"/>
      <w:lvlJc w:val="left"/>
      <w:pPr>
        <w:tabs>
          <w:tab w:val="left" w:pos="420"/>
        </w:tabs>
        <w:ind w:left="420" w:hanging="420"/>
      </w:pPr>
      <w:rPr>
        <w:rFonts w:hint="default" w:ascii="宋体" w:hAnsi="宋体" w:eastAsia="宋体"/>
      </w:rPr>
    </w:lvl>
    <w:lvl w:ilvl="1" w:tentative="0">
      <w:start w:val="1"/>
      <w:numFmt w:val="decimal"/>
      <w:lvlText w:val="29.%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ascii="宋体" w:hAnsi="宋体" w:eastAsia="宋体"/>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2">
    <w:nsid w:val="535C987C"/>
    <w:multiLevelType w:val="multilevel"/>
    <w:tmpl w:val="535C987C"/>
    <w:lvl w:ilvl="0" w:tentative="0">
      <w:start w:val="25"/>
      <w:numFmt w:val="decimal"/>
      <w:lvlText w:val="%1"/>
      <w:lvlJc w:val="left"/>
      <w:pPr>
        <w:tabs>
          <w:tab w:val="left" w:pos="420"/>
        </w:tabs>
        <w:ind w:left="420" w:hanging="420"/>
      </w:pPr>
      <w:rPr>
        <w:rFonts w:hint="default" w:ascii="宋体" w:hAnsi="宋体" w:eastAsia="宋体"/>
      </w:rPr>
    </w:lvl>
    <w:lvl w:ilvl="1" w:tentative="0">
      <w:start w:val="1"/>
      <w:numFmt w:val="decimal"/>
      <w:lvlText w:val="30.%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ascii="宋体" w:hAnsi="宋体" w:eastAsia="宋体"/>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3">
    <w:nsid w:val="535C98FC"/>
    <w:multiLevelType w:val="multilevel"/>
    <w:tmpl w:val="535C98FC"/>
    <w:lvl w:ilvl="0" w:tentative="0">
      <w:start w:val="26"/>
      <w:numFmt w:val="decimal"/>
      <w:lvlText w:val="%1"/>
      <w:lvlJc w:val="left"/>
      <w:pPr>
        <w:tabs>
          <w:tab w:val="left" w:pos="420"/>
        </w:tabs>
        <w:ind w:left="420" w:hanging="420"/>
      </w:pPr>
      <w:rPr>
        <w:rFonts w:hint="default" w:ascii="宋体" w:hAnsi="宋体" w:eastAsia="宋体"/>
      </w:rPr>
    </w:lvl>
    <w:lvl w:ilvl="1" w:tentative="0">
      <w:start w:val="1"/>
      <w:numFmt w:val="decimal"/>
      <w:lvlText w:val="32.%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ascii="宋体" w:hAnsi="宋体" w:eastAsia="宋体"/>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4">
    <w:nsid w:val="535C9A1C"/>
    <w:multiLevelType w:val="multilevel"/>
    <w:tmpl w:val="535C9A1C"/>
    <w:lvl w:ilvl="0" w:tentative="0">
      <w:start w:val="25"/>
      <w:numFmt w:val="decimal"/>
      <w:lvlText w:val="%1."/>
      <w:lvlJc w:val="left"/>
      <w:pPr>
        <w:tabs>
          <w:tab w:val="left" w:pos="425"/>
        </w:tabs>
        <w:ind w:left="425" w:hanging="425"/>
      </w:pPr>
      <w:rPr>
        <w:rFonts w:hint="eastAsia"/>
      </w:rPr>
    </w:lvl>
    <w:lvl w:ilvl="1" w:tentative="0">
      <w:start w:val="1"/>
      <w:numFmt w:val="decimal"/>
      <w:lvlText w:val="33.%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5">
    <w:nsid w:val="535C9A88"/>
    <w:multiLevelType w:val="multilevel"/>
    <w:tmpl w:val="535C9A88"/>
    <w:lvl w:ilvl="0" w:tentative="0">
      <w:start w:val="25"/>
      <w:numFmt w:val="decimal"/>
      <w:lvlText w:val="%1."/>
      <w:lvlJc w:val="left"/>
      <w:pPr>
        <w:tabs>
          <w:tab w:val="left" w:pos="425"/>
        </w:tabs>
        <w:ind w:left="425" w:hanging="425"/>
      </w:pPr>
      <w:rPr>
        <w:rFonts w:hint="eastAsia"/>
      </w:rPr>
    </w:lvl>
    <w:lvl w:ilvl="1" w:tentative="0">
      <w:start w:val="1"/>
      <w:numFmt w:val="decimal"/>
      <w:lvlText w:val="34.%2"/>
      <w:lvlJc w:val="left"/>
      <w:pPr>
        <w:tabs>
          <w:tab w:val="left" w:pos="1134"/>
        </w:tabs>
        <w:ind w:left="1134" w:hanging="1134"/>
      </w:pPr>
      <w:rPr>
        <w:rFonts w:hint="default" w:ascii="宋体" w:hAnsi="宋体" w:eastAsia="宋体" w:cs="宋体"/>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6">
    <w:nsid w:val="535C9CB8"/>
    <w:multiLevelType w:val="multilevel"/>
    <w:tmpl w:val="535C9CB8"/>
    <w:lvl w:ilvl="0" w:tentative="0">
      <w:start w:val="2"/>
      <w:numFmt w:val="decimal"/>
      <w:lvlText w:val="%1"/>
      <w:lvlJc w:val="left"/>
      <w:pPr>
        <w:tabs>
          <w:tab w:val="left" w:pos="450"/>
        </w:tabs>
        <w:ind w:left="450" w:hanging="450"/>
      </w:pPr>
      <w:rPr>
        <w:rFonts w:hint="default"/>
      </w:rPr>
    </w:lvl>
    <w:lvl w:ilvl="1" w:tentative="0">
      <w:start w:val="1"/>
      <w:numFmt w:val="decimal"/>
      <w:lvlText w:val="35.%2"/>
      <w:lvlJc w:val="left"/>
      <w:pPr>
        <w:tabs>
          <w:tab w:val="left" w:pos="1134"/>
        </w:tabs>
        <w:ind w:left="1134" w:hanging="1134"/>
      </w:pPr>
      <w:rPr>
        <w:rFonts w:hint="default" w:ascii="宋体" w:hAnsi="宋体" w:eastAsia="宋体" w:cs="宋体"/>
        <w:strike w:val="0"/>
        <w:color w:val="auto"/>
        <w:sz w:val="21"/>
        <w:szCs w:val="21"/>
      </w:rPr>
    </w:lvl>
    <w:lvl w:ilvl="2" w:tentative="0">
      <w:start w:val="1"/>
      <w:numFmt w:val="decimal"/>
      <w:lvlText w:val="%1.%2.%3"/>
      <w:lvlJc w:val="left"/>
      <w:pPr>
        <w:tabs>
          <w:tab w:val="left" w:pos="1080"/>
        </w:tabs>
        <w:ind w:left="1080" w:hanging="108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520"/>
        </w:tabs>
        <w:ind w:left="2520" w:hanging="2520"/>
      </w:pPr>
      <w:rPr>
        <w:rFonts w:hint="default"/>
      </w:rPr>
    </w:lvl>
    <w:lvl w:ilvl="8" w:tentative="0">
      <w:start w:val="1"/>
      <w:numFmt w:val="decimal"/>
      <w:lvlText w:val="%1.%2.%3.%4.%5.%6.%7.%8.%9"/>
      <w:lvlJc w:val="left"/>
      <w:pPr>
        <w:tabs>
          <w:tab w:val="left" w:pos="2880"/>
        </w:tabs>
        <w:ind w:left="2880" w:hanging="2880"/>
      </w:pPr>
      <w:rPr>
        <w:rFonts w:hint="default"/>
      </w:rPr>
    </w:lvl>
  </w:abstractNum>
  <w:abstractNum w:abstractNumId="47">
    <w:nsid w:val="535C9CE7"/>
    <w:multiLevelType w:val="multilevel"/>
    <w:tmpl w:val="535C9CE7"/>
    <w:lvl w:ilvl="0" w:tentative="0">
      <w:start w:val="1"/>
      <w:numFmt w:val="decimal"/>
      <w:lvlText w:val="36.%1"/>
      <w:lvlJc w:val="left"/>
      <w:pPr>
        <w:tabs>
          <w:tab w:val="left" w:pos="1134"/>
        </w:tabs>
        <w:ind w:left="1134" w:hanging="1134"/>
      </w:pPr>
      <w:rPr>
        <w:rFonts w:hint="default" w:ascii="宋体" w:hAnsi="宋体" w:eastAsia="宋体" w:cs="宋体"/>
        <w:b w:val="0"/>
        <w:i w:val="0"/>
        <w:sz w:val="21"/>
        <w:szCs w:val="21"/>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8">
    <w:nsid w:val="535CA032"/>
    <w:multiLevelType w:val="multilevel"/>
    <w:tmpl w:val="535CA032"/>
    <w:lvl w:ilvl="0" w:tentative="0">
      <w:start w:val="25"/>
      <w:numFmt w:val="decimal"/>
      <w:lvlText w:val="%1."/>
      <w:lvlJc w:val="left"/>
      <w:pPr>
        <w:tabs>
          <w:tab w:val="left" w:pos="425"/>
        </w:tabs>
        <w:ind w:left="425" w:hanging="425"/>
      </w:pPr>
      <w:rPr>
        <w:rFonts w:hint="eastAsia"/>
      </w:rPr>
    </w:lvl>
    <w:lvl w:ilvl="1" w:tentative="0">
      <w:start w:val="1"/>
      <w:numFmt w:val="decimal"/>
      <w:lvlText w:val="37.%2"/>
      <w:lvlJc w:val="left"/>
      <w:pPr>
        <w:tabs>
          <w:tab w:val="left" w:pos="1134"/>
        </w:tabs>
        <w:ind w:left="1134" w:hanging="1134"/>
      </w:pPr>
      <w:rPr>
        <w:rFonts w:hint="default" w:ascii="宋体" w:hAnsi="宋体" w:eastAsia="宋体" w:cs="宋体"/>
      </w:rPr>
    </w:lvl>
    <w:lvl w:ilvl="2" w:tentative="0">
      <w:start w:val="1"/>
      <w:numFmt w:val="decimal"/>
      <w:lvlText w:val="37.%2.%3."/>
      <w:lvlJc w:val="left"/>
      <w:pPr>
        <w:tabs>
          <w:tab w:val="left" w:pos="1134"/>
        </w:tabs>
        <w:ind w:left="1134" w:hanging="1134"/>
      </w:pPr>
      <w:rPr>
        <w:rFonts w:hint="default" w:ascii="宋体" w:hAnsi="宋体" w:eastAsia="宋体" w:cs="宋体"/>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9">
    <w:nsid w:val="536879E3"/>
    <w:multiLevelType w:val="multilevel"/>
    <w:tmpl w:val="536879E3"/>
    <w:lvl w:ilvl="0" w:tentative="0">
      <w:start w:val="1"/>
      <w:numFmt w:val="decimal"/>
      <w:lvlText w:val="%1."/>
      <w:lvlJc w:val="left"/>
      <w:pPr>
        <w:tabs>
          <w:tab w:val="left" w:pos="425"/>
        </w:tabs>
        <w:ind w:left="425" w:hanging="425"/>
      </w:pPr>
      <w:rPr>
        <w:rFonts w:hint="default"/>
      </w:rPr>
    </w:lvl>
    <w:lvl w:ilvl="1" w:tentative="0">
      <w:start w:val="1"/>
      <w:numFmt w:val="decimal"/>
      <w:lvlText w:val="5.%2 "/>
      <w:lvlJc w:val="left"/>
      <w:pPr>
        <w:tabs>
          <w:tab w:val="left" w:pos="1135"/>
        </w:tabs>
        <w:ind w:left="1135" w:hanging="567"/>
      </w:pPr>
      <w:rPr>
        <w:rFonts w:hint="default" w:ascii="宋体" w:hAnsi="宋体" w:eastAsia="宋体" w:cs="宋体"/>
      </w:rPr>
    </w:lvl>
    <w:lvl w:ilvl="2" w:tentative="0">
      <w:start w:val="1"/>
      <w:numFmt w:val="decimal"/>
      <w:lvlText w:val="%1.%2.%3."/>
      <w:lvlJc w:val="left"/>
      <w:pPr>
        <w:tabs>
          <w:tab w:val="left" w:pos="709"/>
        </w:tabs>
        <w:ind w:left="709" w:hanging="709"/>
      </w:pPr>
      <w:rPr>
        <w:rFonts w:hint="default"/>
      </w:rPr>
    </w:lvl>
    <w:lvl w:ilvl="3" w:tentative="0">
      <w:start w:val="1"/>
      <w:numFmt w:val="decimal"/>
      <w:lvlText w:val="%1.%2.%3.%4."/>
      <w:lvlJc w:val="left"/>
      <w:pPr>
        <w:tabs>
          <w:tab w:val="left" w:pos="850"/>
        </w:tabs>
        <w:ind w:left="850" w:hanging="850"/>
      </w:pPr>
      <w:rPr>
        <w:rFonts w:hint="default"/>
      </w:rPr>
    </w:lvl>
    <w:lvl w:ilvl="4" w:tentative="0">
      <w:start w:val="1"/>
      <w:numFmt w:val="decimal"/>
      <w:lvlText w:val="%1.%2.%3.%4.%5."/>
      <w:lvlJc w:val="left"/>
      <w:pPr>
        <w:tabs>
          <w:tab w:val="left" w:pos="991"/>
        </w:tabs>
        <w:ind w:left="991" w:hanging="991"/>
      </w:pPr>
      <w:rPr>
        <w:rFonts w:hint="default"/>
      </w:rPr>
    </w:lvl>
    <w:lvl w:ilvl="5" w:tentative="0">
      <w:start w:val="1"/>
      <w:numFmt w:val="decimal"/>
      <w:lvlText w:val="%1.%2.%3.%4.%5.%6."/>
      <w:lvlJc w:val="left"/>
      <w:pPr>
        <w:tabs>
          <w:tab w:val="left" w:pos="1134"/>
        </w:tabs>
        <w:ind w:left="1134" w:hanging="1134"/>
      </w:pPr>
      <w:rPr>
        <w:rFonts w:hint="default"/>
      </w:rPr>
    </w:lvl>
    <w:lvl w:ilvl="6" w:tentative="0">
      <w:start w:val="1"/>
      <w:numFmt w:val="decimal"/>
      <w:lvlText w:val="%1.%2.%3.%4.%5.%6.%7."/>
      <w:lvlJc w:val="left"/>
      <w:pPr>
        <w:tabs>
          <w:tab w:val="left" w:pos="1275"/>
        </w:tabs>
        <w:ind w:left="1275" w:hanging="1275"/>
      </w:pPr>
      <w:rPr>
        <w:rFonts w:hint="default"/>
      </w:rPr>
    </w:lvl>
    <w:lvl w:ilvl="7" w:tentative="0">
      <w:start w:val="1"/>
      <w:numFmt w:val="decimal"/>
      <w:lvlText w:val="%1.%2.%3.%4.%5.%6.%7.%8."/>
      <w:lvlJc w:val="left"/>
      <w:pPr>
        <w:tabs>
          <w:tab w:val="left" w:pos="1418"/>
        </w:tabs>
        <w:ind w:left="1418" w:hanging="1418"/>
      </w:pPr>
      <w:rPr>
        <w:rFonts w:hint="default"/>
      </w:rPr>
    </w:lvl>
    <w:lvl w:ilvl="8" w:tentative="0">
      <w:start w:val="1"/>
      <w:numFmt w:val="decimal"/>
      <w:lvlText w:val="%1.%2.%3.%4.%5.%6.%7.%8.%9."/>
      <w:lvlJc w:val="left"/>
      <w:pPr>
        <w:tabs>
          <w:tab w:val="left" w:pos="1558"/>
        </w:tabs>
        <w:ind w:left="1558" w:hanging="1558"/>
      </w:pPr>
      <w:rPr>
        <w:rFonts w:hint="default"/>
      </w:rPr>
    </w:lvl>
  </w:abstractNum>
  <w:abstractNum w:abstractNumId="50">
    <w:nsid w:val="537D90D0"/>
    <w:multiLevelType w:val="singleLevel"/>
    <w:tmpl w:val="537D90D0"/>
    <w:lvl w:ilvl="0" w:tentative="0">
      <w:start w:val="1"/>
      <w:numFmt w:val="decimal"/>
      <w:suff w:val="space"/>
      <w:lvlText w:val="%1、"/>
      <w:lvlJc w:val="left"/>
    </w:lvl>
  </w:abstractNum>
  <w:num w:numId="1">
    <w:abstractNumId w:val="4"/>
  </w:num>
  <w:num w:numId="2">
    <w:abstractNumId w:val="9"/>
  </w:num>
  <w:num w:numId="3">
    <w:abstractNumId w:val="20"/>
  </w:num>
  <w:num w:numId="4">
    <w:abstractNumId w:val="10"/>
  </w:num>
  <w:num w:numId="5">
    <w:abstractNumId w:val="49"/>
  </w:num>
  <w:num w:numId="6">
    <w:abstractNumId w:val="8"/>
  </w:num>
  <w:num w:numId="7">
    <w:abstractNumId w:val="6"/>
  </w:num>
  <w:num w:numId="8">
    <w:abstractNumId w:val="3"/>
  </w:num>
  <w:num w:numId="9">
    <w:abstractNumId w:val="14"/>
  </w:num>
  <w:num w:numId="10">
    <w:abstractNumId w:val="23"/>
  </w:num>
  <w:num w:numId="11">
    <w:abstractNumId w:val="5"/>
  </w:num>
  <w:num w:numId="12">
    <w:abstractNumId w:val="17"/>
  </w:num>
  <w:num w:numId="13">
    <w:abstractNumId w:val="11"/>
  </w:num>
  <w:num w:numId="14">
    <w:abstractNumId w:val="7"/>
  </w:num>
  <w:num w:numId="15">
    <w:abstractNumId w:val="28"/>
  </w:num>
  <w:num w:numId="16">
    <w:abstractNumId w:val="29"/>
  </w:num>
  <w:num w:numId="17">
    <w:abstractNumId w:val="30"/>
  </w:num>
  <w:num w:numId="18">
    <w:abstractNumId w:val="31"/>
  </w:num>
  <w:num w:numId="19">
    <w:abstractNumId w:val="16"/>
  </w:num>
  <w:num w:numId="20">
    <w:abstractNumId w:val="32"/>
  </w:num>
  <w:num w:numId="21">
    <w:abstractNumId w:val="33"/>
  </w:num>
  <w:num w:numId="22">
    <w:abstractNumId w:val="34"/>
  </w:num>
  <w:num w:numId="23">
    <w:abstractNumId w:val="35"/>
  </w:num>
  <w:num w:numId="24">
    <w:abstractNumId w:val="36"/>
  </w:num>
  <w:num w:numId="25">
    <w:abstractNumId w:val="37"/>
  </w:num>
  <w:num w:numId="26">
    <w:abstractNumId w:val="38"/>
  </w:num>
  <w:num w:numId="27">
    <w:abstractNumId w:val="39"/>
  </w:num>
  <w:num w:numId="28">
    <w:abstractNumId w:val="40"/>
  </w:num>
  <w:num w:numId="29">
    <w:abstractNumId w:val="41"/>
  </w:num>
  <w:num w:numId="30">
    <w:abstractNumId w:val="42"/>
  </w:num>
  <w:num w:numId="31">
    <w:abstractNumId w:val="43"/>
  </w:num>
  <w:num w:numId="32">
    <w:abstractNumId w:val="44"/>
  </w:num>
  <w:num w:numId="33">
    <w:abstractNumId w:val="45"/>
  </w:num>
  <w:num w:numId="34">
    <w:abstractNumId w:val="46"/>
  </w:num>
  <w:num w:numId="35">
    <w:abstractNumId w:val="47"/>
  </w:num>
  <w:num w:numId="36">
    <w:abstractNumId w:val="48"/>
  </w:num>
  <w:num w:numId="37">
    <w:abstractNumId w:val="12"/>
  </w:num>
  <w:num w:numId="38">
    <w:abstractNumId w:val="1"/>
  </w:num>
  <w:num w:numId="39">
    <w:abstractNumId w:val="21"/>
  </w:num>
  <w:num w:numId="40">
    <w:abstractNumId w:val="22"/>
  </w:num>
  <w:num w:numId="41">
    <w:abstractNumId w:val="15"/>
  </w:num>
  <w:num w:numId="42">
    <w:abstractNumId w:val="19"/>
  </w:num>
  <w:num w:numId="43">
    <w:abstractNumId w:val="18"/>
  </w:num>
  <w:num w:numId="44">
    <w:abstractNumId w:val="2"/>
  </w:num>
  <w:num w:numId="45">
    <w:abstractNumId w:val="0"/>
  </w:num>
  <w:num w:numId="46">
    <w:abstractNumId w:val="13"/>
  </w:num>
  <w:num w:numId="47">
    <w:abstractNumId w:val="24"/>
  </w:num>
  <w:num w:numId="48">
    <w:abstractNumId w:val="25"/>
  </w:num>
  <w:num w:numId="49">
    <w:abstractNumId w:val="50"/>
  </w:num>
  <w:num w:numId="50">
    <w:abstractNumId w:val="26"/>
  </w:num>
  <w:num w:numId="5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5YzQ5OTg0N2IxNzZhZGNhNThlNjkzMGI1NTNiYTMifQ=="/>
  </w:docVars>
  <w:rsids>
    <w:rsidRoot w:val="00172A27"/>
    <w:rsid w:val="00000874"/>
    <w:rsid w:val="00000DED"/>
    <w:rsid w:val="00001BA0"/>
    <w:rsid w:val="00001E89"/>
    <w:rsid w:val="0000249D"/>
    <w:rsid w:val="00002970"/>
    <w:rsid w:val="00004467"/>
    <w:rsid w:val="00004776"/>
    <w:rsid w:val="00007398"/>
    <w:rsid w:val="00010A70"/>
    <w:rsid w:val="0001456D"/>
    <w:rsid w:val="00017252"/>
    <w:rsid w:val="000232B6"/>
    <w:rsid w:val="00027285"/>
    <w:rsid w:val="00030926"/>
    <w:rsid w:val="00030988"/>
    <w:rsid w:val="00031088"/>
    <w:rsid w:val="00031A91"/>
    <w:rsid w:val="0003381D"/>
    <w:rsid w:val="00033E46"/>
    <w:rsid w:val="000409B1"/>
    <w:rsid w:val="00041DC8"/>
    <w:rsid w:val="0004212D"/>
    <w:rsid w:val="00042C30"/>
    <w:rsid w:val="0004427A"/>
    <w:rsid w:val="000454B6"/>
    <w:rsid w:val="0004677A"/>
    <w:rsid w:val="00047943"/>
    <w:rsid w:val="00055260"/>
    <w:rsid w:val="0005624D"/>
    <w:rsid w:val="000569D1"/>
    <w:rsid w:val="00056C29"/>
    <w:rsid w:val="000608B2"/>
    <w:rsid w:val="00063C6A"/>
    <w:rsid w:val="000733DB"/>
    <w:rsid w:val="00073D27"/>
    <w:rsid w:val="00077739"/>
    <w:rsid w:val="0007784A"/>
    <w:rsid w:val="0008305C"/>
    <w:rsid w:val="0008452F"/>
    <w:rsid w:val="0008605F"/>
    <w:rsid w:val="000903C0"/>
    <w:rsid w:val="000917C6"/>
    <w:rsid w:val="000927A7"/>
    <w:rsid w:val="00095FD0"/>
    <w:rsid w:val="0009604E"/>
    <w:rsid w:val="00097BF0"/>
    <w:rsid w:val="000A28EC"/>
    <w:rsid w:val="000A47E2"/>
    <w:rsid w:val="000A5088"/>
    <w:rsid w:val="000A7752"/>
    <w:rsid w:val="000B3AAE"/>
    <w:rsid w:val="000B552B"/>
    <w:rsid w:val="000C21FE"/>
    <w:rsid w:val="000C5980"/>
    <w:rsid w:val="000C72E9"/>
    <w:rsid w:val="000D241A"/>
    <w:rsid w:val="000D33D1"/>
    <w:rsid w:val="000E1360"/>
    <w:rsid w:val="000E3442"/>
    <w:rsid w:val="000E60AC"/>
    <w:rsid w:val="000F05A1"/>
    <w:rsid w:val="000F346D"/>
    <w:rsid w:val="000F3F47"/>
    <w:rsid w:val="000F4206"/>
    <w:rsid w:val="000F61B9"/>
    <w:rsid w:val="0010264E"/>
    <w:rsid w:val="00102BD5"/>
    <w:rsid w:val="00103AC8"/>
    <w:rsid w:val="0010516C"/>
    <w:rsid w:val="00105BC9"/>
    <w:rsid w:val="0010618C"/>
    <w:rsid w:val="00121C8B"/>
    <w:rsid w:val="00125770"/>
    <w:rsid w:val="001266F4"/>
    <w:rsid w:val="00130CF3"/>
    <w:rsid w:val="00131333"/>
    <w:rsid w:val="001334F3"/>
    <w:rsid w:val="00133C2A"/>
    <w:rsid w:val="00133C9D"/>
    <w:rsid w:val="00136F0B"/>
    <w:rsid w:val="00140FC3"/>
    <w:rsid w:val="00150E58"/>
    <w:rsid w:val="00152390"/>
    <w:rsid w:val="00153102"/>
    <w:rsid w:val="0015325B"/>
    <w:rsid w:val="00153CBF"/>
    <w:rsid w:val="00153D3C"/>
    <w:rsid w:val="00154A39"/>
    <w:rsid w:val="00162CA9"/>
    <w:rsid w:val="001658B2"/>
    <w:rsid w:val="00172CED"/>
    <w:rsid w:val="00173A05"/>
    <w:rsid w:val="00175124"/>
    <w:rsid w:val="00176464"/>
    <w:rsid w:val="0018166D"/>
    <w:rsid w:val="00181BA1"/>
    <w:rsid w:val="00181F49"/>
    <w:rsid w:val="001846AA"/>
    <w:rsid w:val="0019164B"/>
    <w:rsid w:val="001926A6"/>
    <w:rsid w:val="00192775"/>
    <w:rsid w:val="00195FCB"/>
    <w:rsid w:val="00196D59"/>
    <w:rsid w:val="001A05BB"/>
    <w:rsid w:val="001A126D"/>
    <w:rsid w:val="001A5C42"/>
    <w:rsid w:val="001A6C95"/>
    <w:rsid w:val="001A724C"/>
    <w:rsid w:val="001B1D41"/>
    <w:rsid w:val="001B28CF"/>
    <w:rsid w:val="001B3497"/>
    <w:rsid w:val="001B62D3"/>
    <w:rsid w:val="001C1D13"/>
    <w:rsid w:val="001C2BA1"/>
    <w:rsid w:val="001C3238"/>
    <w:rsid w:val="001C5035"/>
    <w:rsid w:val="001D0F3A"/>
    <w:rsid w:val="001D1758"/>
    <w:rsid w:val="001D1CC5"/>
    <w:rsid w:val="001D3738"/>
    <w:rsid w:val="001E22FB"/>
    <w:rsid w:val="001E28BF"/>
    <w:rsid w:val="001E55A2"/>
    <w:rsid w:val="001F1AAC"/>
    <w:rsid w:val="001F350F"/>
    <w:rsid w:val="001F5418"/>
    <w:rsid w:val="001F6587"/>
    <w:rsid w:val="00200C99"/>
    <w:rsid w:val="0020171D"/>
    <w:rsid w:val="0020681D"/>
    <w:rsid w:val="00212160"/>
    <w:rsid w:val="00214E58"/>
    <w:rsid w:val="00216614"/>
    <w:rsid w:val="00217BE9"/>
    <w:rsid w:val="002230C3"/>
    <w:rsid w:val="00224547"/>
    <w:rsid w:val="0023278C"/>
    <w:rsid w:val="00232DBA"/>
    <w:rsid w:val="00234F3D"/>
    <w:rsid w:val="00242E58"/>
    <w:rsid w:val="002458A1"/>
    <w:rsid w:val="00247848"/>
    <w:rsid w:val="0025305C"/>
    <w:rsid w:val="00260156"/>
    <w:rsid w:val="00260ECC"/>
    <w:rsid w:val="0026562C"/>
    <w:rsid w:val="0027419A"/>
    <w:rsid w:val="002741DB"/>
    <w:rsid w:val="00275962"/>
    <w:rsid w:val="00275FCD"/>
    <w:rsid w:val="00276629"/>
    <w:rsid w:val="0028246C"/>
    <w:rsid w:val="00282A4F"/>
    <w:rsid w:val="002832A3"/>
    <w:rsid w:val="00283EBB"/>
    <w:rsid w:val="002852D5"/>
    <w:rsid w:val="00285F5B"/>
    <w:rsid w:val="002871CF"/>
    <w:rsid w:val="002875ED"/>
    <w:rsid w:val="00290BBF"/>
    <w:rsid w:val="00291176"/>
    <w:rsid w:val="002917B8"/>
    <w:rsid w:val="0029298B"/>
    <w:rsid w:val="00294B89"/>
    <w:rsid w:val="00296EEB"/>
    <w:rsid w:val="002A19FF"/>
    <w:rsid w:val="002A3477"/>
    <w:rsid w:val="002A5C47"/>
    <w:rsid w:val="002A5F17"/>
    <w:rsid w:val="002A61BE"/>
    <w:rsid w:val="002A61F5"/>
    <w:rsid w:val="002A6725"/>
    <w:rsid w:val="002A69D7"/>
    <w:rsid w:val="002A7B3A"/>
    <w:rsid w:val="002A7DCC"/>
    <w:rsid w:val="002B13C3"/>
    <w:rsid w:val="002B15F9"/>
    <w:rsid w:val="002B1C8A"/>
    <w:rsid w:val="002B3788"/>
    <w:rsid w:val="002B6F04"/>
    <w:rsid w:val="002C7603"/>
    <w:rsid w:val="002D1341"/>
    <w:rsid w:val="002D1E1E"/>
    <w:rsid w:val="002D443B"/>
    <w:rsid w:val="002D52CA"/>
    <w:rsid w:val="002D54B9"/>
    <w:rsid w:val="002E0B5D"/>
    <w:rsid w:val="002E1B95"/>
    <w:rsid w:val="002E243C"/>
    <w:rsid w:val="002E445B"/>
    <w:rsid w:val="002E7311"/>
    <w:rsid w:val="002F085F"/>
    <w:rsid w:val="002F135F"/>
    <w:rsid w:val="002F3FF9"/>
    <w:rsid w:val="002F5042"/>
    <w:rsid w:val="002F642A"/>
    <w:rsid w:val="002F6658"/>
    <w:rsid w:val="0030081C"/>
    <w:rsid w:val="003019D1"/>
    <w:rsid w:val="003020F2"/>
    <w:rsid w:val="00306AFF"/>
    <w:rsid w:val="003101F0"/>
    <w:rsid w:val="003144C7"/>
    <w:rsid w:val="00316C27"/>
    <w:rsid w:val="003224B4"/>
    <w:rsid w:val="00323B14"/>
    <w:rsid w:val="00325D0F"/>
    <w:rsid w:val="00325D3C"/>
    <w:rsid w:val="00332272"/>
    <w:rsid w:val="00333EEC"/>
    <w:rsid w:val="00334E47"/>
    <w:rsid w:val="00340CFB"/>
    <w:rsid w:val="003527C6"/>
    <w:rsid w:val="0035539D"/>
    <w:rsid w:val="003560D5"/>
    <w:rsid w:val="00356A36"/>
    <w:rsid w:val="00356D3F"/>
    <w:rsid w:val="0035738E"/>
    <w:rsid w:val="00357C0B"/>
    <w:rsid w:val="00357CE6"/>
    <w:rsid w:val="003732B4"/>
    <w:rsid w:val="00375063"/>
    <w:rsid w:val="00380E91"/>
    <w:rsid w:val="00392174"/>
    <w:rsid w:val="003923CB"/>
    <w:rsid w:val="00392416"/>
    <w:rsid w:val="003938C1"/>
    <w:rsid w:val="003952B0"/>
    <w:rsid w:val="003A0A48"/>
    <w:rsid w:val="003A2EC3"/>
    <w:rsid w:val="003A3629"/>
    <w:rsid w:val="003A5AB9"/>
    <w:rsid w:val="003A5BBC"/>
    <w:rsid w:val="003B1055"/>
    <w:rsid w:val="003B45BA"/>
    <w:rsid w:val="003B4CB9"/>
    <w:rsid w:val="003C00EC"/>
    <w:rsid w:val="003C1751"/>
    <w:rsid w:val="003C3A2D"/>
    <w:rsid w:val="003C5279"/>
    <w:rsid w:val="003C6770"/>
    <w:rsid w:val="003D24EE"/>
    <w:rsid w:val="003D380A"/>
    <w:rsid w:val="003D3A30"/>
    <w:rsid w:val="003D3CEA"/>
    <w:rsid w:val="003E2F79"/>
    <w:rsid w:val="003E3812"/>
    <w:rsid w:val="003E3ED0"/>
    <w:rsid w:val="003E4879"/>
    <w:rsid w:val="003E6173"/>
    <w:rsid w:val="003E6C32"/>
    <w:rsid w:val="003E6D78"/>
    <w:rsid w:val="003F0DB4"/>
    <w:rsid w:val="003F1426"/>
    <w:rsid w:val="003F7003"/>
    <w:rsid w:val="00401F00"/>
    <w:rsid w:val="004038C2"/>
    <w:rsid w:val="004043B2"/>
    <w:rsid w:val="00405681"/>
    <w:rsid w:val="00407E7B"/>
    <w:rsid w:val="00413944"/>
    <w:rsid w:val="0041417E"/>
    <w:rsid w:val="00414196"/>
    <w:rsid w:val="00415AAF"/>
    <w:rsid w:val="0042041F"/>
    <w:rsid w:val="0042496F"/>
    <w:rsid w:val="00424B1E"/>
    <w:rsid w:val="0042543B"/>
    <w:rsid w:val="00426668"/>
    <w:rsid w:val="00426E47"/>
    <w:rsid w:val="00430608"/>
    <w:rsid w:val="004308A4"/>
    <w:rsid w:val="00433123"/>
    <w:rsid w:val="0043569C"/>
    <w:rsid w:val="004420C3"/>
    <w:rsid w:val="00442BF7"/>
    <w:rsid w:val="004443A7"/>
    <w:rsid w:val="004444EF"/>
    <w:rsid w:val="00444FFE"/>
    <w:rsid w:val="00445D1D"/>
    <w:rsid w:val="0044671B"/>
    <w:rsid w:val="00446DB0"/>
    <w:rsid w:val="00454F7B"/>
    <w:rsid w:val="00456E81"/>
    <w:rsid w:val="004614B5"/>
    <w:rsid w:val="00462BB7"/>
    <w:rsid w:val="00463FF3"/>
    <w:rsid w:val="00466F6F"/>
    <w:rsid w:val="0047232D"/>
    <w:rsid w:val="0047441A"/>
    <w:rsid w:val="004766C4"/>
    <w:rsid w:val="00477DF4"/>
    <w:rsid w:val="00481D90"/>
    <w:rsid w:val="0048233A"/>
    <w:rsid w:val="0048576C"/>
    <w:rsid w:val="00485F95"/>
    <w:rsid w:val="004861A9"/>
    <w:rsid w:val="004914DC"/>
    <w:rsid w:val="00494319"/>
    <w:rsid w:val="004943E9"/>
    <w:rsid w:val="00495CCE"/>
    <w:rsid w:val="00497265"/>
    <w:rsid w:val="0049784D"/>
    <w:rsid w:val="004A07E0"/>
    <w:rsid w:val="004A5954"/>
    <w:rsid w:val="004A61F0"/>
    <w:rsid w:val="004B02D6"/>
    <w:rsid w:val="004B11B8"/>
    <w:rsid w:val="004B453C"/>
    <w:rsid w:val="004B71C7"/>
    <w:rsid w:val="004C3089"/>
    <w:rsid w:val="004C5BB9"/>
    <w:rsid w:val="004D284E"/>
    <w:rsid w:val="004D52B2"/>
    <w:rsid w:val="004E0FFD"/>
    <w:rsid w:val="004E13C2"/>
    <w:rsid w:val="004E30C1"/>
    <w:rsid w:val="004E415E"/>
    <w:rsid w:val="004E5B68"/>
    <w:rsid w:val="004E5E2A"/>
    <w:rsid w:val="004F0C74"/>
    <w:rsid w:val="004F5F08"/>
    <w:rsid w:val="004F77F1"/>
    <w:rsid w:val="004F7E9E"/>
    <w:rsid w:val="0050516D"/>
    <w:rsid w:val="00506CCD"/>
    <w:rsid w:val="00511BD1"/>
    <w:rsid w:val="00515B3A"/>
    <w:rsid w:val="00516FC5"/>
    <w:rsid w:val="005174BC"/>
    <w:rsid w:val="00517BBF"/>
    <w:rsid w:val="0052358B"/>
    <w:rsid w:val="0052543D"/>
    <w:rsid w:val="00531984"/>
    <w:rsid w:val="005328C9"/>
    <w:rsid w:val="005351C9"/>
    <w:rsid w:val="0053569D"/>
    <w:rsid w:val="00537536"/>
    <w:rsid w:val="00546C1E"/>
    <w:rsid w:val="00546E93"/>
    <w:rsid w:val="00550685"/>
    <w:rsid w:val="00550FF1"/>
    <w:rsid w:val="00551A14"/>
    <w:rsid w:val="00556478"/>
    <w:rsid w:val="00556830"/>
    <w:rsid w:val="00563988"/>
    <w:rsid w:val="00564FAB"/>
    <w:rsid w:val="00565934"/>
    <w:rsid w:val="00566AB4"/>
    <w:rsid w:val="00570826"/>
    <w:rsid w:val="00572E8C"/>
    <w:rsid w:val="005734C4"/>
    <w:rsid w:val="00576026"/>
    <w:rsid w:val="00576FE6"/>
    <w:rsid w:val="005777F1"/>
    <w:rsid w:val="00577896"/>
    <w:rsid w:val="00583D64"/>
    <w:rsid w:val="005845BE"/>
    <w:rsid w:val="00586124"/>
    <w:rsid w:val="00590D6A"/>
    <w:rsid w:val="00592DBF"/>
    <w:rsid w:val="00597F87"/>
    <w:rsid w:val="005A0AAD"/>
    <w:rsid w:val="005A1E39"/>
    <w:rsid w:val="005A1F93"/>
    <w:rsid w:val="005A328E"/>
    <w:rsid w:val="005A49F1"/>
    <w:rsid w:val="005A59B6"/>
    <w:rsid w:val="005A6A6B"/>
    <w:rsid w:val="005B1675"/>
    <w:rsid w:val="005B38F6"/>
    <w:rsid w:val="005B3958"/>
    <w:rsid w:val="005B6035"/>
    <w:rsid w:val="005B6FC2"/>
    <w:rsid w:val="005B79EF"/>
    <w:rsid w:val="005C2694"/>
    <w:rsid w:val="005C7788"/>
    <w:rsid w:val="005C7AC3"/>
    <w:rsid w:val="005D011B"/>
    <w:rsid w:val="005D1A1A"/>
    <w:rsid w:val="005D2D15"/>
    <w:rsid w:val="005D47BD"/>
    <w:rsid w:val="005E0488"/>
    <w:rsid w:val="005E0535"/>
    <w:rsid w:val="005E6F2C"/>
    <w:rsid w:val="005F1816"/>
    <w:rsid w:val="005F2B7C"/>
    <w:rsid w:val="005F2ECA"/>
    <w:rsid w:val="005F4587"/>
    <w:rsid w:val="005F4A1C"/>
    <w:rsid w:val="0060028A"/>
    <w:rsid w:val="006003FB"/>
    <w:rsid w:val="006016E1"/>
    <w:rsid w:val="0060677B"/>
    <w:rsid w:val="006169C1"/>
    <w:rsid w:val="006172B5"/>
    <w:rsid w:val="00620663"/>
    <w:rsid w:val="0062115D"/>
    <w:rsid w:val="00623845"/>
    <w:rsid w:val="00623E24"/>
    <w:rsid w:val="00624FA7"/>
    <w:rsid w:val="00632BF8"/>
    <w:rsid w:val="00636A5E"/>
    <w:rsid w:val="00640DAD"/>
    <w:rsid w:val="00641011"/>
    <w:rsid w:val="006429EB"/>
    <w:rsid w:val="00645C34"/>
    <w:rsid w:val="00646245"/>
    <w:rsid w:val="00650B05"/>
    <w:rsid w:val="0065320B"/>
    <w:rsid w:val="00653437"/>
    <w:rsid w:val="006538EF"/>
    <w:rsid w:val="006552A0"/>
    <w:rsid w:val="0066232E"/>
    <w:rsid w:val="006636CE"/>
    <w:rsid w:val="00665B50"/>
    <w:rsid w:val="0067026C"/>
    <w:rsid w:val="0067395D"/>
    <w:rsid w:val="006750CD"/>
    <w:rsid w:val="006757A8"/>
    <w:rsid w:val="00675D80"/>
    <w:rsid w:val="00683272"/>
    <w:rsid w:val="00696189"/>
    <w:rsid w:val="00697238"/>
    <w:rsid w:val="006A2522"/>
    <w:rsid w:val="006A253C"/>
    <w:rsid w:val="006A3233"/>
    <w:rsid w:val="006A6062"/>
    <w:rsid w:val="006B06AB"/>
    <w:rsid w:val="006B1021"/>
    <w:rsid w:val="006B1AE6"/>
    <w:rsid w:val="006B3211"/>
    <w:rsid w:val="006B64C7"/>
    <w:rsid w:val="006B769D"/>
    <w:rsid w:val="006C172C"/>
    <w:rsid w:val="006C2294"/>
    <w:rsid w:val="006C2B06"/>
    <w:rsid w:val="006C6EAF"/>
    <w:rsid w:val="006D527B"/>
    <w:rsid w:val="006D5BE7"/>
    <w:rsid w:val="006D69AC"/>
    <w:rsid w:val="006D6A99"/>
    <w:rsid w:val="006D74BF"/>
    <w:rsid w:val="006E1365"/>
    <w:rsid w:val="006E23B4"/>
    <w:rsid w:val="006E2685"/>
    <w:rsid w:val="006E5BE4"/>
    <w:rsid w:val="006E6A70"/>
    <w:rsid w:val="006F09FB"/>
    <w:rsid w:val="006F0AD8"/>
    <w:rsid w:val="006F3558"/>
    <w:rsid w:val="006F45C6"/>
    <w:rsid w:val="006F5C36"/>
    <w:rsid w:val="006F6DB7"/>
    <w:rsid w:val="006F7A7E"/>
    <w:rsid w:val="00700370"/>
    <w:rsid w:val="0070204D"/>
    <w:rsid w:val="007025F5"/>
    <w:rsid w:val="00702F49"/>
    <w:rsid w:val="00706D80"/>
    <w:rsid w:val="007079FC"/>
    <w:rsid w:val="00711333"/>
    <w:rsid w:val="00712FF7"/>
    <w:rsid w:val="00715158"/>
    <w:rsid w:val="0071667E"/>
    <w:rsid w:val="0071721F"/>
    <w:rsid w:val="0072017B"/>
    <w:rsid w:val="00721B74"/>
    <w:rsid w:val="00721C4B"/>
    <w:rsid w:val="00724636"/>
    <w:rsid w:val="007249D5"/>
    <w:rsid w:val="007249F0"/>
    <w:rsid w:val="00726FD1"/>
    <w:rsid w:val="0073435D"/>
    <w:rsid w:val="00735F21"/>
    <w:rsid w:val="00736580"/>
    <w:rsid w:val="0074322F"/>
    <w:rsid w:val="007437CD"/>
    <w:rsid w:val="00746395"/>
    <w:rsid w:val="00747C42"/>
    <w:rsid w:val="00751E7D"/>
    <w:rsid w:val="00753DD8"/>
    <w:rsid w:val="00760F28"/>
    <w:rsid w:val="007635F0"/>
    <w:rsid w:val="0076374F"/>
    <w:rsid w:val="00763FDE"/>
    <w:rsid w:val="00765960"/>
    <w:rsid w:val="00765AAF"/>
    <w:rsid w:val="0077049D"/>
    <w:rsid w:val="00770CE4"/>
    <w:rsid w:val="00773C37"/>
    <w:rsid w:val="00774757"/>
    <w:rsid w:val="00774AA3"/>
    <w:rsid w:val="007769D3"/>
    <w:rsid w:val="00780720"/>
    <w:rsid w:val="007829FD"/>
    <w:rsid w:val="00791933"/>
    <w:rsid w:val="00795700"/>
    <w:rsid w:val="00796267"/>
    <w:rsid w:val="007A118F"/>
    <w:rsid w:val="007A3ECD"/>
    <w:rsid w:val="007A47D2"/>
    <w:rsid w:val="007A5075"/>
    <w:rsid w:val="007A7EBB"/>
    <w:rsid w:val="007B297C"/>
    <w:rsid w:val="007B47AB"/>
    <w:rsid w:val="007B5AC2"/>
    <w:rsid w:val="007B7488"/>
    <w:rsid w:val="007C04C0"/>
    <w:rsid w:val="007C378E"/>
    <w:rsid w:val="007D4718"/>
    <w:rsid w:val="007D4BE5"/>
    <w:rsid w:val="007D56B4"/>
    <w:rsid w:val="007E0EAE"/>
    <w:rsid w:val="007E12B9"/>
    <w:rsid w:val="007E2061"/>
    <w:rsid w:val="007E5DAD"/>
    <w:rsid w:val="007E6E58"/>
    <w:rsid w:val="007E7C4E"/>
    <w:rsid w:val="007F3147"/>
    <w:rsid w:val="007F4ABD"/>
    <w:rsid w:val="00802116"/>
    <w:rsid w:val="008029FA"/>
    <w:rsid w:val="00803A8A"/>
    <w:rsid w:val="00806F6C"/>
    <w:rsid w:val="008070EC"/>
    <w:rsid w:val="008075B5"/>
    <w:rsid w:val="0081168F"/>
    <w:rsid w:val="008119B3"/>
    <w:rsid w:val="00812C69"/>
    <w:rsid w:val="00813A9F"/>
    <w:rsid w:val="00814990"/>
    <w:rsid w:val="008226EA"/>
    <w:rsid w:val="00826016"/>
    <w:rsid w:val="008267A2"/>
    <w:rsid w:val="00833CB2"/>
    <w:rsid w:val="0083700A"/>
    <w:rsid w:val="00837173"/>
    <w:rsid w:val="00837312"/>
    <w:rsid w:val="0084057E"/>
    <w:rsid w:val="00851633"/>
    <w:rsid w:val="00852889"/>
    <w:rsid w:val="0085590D"/>
    <w:rsid w:val="00856F39"/>
    <w:rsid w:val="008615F3"/>
    <w:rsid w:val="00863349"/>
    <w:rsid w:val="00866640"/>
    <w:rsid w:val="00866E2C"/>
    <w:rsid w:val="00872587"/>
    <w:rsid w:val="00875380"/>
    <w:rsid w:val="008754E2"/>
    <w:rsid w:val="008762ED"/>
    <w:rsid w:val="0088165E"/>
    <w:rsid w:val="00885CA6"/>
    <w:rsid w:val="00887A42"/>
    <w:rsid w:val="00890307"/>
    <w:rsid w:val="00890810"/>
    <w:rsid w:val="00890930"/>
    <w:rsid w:val="00891572"/>
    <w:rsid w:val="008949AA"/>
    <w:rsid w:val="008A1EAE"/>
    <w:rsid w:val="008A6A45"/>
    <w:rsid w:val="008B0F19"/>
    <w:rsid w:val="008B14B7"/>
    <w:rsid w:val="008B1BCC"/>
    <w:rsid w:val="008B628E"/>
    <w:rsid w:val="008B6604"/>
    <w:rsid w:val="008C0C84"/>
    <w:rsid w:val="008C48BF"/>
    <w:rsid w:val="008C7677"/>
    <w:rsid w:val="008D1FE8"/>
    <w:rsid w:val="008D2484"/>
    <w:rsid w:val="008D2EF8"/>
    <w:rsid w:val="008D3ADF"/>
    <w:rsid w:val="008D4809"/>
    <w:rsid w:val="008D5ABB"/>
    <w:rsid w:val="008D6C0A"/>
    <w:rsid w:val="008E024E"/>
    <w:rsid w:val="008E02C4"/>
    <w:rsid w:val="008F2C54"/>
    <w:rsid w:val="008F398C"/>
    <w:rsid w:val="008F61C4"/>
    <w:rsid w:val="008F7F28"/>
    <w:rsid w:val="00900851"/>
    <w:rsid w:val="00906091"/>
    <w:rsid w:val="009060E0"/>
    <w:rsid w:val="00906FB6"/>
    <w:rsid w:val="009123BB"/>
    <w:rsid w:val="009131E0"/>
    <w:rsid w:val="009202AF"/>
    <w:rsid w:val="00923A1E"/>
    <w:rsid w:val="00924675"/>
    <w:rsid w:val="00927B1E"/>
    <w:rsid w:val="00927EC6"/>
    <w:rsid w:val="00931BF6"/>
    <w:rsid w:val="00933BBB"/>
    <w:rsid w:val="00934779"/>
    <w:rsid w:val="00937087"/>
    <w:rsid w:val="00937EF2"/>
    <w:rsid w:val="00945122"/>
    <w:rsid w:val="0094560D"/>
    <w:rsid w:val="00952227"/>
    <w:rsid w:val="00954F9E"/>
    <w:rsid w:val="009606F0"/>
    <w:rsid w:val="009618FC"/>
    <w:rsid w:val="0096245F"/>
    <w:rsid w:val="00962CDB"/>
    <w:rsid w:val="00963860"/>
    <w:rsid w:val="00964CF3"/>
    <w:rsid w:val="009660B8"/>
    <w:rsid w:val="00967EC0"/>
    <w:rsid w:val="00972684"/>
    <w:rsid w:val="00972826"/>
    <w:rsid w:val="009750DC"/>
    <w:rsid w:val="00983582"/>
    <w:rsid w:val="009920CD"/>
    <w:rsid w:val="009962E9"/>
    <w:rsid w:val="009A1165"/>
    <w:rsid w:val="009A1E10"/>
    <w:rsid w:val="009A3911"/>
    <w:rsid w:val="009A479A"/>
    <w:rsid w:val="009A4A48"/>
    <w:rsid w:val="009A6A52"/>
    <w:rsid w:val="009A6EC9"/>
    <w:rsid w:val="009A7C09"/>
    <w:rsid w:val="009B0580"/>
    <w:rsid w:val="009B0D80"/>
    <w:rsid w:val="009B0DB2"/>
    <w:rsid w:val="009B1F07"/>
    <w:rsid w:val="009B27EF"/>
    <w:rsid w:val="009B3561"/>
    <w:rsid w:val="009B464F"/>
    <w:rsid w:val="009B7E32"/>
    <w:rsid w:val="009C0269"/>
    <w:rsid w:val="009C0A7E"/>
    <w:rsid w:val="009C44E7"/>
    <w:rsid w:val="009C66AF"/>
    <w:rsid w:val="009D2805"/>
    <w:rsid w:val="009D2EA8"/>
    <w:rsid w:val="009D3547"/>
    <w:rsid w:val="009D7779"/>
    <w:rsid w:val="009E5157"/>
    <w:rsid w:val="009E7704"/>
    <w:rsid w:val="009E7B92"/>
    <w:rsid w:val="009E7C51"/>
    <w:rsid w:val="009F1468"/>
    <w:rsid w:val="009F26FD"/>
    <w:rsid w:val="009F34CB"/>
    <w:rsid w:val="009F3AD8"/>
    <w:rsid w:val="009F482E"/>
    <w:rsid w:val="009F6541"/>
    <w:rsid w:val="009F7ACD"/>
    <w:rsid w:val="009F7D53"/>
    <w:rsid w:val="00A01A26"/>
    <w:rsid w:val="00A022BB"/>
    <w:rsid w:val="00A0285E"/>
    <w:rsid w:val="00A02D29"/>
    <w:rsid w:val="00A120DD"/>
    <w:rsid w:val="00A15395"/>
    <w:rsid w:val="00A16A6A"/>
    <w:rsid w:val="00A225BD"/>
    <w:rsid w:val="00A23AD5"/>
    <w:rsid w:val="00A268DF"/>
    <w:rsid w:val="00A2701A"/>
    <w:rsid w:val="00A32933"/>
    <w:rsid w:val="00A32A5E"/>
    <w:rsid w:val="00A333EE"/>
    <w:rsid w:val="00A36B6B"/>
    <w:rsid w:val="00A36BB7"/>
    <w:rsid w:val="00A37820"/>
    <w:rsid w:val="00A42C34"/>
    <w:rsid w:val="00A45D43"/>
    <w:rsid w:val="00A466D5"/>
    <w:rsid w:val="00A4718C"/>
    <w:rsid w:val="00A56C71"/>
    <w:rsid w:val="00A60993"/>
    <w:rsid w:val="00A62C4F"/>
    <w:rsid w:val="00A65BC2"/>
    <w:rsid w:val="00A71FF4"/>
    <w:rsid w:val="00A726D5"/>
    <w:rsid w:val="00A73E74"/>
    <w:rsid w:val="00A74317"/>
    <w:rsid w:val="00A7504D"/>
    <w:rsid w:val="00A75164"/>
    <w:rsid w:val="00A75E11"/>
    <w:rsid w:val="00A77D1E"/>
    <w:rsid w:val="00A84FD8"/>
    <w:rsid w:val="00A86A88"/>
    <w:rsid w:val="00A93CC6"/>
    <w:rsid w:val="00A949F3"/>
    <w:rsid w:val="00A94A5D"/>
    <w:rsid w:val="00AA29E3"/>
    <w:rsid w:val="00AA35D2"/>
    <w:rsid w:val="00AA3E6E"/>
    <w:rsid w:val="00AA4674"/>
    <w:rsid w:val="00AA4DB4"/>
    <w:rsid w:val="00AA6C4F"/>
    <w:rsid w:val="00AA77C0"/>
    <w:rsid w:val="00AB29CD"/>
    <w:rsid w:val="00AB2E53"/>
    <w:rsid w:val="00AB3C60"/>
    <w:rsid w:val="00AB58D5"/>
    <w:rsid w:val="00AB67EE"/>
    <w:rsid w:val="00AB68B4"/>
    <w:rsid w:val="00AC2CAE"/>
    <w:rsid w:val="00AC383D"/>
    <w:rsid w:val="00AC3EF7"/>
    <w:rsid w:val="00AC3FD0"/>
    <w:rsid w:val="00AC5358"/>
    <w:rsid w:val="00AC5C22"/>
    <w:rsid w:val="00AD037D"/>
    <w:rsid w:val="00AD0534"/>
    <w:rsid w:val="00AD1E5F"/>
    <w:rsid w:val="00AD5A35"/>
    <w:rsid w:val="00AD5E72"/>
    <w:rsid w:val="00AD5FA5"/>
    <w:rsid w:val="00AD6593"/>
    <w:rsid w:val="00AD74D0"/>
    <w:rsid w:val="00AD7CC3"/>
    <w:rsid w:val="00AE48C3"/>
    <w:rsid w:val="00AE7AF8"/>
    <w:rsid w:val="00AF480B"/>
    <w:rsid w:val="00AF5D41"/>
    <w:rsid w:val="00B01873"/>
    <w:rsid w:val="00B057FE"/>
    <w:rsid w:val="00B1238D"/>
    <w:rsid w:val="00B17967"/>
    <w:rsid w:val="00B17A97"/>
    <w:rsid w:val="00B20D46"/>
    <w:rsid w:val="00B230E9"/>
    <w:rsid w:val="00B23465"/>
    <w:rsid w:val="00B23702"/>
    <w:rsid w:val="00B23FE0"/>
    <w:rsid w:val="00B25107"/>
    <w:rsid w:val="00B27393"/>
    <w:rsid w:val="00B27DBA"/>
    <w:rsid w:val="00B31345"/>
    <w:rsid w:val="00B31419"/>
    <w:rsid w:val="00B32863"/>
    <w:rsid w:val="00B32C3E"/>
    <w:rsid w:val="00B33373"/>
    <w:rsid w:val="00B33CB4"/>
    <w:rsid w:val="00B341D6"/>
    <w:rsid w:val="00B4076C"/>
    <w:rsid w:val="00B431E9"/>
    <w:rsid w:val="00B43D64"/>
    <w:rsid w:val="00B43ED9"/>
    <w:rsid w:val="00B448AF"/>
    <w:rsid w:val="00B45BA6"/>
    <w:rsid w:val="00B52965"/>
    <w:rsid w:val="00B5591F"/>
    <w:rsid w:val="00B55D2F"/>
    <w:rsid w:val="00B573F4"/>
    <w:rsid w:val="00B6153B"/>
    <w:rsid w:val="00B62144"/>
    <w:rsid w:val="00B62712"/>
    <w:rsid w:val="00B66D20"/>
    <w:rsid w:val="00B71E11"/>
    <w:rsid w:val="00B7303B"/>
    <w:rsid w:val="00B7376B"/>
    <w:rsid w:val="00B7440D"/>
    <w:rsid w:val="00B81894"/>
    <w:rsid w:val="00B86F4E"/>
    <w:rsid w:val="00B878B0"/>
    <w:rsid w:val="00B9121D"/>
    <w:rsid w:val="00B97BAC"/>
    <w:rsid w:val="00BA3A3C"/>
    <w:rsid w:val="00BA4529"/>
    <w:rsid w:val="00BA543C"/>
    <w:rsid w:val="00BA6892"/>
    <w:rsid w:val="00BB2692"/>
    <w:rsid w:val="00BB2D98"/>
    <w:rsid w:val="00BB55C4"/>
    <w:rsid w:val="00BB56A0"/>
    <w:rsid w:val="00BC0E3F"/>
    <w:rsid w:val="00BC5222"/>
    <w:rsid w:val="00BC572F"/>
    <w:rsid w:val="00BC5BEF"/>
    <w:rsid w:val="00BC6906"/>
    <w:rsid w:val="00BC77E4"/>
    <w:rsid w:val="00BD2091"/>
    <w:rsid w:val="00BD224E"/>
    <w:rsid w:val="00BD308D"/>
    <w:rsid w:val="00BD400B"/>
    <w:rsid w:val="00BD5871"/>
    <w:rsid w:val="00BD7171"/>
    <w:rsid w:val="00BE3331"/>
    <w:rsid w:val="00BE3A71"/>
    <w:rsid w:val="00BE42F9"/>
    <w:rsid w:val="00BE614A"/>
    <w:rsid w:val="00BE65DA"/>
    <w:rsid w:val="00BF0352"/>
    <w:rsid w:val="00BF0791"/>
    <w:rsid w:val="00BF0F0C"/>
    <w:rsid w:val="00BF36C6"/>
    <w:rsid w:val="00BF47C5"/>
    <w:rsid w:val="00C00F78"/>
    <w:rsid w:val="00C017B0"/>
    <w:rsid w:val="00C01A18"/>
    <w:rsid w:val="00C033DA"/>
    <w:rsid w:val="00C04872"/>
    <w:rsid w:val="00C0519F"/>
    <w:rsid w:val="00C06456"/>
    <w:rsid w:val="00C071F1"/>
    <w:rsid w:val="00C10E22"/>
    <w:rsid w:val="00C15194"/>
    <w:rsid w:val="00C17E2A"/>
    <w:rsid w:val="00C20A53"/>
    <w:rsid w:val="00C227E7"/>
    <w:rsid w:val="00C22B11"/>
    <w:rsid w:val="00C239E1"/>
    <w:rsid w:val="00C23BDE"/>
    <w:rsid w:val="00C25FCE"/>
    <w:rsid w:val="00C3074A"/>
    <w:rsid w:val="00C30D37"/>
    <w:rsid w:val="00C31120"/>
    <w:rsid w:val="00C36A7C"/>
    <w:rsid w:val="00C406E2"/>
    <w:rsid w:val="00C42011"/>
    <w:rsid w:val="00C52754"/>
    <w:rsid w:val="00C607DA"/>
    <w:rsid w:val="00C60D85"/>
    <w:rsid w:val="00C6162C"/>
    <w:rsid w:val="00C61B44"/>
    <w:rsid w:val="00C625F8"/>
    <w:rsid w:val="00C62EBA"/>
    <w:rsid w:val="00C64231"/>
    <w:rsid w:val="00C644A7"/>
    <w:rsid w:val="00C67705"/>
    <w:rsid w:val="00C72AA9"/>
    <w:rsid w:val="00C72F38"/>
    <w:rsid w:val="00C72F81"/>
    <w:rsid w:val="00C7460F"/>
    <w:rsid w:val="00C7522D"/>
    <w:rsid w:val="00C75C3C"/>
    <w:rsid w:val="00C762E3"/>
    <w:rsid w:val="00C76C89"/>
    <w:rsid w:val="00C8122D"/>
    <w:rsid w:val="00C82701"/>
    <w:rsid w:val="00C83BBA"/>
    <w:rsid w:val="00C84138"/>
    <w:rsid w:val="00C8725C"/>
    <w:rsid w:val="00C8755F"/>
    <w:rsid w:val="00C909EE"/>
    <w:rsid w:val="00C9360C"/>
    <w:rsid w:val="00C94454"/>
    <w:rsid w:val="00C955F2"/>
    <w:rsid w:val="00C9648C"/>
    <w:rsid w:val="00C977C4"/>
    <w:rsid w:val="00CA2B71"/>
    <w:rsid w:val="00CA4C43"/>
    <w:rsid w:val="00CA4F2C"/>
    <w:rsid w:val="00CA5888"/>
    <w:rsid w:val="00CA68ED"/>
    <w:rsid w:val="00CA7075"/>
    <w:rsid w:val="00CB2FAC"/>
    <w:rsid w:val="00CB373D"/>
    <w:rsid w:val="00CB5A9B"/>
    <w:rsid w:val="00CB77E2"/>
    <w:rsid w:val="00CB7E26"/>
    <w:rsid w:val="00CC57C5"/>
    <w:rsid w:val="00CC68B8"/>
    <w:rsid w:val="00CC7ECB"/>
    <w:rsid w:val="00CD1C03"/>
    <w:rsid w:val="00CD3C73"/>
    <w:rsid w:val="00CD4267"/>
    <w:rsid w:val="00CE1405"/>
    <w:rsid w:val="00CE2F4E"/>
    <w:rsid w:val="00CE4B03"/>
    <w:rsid w:val="00CE5969"/>
    <w:rsid w:val="00CE7EE3"/>
    <w:rsid w:val="00CF052E"/>
    <w:rsid w:val="00CF0758"/>
    <w:rsid w:val="00CF0CA0"/>
    <w:rsid w:val="00CF1366"/>
    <w:rsid w:val="00CF32DF"/>
    <w:rsid w:val="00CF4BAA"/>
    <w:rsid w:val="00CF53A6"/>
    <w:rsid w:val="00CF69F4"/>
    <w:rsid w:val="00CF7C5D"/>
    <w:rsid w:val="00D02145"/>
    <w:rsid w:val="00D0263E"/>
    <w:rsid w:val="00D04F4A"/>
    <w:rsid w:val="00D056A8"/>
    <w:rsid w:val="00D06EDE"/>
    <w:rsid w:val="00D1178C"/>
    <w:rsid w:val="00D170F3"/>
    <w:rsid w:val="00D171B4"/>
    <w:rsid w:val="00D215C7"/>
    <w:rsid w:val="00D24F2D"/>
    <w:rsid w:val="00D2762D"/>
    <w:rsid w:val="00D30CAB"/>
    <w:rsid w:val="00D30F7D"/>
    <w:rsid w:val="00D31B02"/>
    <w:rsid w:val="00D32E3D"/>
    <w:rsid w:val="00D3375B"/>
    <w:rsid w:val="00D40A5D"/>
    <w:rsid w:val="00D42F7A"/>
    <w:rsid w:val="00D44E81"/>
    <w:rsid w:val="00D473AA"/>
    <w:rsid w:val="00D51060"/>
    <w:rsid w:val="00D517A4"/>
    <w:rsid w:val="00D520F7"/>
    <w:rsid w:val="00D529C0"/>
    <w:rsid w:val="00D545E4"/>
    <w:rsid w:val="00D57D72"/>
    <w:rsid w:val="00D60C8B"/>
    <w:rsid w:val="00D652B9"/>
    <w:rsid w:val="00D66E84"/>
    <w:rsid w:val="00D674FB"/>
    <w:rsid w:val="00D72D6D"/>
    <w:rsid w:val="00D73EC0"/>
    <w:rsid w:val="00D82554"/>
    <w:rsid w:val="00D82605"/>
    <w:rsid w:val="00D84105"/>
    <w:rsid w:val="00D934A1"/>
    <w:rsid w:val="00D966C2"/>
    <w:rsid w:val="00D966CF"/>
    <w:rsid w:val="00DA157B"/>
    <w:rsid w:val="00DA3098"/>
    <w:rsid w:val="00DA3467"/>
    <w:rsid w:val="00DA61B9"/>
    <w:rsid w:val="00DB1B68"/>
    <w:rsid w:val="00DB5185"/>
    <w:rsid w:val="00DB6CC5"/>
    <w:rsid w:val="00DC27CC"/>
    <w:rsid w:val="00DC3130"/>
    <w:rsid w:val="00DC5AEC"/>
    <w:rsid w:val="00DC736B"/>
    <w:rsid w:val="00DD02F6"/>
    <w:rsid w:val="00DD27C1"/>
    <w:rsid w:val="00DD28BF"/>
    <w:rsid w:val="00DD3FAF"/>
    <w:rsid w:val="00DE0115"/>
    <w:rsid w:val="00DE1036"/>
    <w:rsid w:val="00DE2C61"/>
    <w:rsid w:val="00DF14FC"/>
    <w:rsid w:val="00DF7A25"/>
    <w:rsid w:val="00E05BF7"/>
    <w:rsid w:val="00E119F3"/>
    <w:rsid w:val="00E11EA1"/>
    <w:rsid w:val="00E12C33"/>
    <w:rsid w:val="00E143F7"/>
    <w:rsid w:val="00E14F71"/>
    <w:rsid w:val="00E21A05"/>
    <w:rsid w:val="00E24068"/>
    <w:rsid w:val="00E250B5"/>
    <w:rsid w:val="00E25334"/>
    <w:rsid w:val="00E2589C"/>
    <w:rsid w:val="00E26DD6"/>
    <w:rsid w:val="00E300B1"/>
    <w:rsid w:val="00E32415"/>
    <w:rsid w:val="00E327C0"/>
    <w:rsid w:val="00E34C77"/>
    <w:rsid w:val="00E35B93"/>
    <w:rsid w:val="00E36857"/>
    <w:rsid w:val="00E402AD"/>
    <w:rsid w:val="00E413C3"/>
    <w:rsid w:val="00E4619A"/>
    <w:rsid w:val="00E469C3"/>
    <w:rsid w:val="00E50EFF"/>
    <w:rsid w:val="00E53772"/>
    <w:rsid w:val="00E53DE7"/>
    <w:rsid w:val="00E54B8F"/>
    <w:rsid w:val="00E62440"/>
    <w:rsid w:val="00E64199"/>
    <w:rsid w:val="00E65E55"/>
    <w:rsid w:val="00E722AE"/>
    <w:rsid w:val="00E72BAF"/>
    <w:rsid w:val="00E72FC7"/>
    <w:rsid w:val="00E80F4A"/>
    <w:rsid w:val="00E821A9"/>
    <w:rsid w:val="00E8541F"/>
    <w:rsid w:val="00E86644"/>
    <w:rsid w:val="00E86D23"/>
    <w:rsid w:val="00E87759"/>
    <w:rsid w:val="00E93DA7"/>
    <w:rsid w:val="00E94533"/>
    <w:rsid w:val="00EA070E"/>
    <w:rsid w:val="00EA1F65"/>
    <w:rsid w:val="00EA5BD1"/>
    <w:rsid w:val="00EA7011"/>
    <w:rsid w:val="00EA7218"/>
    <w:rsid w:val="00EB0837"/>
    <w:rsid w:val="00EB33FB"/>
    <w:rsid w:val="00EB4712"/>
    <w:rsid w:val="00EB48FB"/>
    <w:rsid w:val="00EB7052"/>
    <w:rsid w:val="00EB753D"/>
    <w:rsid w:val="00EC0885"/>
    <w:rsid w:val="00EC0DB3"/>
    <w:rsid w:val="00EC0F98"/>
    <w:rsid w:val="00EC1300"/>
    <w:rsid w:val="00EC4D2F"/>
    <w:rsid w:val="00EC6F35"/>
    <w:rsid w:val="00EC7E94"/>
    <w:rsid w:val="00ED1491"/>
    <w:rsid w:val="00ED717B"/>
    <w:rsid w:val="00EE511C"/>
    <w:rsid w:val="00EE5314"/>
    <w:rsid w:val="00EE6DF6"/>
    <w:rsid w:val="00EE725C"/>
    <w:rsid w:val="00EE729E"/>
    <w:rsid w:val="00EE7484"/>
    <w:rsid w:val="00EF5814"/>
    <w:rsid w:val="00EF6241"/>
    <w:rsid w:val="00EF63E0"/>
    <w:rsid w:val="00EF64AB"/>
    <w:rsid w:val="00EF783B"/>
    <w:rsid w:val="00F03BAA"/>
    <w:rsid w:val="00F049F5"/>
    <w:rsid w:val="00F05FDE"/>
    <w:rsid w:val="00F06FEA"/>
    <w:rsid w:val="00F150FD"/>
    <w:rsid w:val="00F16789"/>
    <w:rsid w:val="00F209A0"/>
    <w:rsid w:val="00F2207F"/>
    <w:rsid w:val="00F22E8B"/>
    <w:rsid w:val="00F249CD"/>
    <w:rsid w:val="00F26C64"/>
    <w:rsid w:val="00F26FE1"/>
    <w:rsid w:val="00F2763B"/>
    <w:rsid w:val="00F307D8"/>
    <w:rsid w:val="00F335C1"/>
    <w:rsid w:val="00F34927"/>
    <w:rsid w:val="00F37DA3"/>
    <w:rsid w:val="00F40744"/>
    <w:rsid w:val="00F41F8F"/>
    <w:rsid w:val="00F43D94"/>
    <w:rsid w:val="00F4426D"/>
    <w:rsid w:val="00F50B23"/>
    <w:rsid w:val="00F5595A"/>
    <w:rsid w:val="00F55A38"/>
    <w:rsid w:val="00F570C4"/>
    <w:rsid w:val="00F61D3F"/>
    <w:rsid w:val="00F61FC2"/>
    <w:rsid w:val="00F6402B"/>
    <w:rsid w:val="00F640E4"/>
    <w:rsid w:val="00F649E9"/>
    <w:rsid w:val="00F65016"/>
    <w:rsid w:val="00F65FA3"/>
    <w:rsid w:val="00F66792"/>
    <w:rsid w:val="00F727AF"/>
    <w:rsid w:val="00F7292E"/>
    <w:rsid w:val="00F75E7D"/>
    <w:rsid w:val="00F80C8C"/>
    <w:rsid w:val="00F818A3"/>
    <w:rsid w:val="00F81B64"/>
    <w:rsid w:val="00F81E84"/>
    <w:rsid w:val="00F826C4"/>
    <w:rsid w:val="00F83F6F"/>
    <w:rsid w:val="00F86CD6"/>
    <w:rsid w:val="00F936AF"/>
    <w:rsid w:val="00F96E5D"/>
    <w:rsid w:val="00FA30A7"/>
    <w:rsid w:val="00FA4213"/>
    <w:rsid w:val="00FB524B"/>
    <w:rsid w:val="00FB6031"/>
    <w:rsid w:val="00FC517C"/>
    <w:rsid w:val="00FC56AD"/>
    <w:rsid w:val="00FC77A8"/>
    <w:rsid w:val="00FD4E90"/>
    <w:rsid w:val="00FD6A80"/>
    <w:rsid w:val="00FD748A"/>
    <w:rsid w:val="00FE0D07"/>
    <w:rsid w:val="00FE1A00"/>
    <w:rsid w:val="00FE1BD3"/>
    <w:rsid w:val="00FE2A93"/>
    <w:rsid w:val="00FE5415"/>
    <w:rsid w:val="00FE6C07"/>
    <w:rsid w:val="00FF1BE2"/>
    <w:rsid w:val="01024042"/>
    <w:rsid w:val="010F6E3B"/>
    <w:rsid w:val="01782212"/>
    <w:rsid w:val="018850A9"/>
    <w:rsid w:val="01885EEB"/>
    <w:rsid w:val="018D7E53"/>
    <w:rsid w:val="018F7B08"/>
    <w:rsid w:val="01B36605"/>
    <w:rsid w:val="01C42B6A"/>
    <w:rsid w:val="01C55106"/>
    <w:rsid w:val="01F8276A"/>
    <w:rsid w:val="02307E7D"/>
    <w:rsid w:val="024D23F5"/>
    <w:rsid w:val="02513744"/>
    <w:rsid w:val="025901A6"/>
    <w:rsid w:val="02744D2A"/>
    <w:rsid w:val="02812B5D"/>
    <w:rsid w:val="02877C4C"/>
    <w:rsid w:val="028A5DC3"/>
    <w:rsid w:val="029971A2"/>
    <w:rsid w:val="02DF3700"/>
    <w:rsid w:val="03056CD5"/>
    <w:rsid w:val="0321400D"/>
    <w:rsid w:val="037E098A"/>
    <w:rsid w:val="03D7284B"/>
    <w:rsid w:val="04100681"/>
    <w:rsid w:val="04233720"/>
    <w:rsid w:val="04445574"/>
    <w:rsid w:val="044724F6"/>
    <w:rsid w:val="04530AB7"/>
    <w:rsid w:val="047369AD"/>
    <w:rsid w:val="04860F5F"/>
    <w:rsid w:val="04875E1A"/>
    <w:rsid w:val="049E41FB"/>
    <w:rsid w:val="04DC6CFD"/>
    <w:rsid w:val="051C74FC"/>
    <w:rsid w:val="0520376E"/>
    <w:rsid w:val="05215EC4"/>
    <w:rsid w:val="05432D39"/>
    <w:rsid w:val="056A6750"/>
    <w:rsid w:val="057F4FAD"/>
    <w:rsid w:val="05CB2E5C"/>
    <w:rsid w:val="05EB0991"/>
    <w:rsid w:val="05FF0154"/>
    <w:rsid w:val="0645013E"/>
    <w:rsid w:val="06483705"/>
    <w:rsid w:val="06621664"/>
    <w:rsid w:val="072E57CD"/>
    <w:rsid w:val="076D12DD"/>
    <w:rsid w:val="076F7F88"/>
    <w:rsid w:val="078D1FBC"/>
    <w:rsid w:val="07BF7EB9"/>
    <w:rsid w:val="07C62C7C"/>
    <w:rsid w:val="07DE24CD"/>
    <w:rsid w:val="07DE5DCB"/>
    <w:rsid w:val="08090B31"/>
    <w:rsid w:val="085B55FA"/>
    <w:rsid w:val="0868399F"/>
    <w:rsid w:val="087A3DE7"/>
    <w:rsid w:val="09004D96"/>
    <w:rsid w:val="09214F1E"/>
    <w:rsid w:val="095659B1"/>
    <w:rsid w:val="09752DF5"/>
    <w:rsid w:val="09760F7D"/>
    <w:rsid w:val="0A5069C8"/>
    <w:rsid w:val="0A552772"/>
    <w:rsid w:val="0A702BB2"/>
    <w:rsid w:val="0A8B17F2"/>
    <w:rsid w:val="0AC724E4"/>
    <w:rsid w:val="0B3146B3"/>
    <w:rsid w:val="0B404613"/>
    <w:rsid w:val="0B8128A3"/>
    <w:rsid w:val="0C115B8F"/>
    <w:rsid w:val="0C1E715D"/>
    <w:rsid w:val="0CB932DD"/>
    <w:rsid w:val="0CBD0B6D"/>
    <w:rsid w:val="0CC33E50"/>
    <w:rsid w:val="0D5E191A"/>
    <w:rsid w:val="0D8D0916"/>
    <w:rsid w:val="0D953B7F"/>
    <w:rsid w:val="0E482408"/>
    <w:rsid w:val="0E6D528B"/>
    <w:rsid w:val="0EAE7705"/>
    <w:rsid w:val="0EC22A79"/>
    <w:rsid w:val="0EEE3609"/>
    <w:rsid w:val="0F073994"/>
    <w:rsid w:val="0F1E1D02"/>
    <w:rsid w:val="0F3E3B01"/>
    <w:rsid w:val="0F553A4A"/>
    <w:rsid w:val="0FA5529B"/>
    <w:rsid w:val="0FAD4A9D"/>
    <w:rsid w:val="0FD57F68"/>
    <w:rsid w:val="104D1BBA"/>
    <w:rsid w:val="104D791C"/>
    <w:rsid w:val="10B010FD"/>
    <w:rsid w:val="11CD598E"/>
    <w:rsid w:val="11DC46A4"/>
    <w:rsid w:val="12114E66"/>
    <w:rsid w:val="122E2ABF"/>
    <w:rsid w:val="123F022C"/>
    <w:rsid w:val="1295630F"/>
    <w:rsid w:val="12C017DB"/>
    <w:rsid w:val="12C75DCA"/>
    <w:rsid w:val="1393424E"/>
    <w:rsid w:val="13AD5764"/>
    <w:rsid w:val="13B46BFA"/>
    <w:rsid w:val="13CD29AC"/>
    <w:rsid w:val="13D14A69"/>
    <w:rsid w:val="13D77E1E"/>
    <w:rsid w:val="13E75F8A"/>
    <w:rsid w:val="15011EF7"/>
    <w:rsid w:val="15297C35"/>
    <w:rsid w:val="152A14F6"/>
    <w:rsid w:val="153A1B7B"/>
    <w:rsid w:val="155A2C60"/>
    <w:rsid w:val="15760944"/>
    <w:rsid w:val="15B93E9A"/>
    <w:rsid w:val="15BF4A07"/>
    <w:rsid w:val="15E82347"/>
    <w:rsid w:val="162C2B1B"/>
    <w:rsid w:val="162D0360"/>
    <w:rsid w:val="16500249"/>
    <w:rsid w:val="167822DC"/>
    <w:rsid w:val="16BC633F"/>
    <w:rsid w:val="17011D34"/>
    <w:rsid w:val="170E279B"/>
    <w:rsid w:val="176004E5"/>
    <w:rsid w:val="177C250B"/>
    <w:rsid w:val="17A51060"/>
    <w:rsid w:val="17FA538B"/>
    <w:rsid w:val="181C0033"/>
    <w:rsid w:val="1854710F"/>
    <w:rsid w:val="18625FAE"/>
    <w:rsid w:val="18DE698A"/>
    <w:rsid w:val="18E82ED9"/>
    <w:rsid w:val="18FD044A"/>
    <w:rsid w:val="19091AF7"/>
    <w:rsid w:val="19303562"/>
    <w:rsid w:val="1944374F"/>
    <w:rsid w:val="19571697"/>
    <w:rsid w:val="19D53691"/>
    <w:rsid w:val="1A326861"/>
    <w:rsid w:val="1A36260B"/>
    <w:rsid w:val="1A475E95"/>
    <w:rsid w:val="1A4B0340"/>
    <w:rsid w:val="1A5265A2"/>
    <w:rsid w:val="1A5E3A85"/>
    <w:rsid w:val="1A752AFF"/>
    <w:rsid w:val="1A93756E"/>
    <w:rsid w:val="1AB52E00"/>
    <w:rsid w:val="1AC90FAA"/>
    <w:rsid w:val="1B0E7E3D"/>
    <w:rsid w:val="1B297DD3"/>
    <w:rsid w:val="1B787988"/>
    <w:rsid w:val="1BB001F0"/>
    <w:rsid w:val="1C1B5A37"/>
    <w:rsid w:val="1C354C97"/>
    <w:rsid w:val="1C590748"/>
    <w:rsid w:val="1CB737C0"/>
    <w:rsid w:val="1CCB7761"/>
    <w:rsid w:val="1CE96171"/>
    <w:rsid w:val="1CF33ED8"/>
    <w:rsid w:val="1D0528EC"/>
    <w:rsid w:val="1D0924A4"/>
    <w:rsid w:val="1D5B5B57"/>
    <w:rsid w:val="1D7E6D16"/>
    <w:rsid w:val="1D853BA6"/>
    <w:rsid w:val="1E5C3CB2"/>
    <w:rsid w:val="1E6F01A5"/>
    <w:rsid w:val="1E9365F2"/>
    <w:rsid w:val="1EB3181B"/>
    <w:rsid w:val="1F170321"/>
    <w:rsid w:val="1F366E5C"/>
    <w:rsid w:val="1F3F774D"/>
    <w:rsid w:val="1F410705"/>
    <w:rsid w:val="1F7733C2"/>
    <w:rsid w:val="200E0BAE"/>
    <w:rsid w:val="203B48D6"/>
    <w:rsid w:val="20664B0B"/>
    <w:rsid w:val="2097650A"/>
    <w:rsid w:val="20A65F5C"/>
    <w:rsid w:val="20DD2482"/>
    <w:rsid w:val="210D1281"/>
    <w:rsid w:val="211D3017"/>
    <w:rsid w:val="21241249"/>
    <w:rsid w:val="21377FD6"/>
    <w:rsid w:val="214D0D7E"/>
    <w:rsid w:val="217B144D"/>
    <w:rsid w:val="222851B5"/>
    <w:rsid w:val="223247DE"/>
    <w:rsid w:val="228E3F44"/>
    <w:rsid w:val="22C14524"/>
    <w:rsid w:val="22CA1B74"/>
    <w:rsid w:val="22D06D4E"/>
    <w:rsid w:val="22DF6D92"/>
    <w:rsid w:val="22F62C25"/>
    <w:rsid w:val="231C12D4"/>
    <w:rsid w:val="23496293"/>
    <w:rsid w:val="23706400"/>
    <w:rsid w:val="23A3572F"/>
    <w:rsid w:val="23D6060E"/>
    <w:rsid w:val="23E536C6"/>
    <w:rsid w:val="23F4733B"/>
    <w:rsid w:val="23F528EA"/>
    <w:rsid w:val="2431007A"/>
    <w:rsid w:val="24CA4E27"/>
    <w:rsid w:val="24E276E2"/>
    <w:rsid w:val="24FF6155"/>
    <w:rsid w:val="253A5C7E"/>
    <w:rsid w:val="25417AB6"/>
    <w:rsid w:val="25502F27"/>
    <w:rsid w:val="25655E82"/>
    <w:rsid w:val="25841AC6"/>
    <w:rsid w:val="25885C79"/>
    <w:rsid w:val="25A64325"/>
    <w:rsid w:val="25CB1AF3"/>
    <w:rsid w:val="25F17D57"/>
    <w:rsid w:val="260D1424"/>
    <w:rsid w:val="262D2FDB"/>
    <w:rsid w:val="266320C3"/>
    <w:rsid w:val="2665705E"/>
    <w:rsid w:val="26B644C7"/>
    <w:rsid w:val="26D74D78"/>
    <w:rsid w:val="26DA15C0"/>
    <w:rsid w:val="26E55866"/>
    <w:rsid w:val="26FF2406"/>
    <w:rsid w:val="27267E63"/>
    <w:rsid w:val="272A7936"/>
    <w:rsid w:val="272F2675"/>
    <w:rsid w:val="274105B1"/>
    <w:rsid w:val="275E579D"/>
    <w:rsid w:val="277F3D79"/>
    <w:rsid w:val="27A457E5"/>
    <w:rsid w:val="27FE0947"/>
    <w:rsid w:val="281E1CEA"/>
    <w:rsid w:val="28322A9E"/>
    <w:rsid w:val="28702A1D"/>
    <w:rsid w:val="287855B9"/>
    <w:rsid w:val="28C72A65"/>
    <w:rsid w:val="28D00C4C"/>
    <w:rsid w:val="28F8615B"/>
    <w:rsid w:val="29044685"/>
    <w:rsid w:val="29174402"/>
    <w:rsid w:val="29210B2C"/>
    <w:rsid w:val="29A61B02"/>
    <w:rsid w:val="2A4706A8"/>
    <w:rsid w:val="2A5A24C4"/>
    <w:rsid w:val="2AAA1B19"/>
    <w:rsid w:val="2AAF335F"/>
    <w:rsid w:val="2ABF1F99"/>
    <w:rsid w:val="2AE82DA6"/>
    <w:rsid w:val="2B016A1F"/>
    <w:rsid w:val="2B024905"/>
    <w:rsid w:val="2B2B26B9"/>
    <w:rsid w:val="2B47612E"/>
    <w:rsid w:val="2B482B55"/>
    <w:rsid w:val="2B8D203E"/>
    <w:rsid w:val="2BC15248"/>
    <w:rsid w:val="2BC67E20"/>
    <w:rsid w:val="2BC90CAA"/>
    <w:rsid w:val="2C074CD5"/>
    <w:rsid w:val="2C2922A2"/>
    <w:rsid w:val="2CA674B2"/>
    <w:rsid w:val="2CCE0511"/>
    <w:rsid w:val="2D181253"/>
    <w:rsid w:val="2D304BDA"/>
    <w:rsid w:val="2D3E2F42"/>
    <w:rsid w:val="2DA73F4B"/>
    <w:rsid w:val="2DE420D4"/>
    <w:rsid w:val="2E14201C"/>
    <w:rsid w:val="2E4F089C"/>
    <w:rsid w:val="2E5B7B24"/>
    <w:rsid w:val="2E8B2B4F"/>
    <w:rsid w:val="2E8D525F"/>
    <w:rsid w:val="2F0F0341"/>
    <w:rsid w:val="2F545043"/>
    <w:rsid w:val="2F593B0D"/>
    <w:rsid w:val="2F814A97"/>
    <w:rsid w:val="2FC37641"/>
    <w:rsid w:val="30622AB7"/>
    <w:rsid w:val="30DA579C"/>
    <w:rsid w:val="30DB49E6"/>
    <w:rsid w:val="311365A4"/>
    <w:rsid w:val="31257115"/>
    <w:rsid w:val="31516A0B"/>
    <w:rsid w:val="315B349C"/>
    <w:rsid w:val="316F2840"/>
    <w:rsid w:val="317B5E12"/>
    <w:rsid w:val="31D07809"/>
    <w:rsid w:val="31F031EC"/>
    <w:rsid w:val="3241248F"/>
    <w:rsid w:val="32497E79"/>
    <w:rsid w:val="325C69A5"/>
    <w:rsid w:val="32735621"/>
    <w:rsid w:val="32F63363"/>
    <w:rsid w:val="33096F7F"/>
    <w:rsid w:val="33255297"/>
    <w:rsid w:val="332C50C6"/>
    <w:rsid w:val="33340BBC"/>
    <w:rsid w:val="333710C1"/>
    <w:rsid w:val="3337461C"/>
    <w:rsid w:val="33454321"/>
    <w:rsid w:val="33875477"/>
    <w:rsid w:val="33877094"/>
    <w:rsid w:val="33B46D5C"/>
    <w:rsid w:val="33BA2A75"/>
    <w:rsid w:val="341C43E7"/>
    <w:rsid w:val="34825B7B"/>
    <w:rsid w:val="348A1DF2"/>
    <w:rsid w:val="34A43FD3"/>
    <w:rsid w:val="35051A70"/>
    <w:rsid w:val="351E74B3"/>
    <w:rsid w:val="35611EC4"/>
    <w:rsid w:val="35B6095B"/>
    <w:rsid w:val="35C81029"/>
    <w:rsid w:val="35EB28E4"/>
    <w:rsid w:val="35F03CC4"/>
    <w:rsid w:val="36357DF2"/>
    <w:rsid w:val="364E177E"/>
    <w:rsid w:val="36D32BBD"/>
    <w:rsid w:val="3717419A"/>
    <w:rsid w:val="371D67C0"/>
    <w:rsid w:val="372F54B8"/>
    <w:rsid w:val="37A313F7"/>
    <w:rsid w:val="37D5272F"/>
    <w:rsid w:val="381638C0"/>
    <w:rsid w:val="38393FBC"/>
    <w:rsid w:val="3894347E"/>
    <w:rsid w:val="38C11757"/>
    <w:rsid w:val="38EF2E91"/>
    <w:rsid w:val="38F2776E"/>
    <w:rsid w:val="38FF4C19"/>
    <w:rsid w:val="39834260"/>
    <w:rsid w:val="39BF0DE7"/>
    <w:rsid w:val="39CA00F5"/>
    <w:rsid w:val="39D93E71"/>
    <w:rsid w:val="39EC4097"/>
    <w:rsid w:val="3A346556"/>
    <w:rsid w:val="3A6707FB"/>
    <w:rsid w:val="3A727966"/>
    <w:rsid w:val="3A7F10F6"/>
    <w:rsid w:val="3ABC7B30"/>
    <w:rsid w:val="3BDC6B67"/>
    <w:rsid w:val="3C097090"/>
    <w:rsid w:val="3C161914"/>
    <w:rsid w:val="3C1A5006"/>
    <w:rsid w:val="3C1D7BCF"/>
    <w:rsid w:val="3C286F69"/>
    <w:rsid w:val="3C481E9E"/>
    <w:rsid w:val="3C9061F7"/>
    <w:rsid w:val="3CD07369"/>
    <w:rsid w:val="3CDF65AF"/>
    <w:rsid w:val="3CF873C3"/>
    <w:rsid w:val="3D545E37"/>
    <w:rsid w:val="3D631C18"/>
    <w:rsid w:val="3D6D4B17"/>
    <w:rsid w:val="3DD056DB"/>
    <w:rsid w:val="3DFC06AE"/>
    <w:rsid w:val="3E205869"/>
    <w:rsid w:val="3E2C49C9"/>
    <w:rsid w:val="3E8B536B"/>
    <w:rsid w:val="3E9D47E6"/>
    <w:rsid w:val="3F096185"/>
    <w:rsid w:val="3F326A33"/>
    <w:rsid w:val="3F52540C"/>
    <w:rsid w:val="3F870789"/>
    <w:rsid w:val="3F936976"/>
    <w:rsid w:val="3FA4700A"/>
    <w:rsid w:val="3FD04FA7"/>
    <w:rsid w:val="400A5E28"/>
    <w:rsid w:val="40420A15"/>
    <w:rsid w:val="404C49E1"/>
    <w:rsid w:val="40CE4BE8"/>
    <w:rsid w:val="413E1B10"/>
    <w:rsid w:val="41691C73"/>
    <w:rsid w:val="41C0099D"/>
    <w:rsid w:val="41CC5332"/>
    <w:rsid w:val="41CF7F76"/>
    <w:rsid w:val="41E13984"/>
    <w:rsid w:val="424F7E66"/>
    <w:rsid w:val="42D94B66"/>
    <w:rsid w:val="43025966"/>
    <w:rsid w:val="4333316E"/>
    <w:rsid w:val="433B3BB7"/>
    <w:rsid w:val="4352109E"/>
    <w:rsid w:val="43591330"/>
    <w:rsid w:val="43774795"/>
    <w:rsid w:val="43886FD6"/>
    <w:rsid w:val="439F1EF9"/>
    <w:rsid w:val="43BF28F0"/>
    <w:rsid w:val="43C36BED"/>
    <w:rsid w:val="44074CC6"/>
    <w:rsid w:val="444D0199"/>
    <w:rsid w:val="445C0A2F"/>
    <w:rsid w:val="44867569"/>
    <w:rsid w:val="44B71E30"/>
    <w:rsid w:val="44BA7BD0"/>
    <w:rsid w:val="452C606C"/>
    <w:rsid w:val="45595306"/>
    <w:rsid w:val="455B2175"/>
    <w:rsid w:val="45A03B93"/>
    <w:rsid w:val="45CC0788"/>
    <w:rsid w:val="45DE21E4"/>
    <w:rsid w:val="45EA5160"/>
    <w:rsid w:val="460013EB"/>
    <w:rsid w:val="46351AF3"/>
    <w:rsid w:val="468C2917"/>
    <w:rsid w:val="46A842E8"/>
    <w:rsid w:val="46B65A79"/>
    <w:rsid w:val="47020441"/>
    <w:rsid w:val="47221BB5"/>
    <w:rsid w:val="477365CB"/>
    <w:rsid w:val="478F2B47"/>
    <w:rsid w:val="47AE1398"/>
    <w:rsid w:val="47C6320F"/>
    <w:rsid w:val="47C940C9"/>
    <w:rsid w:val="47CF128C"/>
    <w:rsid w:val="47FD5BDF"/>
    <w:rsid w:val="48852BB8"/>
    <w:rsid w:val="4886409B"/>
    <w:rsid w:val="48CC1CF4"/>
    <w:rsid w:val="48E102E1"/>
    <w:rsid w:val="48F53D51"/>
    <w:rsid w:val="493D2895"/>
    <w:rsid w:val="496B219F"/>
    <w:rsid w:val="49AD1B19"/>
    <w:rsid w:val="49B82A95"/>
    <w:rsid w:val="49F072D6"/>
    <w:rsid w:val="49F95323"/>
    <w:rsid w:val="4A1156A9"/>
    <w:rsid w:val="4A8139C4"/>
    <w:rsid w:val="4AE34D84"/>
    <w:rsid w:val="4B20734B"/>
    <w:rsid w:val="4B6951AF"/>
    <w:rsid w:val="4BDF5547"/>
    <w:rsid w:val="4BE84616"/>
    <w:rsid w:val="4BFF3207"/>
    <w:rsid w:val="4C5259EA"/>
    <w:rsid w:val="4C9351CA"/>
    <w:rsid w:val="4D0850E7"/>
    <w:rsid w:val="4D0D10E6"/>
    <w:rsid w:val="4D4D7D03"/>
    <w:rsid w:val="4D6646B1"/>
    <w:rsid w:val="4D6674A8"/>
    <w:rsid w:val="4DB10E49"/>
    <w:rsid w:val="4DB43081"/>
    <w:rsid w:val="4E0F1A20"/>
    <w:rsid w:val="4E22142B"/>
    <w:rsid w:val="4E6B4827"/>
    <w:rsid w:val="4E7618B4"/>
    <w:rsid w:val="4E870205"/>
    <w:rsid w:val="4EB43E0C"/>
    <w:rsid w:val="4EF4764C"/>
    <w:rsid w:val="4F064C92"/>
    <w:rsid w:val="4F1F0EF5"/>
    <w:rsid w:val="4F3527B5"/>
    <w:rsid w:val="4F4B2179"/>
    <w:rsid w:val="4F5B6550"/>
    <w:rsid w:val="4F7F7556"/>
    <w:rsid w:val="50091079"/>
    <w:rsid w:val="50114FDC"/>
    <w:rsid w:val="50272A02"/>
    <w:rsid w:val="505825FD"/>
    <w:rsid w:val="50884D74"/>
    <w:rsid w:val="509930CA"/>
    <w:rsid w:val="50C731B9"/>
    <w:rsid w:val="511232E5"/>
    <w:rsid w:val="5136582E"/>
    <w:rsid w:val="51425AD4"/>
    <w:rsid w:val="5191630D"/>
    <w:rsid w:val="51A81F6D"/>
    <w:rsid w:val="51D52B6B"/>
    <w:rsid w:val="521F42AA"/>
    <w:rsid w:val="524906BD"/>
    <w:rsid w:val="5258052A"/>
    <w:rsid w:val="52751014"/>
    <w:rsid w:val="5278129B"/>
    <w:rsid w:val="53096050"/>
    <w:rsid w:val="530B2B6E"/>
    <w:rsid w:val="53135DD8"/>
    <w:rsid w:val="53225FFA"/>
    <w:rsid w:val="534149F5"/>
    <w:rsid w:val="534F2BE0"/>
    <w:rsid w:val="535C7DAE"/>
    <w:rsid w:val="53680BB7"/>
    <w:rsid w:val="536B0ADF"/>
    <w:rsid w:val="537621B9"/>
    <w:rsid w:val="53A50FC3"/>
    <w:rsid w:val="53CE28F6"/>
    <w:rsid w:val="53DC152C"/>
    <w:rsid w:val="53F72781"/>
    <w:rsid w:val="5402698E"/>
    <w:rsid w:val="54117CB8"/>
    <w:rsid w:val="54152073"/>
    <w:rsid w:val="545316E0"/>
    <w:rsid w:val="54536F74"/>
    <w:rsid w:val="5456495D"/>
    <w:rsid w:val="54720E89"/>
    <w:rsid w:val="54816AC4"/>
    <w:rsid w:val="54BB600E"/>
    <w:rsid w:val="54CC2D7D"/>
    <w:rsid w:val="550F1FAC"/>
    <w:rsid w:val="552D20DC"/>
    <w:rsid w:val="55555B28"/>
    <w:rsid w:val="55835F93"/>
    <w:rsid w:val="559805A6"/>
    <w:rsid w:val="56032560"/>
    <w:rsid w:val="560A67AB"/>
    <w:rsid w:val="562F1C3C"/>
    <w:rsid w:val="562F2115"/>
    <w:rsid w:val="563F061B"/>
    <w:rsid w:val="56896383"/>
    <w:rsid w:val="572513E0"/>
    <w:rsid w:val="57283F9C"/>
    <w:rsid w:val="577A2CB6"/>
    <w:rsid w:val="57A7090E"/>
    <w:rsid w:val="57BC4829"/>
    <w:rsid w:val="57D5082C"/>
    <w:rsid w:val="57F9570E"/>
    <w:rsid w:val="58361FF2"/>
    <w:rsid w:val="58891856"/>
    <w:rsid w:val="58991DDB"/>
    <w:rsid w:val="58B24661"/>
    <w:rsid w:val="58BA57CA"/>
    <w:rsid w:val="58E94AAC"/>
    <w:rsid w:val="58F12CEF"/>
    <w:rsid w:val="590B2A79"/>
    <w:rsid w:val="591F4C2F"/>
    <w:rsid w:val="5A2A55E4"/>
    <w:rsid w:val="5A5174F3"/>
    <w:rsid w:val="5AF40EA0"/>
    <w:rsid w:val="5B1957C1"/>
    <w:rsid w:val="5B3B122A"/>
    <w:rsid w:val="5B4972E6"/>
    <w:rsid w:val="5B5714EF"/>
    <w:rsid w:val="5B5761FA"/>
    <w:rsid w:val="5C2C4CAC"/>
    <w:rsid w:val="5C7B55BD"/>
    <w:rsid w:val="5C8207EE"/>
    <w:rsid w:val="5CD7681D"/>
    <w:rsid w:val="5CF52498"/>
    <w:rsid w:val="5D336950"/>
    <w:rsid w:val="5D4D446D"/>
    <w:rsid w:val="5D625090"/>
    <w:rsid w:val="5D733C1B"/>
    <w:rsid w:val="5D865B1A"/>
    <w:rsid w:val="5DCD2E64"/>
    <w:rsid w:val="5DED510C"/>
    <w:rsid w:val="5DF92BA5"/>
    <w:rsid w:val="5E0C78D1"/>
    <w:rsid w:val="5E746F41"/>
    <w:rsid w:val="5E8D3C98"/>
    <w:rsid w:val="5EE01613"/>
    <w:rsid w:val="5F0273EC"/>
    <w:rsid w:val="5F1C33A7"/>
    <w:rsid w:val="5F717285"/>
    <w:rsid w:val="5FA34F1C"/>
    <w:rsid w:val="5FA531F0"/>
    <w:rsid w:val="5FC30137"/>
    <w:rsid w:val="5FF231C3"/>
    <w:rsid w:val="60074055"/>
    <w:rsid w:val="601358AA"/>
    <w:rsid w:val="601B2A3E"/>
    <w:rsid w:val="60506537"/>
    <w:rsid w:val="60A72F14"/>
    <w:rsid w:val="60B2500D"/>
    <w:rsid w:val="60BD66A0"/>
    <w:rsid w:val="60FE6D20"/>
    <w:rsid w:val="611B7C54"/>
    <w:rsid w:val="611E1A5F"/>
    <w:rsid w:val="612F6669"/>
    <w:rsid w:val="61440E56"/>
    <w:rsid w:val="615F4C11"/>
    <w:rsid w:val="61940007"/>
    <w:rsid w:val="61B54833"/>
    <w:rsid w:val="61B966FA"/>
    <w:rsid w:val="61E97579"/>
    <w:rsid w:val="6227230E"/>
    <w:rsid w:val="625E1D71"/>
    <w:rsid w:val="62715D8B"/>
    <w:rsid w:val="62A76566"/>
    <w:rsid w:val="62A77159"/>
    <w:rsid w:val="62B46A7B"/>
    <w:rsid w:val="62E90C4D"/>
    <w:rsid w:val="62F35F03"/>
    <w:rsid w:val="63080F84"/>
    <w:rsid w:val="632D5FF4"/>
    <w:rsid w:val="63B955E5"/>
    <w:rsid w:val="642910AB"/>
    <w:rsid w:val="64926DB9"/>
    <w:rsid w:val="64C90F83"/>
    <w:rsid w:val="64DE5D4A"/>
    <w:rsid w:val="6505169C"/>
    <w:rsid w:val="651F26DD"/>
    <w:rsid w:val="65316713"/>
    <w:rsid w:val="656E20F5"/>
    <w:rsid w:val="65AD50D9"/>
    <w:rsid w:val="65F83CCE"/>
    <w:rsid w:val="6600694E"/>
    <w:rsid w:val="66281057"/>
    <w:rsid w:val="665E7D91"/>
    <w:rsid w:val="66AF5825"/>
    <w:rsid w:val="66C404F7"/>
    <w:rsid w:val="670F640C"/>
    <w:rsid w:val="672302E8"/>
    <w:rsid w:val="6736645D"/>
    <w:rsid w:val="67535D88"/>
    <w:rsid w:val="6776697B"/>
    <w:rsid w:val="67885C6A"/>
    <w:rsid w:val="6801141B"/>
    <w:rsid w:val="680208BC"/>
    <w:rsid w:val="681542C4"/>
    <w:rsid w:val="6817523D"/>
    <w:rsid w:val="682E4BDD"/>
    <w:rsid w:val="68952D29"/>
    <w:rsid w:val="68A513BA"/>
    <w:rsid w:val="68CD04AD"/>
    <w:rsid w:val="68D6456D"/>
    <w:rsid w:val="68EE4189"/>
    <w:rsid w:val="693E3CEF"/>
    <w:rsid w:val="693F6DF8"/>
    <w:rsid w:val="694F76B2"/>
    <w:rsid w:val="695A33E2"/>
    <w:rsid w:val="696F2775"/>
    <w:rsid w:val="6A103AD3"/>
    <w:rsid w:val="6A264638"/>
    <w:rsid w:val="6A29210B"/>
    <w:rsid w:val="6A417205"/>
    <w:rsid w:val="6A571184"/>
    <w:rsid w:val="6A8415C9"/>
    <w:rsid w:val="6AE67E1C"/>
    <w:rsid w:val="6AF97907"/>
    <w:rsid w:val="6B42111D"/>
    <w:rsid w:val="6BED4918"/>
    <w:rsid w:val="6C387715"/>
    <w:rsid w:val="6C5B77F5"/>
    <w:rsid w:val="6C620460"/>
    <w:rsid w:val="6C6334DE"/>
    <w:rsid w:val="6C6A0767"/>
    <w:rsid w:val="6C7E327A"/>
    <w:rsid w:val="6C802E92"/>
    <w:rsid w:val="6CAA24CC"/>
    <w:rsid w:val="6CAE70DB"/>
    <w:rsid w:val="6D041E63"/>
    <w:rsid w:val="6D5A7629"/>
    <w:rsid w:val="6D985430"/>
    <w:rsid w:val="6DAE26BA"/>
    <w:rsid w:val="6DDA429A"/>
    <w:rsid w:val="6E223758"/>
    <w:rsid w:val="6E36355D"/>
    <w:rsid w:val="6E7E3E88"/>
    <w:rsid w:val="6E9C44FD"/>
    <w:rsid w:val="6F1276EA"/>
    <w:rsid w:val="6FC86B34"/>
    <w:rsid w:val="6FE56FDD"/>
    <w:rsid w:val="6FF1023B"/>
    <w:rsid w:val="6FFF4DB9"/>
    <w:rsid w:val="700E397B"/>
    <w:rsid w:val="70494CA3"/>
    <w:rsid w:val="704F2659"/>
    <w:rsid w:val="70670698"/>
    <w:rsid w:val="70AD760A"/>
    <w:rsid w:val="70E7021C"/>
    <w:rsid w:val="70F11F51"/>
    <w:rsid w:val="70FB69FC"/>
    <w:rsid w:val="717D4DC6"/>
    <w:rsid w:val="71825371"/>
    <w:rsid w:val="71AE72C1"/>
    <w:rsid w:val="71F97065"/>
    <w:rsid w:val="71FA6431"/>
    <w:rsid w:val="72182457"/>
    <w:rsid w:val="7232724E"/>
    <w:rsid w:val="72CA5F0E"/>
    <w:rsid w:val="731B26C7"/>
    <w:rsid w:val="732462BA"/>
    <w:rsid w:val="739C0DDC"/>
    <w:rsid w:val="73DA7679"/>
    <w:rsid w:val="740549B9"/>
    <w:rsid w:val="7437749B"/>
    <w:rsid w:val="744A04A3"/>
    <w:rsid w:val="744F7FBA"/>
    <w:rsid w:val="749741A8"/>
    <w:rsid w:val="74AD15FA"/>
    <w:rsid w:val="74C5324D"/>
    <w:rsid w:val="74E7523A"/>
    <w:rsid w:val="750954BA"/>
    <w:rsid w:val="75372B1A"/>
    <w:rsid w:val="7544390C"/>
    <w:rsid w:val="755A3C19"/>
    <w:rsid w:val="755B4683"/>
    <w:rsid w:val="757826EE"/>
    <w:rsid w:val="75A03DD7"/>
    <w:rsid w:val="7612497C"/>
    <w:rsid w:val="7627686F"/>
    <w:rsid w:val="76467103"/>
    <w:rsid w:val="764F0007"/>
    <w:rsid w:val="7655744C"/>
    <w:rsid w:val="76E16AC1"/>
    <w:rsid w:val="76E57868"/>
    <w:rsid w:val="76FC47BE"/>
    <w:rsid w:val="773D000B"/>
    <w:rsid w:val="77625147"/>
    <w:rsid w:val="77703E8A"/>
    <w:rsid w:val="777A3FE0"/>
    <w:rsid w:val="77865B7C"/>
    <w:rsid w:val="77C55C36"/>
    <w:rsid w:val="77E95750"/>
    <w:rsid w:val="77FE3442"/>
    <w:rsid w:val="783207B5"/>
    <w:rsid w:val="788829C2"/>
    <w:rsid w:val="78935701"/>
    <w:rsid w:val="78A52126"/>
    <w:rsid w:val="78F95F63"/>
    <w:rsid w:val="79312A09"/>
    <w:rsid w:val="79353255"/>
    <w:rsid w:val="7A1752A5"/>
    <w:rsid w:val="7A295E6B"/>
    <w:rsid w:val="7A384DEA"/>
    <w:rsid w:val="7A7610F0"/>
    <w:rsid w:val="7AE164AC"/>
    <w:rsid w:val="7B384158"/>
    <w:rsid w:val="7BDB4EDD"/>
    <w:rsid w:val="7C0D096F"/>
    <w:rsid w:val="7C4C34C4"/>
    <w:rsid w:val="7C6625C3"/>
    <w:rsid w:val="7CD55806"/>
    <w:rsid w:val="7CE54F07"/>
    <w:rsid w:val="7D5E0204"/>
    <w:rsid w:val="7D5E0390"/>
    <w:rsid w:val="7D6D7442"/>
    <w:rsid w:val="7D780E4E"/>
    <w:rsid w:val="7DA96826"/>
    <w:rsid w:val="7DAD7C7D"/>
    <w:rsid w:val="7DBD75CF"/>
    <w:rsid w:val="7DEF02A3"/>
    <w:rsid w:val="7DF16257"/>
    <w:rsid w:val="7DF32EDB"/>
    <w:rsid w:val="7E6C6391"/>
    <w:rsid w:val="7E6C6EE5"/>
    <w:rsid w:val="7EAA6C2D"/>
    <w:rsid w:val="7EC1227D"/>
    <w:rsid w:val="7EDA6AA8"/>
    <w:rsid w:val="7EE17751"/>
    <w:rsid w:val="7EFD2678"/>
    <w:rsid w:val="7F2845F8"/>
    <w:rsid w:val="7F7E795D"/>
    <w:rsid w:val="7F83686E"/>
    <w:rsid w:val="7F9C7455"/>
    <w:rsid w:val="7F9E3BDC"/>
    <w:rsid w:val="7FE33E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iPriority="0" w:semiHidden="0" w:name="HTML Acronym"/>
    <w:lsdException w:unhideWhenUsed="0" w:uiPriority="0" w:semiHidden="0" w:name="HTML Address"/>
    <w:lsdException w:qFormat="1" w:uiPriority="0" w:semiHidden="0" w:name="HTML Cite"/>
    <w:lsdException w:qFormat="1" w:uiPriority="0" w:semiHidden="0" w:name="HTML Code"/>
    <w:lsdException w:qFormat="1" w:uiPriority="0" w:semiHidden="0" w:name="HTML Definition"/>
    <w:lsdException w:qFormat="1" w:uiPriority="0" w:semiHidden="0" w:name="HTML Keyboard"/>
    <w:lsdException w:qFormat="1" w:unhideWhenUsed="0" w:uiPriority="0" w:semiHidden="0" w:name="HTML Preformatted"/>
    <w:lsdException w:qFormat="1" w:uiPriority="0" w:semiHidden="0" w:name="HTML Sample"/>
    <w:lsdException w:qFormat="1" w:uiPriority="0" w:semiHidden="0" w:name="HTML Typewriter"/>
    <w:lsdException w:qFormat="1"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before="156" w:beforeLines="50" w:line="300" w:lineRule="auto"/>
      <w:ind w:firstLine="200" w:firstLineChars="200"/>
      <w:jc w:val="both"/>
    </w:pPr>
    <w:rPr>
      <w:rFonts w:ascii="宋体" w:hAnsi="Times New Roman" w:eastAsia="宋体" w:cs="Times New Roman"/>
      <w:kern w:val="2"/>
      <w:sz w:val="24"/>
      <w:szCs w:val="24"/>
      <w:lang w:val="en-US" w:eastAsia="zh-CN" w:bidi="ar-SA"/>
    </w:rPr>
  </w:style>
  <w:style w:type="paragraph" w:styleId="4">
    <w:name w:val="heading 1"/>
    <w:basedOn w:val="1"/>
    <w:next w:val="1"/>
    <w:link w:val="66"/>
    <w:qFormat/>
    <w:uiPriority w:val="0"/>
    <w:pPr>
      <w:keepNext/>
      <w:keepLines/>
      <w:adjustRightInd w:val="0"/>
      <w:snapToGrid w:val="0"/>
      <w:spacing w:before="156" w:beforeLines="50" w:line="300" w:lineRule="auto"/>
      <w:jc w:val="center"/>
      <w:outlineLvl w:val="0"/>
    </w:pPr>
    <w:rPr>
      <w:rFonts w:eastAsia="黑体"/>
      <w:bCs/>
      <w:kern w:val="44"/>
      <w:sz w:val="44"/>
      <w:szCs w:val="44"/>
    </w:rPr>
  </w:style>
  <w:style w:type="paragraph" w:styleId="5">
    <w:name w:val="heading 2"/>
    <w:basedOn w:val="1"/>
    <w:next w:val="1"/>
    <w:link w:val="67"/>
    <w:qFormat/>
    <w:uiPriority w:val="99"/>
    <w:pPr>
      <w:keepNext/>
      <w:keepLines/>
      <w:adjustRightInd w:val="0"/>
      <w:snapToGrid w:val="0"/>
      <w:spacing w:before="156" w:beforeLines="50" w:line="300" w:lineRule="auto"/>
      <w:jc w:val="center"/>
      <w:outlineLvl w:val="1"/>
    </w:pPr>
    <w:rPr>
      <w:rFonts w:ascii="黑体" w:hAnsi="黑体" w:eastAsia="黑体"/>
      <w:bCs/>
      <w:sz w:val="30"/>
      <w:szCs w:val="30"/>
    </w:rPr>
  </w:style>
  <w:style w:type="paragraph" w:styleId="6">
    <w:name w:val="heading 3"/>
    <w:basedOn w:val="1"/>
    <w:next w:val="1"/>
    <w:link w:val="68"/>
    <w:qFormat/>
    <w:uiPriority w:val="0"/>
    <w:pPr>
      <w:keepNext/>
      <w:keepLines/>
      <w:adjustRightInd w:val="0"/>
      <w:snapToGrid w:val="0"/>
      <w:spacing w:before="156" w:beforeLines="50" w:line="300" w:lineRule="auto"/>
      <w:outlineLvl w:val="2"/>
    </w:pPr>
    <w:rPr>
      <w:rFonts w:ascii="黑体" w:hAnsi="黑体" w:eastAsia="黑体" w:cs="黑体"/>
      <w:bCs/>
      <w:sz w:val="24"/>
    </w:rPr>
  </w:style>
  <w:style w:type="paragraph" w:styleId="7">
    <w:name w:val="heading 4"/>
    <w:basedOn w:val="1"/>
    <w:next w:val="1"/>
    <w:link w:val="69"/>
    <w:qFormat/>
    <w:uiPriority w:val="0"/>
    <w:pPr>
      <w:keepNext/>
      <w:keepLines/>
      <w:spacing w:before="280" w:beforeLines="0" w:after="290" w:afterLines="0" w:line="376" w:lineRule="auto"/>
      <w:outlineLvl w:val="3"/>
    </w:pPr>
    <w:rPr>
      <w:rFonts w:ascii="Cambria" w:hAnsi="Cambria"/>
      <w:b/>
      <w:bCs/>
      <w:sz w:val="28"/>
      <w:szCs w:val="28"/>
    </w:rPr>
  </w:style>
  <w:style w:type="paragraph" w:styleId="8">
    <w:name w:val="heading 5"/>
    <w:basedOn w:val="1"/>
    <w:next w:val="1"/>
    <w:link w:val="70"/>
    <w:qFormat/>
    <w:uiPriority w:val="0"/>
    <w:pPr>
      <w:keepNext/>
      <w:keepLines/>
      <w:adjustRightInd/>
      <w:snapToGrid/>
      <w:spacing w:before="280" w:beforeLines="0" w:after="290" w:line="376" w:lineRule="auto"/>
      <w:ind w:firstLine="0" w:firstLineChars="0"/>
      <w:outlineLvl w:val="4"/>
    </w:pPr>
    <w:rPr>
      <w:rFonts w:ascii="Times New Roman"/>
      <w:b/>
      <w:bCs/>
      <w:sz w:val="28"/>
      <w:szCs w:val="28"/>
    </w:rPr>
  </w:style>
  <w:style w:type="paragraph" w:styleId="9">
    <w:name w:val="heading 6"/>
    <w:basedOn w:val="1"/>
    <w:next w:val="1"/>
    <w:link w:val="71"/>
    <w:qFormat/>
    <w:uiPriority w:val="0"/>
    <w:pPr>
      <w:keepNext/>
      <w:keepLines/>
      <w:snapToGrid/>
      <w:spacing w:before="240" w:beforeLines="0" w:after="64" w:line="320" w:lineRule="atLeast"/>
      <w:ind w:firstLine="0" w:firstLineChars="0"/>
      <w:textAlignment w:val="baseline"/>
      <w:outlineLvl w:val="5"/>
    </w:pPr>
    <w:rPr>
      <w:rFonts w:ascii="Arial" w:hAnsi="Arial" w:eastAsia="黑体"/>
      <w:b/>
      <w:kern w:val="0"/>
      <w:szCs w:val="20"/>
    </w:rPr>
  </w:style>
  <w:style w:type="paragraph" w:styleId="10">
    <w:name w:val="heading 7"/>
    <w:basedOn w:val="1"/>
    <w:next w:val="1"/>
    <w:link w:val="72"/>
    <w:qFormat/>
    <w:uiPriority w:val="0"/>
    <w:pPr>
      <w:keepNext/>
      <w:keepLines/>
      <w:snapToGrid/>
      <w:spacing w:before="240" w:beforeLines="0" w:after="64" w:line="320" w:lineRule="atLeast"/>
      <w:ind w:firstLine="0" w:firstLineChars="0"/>
      <w:textAlignment w:val="baseline"/>
      <w:outlineLvl w:val="6"/>
    </w:pPr>
    <w:rPr>
      <w:rFonts w:ascii="Times New Roman"/>
      <w:b/>
      <w:kern w:val="0"/>
      <w:szCs w:val="20"/>
    </w:rPr>
  </w:style>
  <w:style w:type="paragraph" w:styleId="11">
    <w:name w:val="heading 8"/>
    <w:basedOn w:val="1"/>
    <w:next w:val="1"/>
    <w:link w:val="73"/>
    <w:qFormat/>
    <w:uiPriority w:val="0"/>
    <w:pPr>
      <w:keepNext/>
      <w:keepLines/>
      <w:snapToGrid/>
      <w:spacing w:before="240" w:beforeLines="0" w:after="64" w:line="320" w:lineRule="atLeast"/>
      <w:ind w:firstLine="0" w:firstLineChars="0"/>
      <w:textAlignment w:val="baseline"/>
      <w:outlineLvl w:val="7"/>
    </w:pPr>
    <w:rPr>
      <w:rFonts w:ascii="Arial" w:hAnsi="Arial" w:eastAsia="黑体"/>
      <w:kern w:val="0"/>
      <w:szCs w:val="20"/>
    </w:rPr>
  </w:style>
  <w:style w:type="paragraph" w:styleId="12">
    <w:name w:val="heading 9"/>
    <w:basedOn w:val="1"/>
    <w:next w:val="1"/>
    <w:link w:val="74"/>
    <w:qFormat/>
    <w:uiPriority w:val="0"/>
    <w:pPr>
      <w:keepNext/>
      <w:keepLines/>
      <w:snapToGrid/>
      <w:spacing w:before="240" w:beforeLines="0" w:after="64" w:line="320" w:lineRule="atLeast"/>
      <w:ind w:firstLine="0" w:firstLineChars="0"/>
      <w:textAlignment w:val="baseline"/>
      <w:outlineLvl w:val="8"/>
    </w:pPr>
    <w:rPr>
      <w:rFonts w:ascii="Arial" w:hAnsi="Arial" w:eastAsia="黑体"/>
      <w:kern w:val="0"/>
      <w:szCs w:val="20"/>
    </w:rPr>
  </w:style>
  <w:style w:type="character" w:default="1" w:styleId="50">
    <w:name w:val="Default Paragraph Font"/>
    <w:semiHidden/>
    <w:qFormat/>
    <w:uiPriority w:val="0"/>
  </w:style>
  <w:style w:type="table" w:default="1" w:styleId="48">
    <w:name w:val="Normal Table"/>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link w:val="65"/>
    <w:qFormat/>
    <w:uiPriority w:val="0"/>
    <w:pPr>
      <w:spacing w:after="120" w:afterLines="0"/>
      <w:ind w:left="420" w:leftChars="200"/>
    </w:pPr>
  </w:style>
  <w:style w:type="paragraph" w:styleId="13">
    <w:name w:val="toc 7"/>
    <w:basedOn w:val="1"/>
    <w:next w:val="1"/>
    <w:qFormat/>
    <w:uiPriority w:val="39"/>
    <w:pPr>
      <w:adjustRightInd/>
      <w:snapToGrid/>
      <w:spacing w:before="0" w:beforeLines="0" w:line="240" w:lineRule="auto"/>
      <w:ind w:left="2520" w:leftChars="1200" w:firstLine="0" w:firstLineChars="0"/>
    </w:pPr>
    <w:rPr>
      <w:rFonts w:ascii="Times New Roman"/>
      <w:sz w:val="21"/>
    </w:rPr>
  </w:style>
  <w:style w:type="paragraph" w:styleId="14">
    <w:name w:val="Normal Indent"/>
    <w:basedOn w:val="1"/>
    <w:link w:val="75"/>
    <w:qFormat/>
    <w:uiPriority w:val="0"/>
    <w:pPr>
      <w:adjustRightInd w:val="0"/>
      <w:spacing w:line="360" w:lineRule="atLeast"/>
      <w:ind w:firstLine="482"/>
      <w:textAlignment w:val="baseline"/>
    </w:pPr>
    <w:rPr>
      <w:kern w:val="0"/>
      <w:sz w:val="24"/>
      <w:szCs w:val="20"/>
    </w:rPr>
  </w:style>
  <w:style w:type="paragraph" w:styleId="15">
    <w:name w:val="caption"/>
    <w:basedOn w:val="1"/>
    <w:next w:val="1"/>
    <w:qFormat/>
    <w:uiPriority w:val="0"/>
    <w:pPr>
      <w:adjustRightInd/>
      <w:snapToGrid/>
      <w:spacing w:before="0" w:beforeLines="0" w:line="240" w:lineRule="auto"/>
      <w:ind w:firstLine="0" w:firstLineChars="0"/>
    </w:pPr>
    <w:rPr>
      <w:rFonts w:ascii="Cambria" w:hAnsi="Cambria" w:eastAsia="黑体"/>
      <w:sz w:val="20"/>
      <w:szCs w:val="20"/>
    </w:rPr>
  </w:style>
  <w:style w:type="paragraph" w:styleId="16">
    <w:name w:val="Document Map"/>
    <w:basedOn w:val="1"/>
    <w:link w:val="76"/>
    <w:qFormat/>
    <w:uiPriority w:val="0"/>
    <w:pPr>
      <w:shd w:val="clear" w:color="auto" w:fill="000080"/>
    </w:pPr>
  </w:style>
  <w:style w:type="paragraph" w:styleId="17">
    <w:name w:val="annotation text"/>
    <w:basedOn w:val="1"/>
    <w:link w:val="77"/>
    <w:qFormat/>
    <w:uiPriority w:val="0"/>
    <w:pPr>
      <w:spacing w:line="360" w:lineRule="auto"/>
      <w:ind w:left="500" w:hanging="500" w:hangingChars="500"/>
      <w:jc w:val="left"/>
    </w:pPr>
  </w:style>
  <w:style w:type="paragraph" w:styleId="18">
    <w:name w:val="Salutation"/>
    <w:basedOn w:val="1"/>
    <w:next w:val="1"/>
    <w:link w:val="78"/>
    <w:qFormat/>
    <w:uiPriority w:val="0"/>
    <w:pPr>
      <w:adjustRightInd/>
      <w:snapToGrid/>
      <w:spacing w:before="0" w:beforeLines="0" w:line="240" w:lineRule="auto"/>
      <w:ind w:firstLine="0" w:firstLineChars="0"/>
    </w:pPr>
    <w:rPr>
      <w:rFonts w:ascii="Times New Roman"/>
      <w:sz w:val="21"/>
    </w:rPr>
  </w:style>
  <w:style w:type="paragraph" w:styleId="19">
    <w:name w:val="Body Text 3"/>
    <w:basedOn w:val="1"/>
    <w:link w:val="79"/>
    <w:qFormat/>
    <w:uiPriority w:val="0"/>
    <w:pPr>
      <w:adjustRightInd/>
      <w:snapToGrid/>
      <w:spacing w:before="0" w:beforeLines="0" w:line="240" w:lineRule="auto"/>
      <w:ind w:firstLine="0" w:firstLineChars="0"/>
    </w:pPr>
    <w:rPr>
      <w:szCs w:val="20"/>
    </w:rPr>
  </w:style>
  <w:style w:type="paragraph" w:styleId="20">
    <w:name w:val="Body Text"/>
    <w:basedOn w:val="1"/>
    <w:link w:val="80"/>
    <w:qFormat/>
    <w:uiPriority w:val="0"/>
    <w:pPr>
      <w:ind w:left="20"/>
    </w:pPr>
    <w:rPr>
      <w:rFonts w:ascii="宋体" w:hAnsi="宋体" w:eastAsia="宋体"/>
      <w:sz w:val="24"/>
      <w:szCs w:val="24"/>
    </w:rPr>
  </w:style>
  <w:style w:type="paragraph" w:styleId="21">
    <w:name w:val="List 2"/>
    <w:qFormat/>
    <w:uiPriority w:val="0"/>
    <w:pPr>
      <w:spacing w:line="400" w:lineRule="exact"/>
      <w:jc w:val="center"/>
    </w:pPr>
    <w:rPr>
      <w:rFonts w:ascii="Arial" w:hAnsi="Arial" w:eastAsia="宋体" w:cs="Times New Roman"/>
      <w:sz w:val="24"/>
      <w:lang w:val="en-US" w:eastAsia="zh-CN" w:bidi="ar-SA"/>
    </w:rPr>
  </w:style>
  <w:style w:type="paragraph" w:styleId="22">
    <w:name w:val="List Continue"/>
    <w:basedOn w:val="1"/>
    <w:qFormat/>
    <w:uiPriority w:val="0"/>
    <w:pPr>
      <w:widowControl/>
      <w:adjustRightInd/>
      <w:snapToGrid/>
      <w:spacing w:before="0" w:beforeLines="0" w:after="120" w:line="240" w:lineRule="auto"/>
      <w:ind w:left="420" w:firstLine="0" w:firstLineChars="0"/>
      <w:jc w:val="left"/>
    </w:pPr>
    <w:rPr>
      <w:kern w:val="0"/>
      <w:sz w:val="22"/>
      <w:szCs w:val="20"/>
    </w:rPr>
  </w:style>
  <w:style w:type="paragraph" w:styleId="23">
    <w:name w:val="Block Text"/>
    <w:basedOn w:val="1"/>
    <w:qFormat/>
    <w:uiPriority w:val="0"/>
    <w:pPr>
      <w:autoSpaceDE w:val="0"/>
      <w:autoSpaceDN w:val="0"/>
      <w:snapToGrid/>
      <w:spacing w:before="0" w:beforeLines="0" w:line="360" w:lineRule="auto"/>
      <w:ind w:left="286" w:right="6" w:firstLine="554" w:firstLineChars="0"/>
    </w:pPr>
    <w:rPr>
      <w:rFonts w:ascii="Times New Roman"/>
      <w:kern w:val="0"/>
    </w:rPr>
  </w:style>
  <w:style w:type="paragraph" w:styleId="24">
    <w:name w:val="List Bullet 2"/>
    <w:basedOn w:val="1"/>
    <w:qFormat/>
    <w:uiPriority w:val="0"/>
    <w:pPr>
      <w:widowControl/>
      <w:tabs>
        <w:tab w:val="left" w:pos="360"/>
        <w:tab w:val="left" w:pos="720"/>
      </w:tabs>
      <w:adjustRightInd/>
      <w:snapToGrid/>
      <w:spacing w:before="0" w:beforeLines="0" w:after="200" w:line="276" w:lineRule="auto"/>
      <w:ind w:left="720" w:hanging="720" w:firstLineChars="0"/>
      <w:jc w:val="left"/>
    </w:pPr>
    <w:rPr>
      <w:rFonts w:ascii="Calibri" w:hAnsi="Calibri"/>
      <w:kern w:val="0"/>
      <w:sz w:val="22"/>
      <w:szCs w:val="22"/>
    </w:rPr>
  </w:style>
  <w:style w:type="paragraph" w:styleId="25">
    <w:name w:val="index 4"/>
    <w:basedOn w:val="1"/>
    <w:next w:val="1"/>
    <w:qFormat/>
    <w:uiPriority w:val="0"/>
    <w:pPr>
      <w:adjustRightInd/>
      <w:snapToGrid/>
      <w:spacing w:before="0" w:beforeLines="0" w:line="240" w:lineRule="auto"/>
      <w:ind w:left="600" w:leftChars="600" w:firstLine="0" w:firstLineChars="0"/>
    </w:pPr>
    <w:rPr>
      <w:rFonts w:ascii="Times New Roman"/>
      <w:sz w:val="21"/>
    </w:rPr>
  </w:style>
  <w:style w:type="paragraph" w:styleId="26">
    <w:name w:val="toc 5"/>
    <w:basedOn w:val="1"/>
    <w:next w:val="1"/>
    <w:qFormat/>
    <w:uiPriority w:val="39"/>
    <w:pPr>
      <w:adjustRightInd/>
      <w:snapToGrid/>
      <w:spacing w:before="0" w:beforeLines="0" w:line="240" w:lineRule="auto"/>
      <w:ind w:left="1680" w:leftChars="800" w:firstLine="0" w:firstLineChars="0"/>
    </w:pPr>
    <w:rPr>
      <w:rFonts w:ascii="Times New Roman"/>
      <w:sz w:val="21"/>
    </w:rPr>
  </w:style>
  <w:style w:type="paragraph" w:styleId="27">
    <w:name w:val="toc 3"/>
    <w:basedOn w:val="1"/>
    <w:next w:val="1"/>
    <w:qFormat/>
    <w:uiPriority w:val="39"/>
    <w:pPr>
      <w:ind w:left="840" w:leftChars="400"/>
    </w:pPr>
  </w:style>
  <w:style w:type="paragraph" w:styleId="28">
    <w:name w:val="Plain Text"/>
    <w:basedOn w:val="1"/>
    <w:link w:val="81"/>
    <w:qFormat/>
    <w:uiPriority w:val="0"/>
    <w:pPr>
      <w:adjustRightInd/>
      <w:snapToGrid/>
      <w:spacing w:before="0" w:beforeLines="0" w:line="240" w:lineRule="auto"/>
      <w:ind w:firstLine="0" w:firstLineChars="0"/>
    </w:pPr>
    <w:rPr>
      <w:rFonts w:hAnsi="Courier New" w:cs="Courier New"/>
      <w:sz w:val="21"/>
      <w:szCs w:val="21"/>
    </w:rPr>
  </w:style>
  <w:style w:type="paragraph" w:styleId="29">
    <w:name w:val="toc 8"/>
    <w:basedOn w:val="1"/>
    <w:next w:val="1"/>
    <w:qFormat/>
    <w:uiPriority w:val="39"/>
    <w:pPr>
      <w:adjustRightInd/>
      <w:snapToGrid/>
      <w:spacing w:before="0" w:beforeLines="0" w:line="240" w:lineRule="auto"/>
      <w:ind w:left="2940" w:leftChars="1400" w:firstLine="0" w:firstLineChars="0"/>
    </w:pPr>
    <w:rPr>
      <w:rFonts w:ascii="Times New Roman"/>
      <w:sz w:val="21"/>
    </w:rPr>
  </w:style>
  <w:style w:type="paragraph" w:styleId="30">
    <w:name w:val="Date"/>
    <w:basedOn w:val="1"/>
    <w:next w:val="1"/>
    <w:link w:val="82"/>
    <w:qFormat/>
    <w:uiPriority w:val="0"/>
    <w:pPr>
      <w:ind w:left="100" w:leftChars="2500"/>
    </w:pPr>
  </w:style>
  <w:style w:type="paragraph" w:styleId="31">
    <w:name w:val="Body Text Indent 2"/>
    <w:basedOn w:val="1"/>
    <w:link w:val="83"/>
    <w:qFormat/>
    <w:uiPriority w:val="0"/>
    <w:pPr>
      <w:adjustRightInd/>
      <w:snapToGrid/>
      <w:spacing w:before="0" w:beforeLines="0" w:after="120" w:line="480" w:lineRule="auto"/>
      <w:ind w:left="420" w:leftChars="200" w:firstLine="0" w:firstLineChars="0"/>
    </w:pPr>
    <w:rPr>
      <w:rFonts w:ascii="Times New Roman"/>
      <w:sz w:val="21"/>
    </w:rPr>
  </w:style>
  <w:style w:type="paragraph" w:styleId="32">
    <w:name w:val="Balloon Text"/>
    <w:basedOn w:val="1"/>
    <w:link w:val="84"/>
    <w:qFormat/>
    <w:uiPriority w:val="0"/>
    <w:rPr>
      <w:sz w:val="18"/>
      <w:szCs w:val="18"/>
    </w:rPr>
  </w:style>
  <w:style w:type="paragraph" w:styleId="33">
    <w:name w:val="footer"/>
    <w:basedOn w:val="1"/>
    <w:link w:val="85"/>
    <w:qFormat/>
    <w:uiPriority w:val="99"/>
    <w:pPr>
      <w:tabs>
        <w:tab w:val="center" w:pos="4153"/>
        <w:tab w:val="right" w:pos="8306"/>
      </w:tabs>
      <w:spacing w:line="240" w:lineRule="auto"/>
      <w:jc w:val="left"/>
    </w:pPr>
    <w:rPr>
      <w:sz w:val="18"/>
      <w:szCs w:val="18"/>
    </w:rPr>
  </w:style>
  <w:style w:type="paragraph" w:styleId="34">
    <w:name w:val="header"/>
    <w:basedOn w:val="1"/>
    <w:link w:val="86"/>
    <w:qFormat/>
    <w:uiPriority w:val="99"/>
    <w:pPr>
      <w:pBdr>
        <w:bottom w:val="single" w:color="auto" w:sz="6" w:space="1"/>
      </w:pBdr>
      <w:tabs>
        <w:tab w:val="center" w:pos="4153"/>
        <w:tab w:val="right" w:pos="8306"/>
      </w:tabs>
      <w:spacing w:line="240" w:lineRule="auto"/>
      <w:jc w:val="center"/>
    </w:pPr>
    <w:rPr>
      <w:sz w:val="18"/>
      <w:szCs w:val="18"/>
    </w:rPr>
  </w:style>
  <w:style w:type="paragraph" w:styleId="35">
    <w:name w:val="toc 1"/>
    <w:basedOn w:val="1"/>
    <w:next w:val="1"/>
    <w:qFormat/>
    <w:uiPriority w:val="39"/>
    <w:pPr>
      <w:tabs>
        <w:tab w:val="right" w:leader="dot" w:pos="9060"/>
      </w:tabs>
      <w:adjustRightInd/>
      <w:snapToGrid/>
      <w:spacing w:before="0" w:beforeLines="0" w:line="360" w:lineRule="auto"/>
      <w:ind w:firstLine="0" w:firstLineChars="0"/>
    </w:pPr>
  </w:style>
  <w:style w:type="paragraph" w:styleId="36">
    <w:name w:val="toc 4"/>
    <w:basedOn w:val="1"/>
    <w:next w:val="1"/>
    <w:qFormat/>
    <w:uiPriority w:val="39"/>
    <w:pPr>
      <w:adjustRightInd/>
      <w:snapToGrid/>
      <w:spacing w:before="0" w:beforeLines="0" w:line="240" w:lineRule="auto"/>
      <w:ind w:left="1260" w:leftChars="600" w:firstLine="0" w:firstLineChars="0"/>
    </w:pPr>
    <w:rPr>
      <w:rFonts w:ascii="Times New Roman"/>
      <w:sz w:val="21"/>
    </w:rPr>
  </w:style>
  <w:style w:type="paragraph" w:styleId="37">
    <w:name w:val="Subtitle"/>
    <w:basedOn w:val="1"/>
    <w:next w:val="1"/>
    <w:link w:val="87"/>
    <w:qFormat/>
    <w:uiPriority w:val="0"/>
    <w:pPr>
      <w:adjustRightInd/>
      <w:snapToGrid/>
      <w:spacing w:before="240" w:beforeLines="0" w:after="60" w:line="312" w:lineRule="auto"/>
      <w:ind w:firstLine="0" w:firstLineChars="0"/>
      <w:jc w:val="center"/>
      <w:outlineLvl w:val="1"/>
    </w:pPr>
    <w:rPr>
      <w:rFonts w:ascii="Cambria" w:hAnsi="Cambria"/>
      <w:b/>
      <w:bCs/>
      <w:kern w:val="28"/>
      <w:sz w:val="32"/>
      <w:szCs w:val="32"/>
    </w:rPr>
  </w:style>
  <w:style w:type="paragraph" w:styleId="38">
    <w:name w:val="List"/>
    <w:basedOn w:val="1"/>
    <w:qFormat/>
    <w:uiPriority w:val="0"/>
    <w:pPr>
      <w:widowControl/>
      <w:adjustRightInd/>
      <w:snapToGrid/>
      <w:spacing w:before="0" w:beforeLines="0" w:line="240" w:lineRule="auto"/>
      <w:ind w:left="420" w:hanging="420" w:firstLineChars="0"/>
      <w:jc w:val="left"/>
    </w:pPr>
    <w:rPr>
      <w:kern w:val="0"/>
      <w:sz w:val="22"/>
      <w:szCs w:val="20"/>
    </w:rPr>
  </w:style>
  <w:style w:type="paragraph" w:styleId="39">
    <w:name w:val="toc 6"/>
    <w:basedOn w:val="1"/>
    <w:next w:val="1"/>
    <w:qFormat/>
    <w:uiPriority w:val="39"/>
    <w:pPr>
      <w:adjustRightInd/>
      <w:snapToGrid/>
      <w:spacing w:before="0" w:beforeLines="0" w:line="240" w:lineRule="auto"/>
      <w:ind w:left="2100" w:leftChars="1000" w:firstLine="0" w:firstLineChars="0"/>
    </w:pPr>
    <w:rPr>
      <w:rFonts w:ascii="Times New Roman"/>
      <w:sz w:val="21"/>
    </w:rPr>
  </w:style>
  <w:style w:type="paragraph" w:styleId="40">
    <w:name w:val="Body Text Indent 3"/>
    <w:basedOn w:val="1"/>
    <w:link w:val="88"/>
    <w:qFormat/>
    <w:uiPriority w:val="0"/>
    <w:pPr>
      <w:widowControl/>
      <w:overflowPunct w:val="0"/>
      <w:autoSpaceDE w:val="0"/>
      <w:autoSpaceDN w:val="0"/>
      <w:snapToGrid/>
      <w:spacing w:before="0" w:beforeLines="0" w:line="360" w:lineRule="auto"/>
      <w:ind w:firstLine="540" w:firstLineChars="0"/>
      <w:textAlignment w:val="baseline"/>
    </w:pPr>
    <w:rPr>
      <w:rFonts w:ascii="Times New Roman"/>
      <w:sz w:val="16"/>
      <w:szCs w:val="16"/>
    </w:rPr>
  </w:style>
  <w:style w:type="paragraph" w:styleId="41">
    <w:name w:val="toc 2"/>
    <w:basedOn w:val="1"/>
    <w:next w:val="1"/>
    <w:qFormat/>
    <w:uiPriority w:val="39"/>
    <w:pPr>
      <w:tabs>
        <w:tab w:val="right" w:leader="dot" w:pos="9060"/>
      </w:tabs>
      <w:adjustRightInd/>
      <w:snapToGrid/>
      <w:spacing w:before="0" w:beforeLines="0" w:line="360" w:lineRule="auto"/>
      <w:ind w:firstLine="283" w:firstLineChars="135"/>
    </w:pPr>
  </w:style>
  <w:style w:type="paragraph" w:styleId="42">
    <w:name w:val="toc 9"/>
    <w:basedOn w:val="1"/>
    <w:next w:val="1"/>
    <w:qFormat/>
    <w:uiPriority w:val="39"/>
    <w:pPr>
      <w:adjustRightInd/>
      <w:snapToGrid/>
      <w:spacing w:before="0" w:beforeLines="0" w:line="240" w:lineRule="auto"/>
      <w:ind w:left="3360" w:leftChars="1600" w:firstLine="0" w:firstLineChars="0"/>
    </w:pPr>
    <w:rPr>
      <w:rFonts w:ascii="Times New Roman"/>
      <w:sz w:val="21"/>
    </w:rPr>
  </w:style>
  <w:style w:type="paragraph" w:styleId="43">
    <w:name w:val="Body Text 2"/>
    <w:basedOn w:val="1"/>
    <w:link w:val="89"/>
    <w:qFormat/>
    <w:uiPriority w:val="0"/>
    <w:pPr>
      <w:adjustRightInd/>
      <w:snapToGrid/>
      <w:spacing w:before="0" w:beforeLines="0" w:line="240" w:lineRule="auto"/>
      <w:ind w:firstLine="0" w:firstLineChars="0"/>
    </w:pPr>
    <w:rPr>
      <w:rFonts w:ascii="Times New Roman"/>
      <w:sz w:val="21"/>
    </w:rPr>
  </w:style>
  <w:style w:type="paragraph" w:styleId="44">
    <w:name w:val="HTML Preformatted"/>
    <w:basedOn w:val="1"/>
    <w:link w:val="9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beforeLines="0" w:line="240" w:lineRule="auto"/>
      <w:ind w:firstLine="0" w:firstLineChars="0"/>
      <w:jc w:val="left"/>
    </w:pPr>
    <w:rPr>
      <w:rFonts w:ascii="Courier New" w:hAnsi="Courier New"/>
      <w:sz w:val="20"/>
      <w:szCs w:val="20"/>
    </w:rPr>
  </w:style>
  <w:style w:type="paragraph" w:styleId="45">
    <w:name w:val="Normal (Web)"/>
    <w:basedOn w:val="1"/>
    <w:qFormat/>
    <w:uiPriority w:val="0"/>
    <w:pPr>
      <w:widowControl/>
      <w:adjustRightInd/>
      <w:snapToGrid/>
      <w:spacing w:before="100" w:beforeLines="0" w:beforeAutospacing="1" w:after="100" w:afterLines="0" w:afterAutospacing="1" w:line="240" w:lineRule="auto"/>
      <w:ind w:firstLine="480" w:firstLineChars="0"/>
      <w:jc w:val="left"/>
    </w:pPr>
    <w:rPr>
      <w:rFonts w:hAnsi="宋体" w:cs="宋体"/>
      <w:kern w:val="0"/>
    </w:rPr>
  </w:style>
  <w:style w:type="paragraph" w:styleId="46">
    <w:name w:val="Title"/>
    <w:basedOn w:val="1"/>
    <w:next w:val="1"/>
    <w:link w:val="91"/>
    <w:qFormat/>
    <w:uiPriority w:val="0"/>
    <w:pPr>
      <w:adjustRightInd/>
      <w:snapToGrid/>
      <w:spacing w:before="240" w:beforeLines="0" w:after="60" w:line="240" w:lineRule="auto"/>
      <w:ind w:firstLine="0" w:firstLineChars="0"/>
      <w:jc w:val="center"/>
      <w:outlineLvl w:val="0"/>
    </w:pPr>
    <w:rPr>
      <w:rFonts w:ascii="Cambria" w:hAnsi="Cambria"/>
      <w:b/>
      <w:bCs/>
      <w:sz w:val="32"/>
      <w:szCs w:val="32"/>
    </w:rPr>
  </w:style>
  <w:style w:type="paragraph" w:styleId="47">
    <w:name w:val="annotation subject"/>
    <w:basedOn w:val="17"/>
    <w:next w:val="17"/>
    <w:link w:val="92"/>
    <w:qFormat/>
    <w:uiPriority w:val="0"/>
    <w:rPr>
      <w:b/>
      <w:bCs/>
    </w:rPr>
  </w:style>
  <w:style w:type="table" w:styleId="49">
    <w:name w:val="Table Grid"/>
    <w:basedOn w:val="4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TML Definition"/>
    <w:unhideWhenUsed/>
    <w:qFormat/>
    <w:uiPriority w:val="0"/>
  </w:style>
  <w:style w:type="character" w:styleId="56">
    <w:name w:val="HTML Typewriter"/>
    <w:unhideWhenUsed/>
    <w:qFormat/>
    <w:uiPriority w:val="0"/>
    <w:rPr>
      <w:rFonts w:hint="default" w:ascii="monospace" w:hAnsi="monospace" w:eastAsia="monospace" w:cs="monospace"/>
      <w:sz w:val="20"/>
    </w:rPr>
  </w:style>
  <w:style w:type="character" w:styleId="57">
    <w:name w:val="HTML Acronym"/>
    <w:unhideWhenUsed/>
    <w:qFormat/>
    <w:uiPriority w:val="0"/>
  </w:style>
  <w:style w:type="character" w:styleId="58">
    <w:name w:val="HTML Variable"/>
    <w:unhideWhenUsed/>
    <w:qFormat/>
    <w:uiPriority w:val="0"/>
  </w:style>
  <w:style w:type="character" w:styleId="59">
    <w:name w:val="Hyperlink"/>
    <w:qFormat/>
    <w:uiPriority w:val="99"/>
    <w:rPr>
      <w:color w:val="0000FF"/>
      <w:u w:val="single"/>
    </w:rPr>
  </w:style>
  <w:style w:type="character" w:styleId="60">
    <w:name w:val="HTML Code"/>
    <w:unhideWhenUsed/>
    <w:qFormat/>
    <w:uiPriority w:val="0"/>
    <w:rPr>
      <w:rFonts w:ascii="monospace" w:hAnsi="monospace" w:eastAsia="monospace" w:cs="monospace"/>
      <w:sz w:val="20"/>
    </w:rPr>
  </w:style>
  <w:style w:type="character" w:styleId="61">
    <w:name w:val="annotation reference"/>
    <w:qFormat/>
    <w:uiPriority w:val="0"/>
    <w:rPr>
      <w:sz w:val="21"/>
      <w:szCs w:val="21"/>
    </w:rPr>
  </w:style>
  <w:style w:type="character" w:styleId="62">
    <w:name w:val="HTML Cite"/>
    <w:unhideWhenUsed/>
    <w:qFormat/>
    <w:uiPriority w:val="0"/>
  </w:style>
  <w:style w:type="character" w:styleId="63">
    <w:name w:val="HTML Keyboard"/>
    <w:unhideWhenUsed/>
    <w:qFormat/>
    <w:uiPriority w:val="0"/>
    <w:rPr>
      <w:rFonts w:hint="default" w:ascii="monospace" w:hAnsi="monospace" w:eastAsia="monospace" w:cs="monospace"/>
      <w:sz w:val="20"/>
    </w:rPr>
  </w:style>
  <w:style w:type="character" w:styleId="64">
    <w:name w:val="HTML Sample"/>
    <w:unhideWhenUsed/>
    <w:qFormat/>
    <w:uiPriority w:val="0"/>
    <w:rPr>
      <w:rFonts w:hint="default" w:ascii="monospace" w:hAnsi="monospace" w:eastAsia="monospace" w:cs="monospace"/>
    </w:rPr>
  </w:style>
  <w:style w:type="character" w:customStyle="1" w:styleId="65">
    <w:name w:val="正文文本缩进 字符"/>
    <w:link w:val="3"/>
    <w:qFormat/>
    <w:uiPriority w:val="0"/>
    <w:rPr>
      <w:rFonts w:ascii="宋体"/>
      <w:kern w:val="2"/>
      <w:sz w:val="24"/>
      <w:szCs w:val="24"/>
    </w:rPr>
  </w:style>
  <w:style w:type="character" w:customStyle="1" w:styleId="66">
    <w:name w:val="标题 1 字符"/>
    <w:link w:val="4"/>
    <w:qFormat/>
    <w:uiPriority w:val="0"/>
    <w:rPr>
      <w:rFonts w:ascii="宋体" w:eastAsia="黑体"/>
      <w:bCs/>
      <w:kern w:val="44"/>
      <w:sz w:val="44"/>
      <w:szCs w:val="44"/>
    </w:rPr>
  </w:style>
  <w:style w:type="character" w:customStyle="1" w:styleId="67">
    <w:name w:val="标题 2 字符"/>
    <w:link w:val="5"/>
    <w:qFormat/>
    <w:uiPriority w:val="99"/>
    <w:rPr>
      <w:rFonts w:ascii="黑体" w:hAnsi="黑体" w:eastAsia="黑体" w:cs="黑体"/>
      <w:bCs/>
      <w:kern w:val="2"/>
      <w:sz w:val="30"/>
      <w:szCs w:val="30"/>
    </w:rPr>
  </w:style>
  <w:style w:type="character" w:customStyle="1" w:styleId="68">
    <w:name w:val="标题 3 字符"/>
    <w:link w:val="6"/>
    <w:qFormat/>
    <w:uiPriority w:val="0"/>
    <w:rPr>
      <w:rFonts w:ascii="黑体" w:hAnsi="黑体" w:eastAsia="黑体" w:cs="黑体"/>
      <w:bCs/>
      <w:kern w:val="2"/>
      <w:sz w:val="24"/>
      <w:szCs w:val="24"/>
    </w:rPr>
  </w:style>
  <w:style w:type="character" w:customStyle="1" w:styleId="69">
    <w:name w:val="标题 4 字符"/>
    <w:link w:val="7"/>
    <w:qFormat/>
    <w:uiPriority w:val="0"/>
    <w:rPr>
      <w:rFonts w:ascii="Cambria" w:hAnsi="Cambria" w:eastAsia="宋体" w:cs="Times New Roman"/>
      <w:b/>
      <w:bCs/>
      <w:kern w:val="2"/>
      <w:sz w:val="28"/>
      <w:szCs w:val="28"/>
    </w:rPr>
  </w:style>
  <w:style w:type="character" w:customStyle="1" w:styleId="70">
    <w:name w:val="标题 5 字符"/>
    <w:link w:val="8"/>
    <w:qFormat/>
    <w:uiPriority w:val="0"/>
    <w:rPr>
      <w:b/>
      <w:bCs/>
      <w:kern w:val="2"/>
      <w:sz w:val="28"/>
      <w:szCs w:val="28"/>
    </w:rPr>
  </w:style>
  <w:style w:type="character" w:customStyle="1" w:styleId="71">
    <w:name w:val="标题 6 字符"/>
    <w:link w:val="9"/>
    <w:qFormat/>
    <w:uiPriority w:val="0"/>
    <w:rPr>
      <w:rFonts w:ascii="Arial" w:hAnsi="Arial" w:eastAsia="黑体"/>
      <w:b/>
      <w:sz w:val="24"/>
    </w:rPr>
  </w:style>
  <w:style w:type="character" w:customStyle="1" w:styleId="72">
    <w:name w:val="标题 7 字符"/>
    <w:link w:val="10"/>
    <w:qFormat/>
    <w:uiPriority w:val="0"/>
    <w:rPr>
      <w:b/>
      <w:sz w:val="24"/>
    </w:rPr>
  </w:style>
  <w:style w:type="character" w:customStyle="1" w:styleId="73">
    <w:name w:val="标题 8 字符"/>
    <w:link w:val="11"/>
    <w:qFormat/>
    <w:uiPriority w:val="0"/>
    <w:rPr>
      <w:rFonts w:ascii="Arial" w:hAnsi="Arial" w:eastAsia="黑体"/>
      <w:sz w:val="24"/>
    </w:rPr>
  </w:style>
  <w:style w:type="character" w:customStyle="1" w:styleId="74">
    <w:name w:val="标题 9 字符"/>
    <w:link w:val="12"/>
    <w:qFormat/>
    <w:uiPriority w:val="0"/>
    <w:rPr>
      <w:rFonts w:ascii="Arial" w:hAnsi="Arial" w:eastAsia="黑体"/>
      <w:sz w:val="24"/>
    </w:rPr>
  </w:style>
  <w:style w:type="character" w:customStyle="1" w:styleId="75">
    <w:name w:val="正文缩进 字符"/>
    <w:link w:val="14"/>
    <w:qFormat/>
    <w:uiPriority w:val="0"/>
    <w:rPr>
      <w:rFonts w:ascii="宋体"/>
      <w:sz w:val="24"/>
    </w:rPr>
  </w:style>
  <w:style w:type="character" w:customStyle="1" w:styleId="76">
    <w:name w:val="文档结构图 字符"/>
    <w:link w:val="16"/>
    <w:qFormat/>
    <w:uiPriority w:val="0"/>
    <w:rPr>
      <w:rFonts w:ascii="宋体"/>
      <w:kern w:val="2"/>
      <w:sz w:val="24"/>
      <w:szCs w:val="24"/>
      <w:shd w:val="clear" w:color="auto" w:fill="000080"/>
    </w:rPr>
  </w:style>
  <w:style w:type="character" w:customStyle="1" w:styleId="77">
    <w:name w:val="批注文字 字符"/>
    <w:link w:val="17"/>
    <w:qFormat/>
    <w:uiPriority w:val="0"/>
    <w:rPr>
      <w:rFonts w:ascii="宋体"/>
      <w:kern w:val="2"/>
      <w:sz w:val="24"/>
      <w:szCs w:val="24"/>
    </w:rPr>
  </w:style>
  <w:style w:type="character" w:customStyle="1" w:styleId="78">
    <w:name w:val="称呼 字符"/>
    <w:link w:val="18"/>
    <w:qFormat/>
    <w:uiPriority w:val="0"/>
    <w:rPr>
      <w:kern w:val="2"/>
      <w:sz w:val="21"/>
      <w:szCs w:val="24"/>
    </w:rPr>
  </w:style>
  <w:style w:type="character" w:customStyle="1" w:styleId="79">
    <w:name w:val="正文文本 3 字符"/>
    <w:link w:val="19"/>
    <w:qFormat/>
    <w:uiPriority w:val="0"/>
    <w:rPr>
      <w:rFonts w:ascii="宋体"/>
      <w:kern w:val="2"/>
      <w:sz w:val="24"/>
    </w:rPr>
  </w:style>
  <w:style w:type="character" w:customStyle="1" w:styleId="80">
    <w:name w:val="正文文本 字符"/>
    <w:link w:val="20"/>
    <w:qFormat/>
    <w:uiPriority w:val="0"/>
    <w:rPr>
      <w:rFonts w:ascii="宋体" w:hAnsi="宋体"/>
      <w:kern w:val="2"/>
      <w:sz w:val="24"/>
      <w:szCs w:val="24"/>
    </w:rPr>
  </w:style>
  <w:style w:type="character" w:customStyle="1" w:styleId="81">
    <w:name w:val="纯文本 字符"/>
    <w:link w:val="28"/>
    <w:qFormat/>
    <w:uiPriority w:val="0"/>
    <w:rPr>
      <w:rFonts w:ascii="宋体" w:hAnsi="Courier New" w:cs="Courier New"/>
      <w:kern w:val="2"/>
      <w:sz w:val="21"/>
      <w:szCs w:val="21"/>
    </w:rPr>
  </w:style>
  <w:style w:type="character" w:customStyle="1" w:styleId="82">
    <w:name w:val="日期 字符"/>
    <w:link w:val="30"/>
    <w:qFormat/>
    <w:uiPriority w:val="0"/>
    <w:rPr>
      <w:rFonts w:ascii="宋体"/>
      <w:kern w:val="2"/>
      <w:sz w:val="24"/>
      <w:szCs w:val="24"/>
    </w:rPr>
  </w:style>
  <w:style w:type="character" w:customStyle="1" w:styleId="83">
    <w:name w:val="正文文本缩进 2 字符"/>
    <w:link w:val="31"/>
    <w:qFormat/>
    <w:uiPriority w:val="0"/>
    <w:rPr>
      <w:kern w:val="2"/>
      <w:sz w:val="21"/>
      <w:szCs w:val="24"/>
    </w:rPr>
  </w:style>
  <w:style w:type="character" w:customStyle="1" w:styleId="84">
    <w:name w:val="批注框文本 字符"/>
    <w:link w:val="32"/>
    <w:qFormat/>
    <w:uiPriority w:val="0"/>
    <w:rPr>
      <w:rFonts w:ascii="宋体"/>
      <w:kern w:val="2"/>
      <w:sz w:val="18"/>
      <w:szCs w:val="18"/>
    </w:rPr>
  </w:style>
  <w:style w:type="character" w:customStyle="1" w:styleId="85">
    <w:name w:val="页脚 字符"/>
    <w:link w:val="33"/>
    <w:qFormat/>
    <w:uiPriority w:val="99"/>
    <w:rPr>
      <w:rFonts w:ascii="宋体"/>
      <w:kern w:val="2"/>
      <w:sz w:val="18"/>
      <w:szCs w:val="18"/>
    </w:rPr>
  </w:style>
  <w:style w:type="character" w:customStyle="1" w:styleId="86">
    <w:name w:val="页眉 字符"/>
    <w:link w:val="34"/>
    <w:qFormat/>
    <w:uiPriority w:val="99"/>
    <w:rPr>
      <w:rFonts w:ascii="宋体"/>
      <w:kern w:val="2"/>
      <w:sz w:val="18"/>
      <w:szCs w:val="18"/>
    </w:rPr>
  </w:style>
  <w:style w:type="character" w:customStyle="1" w:styleId="87">
    <w:name w:val="副标题 字符"/>
    <w:link w:val="37"/>
    <w:qFormat/>
    <w:uiPriority w:val="0"/>
    <w:rPr>
      <w:rFonts w:ascii="Cambria" w:hAnsi="Cambria"/>
      <w:b/>
      <w:bCs/>
      <w:kern w:val="28"/>
      <w:sz w:val="32"/>
      <w:szCs w:val="32"/>
    </w:rPr>
  </w:style>
  <w:style w:type="character" w:customStyle="1" w:styleId="88">
    <w:name w:val="正文文本缩进 3 字符"/>
    <w:link w:val="40"/>
    <w:qFormat/>
    <w:uiPriority w:val="0"/>
    <w:rPr>
      <w:kern w:val="2"/>
      <w:sz w:val="16"/>
      <w:szCs w:val="16"/>
    </w:rPr>
  </w:style>
  <w:style w:type="character" w:customStyle="1" w:styleId="89">
    <w:name w:val="正文文本 2 字符"/>
    <w:link w:val="43"/>
    <w:qFormat/>
    <w:uiPriority w:val="0"/>
    <w:rPr>
      <w:kern w:val="2"/>
      <w:sz w:val="21"/>
      <w:szCs w:val="24"/>
    </w:rPr>
  </w:style>
  <w:style w:type="character" w:customStyle="1" w:styleId="90">
    <w:name w:val="HTML 预设格式 字符"/>
    <w:link w:val="44"/>
    <w:qFormat/>
    <w:uiPriority w:val="0"/>
    <w:rPr>
      <w:rFonts w:ascii="Courier New" w:hAnsi="Courier New"/>
      <w:kern w:val="2"/>
    </w:rPr>
  </w:style>
  <w:style w:type="character" w:customStyle="1" w:styleId="91">
    <w:name w:val="标题 字符"/>
    <w:link w:val="46"/>
    <w:qFormat/>
    <w:uiPriority w:val="0"/>
    <w:rPr>
      <w:rFonts w:ascii="Cambria" w:hAnsi="Cambria"/>
      <w:b/>
      <w:bCs/>
      <w:kern w:val="2"/>
      <w:sz w:val="32"/>
      <w:szCs w:val="32"/>
    </w:rPr>
  </w:style>
  <w:style w:type="character" w:customStyle="1" w:styleId="92">
    <w:name w:val="批注主题 字符"/>
    <w:link w:val="47"/>
    <w:qFormat/>
    <w:uiPriority w:val="0"/>
    <w:rPr>
      <w:rFonts w:ascii="宋体"/>
      <w:b/>
      <w:bCs/>
      <w:kern w:val="2"/>
      <w:sz w:val="24"/>
      <w:szCs w:val="24"/>
    </w:rPr>
  </w:style>
  <w:style w:type="paragraph" w:customStyle="1" w:styleId="93">
    <w:name w:val=" Char"/>
    <w:basedOn w:val="1"/>
    <w:qFormat/>
    <w:uiPriority w:val="0"/>
    <w:pPr>
      <w:adjustRightInd/>
      <w:snapToGrid/>
      <w:spacing w:before="0" w:beforeLines="0" w:line="360" w:lineRule="auto"/>
      <w:ind w:firstLine="0" w:firstLineChars="0"/>
    </w:pPr>
    <w:rPr>
      <w:rFonts w:ascii="Times New Roman"/>
      <w:sz w:val="21"/>
    </w:rPr>
  </w:style>
  <w:style w:type="paragraph" w:customStyle="1" w:styleId="9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5">
    <w:name w:val=" Char Char3"/>
    <w:basedOn w:val="2"/>
    <w:qFormat/>
    <w:uiPriority w:val="0"/>
    <w:pPr>
      <w:snapToGrid/>
      <w:spacing w:line="240" w:lineRule="auto"/>
    </w:pPr>
  </w:style>
  <w:style w:type="paragraph" w:customStyle="1" w:styleId="96">
    <w:name w:val="1111表中文字"/>
    <w:basedOn w:val="1"/>
    <w:qFormat/>
    <w:uiPriority w:val="0"/>
    <w:pPr>
      <w:spacing w:before="0" w:beforeLines="0" w:line="240" w:lineRule="auto"/>
      <w:ind w:firstLine="0" w:firstLineChars="0"/>
      <w:jc w:val="center"/>
    </w:pPr>
    <w:rPr>
      <w:rFonts w:ascii="Times New Roman"/>
      <w:szCs w:val="20"/>
    </w:rPr>
  </w:style>
  <w:style w:type="paragraph" w:customStyle="1" w:styleId="97">
    <w:name w:val="样式 表格文字 + 段前: 7.8 磅 行距: 多倍行距 1.25 字行1"/>
    <w:basedOn w:val="98"/>
    <w:qFormat/>
    <w:uiPriority w:val="0"/>
  </w:style>
  <w:style w:type="paragraph" w:customStyle="1" w:styleId="98">
    <w:name w:val="表格文字"/>
    <w:qFormat/>
    <w:uiPriority w:val="0"/>
    <w:pPr>
      <w:spacing w:line="288" w:lineRule="auto"/>
      <w:jc w:val="center"/>
    </w:pPr>
    <w:rPr>
      <w:rFonts w:ascii="宋体" w:hAnsi="宋体" w:eastAsia="宋体" w:cs="宋体"/>
      <w:kern w:val="2"/>
      <w:sz w:val="21"/>
      <w:szCs w:val="21"/>
      <w:lang w:val="en-US" w:eastAsia="zh-CN" w:bidi="ar-SA"/>
    </w:rPr>
  </w:style>
  <w:style w:type="paragraph" w:customStyle="1" w:styleId="99">
    <w:name w:val="居中 黑体 小三"/>
    <w:basedOn w:val="1"/>
    <w:qFormat/>
    <w:uiPriority w:val="0"/>
    <w:pPr>
      <w:ind w:firstLine="0" w:firstLineChars="0"/>
      <w:jc w:val="center"/>
    </w:pPr>
    <w:rPr>
      <w:rFonts w:ascii="黑体" w:hAnsi="黑体" w:eastAsia="黑体" w:cs="宋体"/>
      <w:sz w:val="30"/>
      <w:szCs w:val="30"/>
    </w:rPr>
  </w:style>
  <w:style w:type="paragraph" w:customStyle="1" w:styleId="100">
    <w:name w:val="正文-小四"/>
    <w:basedOn w:val="1"/>
    <w:qFormat/>
    <w:uiPriority w:val="0"/>
    <w:rPr>
      <w:rFonts w:hAnsi="宋体" w:cs="宋体"/>
      <w:szCs w:val="20"/>
    </w:rPr>
  </w:style>
  <w:style w:type="paragraph" w:customStyle="1" w:styleId="101">
    <w:name w:val="黑体居中"/>
    <w:basedOn w:val="1"/>
    <w:next w:val="1"/>
    <w:qFormat/>
    <w:uiPriority w:val="0"/>
    <w:pPr>
      <w:ind w:firstLine="0" w:firstLineChars="0"/>
      <w:jc w:val="center"/>
    </w:pPr>
    <w:rPr>
      <w:rFonts w:ascii="黑体" w:hAnsi="黑体" w:eastAsia="黑体" w:cs="黑体"/>
      <w:sz w:val="30"/>
      <w:szCs w:val="30"/>
    </w:rPr>
  </w:style>
  <w:style w:type="paragraph" w:customStyle="1" w:styleId="102">
    <w:name w:val="_Style 101"/>
    <w:semiHidden/>
    <w:qFormat/>
    <w:uiPriority w:val="99"/>
    <w:rPr>
      <w:rFonts w:ascii="宋体" w:hAnsi="Times New Roman" w:eastAsia="宋体" w:cs="Times New Roman"/>
      <w:kern w:val="2"/>
      <w:sz w:val="24"/>
      <w:szCs w:val="24"/>
      <w:lang w:val="en-US" w:eastAsia="zh-CN" w:bidi="ar-SA"/>
    </w:rPr>
  </w:style>
  <w:style w:type="paragraph" w:customStyle="1" w:styleId="103">
    <w:name w:val="居中"/>
    <w:basedOn w:val="1"/>
    <w:qFormat/>
    <w:uiPriority w:val="0"/>
    <w:pPr>
      <w:ind w:firstLine="0" w:firstLineChars="0"/>
      <w:jc w:val="center"/>
    </w:pPr>
    <w:rPr>
      <w:rFonts w:ascii="Times New Roman" w:eastAsia="黑体"/>
    </w:rPr>
  </w:style>
  <w:style w:type="paragraph" w:customStyle="1" w:styleId="104">
    <w:name w:val="p0"/>
    <w:basedOn w:val="1"/>
    <w:qFormat/>
    <w:uiPriority w:val="0"/>
    <w:pPr>
      <w:widowControl/>
      <w:adjustRightInd/>
      <w:snapToGrid/>
      <w:spacing w:before="0" w:beforeLines="0" w:line="240" w:lineRule="auto"/>
      <w:ind w:firstLine="0" w:firstLineChars="0"/>
      <w:jc w:val="left"/>
    </w:pPr>
    <w:rPr>
      <w:rFonts w:ascii="Times New Roman"/>
      <w:kern w:val="0"/>
      <w:sz w:val="21"/>
      <w:szCs w:val="21"/>
    </w:rPr>
  </w:style>
  <w:style w:type="paragraph" w:styleId="105">
    <w:name w:val="List Paragraph"/>
    <w:basedOn w:val="1"/>
    <w:qFormat/>
    <w:uiPriority w:val="34"/>
    <w:pPr>
      <w:adjustRightInd/>
      <w:snapToGrid/>
      <w:spacing w:before="0" w:beforeLines="0" w:line="360" w:lineRule="auto"/>
      <w:ind w:left="500" w:firstLine="420"/>
    </w:pPr>
    <w:rPr>
      <w:rFonts w:ascii="Times New Roman"/>
    </w:rPr>
  </w:style>
  <w:style w:type="paragraph" w:customStyle="1" w:styleId="106">
    <w:name w:val="p15"/>
    <w:basedOn w:val="1"/>
    <w:qFormat/>
    <w:uiPriority w:val="0"/>
    <w:pPr>
      <w:widowControl/>
      <w:adjustRightInd/>
      <w:snapToGrid/>
      <w:spacing w:before="0" w:beforeLines="0" w:line="240" w:lineRule="auto"/>
      <w:ind w:left="20" w:firstLine="0" w:firstLineChars="0"/>
      <w:jc w:val="left"/>
    </w:pPr>
    <w:rPr>
      <w:rFonts w:hAnsi="宋体" w:cs="宋体"/>
      <w:kern w:val="0"/>
    </w:rPr>
  </w:style>
  <w:style w:type="paragraph" w:customStyle="1" w:styleId="107">
    <w:name w:val="居中 黑体"/>
    <w:basedOn w:val="1"/>
    <w:next w:val="1"/>
    <w:qFormat/>
    <w:uiPriority w:val="0"/>
    <w:pPr>
      <w:ind w:firstLine="0" w:firstLineChars="0"/>
      <w:jc w:val="center"/>
    </w:pPr>
    <w:rPr>
      <w:rFonts w:ascii="黑体" w:hAnsi="Times New Roman" w:eastAsia="黑体"/>
      <w:sz w:val="30"/>
      <w:szCs w:val="30"/>
    </w:rPr>
  </w:style>
  <w:style w:type="paragraph" w:customStyle="1" w:styleId="108">
    <w:name w:val="默认段落字体 Para Char Char Char Char"/>
    <w:basedOn w:val="1"/>
    <w:qFormat/>
    <w:uiPriority w:val="0"/>
    <w:pPr>
      <w:adjustRightInd/>
      <w:snapToGrid/>
      <w:spacing w:before="0" w:beforeLines="0" w:line="240" w:lineRule="auto"/>
      <w:ind w:firstLine="0" w:firstLineChars="0"/>
    </w:pPr>
  </w:style>
  <w:style w:type="paragraph" w:customStyle="1" w:styleId="109">
    <w:name w:val="1"/>
    <w:basedOn w:val="1"/>
    <w:qFormat/>
    <w:uiPriority w:val="0"/>
    <w:pPr>
      <w:adjustRightInd/>
      <w:snapToGrid/>
      <w:spacing w:before="0" w:beforeLines="0" w:line="240" w:lineRule="auto"/>
      <w:ind w:firstLine="0" w:firstLineChars="0"/>
    </w:pPr>
    <w:rPr>
      <w:rFonts w:ascii="Times New Roman"/>
      <w:sz w:val="21"/>
    </w:rPr>
  </w:style>
  <w:style w:type="paragraph" w:customStyle="1" w:styleId="110">
    <w:name w:val="样式 黑体 三号"/>
    <w:basedOn w:val="1"/>
    <w:qFormat/>
    <w:uiPriority w:val="0"/>
    <w:pPr>
      <w:ind w:right="93" w:rightChars="40"/>
    </w:pPr>
    <w:rPr>
      <w:rFonts w:ascii="黑体" w:hAnsi="Times New Roman" w:eastAsia="黑体" w:cs="宋体"/>
      <w:sz w:val="32"/>
      <w:szCs w:val="20"/>
    </w:rPr>
  </w:style>
  <w:style w:type="paragraph" w:customStyle="1" w:styleId="111">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12">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13">
    <w:name w:val="标题 1 Char2"/>
    <w:qFormat/>
    <w:uiPriority w:val="0"/>
    <w:rPr>
      <w:rFonts w:ascii="Times New Roman" w:hAnsi="Times New Roman" w:eastAsia="宋体" w:cs="Times New Roman"/>
      <w:b/>
      <w:bCs/>
      <w:kern w:val="44"/>
      <w:sz w:val="44"/>
      <w:szCs w:val="44"/>
    </w:rPr>
  </w:style>
  <w:style w:type="character" w:customStyle="1" w:styleId="114">
    <w:name w:val="称呼 Char"/>
    <w:qFormat/>
    <w:uiPriority w:val="0"/>
    <w:rPr>
      <w:rFonts w:ascii="宋体"/>
      <w:kern w:val="2"/>
      <w:sz w:val="24"/>
      <w:szCs w:val="24"/>
    </w:rPr>
  </w:style>
  <w:style w:type="character" w:customStyle="1" w:styleId="115">
    <w:name w:val="副标题 Char"/>
    <w:qFormat/>
    <w:uiPriority w:val="0"/>
    <w:rPr>
      <w:rFonts w:ascii="Cambria" w:hAnsi="Cambria" w:cs="Times New Roman"/>
      <w:b/>
      <w:bCs/>
      <w:kern w:val="28"/>
      <w:sz w:val="32"/>
      <w:szCs w:val="32"/>
    </w:rPr>
  </w:style>
  <w:style w:type="character" w:customStyle="1" w:styleId="116">
    <w:name w:val="正文文本缩进 3 Char"/>
    <w:qFormat/>
    <w:uiPriority w:val="0"/>
    <w:rPr>
      <w:rFonts w:ascii="宋体"/>
      <w:kern w:val="2"/>
      <w:sz w:val="16"/>
      <w:szCs w:val="16"/>
    </w:rPr>
  </w:style>
  <w:style w:type="character" w:customStyle="1" w:styleId="117">
    <w:name w:val="正文文本 2 Char"/>
    <w:qFormat/>
    <w:uiPriority w:val="0"/>
    <w:rPr>
      <w:rFonts w:ascii="宋体"/>
      <w:kern w:val="2"/>
      <w:sz w:val="24"/>
      <w:szCs w:val="24"/>
    </w:rPr>
  </w:style>
  <w:style w:type="character" w:customStyle="1" w:styleId="118">
    <w:name w:val="HTML 预设格式 Char"/>
    <w:qFormat/>
    <w:uiPriority w:val="0"/>
    <w:rPr>
      <w:rFonts w:ascii="Courier New" w:hAnsi="Courier New" w:cs="Courier New"/>
      <w:kern w:val="2"/>
    </w:rPr>
  </w:style>
  <w:style w:type="character" w:customStyle="1" w:styleId="119">
    <w:name w:val="标题 Char"/>
    <w:qFormat/>
    <w:uiPriority w:val="0"/>
    <w:rPr>
      <w:rFonts w:ascii="Cambria" w:hAnsi="Cambria" w:cs="Times New Roman"/>
      <w:b/>
      <w:bCs/>
      <w:kern w:val="2"/>
      <w:sz w:val="32"/>
      <w:szCs w:val="32"/>
    </w:rPr>
  </w:style>
  <w:style w:type="table" w:customStyle="1" w:styleId="120">
    <w:name w:val="网格型1"/>
    <w:basedOn w:val="48"/>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1">
    <w:name w:val="正文文字 6"/>
    <w:next w:val="1"/>
    <w:qFormat/>
    <w:uiPriority w:val="0"/>
    <w:pPr>
      <w:widowControl w:val="0"/>
      <w:ind w:left="240"/>
      <w:jc w:val="both"/>
    </w:pPr>
    <w:rPr>
      <w:rFonts w:ascii="宋体" w:hAnsi="Calibri" w:eastAsia="宋体" w:cs="Times New Roman"/>
      <w:b/>
      <w:bCs/>
      <w:kern w:val="2"/>
      <w:sz w:val="32"/>
      <w:szCs w:val="32"/>
      <w:lang w:val="en-US" w:eastAsia="zh-CN" w:bidi="ar-SA"/>
    </w:rPr>
  </w:style>
  <w:style w:type="paragraph" w:customStyle="1" w:styleId="122">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3">
    <w:name w:val="_Style 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4">
    <w:name w:val="样式1"/>
    <w:basedOn w:val="1"/>
    <w:qFormat/>
    <w:uiPriority w:val="0"/>
    <w:pPr>
      <w:adjustRightInd/>
      <w:snapToGrid/>
      <w:spacing w:before="120" w:beforeLines="0" w:after="120"/>
      <w:ind w:firstLine="0" w:firstLineChars="0"/>
    </w:pPr>
    <w:rPr>
      <w:rFonts w:hAnsi="宋体"/>
      <w:b/>
    </w:rPr>
  </w:style>
  <w:style w:type="paragraph" w:customStyle="1" w:styleId="125">
    <w:name w:val="2"/>
    <w:semiHidden/>
    <w:qFormat/>
    <w:uiPriority w:val="99"/>
    <w:rPr>
      <w:rFonts w:ascii="Times New Roman" w:hAnsi="Times New Roman" w:eastAsia="宋体" w:cs="Times New Roman"/>
      <w:kern w:val="2"/>
      <w:sz w:val="21"/>
      <w:szCs w:val="24"/>
      <w:lang w:val="en-US" w:eastAsia="zh-CN" w:bidi="ar-SA"/>
    </w:rPr>
  </w:style>
  <w:style w:type="paragraph" w:customStyle="1" w:styleId="126">
    <w:name w:val="3333，小段落"/>
    <w:basedOn w:val="28"/>
    <w:link w:val="127"/>
    <w:qFormat/>
    <w:uiPriority w:val="0"/>
    <w:pPr>
      <w:adjustRightInd w:val="0"/>
      <w:snapToGrid w:val="0"/>
      <w:spacing w:line="360" w:lineRule="auto"/>
      <w:ind w:right="-198" w:firstLine="482" w:firstLineChars="200"/>
      <w:outlineLvl w:val="2"/>
    </w:pPr>
    <w:rPr>
      <w:rFonts w:hAnsi="宋体" w:cs="宋体"/>
      <w:b/>
      <w:sz w:val="24"/>
      <w:szCs w:val="24"/>
    </w:rPr>
  </w:style>
  <w:style w:type="character" w:customStyle="1" w:styleId="127">
    <w:name w:val="3333，小段落 Char"/>
    <w:link w:val="126"/>
    <w:qFormat/>
    <w:uiPriority w:val="0"/>
    <w:rPr>
      <w:rFonts w:ascii="宋体" w:hAnsi="宋体" w:cs="宋体"/>
      <w:b/>
      <w:kern w:val="2"/>
      <w:sz w:val="24"/>
      <w:szCs w:val="24"/>
    </w:rPr>
  </w:style>
  <w:style w:type="paragraph" w:customStyle="1" w:styleId="128">
    <w:name w:val="4444，小段落"/>
    <w:basedOn w:val="28"/>
    <w:link w:val="129"/>
    <w:qFormat/>
    <w:uiPriority w:val="0"/>
    <w:pPr>
      <w:adjustRightInd w:val="0"/>
      <w:snapToGrid w:val="0"/>
      <w:spacing w:line="360" w:lineRule="auto"/>
      <w:ind w:right="-198" w:firstLine="482" w:firstLineChars="200"/>
      <w:jc w:val="left"/>
      <w:outlineLvl w:val="3"/>
    </w:pPr>
    <w:rPr>
      <w:rFonts w:hAnsi="宋体" w:cs="Times New Roman"/>
      <w:b/>
      <w:sz w:val="24"/>
      <w:szCs w:val="24"/>
    </w:rPr>
  </w:style>
  <w:style w:type="character" w:customStyle="1" w:styleId="129">
    <w:name w:val="4444，小段落 Char"/>
    <w:link w:val="128"/>
    <w:qFormat/>
    <w:uiPriority w:val="0"/>
    <w:rPr>
      <w:rFonts w:ascii="宋体" w:hAnsi="宋体"/>
      <w:b/>
      <w:kern w:val="2"/>
      <w:sz w:val="24"/>
      <w:szCs w:val="24"/>
    </w:rPr>
  </w:style>
  <w:style w:type="paragraph" w:customStyle="1" w:styleId="130">
    <w:name w:val="Char"/>
    <w:basedOn w:val="1"/>
    <w:qFormat/>
    <w:uiPriority w:val="0"/>
    <w:pPr>
      <w:adjustRightInd/>
      <w:snapToGrid/>
      <w:spacing w:before="0" w:beforeLines="0" w:line="240" w:lineRule="auto"/>
      <w:ind w:firstLine="0" w:firstLineChars="0"/>
    </w:pPr>
    <w:rPr>
      <w:rFonts w:ascii="Times New Roman"/>
      <w:sz w:val="21"/>
    </w:rPr>
  </w:style>
  <w:style w:type="paragraph" w:customStyle="1" w:styleId="131">
    <w:name w:val="纯文本11"/>
    <w:basedOn w:val="1"/>
    <w:qFormat/>
    <w:uiPriority w:val="0"/>
    <w:pPr>
      <w:snapToGrid/>
      <w:spacing w:before="0" w:beforeLines="0" w:line="240" w:lineRule="auto"/>
      <w:ind w:firstLine="0" w:firstLineChars="0"/>
      <w:jc w:val="left"/>
      <w:textAlignment w:val="baseline"/>
    </w:pPr>
    <w:rPr>
      <w:rFonts w:hAnsi="Courier New"/>
      <w:szCs w:val="20"/>
    </w:rPr>
  </w:style>
  <w:style w:type="paragraph" w:customStyle="1" w:styleId="132">
    <w:name w:val="普通 (Web)"/>
    <w:basedOn w:val="1"/>
    <w:qFormat/>
    <w:uiPriority w:val="0"/>
    <w:pPr>
      <w:widowControl/>
      <w:adjustRightInd/>
      <w:snapToGrid/>
      <w:spacing w:before="102" w:beforeLines="0" w:after="102" w:line="351" w:lineRule="atLeast"/>
      <w:ind w:firstLine="419" w:firstLineChars="0"/>
      <w:jc w:val="left"/>
      <w:textAlignment w:val="baseline"/>
    </w:pPr>
    <w:rPr>
      <w:color w:val="999999"/>
      <w:kern w:val="0"/>
      <w:szCs w:val="20"/>
    </w:rPr>
  </w:style>
  <w:style w:type="paragraph" w:customStyle="1" w:styleId="133">
    <w:name w:val="Char Char Char Char"/>
    <w:basedOn w:val="1"/>
    <w:next w:val="1"/>
    <w:qFormat/>
    <w:uiPriority w:val="0"/>
    <w:pPr>
      <w:adjustRightInd/>
      <w:snapToGrid/>
      <w:spacing w:before="0" w:beforeLines="0" w:line="240" w:lineRule="atLeast"/>
      <w:ind w:left="420" w:firstLine="420" w:firstLineChars="0"/>
      <w:jc w:val="left"/>
    </w:pPr>
    <w:rPr>
      <w:rFonts w:ascii="Times New Roman"/>
      <w:kern w:val="0"/>
      <w:sz w:val="21"/>
      <w:szCs w:val="21"/>
    </w:rPr>
  </w:style>
  <w:style w:type="paragraph" w:customStyle="1" w:styleId="134">
    <w:name w:val="修订1"/>
    <w:qFormat/>
    <w:uiPriority w:val="0"/>
    <w:rPr>
      <w:rFonts w:ascii="Times New Roman" w:hAnsi="Times New Roman" w:eastAsia="宋体" w:cs="Times New Roman"/>
      <w:kern w:val="2"/>
      <w:sz w:val="21"/>
      <w:szCs w:val="24"/>
      <w:lang w:val="en-US" w:eastAsia="zh-CN" w:bidi="ar-SA"/>
    </w:rPr>
  </w:style>
  <w:style w:type="paragraph" w:customStyle="1" w:styleId="135">
    <w:name w:val="空半行"/>
    <w:basedOn w:val="1"/>
    <w:qFormat/>
    <w:uiPriority w:val="0"/>
    <w:pPr>
      <w:snapToGrid/>
      <w:spacing w:before="0" w:beforeLines="0" w:line="120" w:lineRule="exact"/>
      <w:ind w:firstLine="0" w:firstLineChars="0"/>
      <w:textAlignment w:val="baseline"/>
    </w:pPr>
    <w:rPr>
      <w:rFonts w:ascii="Times New Roman" w:eastAsia="仿宋_GB2312"/>
      <w:color w:val="FFFFFF"/>
      <w:kern w:val="0"/>
      <w:sz w:val="30"/>
      <w:szCs w:val="20"/>
    </w:rPr>
  </w:style>
  <w:style w:type="paragraph" w:customStyle="1" w:styleId="136">
    <w:name w:val="1.1.1"/>
    <w:basedOn w:val="6"/>
    <w:qFormat/>
    <w:uiPriority w:val="0"/>
    <w:pPr>
      <w:tabs>
        <w:tab w:val="left" w:pos="1080"/>
        <w:tab w:val="left" w:pos="1260"/>
      </w:tabs>
      <w:snapToGrid/>
      <w:spacing w:before="120" w:beforeLines="0" w:afterLines="50" w:line="440" w:lineRule="exact"/>
      <w:ind w:left="1140" w:hanging="1140" w:firstLineChars="0"/>
      <w:jc w:val="left"/>
      <w:textAlignment w:val="baseline"/>
    </w:pPr>
    <w:rPr>
      <w:rFonts w:ascii="Times New Roman" w:hAnsi="Times New Roman" w:eastAsia="宋体" w:cs="Times New Roman"/>
      <w:b/>
      <w:bCs w:val="0"/>
      <w:szCs w:val="20"/>
    </w:rPr>
  </w:style>
  <w:style w:type="paragraph" w:customStyle="1" w:styleId="13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snapToGrid/>
      <w:spacing w:before="0" w:beforeLines="0" w:line="240" w:lineRule="auto"/>
      <w:ind w:firstLine="0" w:firstLineChars="0"/>
      <w:jc w:val="left"/>
    </w:pPr>
    <w:rPr>
      <w:rFonts w:ascii="Courier New" w:hAnsi="Courier New"/>
      <w:kern w:val="0"/>
      <w:sz w:val="20"/>
      <w:szCs w:val="20"/>
    </w:rPr>
  </w:style>
  <w:style w:type="paragraph" w:customStyle="1" w:styleId="138">
    <w:name w:val="列出段落1"/>
    <w:basedOn w:val="1"/>
    <w:qFormat/>
    <w:uiPriority w:val="0"/>
    <w:pPr>
      <w:adjustRightInd/>
      <w:snapToGrid/>
      <w:spacing w:before="0" w:beforeLines="0" w:line="240" w:lineRule="auto"/>
      <w:ind w:firstLine="420"/>
    </w:pPr>
    <w:rPr>
      <w:rFonts w:ascii="Calibri" w:hAnsi="Calibri"/>
      <w:sz w:val="21"/>
      <w:szCs w:val="22"/>
    </w:rPr>
  </w:style>
  <w:style w:type="paragraph" w:customStyle="1" w:styleId="139">
    <w:name w:val="p19"/>
    <w:basedOn w:val="1"/>
    <w:qFormat/>
    <w:uiPriority w:val="0"/>
    <w:pPr>
      <w:widowControl/>
      <w:adjustRightInd/>
      <w:snapToGrid/>
      <w:spacing w:before="0" w:beforeLines="0" w:line="240" w:lineRule="auto"/>
      <w:ind w:firstLine="540" w:firstLineChars="0"/>
    </w:pPr>
    <w:rPr>
      <w:rFonts w:ascii="Times New Roman"/>
      <w:kern w:val="0"/>
      <w:sz w:val="28"/>
      <w:szCs w:val="28"/>
    </w:rPr>
  </w:style>
  <w:style w:type="paragraph" w:customStyle="1" w:styleId="140">
    <w:name w:val="纯文本1"/>
    <w:basedOn w:val="1"/>
    <w:qFormat/>
    <w:uiPriority w:val="0"/>
    <w:pPr>
      <w:snapToGrid/>
      <w:spacing w:before="0" w:beforeLines="0" w:line="240" w:lineRule="auto"/>
      <w:ind w:firstLine="0" w:firstLineChars="0"/>
      <w:jc w:val="left"/>
      <w:textAlignment w:val="baseline"/>
    </w:pPr>
    <w:rPr>
      <w:rFonts w:hAnsi="Courier New"/>
      <w:szCs w:val="20"/>
    </w:rPr>
  </w:style>
  <w:style w:type="paragraph" w:customStyle="1" w:styleId="141">
    <w:name w:val="xl27"/>
    <w:basedOn w:val="1"/>
    <w:qFormat/>
    <w:uiPriority w:val="0"/>
    <w:pPr>
      <w:widowControl/>
      <w:pBdr>
        <w:left w:val="single" w:color="auto" w:sz="4" w:space="0"/>
      </w:pBdr>
      <w:adjustRightInd/>
      <w:snapToGrid/>
      <w:spacing w:before="100" w:beforeLines="0" w:beforeAutospacing="1" w:after="100" w:afterAutospacing="1" w:line="240" w:lineRule="auto"/>
      <w:ind w:firstLine="0" w:firstLineChars="0"/>
      <w:jc w:val="center"/>
    </w:pPr>
    <w:rPr>
      <w:rFonts w:hint="eastAsia" w:ascii="仿宋_GB2312" w:hAnsi="宋体" w:eastAsia="仿宋_GB2312"/>
      <w:kern w:val="0"/>
    </w:rPr>
  </w:style>
  <w:style w:type="paragraph" w:customStyle="1" w:styleId="142">
    <w:name w:val="Char2"/>
    <w:basedOn w:val="1"/>
    <w:qFormat/>
    <w:uiPriority w:val="0"/>
    <w:pPr>
      <w:adjustRightInd/>
      <w:snapToGrid/>
      <w:spacing w:before="0" w:beforeLines="0" w:line="240" w:lineRule="auto"/>
      <w:ind w:firstLine="0" w:firstLineChars="0"/>
    </w:pPr>
    <w:rPr>
      <w:rFonts w:ascii="Times New Roman"/>
      <w:sz w:val="21"/>
    </w:rPr>
  </w:style>
  <w:style w:type="paragraph" w:customStyle="1" w:styleId="143">
    <w:name w:val="目录"/>
    <w:basedOn w:val="1"/>
    <w:qFormat/>
    <w:uiPriority w:val="0"/>
    <w:pPr>
      <w:widowControl/>
      <w:adjustRightInd/>
      <w:snapToGrid/>
      <w:spacing w:before="0" w:beforeLines="0" w:line="240" w:lineRule="auto"/>
      <w:ind w:firstLine="0" w:firstLineChars="0"/>
      <w:jc w:val="center"/>
    </w:pPr>
    <w:rPr>
      <w:b/>
      <w:kern w:val="0"/>
      <w:sz w:val="36"/>
      <w:szCs w:val="20"/>
    </w:rPr>
  </w:style>
  <w:style w:type="paragraph" w:customStyle="1" w:styleId="144">
    <w:name w:val="msolistparagraph"/>
    <w:basedOn w:val="1"/>
    <w:qFormat/>
    <w:uiPriority w:val="0"/>
    <w:pPr>
      <w:widowControl/>
      <w:adjustRightInd/>
      <w:snapToGrid/>
      <w:spacing w:before="100" w:beforeLines="0" w:beforeAutospacing="1" w:after="100" w:afterAutospacing="1" w:line="240" w:lineRule="auto"/>
      <w:ind w:firstLine="0" w:firstLineChars="0"/>
      <w:jc w:val="left"/>
    </w:pPr>
    <w:rPr>
      <w:rFonts w:hAnsi="宋体" w:cs="宋体"/>
      <w:kern w:val="0"/>
    </w:rPr>
  </w:style>
  <w:style w:type="paragraph" w:customStyle="1" w:styleId="145">
    <w:name w:val="样式 标题 3 + (中文) 黑体 小四 非加粗 段前: 7.8 磅 段后: 0 磅 行距: 固定值 20 磅"/>
    <w:basedOn w:val="6"/>
    <w:qFormat/>
    <w:uiPriority w:val="0"/>
    <w:pPr>
      <w:adjustRightInd/>
      <w:snapToGrid/>
      <w:spacing w:before="0" w:beforeLines="0" w:line="400" w:lineRule="exact"/>
      <w:ind w:firstLine="0" w:firstLineChars="0"/>
    </w:pPr>
    <w:rPr>
      <w:rFonts w:ascii="Times New Roman" w:hAnsi="Times New Roman" w:cs="宋体"/>
      <w:bCs w:val="0"/>
      <w:szCs w:val="20"/>
    </w:rPr>
  </w:style>
  <w:style w:type="paragraph" w:customStyle="1" w:styleId="146">
    <w:name w:val="Char11"/>
    <w:basedOn w:val="1"/>
    <w:qFormat/>
    <w:uiPriority w:val="0"/>
    <w:pPr>
      <w:adjustRightInd/>
      <w:snapToGrid/>
      <w:spacing w:before="0" w:beforeLines="0" w:line="240" w:lineRule="auto"/>
      <w:ind w:firstLine="0" w:firstLineChars="0"/>
    </w:pPr>
    <w:rPr>
      <w:rFonts w:ascii="Times New Roman"/>
      <w:sz w:val="21"/>
      <w:szCs w:val="21"/>
    </w:rPr>
  </w:style>
  <w:style w:type="paragraph" w:customStyle="1" w:styleId="147">
    <w:name w:val="n_p_lineheight"/>
    <w:basedOn w:val="1"/>
    <w:qFormat/>
    <w:uiPriority w:val="0"/>
    <w:pPr>
      <w:widowControl/>
      <w:adjustRightInd/>
      <w:snapToGrid/>
      <w:spacing w:before="0" w:beforeLines="0" w:line="240" w:lineRule="auto"/>
      <w:ind w:firstLine="0" w:firstLineChars="0"/>
      <w:jc w:val="left"/>
    </w:pPr>
    <w:rPr>
      <w:rFonts w:hAnsi="宋体" w:cs="宋体"/>
      <w:kern w:val="0"/>
    </w:rPr>
  </w:style>
  <w:style w:type="paragraph" w:customStyle="1" w:styleId="148">
    <w:name w:val="TOC æ ‡é¢˜"/>
    <w:basedOn w:val="1"/>
    <w:next w:val="1"/>
    <w:qFormat/>
    <w:uiPriority w:val="0"/>
    <w:pPr>
      <w:keepNext/>
      <w:keepLines/>
      <w:tabs>
        <w:tab w:val="left" w:pos="360"/>
      </w:tabs>
      <w:autoSpaceDE w:val="0"/>
      <w:autoSpaceDN w:val="0"/>
      <w:snapToGrid/>
      <w:spacing w:before="480" w:beforeLines="0" w:line="264" w:lineRule="auto"/>
      <w:ind w:firstLine="0" w:firstLineChars="0"/>
      <w:jc w:val="left"/>
    </w:pPr>
    <w:rPr>
      <w:rFonts w:cs="宋体"/>
      <w:b/>
      <w:bCs/>
      <w:kern w:val="0"/>
      <w:sz w:val="28"/>
      <w:szCs w:val="28"/>
      <w:lang w:val="zh-CN"/>
    </w:rPr>
  </w:style>
  <w:style w:type="paragraph" w:customStyle="1" w:styleId="149">
    <w:name w:val="reader-word-layer reader-word-s1-1"/>
    <w:basedOn w:val="1"/>
    <w:qFormat/>
    <w:uiPriority w:val="0"/>
    <w:pPr>
      <w:widowControl/>
      <w:adjustRightInd/>
      <w:snapToGrid/>
      <w:spacing w:before="100" w:beforeLines="0" w:beforeAutospacing="1" w:after="100" w:afterAutospacing="1" w:line="240" w:lineRule="auto"/>
      <w:ind w:firstLine="0" w:firstLineChars="0"/>
      <w:jc w:val="left"/>
    </w:pPr>
    <w:rPr>
      <w:rFonts w:hAnsi="宋体" w:cs="宋体"/>
      <w:kern w:val="0"/>
    </w:rPr>
  </w:style>
  <w:style w:type="paragraph" w:customStyle="1" w:styleId="150">
    <w:name w:val="Definition Term"/>
    <w:basedOn w:val="1"/>
    <w:next w:val="1"/>
    <w:qFormat/>
    <w:uiPriority w:val="0"/>
    <w:pPr>
      <w:autoSpaceDE w:val="0"/>
      <w:autoSpaceDN w:val="0"/>
      <w:snapToGrid/>
      <w:spacing w:before="0" w:beforeLines="0" w:line="240" w:lineRule="auto"/>
      <w:ind w:firstLine="0" w:firstLineChars="0"/>
      <w:jc w:val="left"/>
    </w:pPr>
    <w:rPr>
      <w:rFonts w:ascii="Times New Roman"/>
      <w:kern w:val="0"/>
      <w:szCs w:val="20"/>
    </w:rPr>
  </w:style>
  <w:style w:type="paragraph" w:customStyle="1" w:styleId="151">
    <w:name w:val="4"/>
    <w:basedOn w:val="7"/>
    <w:qFormat/>
    <w:uiPriority w:val="0"/>
    <w:pPr>
      <w:adjustRightInd/>
      <w:snapToGrid/>
      <w:spacing w:before="60" w:after="60" w:line="300" w:lineRule="auto"/>
      <w:ind w:firstLine="0" w:firstLineChars="0"/>
    </w:pPr>
    <w:rPr>
      <w:rFonts w:ascii="Arial" w:hAnsi="Arial" w:eastAsia="黑体"/>
      <w:b w:val="0"/>
      <w:bCs w:val="0"/>
      <w:sz w:val="24"/>
      <w:szCs w:val="20"/>
    </w:rPr>
  </w:style>
  <w:style w:type="paragraph" w:customStyle="1" w:styleId="152">
    <w:name w:val="条目2"/>
    <w:basedOn w:val="1"/>
    <w:qFormat/>
    <w:uiPriority w:val="0"/>
    <w:pPr>
      <w:tabs>
        <w:tab w:val="left" w:pos="780"/>
      </w:tabs>
      <w:overflowPunct w:val="0"/>
      <w:autoSpaceDE w:val="0"/>
      <w:autoSpaceDN w:val="0"/>
      <w:spacing w:before="0" w:beforeLines="100" w:after="100" w:afterAutospacing="1" w:line="240" w:lineRule="auto"/>
      <w:ind w:left="780" w:hanging="360" w:firstLineChars="0"/>
    </w:pPr>
    <w:rPr>
      <w:rFonts w:hAnsi="宋体"/>
      <w:kern w:val="0"/>
      <w:szCs w:val="22"/>
      <w:lang w:val="fr-FR"/>
    </w:rPr>
  </w:style>
  <w:style w:type="paragraph" w:customStyle="1" w:styleId="153">
    <w:name w:val="样式3"/>
    <w:basedOn w:val="1"/>
    <w:qFormat/>
    <w:uiPriority w:val="0"/>
    <w:pPr>
      <w:tabs>
        <w:tab w:val="left" w:pos="720"/>
      </w:tabs>
      <w:spacing w:before="0" w:beforeLines="0" w:line="360" w:lineRule="auto"/>
      <w:ind w:firstLine="420" w:firstLineChars="0"/>
    </w:pPr>
    <w:rPr>
      <w:rFonts w:ascii="楷体_GB2312" w:hAnsi="新宋体" w:eastAsia="楷体_GB2312"/>
      <w:szCs w:val="20"/>
    </w:rPr>
  </w:style>
  <w:style w:type="paragraph" w:customStyle="1" w:styleId="154">
    <w:name w:val="正文 + 小四"/>
    <w:basedOn w:val="1"/>
    <w:qFormat/>
    <w:uiPriority w:val="0"/>
    <w:pPr>
      <w:tabs>
        <w:tab w:val="left" w:pos="960"/>
      </w:tabs>
      <w:adjustRightInd/>
      <w:snapToGrid/>
      <w:spacing w:before="0" w:beforeLines="0" w:line="240" w:lineRule="auto"/>
      <w:ind w:firstLine="0" w:firstLineChars="0"/>
    </w:pPr>
    <w:rPr>
      <w:rFonts w:ascii="Times New Roman"/>
    </w:rPr>
  </w:style>
  <w:style w:type="paragraph" w:customStyle="1" w:styleId="155">
    <w:name w:val="Char Char Char"/>
    <w:basedOn w:val="16"/>
    <w:next w:val="6"/>
    <w:qFormat/>
    <w:uiPriority w:val="0"/>
    <w:pPr>
      <w:snapToGrid/>
      <w:spacing w:before="0" w:beforeLines="0" w:line="600" w:lineRule="exact"/>
      <w:jc w:val="center"/>
      <w:outlineLvl w:val="2"/>
    </w:pPr>
    <w:rPr>
      <w:rFonts w:ascii="Times New Roman"/>
      <w:sz w:val="21"/>
      <w:szCs w:val="20"/>
    </w:rPr>
  </w:style>
  <w:style w:type="paragraph" w:customStyle="1" w:styleId="156">
    <w:name w:val="Char1 Char Char Char Char Char Char"/>
    <w:basedOn w:val="16"/>
    <w:next w:val="6"/>
    <w:qFormat/>
    <w:uiPriority w:val="0"/>
    <w:pPr>
      <w:snapToGrid/>
      <w:spacing w:before="0" w:beforeLines="0" w:line="600" w:lineRule="exact"/>
      <w:ind w:firstLine="0" w:firstLineChars="0"/>
      <w:jc w:val="center"/>
      <w:outlineLvl w:val="2"/>
    </w:pPr>
    <w:rPr>
      <w:rFonts w:ascii="Times New Roman"/>
      <w:sz w:val="21"/>
      <w:szCs w:val="20"/>
    </w:rPr>
  </w:style>
  <w:style w:type="paragraph" w:customStyle="1" w:styleId="157">
    <w:name w:val="imclear"/>
    <w:basedOn w:val="1"/>
    <w:qFormat/>
    <w:uiPriority w:val="0"/>
    <w:pPr>
      <w:widowControl/>
      <w:adjustRightInd/>
      <w:snapToGrid/>
      <w:spacing w:before="100" w:beforeLines="0" w:beforeAutospacing="1" w:after="100" w:afterAutospacing="1" w:line="0" w:lineRule="atLeast"/>
      <w:ind w:firstLine="0" w:firstLineChars="0"/>
      <w:jc w:val="left"/>
    </w:pPr>
    <w:rPr>
      <w:rFonts w:hAnsi="宋体" w:cs="宋体"/>
      <w:kern w:val="0"/>
      <w:sz w:val="2"/>
      <w:szCs w:val="2"/>
    </w:rPr>
  </w:style>
  <w:style w:type="paragraph" w:customStyle="1" w:styleId="158">
    <w:name w:val="正文 + 宋体"/>
    <w:basedOn w:val="1"/>
    <w:qFormat/>
    <w:uiPriority w:val="0"/>
    <w:pPr>
      <w:adjustRightInd/>
      <w:spacing w:before="0" w:beforeLines="0" w:after="100" w:afterAutospacing="1" w:line="240" w:lineRule="auto"/>
      <w:ind w:firstLine="0" w:firstLineChars="0"/>
    </w:pPr>
    <w:rPr>
      <w:rFonts w:hAnsi="宋体"/>
      <w:bCs/>
      <w:spacing w:val="4"/>
    </w:rPr>
  </w:style>
  <w:style w:type="paragraph" w:customStyle="1" w:styleId="159">
    <w:name w:val="1."/>
    <w:basedOn w:val="1"/>
    <w:qFormat/>
    <w:uiPriority w:val="0"/>
    <w:pPr>
      <w:tabs>
        <w:tab w:val="left" w:pos="0"/>
        <w:tab w:val="left" w:pos="426"/>
        <w:tab w:val="left" w:pos="714"/>
      </w:tabs>
      <w:spacing w:before="120" w:beforeLines="0" w:after="120" w:line="400" w:lineRule="atLeast"/>
      <w:ind w:left="425" w:hanging="425" w:firstLineChars="0"/>
      <w:jc w:val="center"/>
      <w:textAlignment w:val="baseline"/>
    </w:pPr>
    <w:rPr>
      <w:rFonts w:ascii="Arial" w:hAnsi="Arial"/>
      <w:b/>
      <w:bCs/>
      <w:kern w:val="0"/>
      <w:sz w:val="32"/>
      <w:szCs w:val="20"/>
    </w:rPr>
  </w:style>
  <w:style w:type="paragraph" w:customStyle="1" w:styleId="160">
    <w:name w:val="1.1.1.1A"/>
    <w:basedOn w:val="1"/>
    <w:qFormat/>
    <w:uiPriority w:val="0"/>
    <w:pPr>
      <w:tabs>
        <w:tab w:val="left" w:pos="1843"/>
      </w:tabs>
      <w:snapToGrid/>
      <w:spacing w:before="60" w:beforeLines="0" w:after="60" w:line="400" w:lineRule="atLeast"/>
      <w:ind w:left="1560" w:right="200" w:hanging="426" w:firstLineChars="0"/>
      <w:textAlignment w:val="baseline"/>
    </w:pPr>
    <w:rPr>
      <w:rFonts w:ascii="Arial" w:hAnsi="Arial"/>
      <w:kern w:val="0"/>
      <w:szCs w:val="20"/>
    </w:rPr>
  </w:style>
  <w:style w:type="paragraph" w:customStyle="1" w:styleId="161">
    <w:name w:val="Char1"/>
    <w:basedOn w:val="1"/>
    <w:qFormat/>
    <w:uiPriority w:val="0"/>
    <w:pPr>
      <w:adjustRightInd/>
      <w:snapToGrid/>
      <w:spacing w:before="0" w:beforeLines="0" w:line="240" w:lineRule="auto"/>
      <w:ind w:firstLine="0" w:firstLineChars="0"/>
    </w:pPr>
    <w:rPr>
      <w:rFonts w:ascii="Tahoma" w:hAnsi="Tahoma"/>
      <w:b/>
      <w:sz w:val="28"/>
      <w:szCs w:val="28"/>
    </w:rPr>
  </w:style>
  <w:style w:type="paragraph" w:customStyle="1" w:styleId="162">
    <w:name w:val="表格"/>
    <w:qFormat/>
    <w:uiPriority w:val="0"/>
    <w:pPr>
      <w:spacing w:before="20" w:after="20"/>
    </w:pPr>
    <w:rPr>
      <w:rFonts w:ascii="宋体" w:hAnsi="Times New Roman" w:eastAsia="宋体" w:cs="Times New Roman"/>
      <w:sz w:val="24"/>
      <w:lang w:val="en-US" w:eastAsia="zh-CN" w:bidi="ar-SA"/>
    </w:rPr>
  </w:style>
  <w:style w:type="paragraph" w:customStyle="1" w:styleId="163">
    <w:name w:val="Char Char Char Char Char Char Char Char Char Char Char Char Char Char Char Char Char Char Char Char Char Char Char Char Char Char Char Char Char Char Char"/>
    <w:basedOn w:val="1"/>
    <w:qFormat/>
    <w:uiPriority w:val="0"/>
    <w:pPr>
      <w:adjustRightInd/>
      <w:snapToGrid/>
      <w:spacing w:before="0" w:beforeLines="0" w:line="240" w:lineRule="auto"/>
      <w:ind w:firstLine="0" w:firstLineChars="0"/>
    </w:pPr>
    <w:rPr>
      <w:rFonts w:ascii="Times New Roman"/>
      <w:sz w:val="21"/>
      <w:szCs w:val="21"/>
    </w:rPr>
  </w:style>
  <w:style w:type="paragraph" w:customStyle="1" w:styleId="164">
    <w:name w:val="1.1"/>
    <w:basedOn w:val="1"/>
    <w:next w:val="1"/>
    <w:qFormat/>
    <w:uiPriority w:val="0"/>
    <w:pPr>
      <w:spacing w:before="240" w:beforeLines="0" w:after="240" w:line="400" w:lineRule="atLeast"/>
      <w:ind w:left="901" w:right="480" w:hanging="901" w:hangingChars="299"/>
      <w:textAlignment w:val="baseline"/>
    </w:pPr>
    <w:rPr>
      <w:rFonts w:hAnsi="宋体"/>
      <w:b/>
      <w:kern w:val="0"/>
      <w:sz w:val="30"/>
      <w:szCs w:val="20"/>
    </w:rPr>
  </w:style>
  <w:style w:type="paragraph" w:customStyle="1" w:styleId="165">
    <w:name w:val="Char Char Char Char1"/>
    <w:basedOn w:val="1"/>
    <w:qFormat/>
    <w:uiPriority w:val="0"/>
    <w:pPr>
      <w:adjustRightInd/>
      <w:snapToGrid/>
      <w:spacing w:before="0" w:beforeLines="0" w:line="240" w:lineRule="auto"/>
      <w:ind w:firstLine="0" w:firstLineChars="0"/>
    </w:pPr>
    <w:rPr>
      <w:rFonts w:ascii="Times New Roman"/>
      <w:sz w:val="21"/>
    </w:rPr>
  </w:style>
  <w:style w:type="paragraph" w:customStyle="1" w:styleId="166">
    <w:name w:val="Blockquote"/>
    <w:basedOn w:val="1"/>
    <w:qFormat/>
    <w:uiPriority w:val="0"/>
    <w:pPr>
      <w:autoSpaceDE w:val="0"/>
      <w:autoSpaceDN w:val="0"/>
      <w:snapToGrid/>
      <w:spacing w:before="100" w:beforeLines="0" w:after="100" w:line="240" w:lineRule="auto"/>
      <w:ind w:left="360" w:right="360" w:firstLine="0" w:firstLineChars="0"/>
      <w:jc w:val="left"/>
    </w:pPr>
    <w:rPr>
      <w:rFonts w:ascii="Times New Roman"/>
      <w:kern w:val="0"/>
      <w:szCs w:val="20"/>
    </w:rPr>
  </w:style>
  <w:style w:type="paragraph" w:customStyle="1" w:styleId="167">
    <w:name w:val="Char Char Char1"/>
    <w:basedOn w:val="1"/>
    <w:qFormat/>
    <w:uiPriority w:val="0"/>
    <w:pPr>
      <w:adjustRightInd/>
      <w:snapToGrid/>
      <w:spacing w:before="0" w:beforeLines="0" w:line="240" w:lineRule="auto"/>
      <w:ind w:firstLine="0" w:firstLineChars="0"/>
    </w:pPr>
    <w:rPr>
      <w:rFonts w:ascii="Times New Roman"/>
      <w:sz w:val="21"/>
    </w:rPr>
  </w:style>
  <w:style w:type="paragraph" w:customStyle="1" w:styleId="168">
    <w:name w:val="标题4"/>
    <w:basedOn w:val="5"/>
    <w:next w:val="25"/>
    <w:link w:val="169"/>
    <w:qFormat/>
    <w:uiPriority w:val="0"/>
    <w:pPr>
      <w:adjustRightInd/>
      <w:snapToGrid/>
      <w:spacing w:before="260" w:beforeLines="0" w:after="260" w:line="360" w:lineRule="auto"/>
      <w:ind w:firstLine="0" w:firstLineChars="0"/>
      <w:jc w:val="both"/>
    </w:pPr>
    <w:rPr>
      <w:rFonts w:ascii="Arial" w:hAnsi="Arial" w:eastAsia="宋体"/>
      <w:b/>
      <w:kern w:val="0"/>
      <w:sz w:val="24"/>
      <w:szCs w:val="32"/>
    </w:rPr>
  </w:style>
  <w:style w:type="character" w:customStyle="1" w:styleId="169">
    <w:name w:val="标题4 Char Char"/>
    <w:link w:val="168"/>
    <w:qFormat/>
    <w:uiPriority w:val="0"/>
    <w:rPr>
      <w:rFonts w:ascii="Arial" w:hAnsi="Arial"/>
      <w:b/>
      <w:bCs/>
      <w:sz w:val="24"/>
      <w:szCs w:val="32"/>
    </w:rPr>
  </w:style>
  <w:style w:type="paragraph" w:styleId="170">
    <w:name w:val="Intense Quote"/>
    <w:basedOn w:val="1"/>
    <w:next w:val="1"/>
    <w:link w:val="171"/>
    <w:qFormat/>
    <w:uiPriority w:val="99"/>
    <w:pPr>
      <w:pBdr>
        <w:bottom w:val="single" w:color="4F81BD" w:sz="4" w:space="4"/>
      </w:pBdr>
      <w:adjustRightInd/>
      <w:snapToGrid/>
      <w:spacing w:before="200" w:beforeLines="0" w:after="280" w:line="240" w:lineRule="auto"/>
      <w:ind w:left="936" w:right="936" w:firstLine="0" w:firstLineChars="0"/>
    </w:pPr>
    <w:rPr>
      <w:rFonts w:ascii="Times New Roman"/>
      <w:b/>
      <w:bCs/>
      <w:i/>
      <w:iCs/>
      <w:color w:val="4F81BD"/>
      <w:sz w:val="21"/>
    </w:rPr>
  </w:style>
  <w:style w:type="character" w:customStyle="1" w:styleId="171">
    <w:name w:val="明显引用 字符"/>
    <w:link w:val="170"/>
    <w:qFormat/>
    <w:uiPriority w:val="99"/>
    <w:rPr>
      <w:b/>
      <w:bCs/>
      <w:i/>
      <w:iCs/>
      <w:color w:val="4F81BD"/>
      <w:kern w:val="2"/>
      <w:sz w:val="21"/>
      <w:szCs w:val="24"/>
    </w:rPr>
  </w:style>
  <w:style w:type="character" w:customStyle="1" w:styleId="172">
    <w:name w:val="明显引用 Char"/>
    <w:qFormat/>
    <w:uiPriority w:val="0"/>
    <w:rPr>
      <w:rFonts w:ascii="宋体"/>
      <w:b/>
      <w:bCs/>
      <w:i/>
      <w:iCs/>
      <w:color w:val="4F81BD"/>
      <w:kern w:val="2"/>
      <w:sz w:val="24"/>
      <w:szCs w:val="24"/>
    </w:rPr>
  </w:style>
  <w:style w:type="paragraph" w:customStyle="1" w:styleId="173">
    <w:name w:val="标题5"/>
    <w:basedOn w:val="6"/>
    <w:link w:val="174"/>
    <w:qFormat/>
    <w:uiPriority w:val="0"/>
    <w:pPr>
      <w:adjustRightInd/>
      <w:snapToGrid/>
      <w:spacing w:before="260" w:beforeLines="0" w:after="260" w:line="413" w:lineRule="auto"/>
      <w:ind w:firstLine="0" w:firstLineChars="0"/>
    </w:pPr>
    <w:rPr>
      <w:rFonts w:ascii="Arial" w:hAnsi="Arial" w:eastAsia="宋体" w:cs="Times New Roman"/>
      <w:b/>
      <w:kern w:val="0"/>
      <w:szCs w:val="32"/>
    </w:rPr>
  </w:style>
  <w:style w:type="character" w:customStyle="1" w:styleId="174">
    <w:name w:val="标题5 Char Char"/>
    <w:link w:val="173"/>
    <w:qFormat/>
    <w:uiPriority w:val="0"/>
    <w:rPr>
      <w:rFonts w:ascii="Arial" w:hAnsi="Arial"/>
      <w:b/>
      <w:bCs/>
      <w:sz w:val="24"/>
      <w:szCs w:val="32"/>
    </w:rPr>
  </w:style>
  <w:style w:type="paragraph" w:styleId="175">
    <w:name w:val="Quote"/>
    <w:basedOn w:val="1"/>
    <w:next w:val="1"/>
    <w:link w:val="176"/>
    <w:qFormat/>
    <w:uiPriority w:val="99"/>
    <w:pPr>
      <w:adjustRightInd/>
      <w:snapToGrid/>
      <w:spacing w:before="0" w:beforeLines="0" w:line="240" w:lineRule="auto"/>
      <w:ind w:firstLine="0" w:firstLineChars="0"/>
    </w:pPr>
    <w:rPr>
      <w:rFonts w:ascii="Times New Roman"/>
      <w:i/>
      <w:iCs/>
      <w:color w:val="000000"/>
      <w:sz w:val="21"/>
    </w:rPr>
  </w:style>
  <w:style w:type="character" w:customStyle="1" w:styleId="176">
    <w:name w:val="引用 字符"/>
    <w:link w:val="175"/>
    <w:qFormat/>
    <w:uiPriority w:val="99"/>
    <w:rPr>
      <w:i/>
      <w:iCs/>
      <w:color w:val="000000"/>
      <w:kern w:val="2"/>
      <w:sz w:val="21"/>
      <w:szCs w:val="24"/>
    </w:rPr>
  </w:style>
  <w:style w:type="character" w:customStyle="1" w:styleId="177">
    <w:name w:val="引用 Char"/>
    <w:qFormat/>
    <w:uiPriority w:val="0"/>
    <w:rPr>
      <w:rFonts w:ascii="宋体"/>
      <w:i/>
      <w:iCs/>
      <w:color w:val="000000"/>
      <w:kern w:val="2"/>
      <w:sz w:val="24"/>
      <w:szCs w:val="24"/>
    </w:rPr>
  </w:style>
  <w:style w:type="paragraph" w:customStyle="1" w:styleId="178">
    <w:name w:val="样式 标题 2 + Times New Roman 四号 非加粗 段前: 5 磅 段后: 0 磅 行距: 固定值 20..."/>
    <w:basedOn w:val="5"/>
    <w:qFormat/>
    <w:uiPriority w:val="0"/>
    <w:pPr>
      <w:adjustRightInd/>
      <w:snapToGrid/>
      <w:spacing w:before="100" w:beforeLines="0" w:line="400" w:lineRule="exact"/>
      <w:ind w:firstLine="0" w:firstLineChars="0"/>
      <w:jc w:val="both"/>
    </w:pPr>
    <w:rPr>
      <w:rFonts w:ascii="Times New Roman" w:hAnsi="Times New Roman" w:cs="宋体"/>
      <w:bCs w:val="0"/>
      <w:sz w:val="28"/>
      <w:szCs w:val="20"/>
    </w:rPr>
  </w:style>
  <w:style w:type="paragraph" w:customStyle="1" w:styleId="179">
    <w:name w:val="zw"/>
    <w:basedOn w:val="1"/>
    <w:qFormat/>
    <w:uiPriority w:val="0"/>
    <w:pPr>
      <w:widowControl/>
      <w:adjustRightInd/>
      <w:snapToGrid/>
      <w:spacing w:before="30" w:beforeLines="0" w:line="240" w:lineRule="auto"/>
      <w:ind w:left="100" w:right="100" w:firstLine="0" w:firstLineChars="0"/>
    </w:pPr>
    <w:rPr>
      <w:rFonts w:ascii="方正书宋简体" w:hAnsi="宋体" w:eastAsia="方正书宋简体"/>
      <w:color w:val="000000"/>
      <w:kern w:val="0"/>
      <w:sz w:val="21"/>
      <w:szCs w:val="21"/>
    </w:rPr>
  </w:style>
  <w:style w:type="paragraph" w:customStyle="1" w:styleId="180">
    <w:name w:val="TOC 标题1"/>
    <w:basedOn w:val="4"/>
    <w:next w:val="1"/>
    <w:qFormat/>
    <w:uiPriority w:val="0"/>
    <w:pPr>
      <w:adjustRightInd/>
      <w:snapToGrid/>
      <w:spacing w:before="340" w:beforeLines="0" w:after="330" w:line="576" w:lineRule="auto"/>
      <w:ind w:firstLine="0" w:firstLineChars="0"/>
      <w:jc w:val="both"/>
      <w:outlineLvl w:val="9"/>
    </w:pPr>
    <w:rPr>
      <w:rFonts w:ascii="Calibri" w:hAnsi="Calibri" w:eastAsia="宋体"/>
      <w:b/>
    </w:rPr>
  </w:style>
  <w:style w:type="paragraph" w:customStyle="1" w:styleId="181">
    <w:name w:val="flNote"/>
    <w:basedOn w:val="1"/>
    <w:qFormat/>
    <w:uiPriority w:val="0"/>
    <w:pPr>
      <w:snapToGrid/>
      <w:spacing w:before="320" w:beforeLines="0" w:after="160" w:line="360" w:lineRule="atLeast"/>
      <w:ind w:firstLine="0" w:firstLineChars="0"/>
      <w:jc w:val="center"/>
      <w:textAlignment w:val="baseline"/>
    </w:pPr>
    <w:rPr>
      <w:rFonts w:ascii="Arial" w:eastAsia="黑体"/>
      <w:kern w:val="0"/>
      <w:sz w:val="30"/>
      <w:szCs w:val="20"/>
    </w:rPr>
  </w:style>
  <w:style w:type="paragraph" w:customStyle="1" w:styleId="182">
    <w:name w:val="条款节部分"/>
    <w:basedOn w:val="1"/>
    <w:qFormat/>
    <w:uiPriority w:val="0"/>
    <w:pPr>
      <w:tabs>
        <w:tab w:val="left" w:pos="2850"/>
      </w:tabs>
      <w:adjustRightInd/>
      <w:snapToGrid/>
      <w:spacing w:before="0" w:beforeLines="0" w:line="240" w:lineRule="auto"/>
      <w:ind w:firstLine="0" w:firstLineChars="0"/>
    </w:pPr>
    <w:rPr>
      <w:rFonts w:ascii="Times New Roman" w:eastAsia="仿宋_GB2312"/>
      <w:sz w:val="32"/>
      <w:szCs w:val="32"/>
    </w:rPr>
  </w:style>
  <w:style w:type="character" w:customStyle="1" w:styleId="183">
    <w:name w:val="纯文本 Char1"/>
    <w:qFormat/>
    <w:uiPriority w:val="99"/>
    <w:rPr>
      <w:rFonts w:ascii="宋体" w:hAnsi="Courier New" w:eastAsia="宋体" w:cs="Courier New"/>
      <w:szCs w:val="21"/>
    </w:rPr>
  </w:style>
  <w:style w:type="character" w:customStyle="1" w:styleId="184">
    <w:name w:val="Char Char6"/>
    <w:qFormat/>
    <w:uiPriority w:val="0"/>
    <w:rPr>
      <w:rFonts w:eastAsia="宋体"/>
      <w:b/>
      <w:bCs/>
      <w:kern w:val="44"/>
      <w:sz w:val="32"/>
      <w:szCs w:val="44"/>
      <w:lang w:val="en-US" w:eastAsia="zh-CN" w:bidi="ar-SA"/>
    </w:rPr>
  </w:style>
  <w:style w:type="character" w:customStyle="1" w:styleId="185">
    <w:name w:val="font1"/>
    <w:qFormat/>
    <w:uiPriority w:val="0"/>
    <w:rPr>
      <w:color w:val="000000"/>
      <w:sz w:val="18"/>
      <w:szCs w:val="18"/>
      <w:u w:val="none"/>
    </w:rPr>
  </w:style>
  <w:style w:type="character" w:customStyle="1" w:styleId="186">
    <w:name w:val="Char Char2"/>
    <w:qFormat/>
    <w:uiPriority w:val="0"/>
    <w:rPr>
      <w:rFonts w:eastAsia="宋体"/>
      <w:kern w:val="2"/>
      <w:sz w:val="21"/>
      <w:szCs w:val="24"/>
      <w:lang w:val="en-US" w:eastAsia="zh-CN" w:bidi="ar-SA"/>
    </w:rPr>
  </w:style>
  <w:style w:type="character" w:customStyle="1" w:styleId="187">
    <w:name w:val="标题 3 Char Char Char Char Char Char Char Char Char Char Char Char Char Char Char Char Char Char Char Char Char Char"/>
    <w:qFormat/>
    <w:uiPriority w:val="0"/>
    <w:rPr>
      <w:rFonts w:eastAsia="宋体"/>
      <w:b/>
      <w:sz w:val="32"/>
      <w:lang w:val="en-US" w:eastAsia="zh-CN" w:bidi="ar-SA"/>
    </w:rPr>
  </w:style>
  <w:style w:type="character" w:customStyle="1" w:styleId="188">
    <w:name w:val="批注框文本 Char1"/>
    <w:qFormat/>
    <w:uiPriority w:val="0"/>
    <w:rPr>
      <w:kern w:val="2"/>
      <w:sz w:val="18"/>
      <w:szCs w:val="18"/>
    </w:rPr>
  </w:style>
  <w:style w:type="character" w:customStyle="1" w:styleId="189">
    <w:name w:val="h3 Char1"/>
    <w:qFormat/>
    <w:uiPriority w:val="0"/>
    <w:rPr>
      <w:rFonts w:eastAsia="宋体"/>
      <w:b/>
      <w:bCs/>
      <w:kern w:val="2"/>
      <w:sz w:val="32"/>
      <w:szCs w:val="32"/>
      <w:lang w:val="en-US" w:eastAsia="zh-CN" w:bidi="ar-SA"/>
    </w:rPr>
  </w:style>
  <w:style w:type="character" w:customStyle="1" w:styleId="190">
    <w:name w:val="不明显参考1"/>
    <w:qFormat/>
    <w:uiPriority w:val="0"/>
    <w:rPr>
      <w:smallCaps/>
      <w:color w:val="C0504D"/>
      <w:u w:val="single"/>
    </w:rPr>
  </w:style>
  <w:style w:type="character" w:customStyle="1" w:styleId="191">
    <w:name w:val="gonggao-downline1"/>
    <w:qFormat/>
    <w:uiPriority w:val="0"/>
    <w:rPr>
      <w:b/>
      <w:bCs/>
      <w:u w:val="single"/>
    </w:rPr>
  </w:style>
  <w:style w:type="character" w:customStyle="1" w:styleId="192">
    <w:name w:val="正文文本缩进 Char"/>
    <w:qFormat/>
    <w:uiPriority w:val="0"/>
    <w:rPr>
      <w:sz w:val="24"/>
      <w:szCs w:val="24"/>
    </w:rPr>
  </w:style>
  <w:style w:type="character" w:customStyle="1" w:styleId="193">
    <w:name w:val="正文文本 3 Char"/>
    <w:qFormat/>
    <w:uiPriority w:val="0"/>
    <w:rPr>
      <w:rFonts w:ascii="Arial" w:hAnsi="Arial"/>
      <w:color w:val="000000"/>
      <w:sz w:val="24"/>
      <w:szCs w:val="24"/>
    </w:rPr>
  </w:style>
  <w:style w:type="character" w:customStyle="1" w:styleId="194">
    <w:name w:val="highlight1"/>
    <w:qFormat/>
    <w:uiPriority w:val="0"/>
    <w:rPr>
      <w:sz w:val="21"/>
      <w:szCs w:val="21"/>
    </w:rPr>
  </w:style>
  <w:style w:type="character" w:customStyle="1" w:styleId="195">
    <w:name w:val="标题 2 Char Char Char1"/>
    <w:qFormat/>
    <w:uiPriority w:val="0"/>
    <w:rPr>
      <w:rFonts w:ascii="Arial" w:hAnsi="Arial" w:eastAsia="黑体"/>
      <w:b/>
      <w:bCs/>
      <w:kern w:val="2"/>
      <w:sz w:val="32"/>
      <w:szCs w:val="32"/>
      <w:lang w:val="en-US" w:eastAsia="zh-CN" w:bidi="ar-SA"/>
    </w:rPr>
  </w:style>
  <w:style w:type="character" w:customStyle="1" w:styleId="196">
    <w:name w:val="Char Char"/>
    <w:qFormat/>
    <w:uiPriority w:val="0"/>
    <w:rPr>
      <w:rFonts w:ascii="黑体" w:hAnsi="Courier New" w:eastAsia="黑体" w:cs="Courier New"/>
      <w:lang w:val="en-US" w:eastAsia="zh-CN" w:bidi="ar-SA"/>
    </w:rPr>
  </w:style>
  <w:style w:type="character" w:customStyle="1" w:styleId="197">
    <w:name w:val="H1 Char"/>
    <w:qFormat/>
    <w:uiPriority w:val="0"/>
    <w:rPr>
      <w:rFonts w:eastAsia="宋体"/>
      <w:b/>
      <w:bCs/>
      <w:kern w:val="44"/>
      <w:sz w:val="32"/>
      <w:szCs w:val="44"/>
      <w:lang w:val="en-US" w:eastAsia="zh-CN" w:bidi="ar-SA"/>
    </w:rPr>
  </w:style>
  <w:style w:type="character" w:customStyle="1" w:styleId="198">
    <w:name w:val="英文"/>
    <w:qFormat/>
    <w:uiPriority w:val="0"/>
    <w:rPr>
      <w:rFonts w:ascii="Lucida Fax" w:hAnsi="Lucida Fax" w:cs="Times New Roman"/>
      <w:b/>
      <w:bCs/>
    </w:rPr>
  </w:style>
  <w:style w:type="character" w:customStyle="1" w:styleId="199">
    <w:name w:val="ca-10"/>
    <w:qFormat/>
    <w:uiPriority w:val="0"/>
  </w:style>
  <w:style w:type="character" w:customStyle="1" w:styleId="200">
    <w:name w:val="apple-converted-space"/>
    <w:qFormat/>
    <w:uiPriority w:val="0"/>
  </w:style>
  <w:style w:type="character" w:customStyle="1" w:styleId="201">
    <w:name w:val="HTML Markup"/>
    <w:qFormat/>
    <w:uiPriority w:val="0"/>
    <w:rPr>
      <w:vanish/>
      <w:color w:val="FF0000"/>
    </w:rPr>
  </w:style>
  <w:style w:type="character" w:customStyle="1" w:styleId="202">
    <w:name w:val="Char Char7"/>
    <w:qFormat/>
    <w:locked/>
    <w:uiPriority w:val="0"/>
    <w:rPr>
      <w:rFonts w:ascii="宋体" w:hAnsi="宋体" w:eastAsia="宋体"/>
      <w:kern w:val="2"/>
      <w:sz w:val="21"/>
      <w:szCs w:val="24"/>
      <w:lang w:val="en-US" w:eastAsia="zh-CN" w:bidi="ar-SA"/>
    </w:rPr>
  </w:style>
  <w:style w:type="character" w:customStyle="1" w:styleId="203">
    <w:name w:val="表中文字 Char"/>
    <w:qFormat/>
    <w:uiPriority w:val="0"/>
    <w:rPr>
      <w:rFonts w:eastAsia="宋体"/>
      <w:kern w:val="2"/>
      <w:sz w:val="21"/>
      <w:szCs w:val="24"/>
      <w:lang w:val="en-US" w:eastAsia="zh-CN" w:bidi="ar-SA"/>
    </w:rPr>
  </w:style>
  <w:style w:type="character" w:customStyle="1" w:styleId="204">
    <w:name w:val="Char Char15"/>
    <w:qFormat/>
    <w:uiPriority w:val="0"/>
    <w:rPr>
      <w:rFonts w:ascii="Arial" w:hAnsi="Arial" w:eastAsia="宋体"/>
      <w:b/>
      <w:bCs/>
      <w:kern w:val="2"/>
      <w:sz w:val="21"/>
      <w:szCs w:val="28"/>
      <w:lang w:val="en-US" w:eastAsia="zh-CN" w:bidi="ar-SA"/>
    </w:rPr>
  </w:style>
  <w:style w:type="character" w:customStyle="1" w:styleId="205">
    <w:name w:val="111"/>
    <w:qFormat/>
    <w:uiPriority w:val="0"/>
  </w:style>
  <w:style w:type="character" w:customStyle="1" w:styleId="206">
    <w:name w:val="Char Char8"/>
    <w:qFormat/>
    <w:uiPriority w:val="0"/>
    <w:rPr>
      <w:rFonts w:ascii="Arial" w:hAnsi="Arial" w:eastAsia="宋体"/>
      <w:b/>
      <w:bCs/>
      <w:kern w:val="2"/>
      <w:sz w:val="21"/>
      <w:szCs w:val="28"/>
      <w:lang w:val="en-US" w:eastAsia="zh-CN" w:bidi="ar-SA"/>
    </w:rPr>
  </w:style>
  <w:style w:type="character" w:customStyle="1" w:styleId="207">
    <w:name w:val="Char Char9"/>
    <w:qFormat/>
    <w:uiPriority w:val="0"/>
    <w:rPr>
      <w:rFonts w:eastAsia="宋体"/>
      <w:b/>
      <w:bCs/>
      <w:kern w:val="2"/>
      <w:sz w:val="24"/>
      <w:szCs w:val="32"/>
      <w:lang w:val="en-US" w:eastAsia="zh-CN" w:bidi="ar-SA"/>
    </w:rPr>
  </w:style>
  <w:style w:type="character" w:customStyle="1" w:styleId="208">
    <w:name w:val="javascript"/>
    <w:qFormat/>
    <w:uiPriority w:val="0"/>
  </w:style>
  <w:style w:type="character" w:customStyle="1" w:styleId="209">
    <w:name w:val="tdrownotice1"/>
    <w:qFormat/>
    <w:uiPriority w:val="0"/>
    <w:rPr>
      <w:sz w:val="22"/>
      <w:szCs w:val="22"/>
    </w:rPr>
  </w:style>
  <w:style w:type="character" w:customStyle="1" w:styleId="210">
    <w:name w:val="Char Char4"/>
    <w:qFormat/>
    <w:uiPriority w:val="0"/>
    <w:rPr>
      <w:rFonts w:eastAsia="宋体"/>
      <w:kern w:val="2"/>
      <w:sz w:val="18"/>
      <w:szCs w:val="18"/>
      <w:lang w:val="en-US" w:eastAsia="zh-CN" w:bidi="ar-SA"/>
    </w:rPr>
  </w:style>
  <w:style w:type="character" w:customStyle="1" w:styleId="211">
    <w:name w:val="Char Char91"/>
    <w:qFormat/>
    <w:uiPriority w:val="0"/>
    <w:rPr>
      <w:rFonts w:eastAsia="宋体"/>
      <w:kern w:val="2"/>
      <w:sz w:val="18"/>
      <w:szCs w:val="18"/>
      <w:lang w:val="en-US" w:eastAsia="zh-CN" w:bidi="ar-SA"/>
    </w:rPr>
  </w:style>
  <w:style w:type="character" w:customStyle="1" w:styleId="212">
    <w:name w:val="Char Char3"/>
    <w:qFormat/>
    <w:uiPriority w:val="0"/>
    <w:rPr>
      <w:rFonts w:eastAsia="宋体"/>
      <w:kern w:val="2"/>
      <w:sz w:val="21"/>
      <w:szCs w:val="24"/>
      <w:lang w:val="en-US" w:eastAsia="zh-CN" w:bidi="ar-SA"/>
    </w:rPr>
  </w:style>
  <w:style w:type="character" w:customStyle="1" w:styleId="213">
    <w:name w:val="ca-2"/>
    <w:qFormat/>
    <w:uiPriority w:val="0"/>
  </w:style>
  <w:style w:type="character" w:customStyle="1" w:styleId="214">
    <w:name w:val="Char Char1"/>
    <w:qFormat/>
    <w:uiPriority w:val="0"/>
    <w:rPr>
      <w:rFonts w:ascii="宋体" w:eastAsia="宋体"/>
      <w:sz w:val="22"/>
      <w:lang w:val="en-US" w:eastAsia="zh-CN" w:bidi="ar-SA"/>
    </w:rPr>
  </w:style>
  <w:style w:type="character" w:customStyle="1" w:styleId="215">
    <w:name w:val="f142"/>
    <w:qFormat/>
    <w:uiPriority w:val="0"/>
    <w:rPr>
      <w:sz w:val="26"/>
      <w:szCs w:val="26"/>
    </w:rPr>
  </w:style>
  <w:style w:type="character" w:customStyle="1" w:styleId="216">
    <w:name w:val="Char Char5"/>
    <w:qFormat/>
    <w:uiPriority w:val="0"/>
    <w:rPr>
      <w:rFonts w:eastAsia="宋体"/>
      <w:kern w:val="2"/>
      <w:sz w:val="21"/>
      <w:szCs w:val="24"/>
      <w:lang w:val="en-US" w:eastAsia="zh-CN" w:bidi="ar-SA"/>
    </w:rPr>
  </w:style>
  <w:style w:type="character" w:customStyle="1" w:styleId="217">
    <w:name w:val="h3 Char"/>
    <w:qFormat/>
    <w:uiPriority w:val="0"/>
    <w:rPr>
      <w:rFonts w:ascii="Times New Roman" w:hAnsi="Times New Roman" w:eastAsia="宋体" w:cs="Times New Roman"/>
      <w:b/>
      <w:bCs/>
      <w:sz w:val="32"/>
      <w:szCs w:val="32"/>
    </w:rPr>
  </w:style>
  <w:style w:type="character" w:customStyle="1" w:styleId="218">
    <w:name w:val="h3 Char2"/>
    <w:qFormat/>
    <w:uiPriority w:val="0"/>
    <w:rPr>
      <w:rFonts w:eastAsia="宋体"/>
      <w:b/>
      <w:bCs/>
      <w:kern w:val="2"/>
      <w:sz w:val="24"/>
      <w:szCs w:val="32"/>
      <w:lang w:val="en-US" w:eastAsia="zh-CN" w:bidi="ar-SA"/>
    </w:rPr>
  </w:style>
  <w:style w:type="character" w:customStyle="1" w:styleId="219">
    <w:name w:val="日期 Char1"/>
    <w:qFormat/>
    <w:uiPriority w:val="0"/>
    <w:rPr>
      <w:kern w:val="2"/>
      <w:sz w:val="21"/>
      <w:szCs w:val="22"/>
    </w:rPr>
  </w:style>
  <w:style w:type="character" w:customStyle="1" w:styleId="220">
    <w:name w:val="标题 2 Char1"/>
    <w:qFormat/>
    <w:uiPriority w:val="0"/>
    <w:rPr>
      <w:rFonts w:ascii="Arial" w:hAnsi="Arial" w:eastAsia="黑体"/>
      <w:b/>
      <w:bCs/>
      <w:kern w:val="2"/>
      <w:sz w:val="32"/>
      <w:szCs w:val="32"/>
      <w:lang w:val="en-US" w:eastAsia="zh-CN" w:bidi="ar-SA"/>
    </w:rPr>
  </w:style>
  <w:style w:type="character" w:customStyle="1" w:styleId="221">
    <w:name w:val="明显引用 Char1"/>
    <w:qFormat/>
    <w:uiPriority w:val="30"/>
    <w:rPr>
      <w:rFonts w:ascii="Times New Roman" w:hAnsi="Times New Roman" w:eastAsia="宋体" w:cs="Times New Roman"/>
      <w:i/>
      <w:iCs/>
      <w:color w:val="5B9BD5"/>
      <w:sz w:val="24"/>
      <w:szCs w:val="24"/>
    </w:rPr>
  </w:style>
  <w:style w:type="character" w:customStyle="1" w:styleId="222">
    <w:name w:val="副标题 Char1"/>
    <w:qFormat/>
    <w:uiPriority w:val="0"/>
    <w:rPr>
      <w:rFonts w:ascii="Calibri Light" w:hAnsi="Calibri Light" w:eastAsia="宋体" w:cs="Times New Roman"/>
      <w:b/>
      <w:bCs/>
      <w:kern w:val="28"/>
      <w:sz w:val="32"/>
      <w:szCs w:val="32"/>
    </w:rPr>
  </w:style>
  <w:style w:type="character" w:customStyle="1" w:styleId="223">
    <w:name w:val="引用 Char1"/>
    <w:qFormat/>
    <w:uiPriority w:val="29"/>
    <w:rPr>
      <w:rFonts w:ascii="Times New Roman" w:hAnsi="Times New Roman" w:eastAsia="宋体" w:cs="Times New Roman"/>
      <w:i/>
      <w:iCs/>
      <w:color w:val="3F3F3F"/>
      <w:sz w:val="24"/>
      <w:szCs w:val="24"/>
    </w:rPr>
  </w:style>
  <w:style w:type="character" w:customStyle="1" w:styleId="224">
    <w:name w:val="正文文本 Char1"/>
    <w:qFormat/>
    <w:uiPriority w:val="0"/>
    <w:rPr>
      <w:kern w:val="2"/>
      <w:sz w:val="21"/>
      <w:szCs w:val="22"/>
    </w:rPr>
  </w:style>
  <w:style w:type="character" w:customStyle="1" w:styleId="225">
    <w:name w:val="明显参考1"/>
    <w:qFormat/>
    <w:uiPriority w:val="0"/>
    <w:rPr>
      <w:b/>
      <w:bCs/>
      <w:smallCaps/>
      <w:color w:val="C0504D"/>
      <w:spacing w:val="5"/>
      <w:u w:val="single"/>
    </w:rPr>
  </w:style>
  <w:style w:type="character" w:customStyle="1" w:styleId="226">
    <w:name w:val="明显强调1"/>
    <w:qFormat/>
    <w:uiPriority w:val="0"/>
    <w:rPr>
      <w:b/>
      <w:bCs/>
      <w:i/>
      <w:iCs/>
      <w:color w:val="4F81BD"/>
    </w:rPr>
  </w:style>
  <w:style w:type="character" w:customStyle="1" w:styleId="227">
    <w:name w:val="批注主题 Char1"/>
    <w:qFormat/>
    <w:uiPriority w:val="0"/>
    <w:rPr>
      <w:b/>
      <w:bCs/>
      <w:kern w:val="2"/>
      <w:sz w:val="21"/>
      <w:szCs w:val="22"/>
    </w:rPr>
  </w:style>
  <w:style w:type="character" w:customStyle="1" w:styleId="228">
    <w:name w:val="书籍标题1"/>
    <w:qFormat/>
    <w:uiPriority w:val="0"/>
    <w:rPr>
      <w:b/>
      <w:bCs/>
      <w:smallCaps/>
      <w:spacing w:val="5"/>
    </w:rPr>
  </w:style>
  <w:style w:type="character" w:customStyle="1" w:styleId="229">
    <w:name w:val="textcontents"/>
    <w:qFormat/>
    <w:uiPriority w:val="0"/>
    <w:rPr>
      <w:rFonts w:cs="Times New Roman"/>
    </w:rPr>
  </w:style>
  <w:style w:type="character" w:customStyle="1" w:styleId="230">
    <w:name w:val="不明显强调1"/>
    <w:qFormat/>
    <w:uiPriority w:val="0"/>
    <w:rPr>
      <w:i/>
      <w:iCs/>
      <w:color w:val="808080"/>
    </w:rPr>
  </w:style>
  <w:style w:type="character" w:customStyle="1" w:styleId="231">
    <w:name w:val="批注文字 Char Char"/>
    <w:qFormat/>
    <w:uiPriority w:val="0"/>
    <w:rPr>
      <w:rFonts w:ascii="宋体" w:hAnsi="Times New Roman" w:eastAsia="宋体" w:cs="Times New Roman"/>
      <w:sz w:val="28"/>
      <w:szCs w:val="20"/>
    </w:rPr>
  </w:style>
  <w:style w:type="character" w:customStyle="1" w:styleId="232">
    <w:name w:val="文档结构图 Char1"/>
    <w:qFormat/>
    <w:uiPriority w:val="0"/>
    <w:rPr>
      <w:rFonts w:ascii="宋体"/>
      <w:kern w:val="2"/>
      <w:sz w:val="18"/>
      <w:szCs w:val="18"/>
    </w:rPr>
  </w:style>
  <w:style w:type="paragraph" w:customStyle="1" w:styleId="233">
    <w:name w:val="无间隔2"/>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34">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235">
    <w:name w:val="无间隔1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36">
    <w:name w:val="修订3"/>
    <w:semiHidden/>
    <w:qFormat/>
    <w:uiPriority w:val="99"/>
    <w:rPr>
      <w:rFonts w:ascii="Times New Roman" w:hAnsi="Times New Roman" w:eastAsia="宋体" w:cs="Times New Roman"/>
      <w:kern w:val="2"/>
      <w:sz w:val="21"/>
      <w:szCs w:val="24"/>
      <w:lang w:val="en-US" w:eastAsia="zh-CN" w:bidi="ar-SA"/>
    </w:rPr>
  </w:style>
  <w:style w:type="character" w:customStyle="1" w:styleId="237">
    <w:name w:val="标题2 Char"/>
    <w:qFormat/>
    <w:uiPriority w:val="0"/>
    <w:rPr>
      <w:rFonts w:ascii="Arial" w:hAnsi="Arial" w:eastAsia="黑体"/>
      <w:b/>
      <w:bCs/>
      <w:kern w:val="2"/>
      <w:sz w:val="32"/>
      <w:szCs w:val="32"/>
      <w:lang w:val="en-US" w:eastAsia="zh-CN" w:bidi="ar-SA"/>
    </w:rPr>
  </w:style>
  <w:style w:type="paragraph" w:customStyle="1" w:styleId="238">
    <w:name w:val="修订4"/>
    <w:semiHidden/>
    <w:qFormat/>
    <w:uiPriority w:val="99"/>
    <w:rPr>
      <w:rFonts w:ascii="Times New Roman" w:hAnsi="Times New Roman" w:eastAsia="宋体" w:cs="Times New Roman"/>
      <w:kern w:val="2"/>
      <w:sz w:val="21"/>
      <w:szCs w:val="24"/>
      <w:lang w:val="en-US" w:eastAsia="zh-CN" w:bidi="ar-SA"/>
    </w:rPr>
  </w:style>
  <w:style w:type="paragraph" w:customStyle="1" w:styleId="239">
    <w:name w:val="UserStyle_0"/>
    <w:basedOn w:val="240"/>
    <w:next w:val="241"/>
    <w:qFormat/>
    <w:uiPriority w:val="0"/>
    <w:pPr>
      <w:ind w:firstLine="420"/>
    </w:pPr>
  </w:style>
  <w:style w:type="paragraph" w:customStyle="1" w:styleId="240">
    <w:name w:val="UserStyle_1"/>
    <w:basedOn w:val="1"/>
    <w:qFormat/>
    <w:uiPriority w:val="0"/>
    <w:pPr>
      <w:adjustRightInd/>
      <w:snapToGrid/>
      <w:spacing w:before="0" w:beforeLines="0" w:line="560" w:lineRule="exact"/>
      <w:ind w:left="119" w:firstLine="880"/>
      <w:textAlignment w:val="baseline"/>
    </w:pPr>
    <w:rPr>
      <w:rFonts w:ascii="Times New Roman"/>
      <w:sz w:val="21"/>
    </w:rPr>
  </w:style>
  <w:style w:type="paragraph" w:customStyle="1" w:styleId="241">
    <w:name w:val="BodyText"/>
    <w:basedOn w:val="1"/>
    <w:qFormat/>
    <w:uiPriority w:val="0"/>
    <w:pPr>
      <w:adjustRightInd/>
      <w:snapToGrid/>
      <w:spacing w:before="0" w:beforeLines="0" w:line="560" w:lineRule="exact"/>
      <w:ind w:left="119"/>
      <w:textAlignment w:val="baseline"/>
    </w:pPr>
    <w:rPr>
      <w:rFonts w:ascii="Times New Roman"/>
      <w:sz w:val="21"/>
    </w:rPr>
  </w:style>
  <w:style w:type="table" w:customStyle="1" w:styleId="242">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243">
    <w:name w:val="layui-layer-tabnow"/>
    <w:qFormat/>
    <w:uiPriority w:val="0"/>
    <w:rPr>
      <w:bdr w:val="single" w:color="CCCCCC" w:sz="6" w:space="0"/>
      <w:shd w:val="clear" w:color="auto" w:fill="FFFFFF"/>
    </w:rPr>
  </w:style>
  <w:style w:type="character" w:customStyle="1" w:styleId="244">
    <w:name w:val="first-child"/>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92</Pages>
  <Words>48775</Words>
  <Characters>50729</Characters>
  <Lines>451</Lines>
  <Paragraphs>127</Paragraphs>
  <TotalTime>5</TotalTime>
  <ScaleCrop>false</ScaleCrop>
  <LinksUpToDate>false</LinksUpToDate>
  <CharactersWithSpaces>54256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2025-03-17T03:52:00Z</dcterms:created>
  <dc:creator>未知</dc:creator>
  <cp:lastModifiedBy>嗯</cp:lastModifiedBy>
  <cp:lastPrinted>2018-05-07T07:26:00Z</cp:lastPrinted>
  <dcterms:modified xsi:type="dcterms:W3CDTF">2026-05-07T10:42:36Z</dcterms:modified>
  <dc:title>南宁市轨道交通2号线工程（玉洞-西津）</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8BBCF51C557647EB997C561E8221E77E_13</vt:lpwstr>
  </property>
  <property fmtid="{D5CDD505-2E9C-101B-9397-08002B2CF9AE}" pid="4" name="KSOTemplateDocerSaveRecord">
    <vt:lpwstr>eyJoZGlkIjoiZjc0ZmRlNTcyYzQ5OGRlYzZiYWUxY2ZmYjJkYjM0NzkiLCJ1c2VySWQiOiI1Nzk1NTQ2MjAifQ==</vt:lpwstr>
  </property>
</Properties>
</file>