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BD1F877">
      <w:pPr>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2026年-2027年南宁轨道地产建筑工程有限责任公司瓷砖胶、界面剂采购（重）</w:t>
      </w:r>
    </w:p>
    <w:p w14:paraId="2C9FAC6F">
      <w:pPr>
        <w:ind w:firstLine="723"/>
        <w:jc w:val="center"/>
        <w:rPr>
          <w:rFonts w:ascii="宋体" w:hAnsi="宋体" w:eastAsia="宋体"/>
          <w:color w:val="auto"/>
          <w:sz w:val="36"/>
          <w:szCs w:val="36"/>
        </w:rPr>
      </w:pPr>
    </w:p>
    <w:p w14:paraId="453F1F8C">
      <w:pPr>
        <w:ind w:firstLine="723"/>
        <w:jc w:val="center"/>
        <w:rPr>
          <w:rFonts w:ascii="宋体" w:hAnsi="宋体" w:eastAsia="宋体"/>
          <w:color w:val="auto"/>
          <w:sz w:val="36"/>
          <w:szCs w:val="36"/>
        </w:rPr>
      </w:pPr>
    </w:p>
    <w:p w14:paraId="28A5A608">
      <w:pPr>
        <w:ind w:firstLine="723"/>
        <w:jc w:val="center"/>
        <w:rPr>
          <w:rFonts w:ascii="宋体" w:hAnsi="宋体" w:eastAsia="宋体"/>
          <w:color w:val="auto"/>
          <w:sz w:val="36"/>
          <w:szCs w:val="36"/>
        </w:rPr>
      </w:pPr>
    </w:p>
    <w:p w14:paraId="174A00D6">
      <w:pPr>
        <w:ind w:firstLine="723"/>
        <w:jc w:val="center"/>
        <w:rPr>
          <w:rFonts w:ascii="宋体" w:hAnsi="宋体" w:eastAsia="宋体"/>
          <w:color w:val="auto"/>
          <w:sz w:val="36"/>
          <w:szCs w:val="36"/>
        </w:rPr>
      </w:pPr>
    </w:p>
    <w:p w14:paraId="66F88598">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7DC2F9F5">
      <w:pPr>
        <w:ind w:firstLine="1446"/>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11A3FAC8">
      <w:pPr>
        <w:ind w:firstLine="723"/>
        <w:jc w:val="center"/>
        <w:rPr>
          <w:rFonts w:ascii="宋体" w:hAnsi="宋体" w:eastAsia="宋体"/>
          <w:color w:val="auto"/>
          <w:sz w:val="36"/>
          <w:szCs w:val="36"/>
        </w:rPr>
      </w:pPr>
    </w:p>
    <w:p w14:paraId="4AE5E91D">
      <w:pPr>
        <w:ind w:firstLine="723"/>
        <w:jc w:val="center"/>
        <w:rPr>
          <w:rFonts w:ascii="宋体" w:hAnsi="宋体" w:eastAsia="宋体"/>
          <w:color w:val="auto"/>
          <w:sz w:val="36"/>
          <w:szCs w:val="36"/>
        </w:rPr>
      </w:pPr>
    </w:p>
    <w:p w14:paraId="5B023282">
      <w:pPr>
        <w:ind w:firstLine="723"/>
        <w:rPr>
          <w:rFonts w:ascii="宋体" w:hAnsi="宋体" w:eastAsia="宋体"/>
          <w:color w:val="auto"/>
          <w:sz w:val="36"/>
          <w:szCs w:val="36"/>
        </w:rPr>
      </w:pPr>
    </w:p>
    <w:p w14:paraId="19D81203">
      <w:pPr>
        <w:ind w:firstLine="723"/>
        <w:jc w:val="center"/>
        <w:rPr>
          <w:rFonts w:ascii="宋体" w:hAnsi="宋体" w:eastAsia="宋体"/>
          <w:color w:val="auto"/>
          <w:sz w:val="36"/>
          <w:szCs w:val="36"/>
        </w:rPr>
      </w:pPr>
    </w:p>
    <w:p w14:paraId="6192F880">
      <w:pPr>
        <w:ind w:firstLine="723"/>
        <w:jc w:val="center"/>
        <w:rPr>
          <w:rFonts w:ascii="宋体" w:hAnsi="宋体" w:eastAsia="宋体"/>
          <w:color w:val="auto"/>
          <w:sz w:val="36"/>
          <w:szCs w:val="36"/>
        </w:rPr>
      </w:pPr>
    </w:p>
    <w:p w14:paraId="3FFB52FC">
      <w:pPr>
        <w:ind w:firstLine="723"/>
        <w:jc w:val="center"/>
        <w:rPr>
          <w:rFonts w:ascii="宋体" w:hAnsi="宋体" w:eastAsia="宋体"/>
          <w:color w:val="auto"/>
          <w:sz w:val="36"/>
          <w:szCs w:val="36"/>
        </w:rPr>
      </w:pPr>
    </w:p>
    <w:p w14:paraId="3A37E6DF">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5466E98E">
      <w:pPr>
        <w:ind w:firstLine="723"/>
        <w:jc w:val="center"/>
        <w:rPr>
          <w:rFonts w:ascii="宋体" w:hAnsi="宋体" w:eastAsia="宋体"/>
          <w:color w:val="auto"/>
          <w:sz w:val="36"/>
          <w:szCs w:val="36"/>
        </w:rPr>
      </w:pPr>
      <w:r>
        <w:rPr>
          <w:rFonts w:hint="eastAsia" w:ascii="宋体" w:hAnsi="宋体" w:eastAsia="宋体"/>
          <w:color w:val="auto"/>
          <w:sz w:val="36"/>
          <w:szCs w:val="36"/>
        </w:rPr>
        <w:t>日期：202</w:t>
      </w:r>
      <w:r>
        <w:rPr>
          <w:rFonts w:hint="eastAsia" w:ascii="宋体" w:hAnsi="宋体" w:eastAsia="宋体"/>
          <w:color w:val="auto"/>
          <w:sz w:val="36"/>
          <w:szCs w:val="36"/>
          <w:lang w:val="en-US" w:eastAsia="zh-CN"/>
        </w:rPr>
        <w:t>6</w:t>
      </w:r>
      <w:r>
        <w:rPr>
          <w:rFonts w:hint="eastAsia" w:ascii="宋体" w:hAnsi="宋体" w:eastAsia="宋体"/>
          <w:color w:val="auto"/>
          <w:sz w:val="36"/>
          <w:szCs w:val="36"/>
        </w:rPr>
        <w:t>年</w:t>
      </w:r>
      <w:r>
        <w:rPr>
          <w:rFonts w:hint="eastAsia" w:ascii="宋体" w:hAnsi="宋体" w:eastAsia="宋体"/>
          <w:color w:val="auto"/>
          <w:sz w:val="36"/>
          <w:szCs w:val="36"/>
          <w:lang w:val="en-US" w:eastAsia="zh-CN"/>
        </w:rPr>
        <w:t>4</w:t>
      </w:r>
      <w:r>
        <w:rPr>
          <w:rFonts w:hint="eastAsia" w:ascii="宋体" w:hAnsi="宋体" w:eastAsia="宋体"/>
          <w:color w:val="auto"/>
          <w:sz w:val="36"/>
          <w:szCs w:val="36"/>
        </w:rPr>
        <w:t>月</w:t>
      </w:r>
    </w:p>
    <w:p w14:paraId="650301F6">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125917D5">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6EBB75C2">
      <w:pPr>
        <w:ind w:firstLine="723"/>
        <w:jc w:val="center"/>
        <w:rPr>
          <w:rFonts w:ascii="宋体" w:hAnsi="宋体" w:eastAsia="宋体"/>
          <w:color w:val="auto"/>
          <w:sz w:val="36"/>
          <w:szCs w:val="36"/>
          <w:u w:val="single"/>
        </w:rPr>
      </w:pPr>
    </w:p>
    <w:p w14:paraId="65CC435B">
      <w:pPr>
        <w:ind w:firstLine="723"/>
        <w:jc w:val="center"/>
        <w:rPr>
          <w:rFonts w:ascii="宋体" w:hAnsi="宋体" w:eastAsia="宋体"/>
          <w:color w:val="auto"/>
          <w:sz w:val="36"/>
          <w:szCs w:val="36"/>
        </w:rPr>
      </w:pPr>
      <w:r>
        <w:rPr>
          <w:rFonts w:hint="eastAsia" w:ascii="宋体" w:hAnsi="宋体" w:eastAsia="宋体"/>
          <w:color w:val="auto"/>
          <w:sz w:val="36"/>
          <w:szCs w:val="36"/>
          <w:u w:val="single"/>
          <w:lang w:eastAsia="zh-CN"/>
        </w:rPr>
        <w:t>2026年-2027年南宁轨道地产建筑工程有限责任公司瓷砖胶、界面剂采购（重）</w:t>
      </w:r>
      <w:r>
        <w:rPr>
          <w:rFonts w:hint="eastAsia" w:ascii="宋体" w:hAnsi="宋体" w:eastAsia="宋体"/>
          <w:color w:val="auto"/>
          <w:sz w:val="36"/>
          <w:szCs w:val="36"/>
        </w:rPr>
        <w:t>比选公告</w:t>
      </w:r>
    </w:p>
    <w:p w14:paraId="6DED0629">
      <w:pPr>
        <w:ind w:firstLine="723"/>
        <w:jc w:val="center"/>
        <w:rPr>
          <w:rFonts w:ascii="宋体" w:hAnsi="宋体" w:eastAsia="宋体"/>
          <w:color w:val="auto"/>
          <w:sz w:val="36"/>
          <w:szCs w:val="36"/>
        </w:rPr>
      </w:pPr>
    </w:p>
    <w:p w14:paraId="1BC1AD00">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1CC9D7BA">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5BC68DA6">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7AC730DD">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2026年-2027年南宁轨道地产建筑工程有限责任公司瓷砖胶、界面剂采购（重）</w:t>
      </w:r>
      <w:r>
        <w:rPr>
          <w:rFonts w:hint="eastAsia" w:ascii="宋体" w:hAnsi="宋体" w:eastAsia="宋体"/>
          <w:color w:val="auto"/>
          <w:sz w:val="24"/>
          <w:szCs w:val="24"/>
          <w:u w:val="single"/>
        </w:rPr>
        <w:t>。</w:t>
      </w:r>
    </w:p>
    <w:p w14:paraId="58712AD6">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（2）控制价：大写：捌拾壹万捌仟</w:t>
      </w:r>
      <w:r>
        <w:rPr>
          <w:rFonts w:hint="eastAsia" w:ascii="宋体" w:hAnsi="宋体" w:eastAsia="宋体"/>
          <w:color w:val="auto"/>
          <w:sz w:val="24"/>
          <w:szCs w:val="24"/>
          <w:lang w:val="en-US" w:eastAsia="zh-CN"/>
        </w:rPr>
        <w:t>元整</w:t>
      </w:r>
      <w:r>
        <w:rPr>
          <w:rFonts w:hint="eastAsia" w:ascii="宋体" w:hAnsi="宋体" w:eastAsia="宋体"/>
          <w:color w:val="auto"/>
          <w:sz w:val="24"/>
          <w:szCs w:val="24"/>
        </w:rPr>
        <w:t>；小写：818000元（税率13%）。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7D35999B">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u w:val="single"/>
          <w:lang w:val="en-US" w:eastAsia="zh-CN"/>
        </w:rPr>
        <w:t>一年</w:t>
      </w:r>
      <w:r>
        <w:rPr>
          <w:rFonts w:hint="eastAsia" w:ascii="宋体" w:hAnsi="宋体" w:eastAsia="宋体"/>
          <w:color w:val="auto"/>
          <w:sz w:val="24"/>
          <w:szCs w:val="24"/>
        </w:rPr>
        <w:t>（以比选人实际发出的供货通知时间为准）；比选申请人的供货不能影响施工总进度工期；严格按比选人节点完成合同内容；如超期的，超期赔偿由比选申请人承担。</w:t>
      </w:r>
    </w:p>
    <w:p w14:paraId="00EB58BE">
      <w:pPr>
        <w:pStyle w:val="38"/>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251652C4">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对工期的其他要求：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0893685">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lang w:val="en-US" w:eastAsia="zh-CN"/>
        </w:rPr>
        <w:t>公司所在项目</w:t>
      </w:r>
      <w:r>
        <w:rPr>
          <w:rFonts w:hint="eastAsia" w:ascii="宋体" w:hAnsi="宋体" w:eastAsia="宋体"/>
          <w:color w:val="auto"/>
          <w:sz w:val="24"/>
          <w:szCs w:val="24"/>
          <w:u w:val="single"/>
        </w:rPr>
        <w:t>。</w:t>
      </w:r>
    </w:p>
    <w:p w14:paraId="47F76182">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6721CF2C">
      <w:pPr>
        <w:pStyle w:val="30"/>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rPr>
        <w:t>1、按项目部要求按时按量安排专人对接送货；2、每次送货必须提供货品的检测报告、合格证及符合公司要求的送货单经项目部验收后方能卸货。</w:t>
      </w:r>
    </w:p>
    <w:p w14:paraId="77DD7B27">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1B4A90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)、广西交易所集团国有企业阳光采购平台（https://mh.gxcq.com.cn/#/）的采购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w:t>
      </w:r>
    </w:p>
    <w:p w14:paraId="5FFB6A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6C0372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5</w:t>
      </w:r>
      <w:r>
        <w:rPr>
          <w:rFonts w:hint="eastAsia" w:ascii="宋体" w:hAnsi="宋体" w:eastAsia="宋体"/>
          <w:color w:val="auto"/>
          <w:sz w:val="24"/>
          <w:szCs w:val="24"/>
        </w:rPr>
        <w:t>月</w:t>
      </w:r>
      <w:r>
        <w:rPr>
          <w:rFonts w:hint="eastAsia" w:ascii="宋体" w:hAnsi="宋体" w:eastAsia="宋体"/>
          <w:color w:val="auto"/>
          <w:sz w:val="24"/>
          <w:szCs w:val="24"/>
          <w:u w:val="single"/>
          <w:lang w:val="en-US" w:eastAsia="zh-CN"/>
        </w:rPr>
        <w:t>7</w:t>
      </w:r>
      <w:r>
        <w:rPr>
          <w:rFonts w:hint="eastAsia" w:ascii="宋体" w:hAnsi="宋体" w:eastAsia="宋体"/>
          <w:color w:val="auto"/>
          <w:sz w:val="24"/>
          <w:szCs w:val="24"/>
        </w:rPr>
        <w:t>日</w:t>
      </w:r>
      <w:r>
        <w:rPr>
          <w:rFonts w:hint="eastAsia" w:ascii="宋体" w:hAnsi="宋体" w:eastAsia="宋体"/>
          <w:color w:val="auto"/>
          <w:sz w:val="24"/>
          <w:szCs w:val="24"/>
          <w:u w:val="single"/>
          <w:lang w:val="en-US" w:eastAsia="zh-CN"/>
        </w:rPr>
        <w:t>17</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7EB4CF5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349659F4">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683C26CB">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6DE956FC">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u w:val="single"/>
          <w:lang w:val="en-US" w:eastAsia="zh-CN"/>
        </w:rPr>
        <w:t>游</w:t>
      </w:r>
      <w:r>
        <w:rPr>
          <w:rFonts w:hint="eastAsia" w:ascii="宋体" w:hAnsi="宋体" w:eastAsia="宋体"/>
          <w:color w:val="auto"/>
          <w:sz w:val="24"/>
          <w:szCs w:val="24"/>
          <w:u w:val="single"/>
        </w:rPr>
        <w:t>工</w:t>
      </w:r>
    </w:p>
    <w:p w14:paraId="1B703896">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p>
    <w:p w14:paraId="252AEC4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454A4D05">
      <w:pPr>
        <w:pStyle w:val="30"/>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72863801">
      <w:pPr>
        <w:pStyle w:val="30"/>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5081F331">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57D6F878">
      <w:pPr>
        <w:pStyle w:val="30"/>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747F90B1">
      <w:pPr>
        <w:pStyle w:val="30"/>
        <w:spacing w:line="480" w:lineRule="exact"/>
        <w:ind w:left="720" w:firstLine="0" w:firstLineChars="0"/>
        <w:jc w:val="left"/>
        <w:rPr>
          <w:rFonts w:ascii="宋体" w:hAnsi="宋体" w:eastAsia="宋体"/>
          <w:color w:val="auto"/>
          <w:sz w:val="24"/>
          <w:szCs w:val="24"/>
        </w:rPr>
      </w:pPr>
    </w:p>
    <w:p w14:paraId="2C6895FF">
      <w:pPr>
        <w:pStyle w:val="30"/>
        <w:spacing w:line="480" w:lineRule="exact"/>
        <w:ind w:left="720" w:firstLine="0" w:firstLineChars="0"/>
        <w:jc w:val="left"/>
        <w:rPr>
          <w:rFonts w:ascii="宋体" w:hAnsi="宋体" w:eastAsia="宋体"/>
          <w:color w:val="auto"/>
          <w:sz w:val="24"/>
          <w:szCs w:val="24"/>
        </w:rPr>
      </w:pPr>
    </w:p>
    <w:p w14:paraId="5238EE3A">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342CA1DE">
      <w:pPr>
        <w:pStyle w:val="30"/>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w:t>
      </w:r>
      <w:r>
        <w:rPr>
          <w:rFonts w:hint="eastAsia" w:ascii="宋体" w:hAnsi="宋体" w:eastAsia="宋体"/>
          <w:color w:val="auto"/>
          <w:sz w:val="24"/>
          <w:szCs w:val="24"/>
          <w:u w:val="single"/>
          <w:lang w:val="en-US" w:eastAsia="zh-CN"/>
        </w:rPr>
        <w:t>6</w:t>
      </w:r>
      <w:r>
        <w:rPr>
          <w:rFonts w:hint="eastAsia" w:ascii="宋体" w:hAnsi="宋体" w:eastAsia="宋体"/>
          <w:color w:val="auto"/>
          <w:sz w:val="24"/>
          <w:szCs w:val="24"/>
          <w:u w:val="single"/>
        </w:rPr>
        <w:t>年</w:t>
      </w:r>
      <w:r>
        <w:rPr>
          <w:rFonts w:hint="eastAsia" w:ascii="宋体" w:hAnsi="宋体" w:eastAsia="宋体"/>
          <w:color w:val="auto"/>
          <w:sz w:val="24"/>
          <w:szCs w:val="24"/>
          <w:u w:val="single"/>
          <w:lang w:val="en-US" w:eastAsia="zh-CN"/>
        </w:rPr>
        <w:t>4</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29</w:t>
      </w:r>
      <w:r>
        <w:rPr>
          <w:rFonts w:hint="eastAsia" w:ascii="宋体" w:hAnsi="宋体" w:eastAsia="宋体"/>
          <w:color w:val="auto"/>
          <w:sz w:val="24"/>
          <w:szCs w:val="24"/>
          <w:u w:val="single"/>
        </w:rPr>
        <w:t>日</w:t>
      </w:r>
    </w:p>
    <w:p w14:paraId="134C6831">
      <w:pPr>
        <w:widowControl/>
        <w:jc w:val="left"/>
        <w:rPr>
          <w:rFonts w:ascii="宋体" w:hAnsi="宋体" w:eastAsia="宋体"/>
          <w:color w:val="auto"/>
          <w:sz w:val="24"/>
          <w:szCs w:val="24"/>
        </w:rPr>
      </w:pPr>
    </w:p>
    <w:p w14:paraId="507AFB9E">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bookmarkStart w:id="827" w:name="_GoBack"/>
      <w:bookmarkEnd w:id="827"/>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none"/>
              </w:rPr>
              <w:t>营业执照</w:t>
            </w:r>
            <w:r>
              <w:rPr>
                <w:rFonts w:hint="eastAsia" w:ascii="宋体" w:hAnsi="宋体" w:eastAsia="宋体"/>
                <w:color w:val="auto"/>
                <w:sz w:val="24"/>
                <w:szCs w:val="24"/>
                <w:u w:val="none"/>
                <w:lang w:eastAsia="zh-CN"/>
              </w:rPr>
              <w:t>、</w:t>
            </w:r>
            <w:r>
              <w:rPr>
                <w:rFonts w:hint="eastAsia" w:ascii="宋体" w:hAnsi="宋体" w:eastAsia="宋体"/>
                <w:color w:val="auto"/>
                <w:sz w:val="24"/>
                <w:szCs w:val="24"/>
                <w:highlight w:val="none"/>
                <w:u w:val="none"/>
                <w:lang w:val="en-US" w:eastAsia="zh-CN"/>
              </w:rPr>
              <w:t>开户许可证</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b/>
                <w:bCs/>
                <w:color w:val="auto"/>
                <w:sz w:val="24"/>
                <w:szCs w:val="24"/>
                <w:highlight w:val="none"/>
              </w:rPr>
              <w:t>信用信息报告（登录信用中国网址：https：//www.creditchina.gov.cn/搜索公司下载信用信息报告）</w:t>
            </w:r>
            <w:r>
              <w:rPr>
                <w:rFonts w:hint="eastAsia" w:ascii="宋体" w:hAnsi="宋体" w:eastAsia="宋体"/>
                <w:color w:val="auto"/>
                <w:sz w:val="24"/>
                <w:szCs w:val="24"/>
                <w:highlight w:val="none"/>
              </w:rPr>
              <w:t>（列入失信被执行人、重大税收违法失信主体、政府采购严重违法失信行为记录名单的，将被拒绝参与本次采购活动。）</w:t>
            </w:r>
          </w:p>
          <w:p w14:paraId="387D04BA">
            <w:pPr>
              <w:spacing w:line="480" w:lineRule="exact"/>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39DB10C4">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 1 月 1 日至比选申请截止日期开具的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材料的发票复印件。</w:t>
            </w:r>
          </w:p>
          <w:p w14:paraId="7B23C2EA">
            <w:pPr>
              <w:spacing w:line="400" w:lineRule="exact"/>
              <w:rPr>
                <w:rFonts w:hint="eastAsia"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年1月1日至比选申请截止日期至内完成过或承接过的单项合同金额达</w:t>
            </w:r>
            <w:r>
              <w:rPr>
                <w:rFonts w:hint="eastAsia" w:ascii="宋体" w:hAnsi="宋体" w:eastAsia="宋体"/>
                <w:color w:val="auto"/>
                <w:sz w:val="24"/>
                <w:szCs w:val="24"/>
                <w:lang w:val="en-US" w:eastAsia="zh-CN"/>
              </w:rPr>
              <w:t>45</w:t>
            </w:r>
            <w:r>
              <w:rPr>
                <w:rFonts w:hint="eastAsia" w:ascii="宋体" w:hAnsi="宋体" w:eastAsia="宋体"/>
                <w:color w:val="auto"/>
                <w:sz w:val="24"/>
                <w:szCs w:val="24"/>
              </w:rPr>
              <w:t>万元及以上的</w:t>
            </w:r>
            <w:r>
              <w:rPr>
                <w:rFonts w:hint="eastAsia" w:ascii="宋体" w:hAnsi="宋体" w:eastAsia="宋体"/>
                <w:color w:val="auto"/>
                <w:sz w:val="24"/>
                <w:szCs w:val="24"/>
                <w:lang w:val="en-US" w:eastAsia="zh-CN"/>
              </w:rPr>
              <w:t>瓷砖胶或界面剂</w:t>
            </w:r>
            <w:r>
              <w:rPr>
                <w:rFonts w:hint="eastAsia" w:ascii="宋体" w:hAnsi="宋体" w:eastAsia="宋体"/>
                <w:color w:val="auto"/>
                <w:sz w:val="24"/>
                <w:szCs w:val="24"/>
              </w:rPr>
              <w:t>材料的业绩合同。</w:t>
            </w:r>
          </w:p>
          <w:p w14:paraId="5DDA3E3F">
            <w:pPr>
              <w:spacing w:line="480" w:lineRule="exact"/>
              <w:jc w:val="left"/>
              <w:rPr>
                <w:rFonts w:ascii="宋体" w:hAnsi="宋体" w:eastAsia="宋体"/>
                <w:color w:val="auto"/>
                <w:sz w:val="24"/>
                <w:szCs w:val="24"/>
              </w:rPr>
            </w:pPr>
            <w:r>
              <w:rPr>
                <w:rFonts w:hint="eastAsia" w:ascii="宋体" w:hAnsi="宋体" w:eastAsia="宋体"/>
                <w:color w:val="auto"/>
                <w:sz w:val="24"/>
                <w:szCs w:val="24"/>
              </w:rPr>
              <w:t>提供下述材料之一即可：</w:t>
            </w:r>
          </w:p>
          <w:p w14:paraId="162612C5">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提供下述材料之一即可：①合同文件；②中标通知书。</w:t>
            </w:r>
          </w:p>
          <w:p w14:paraId="28A49436">
            <w:pPr>
              <w:spacing w:line="480" w:lineRule="exact"/>
              <w:jc w:val="left"/>
              <w:rPr>
                <w:rFonts w:hint="eastAsia" w:ascii="宋体" w:hAnsi="宋体" w:eastAsia="宋体"/>
                <w:color w:val="auto"/>
                <w:sz w:val="24"/>
                <w:szCs w:val="24"/>
              </w:rPr>
            </w:pPr>
            <w:r>
              <w:rPr>
                <w:rFonts w:hint="eastAsia" w:ascii="宋体" w:hAnsi="宋体" w:eastAsia="宋体"/>
                <w:color w:val="auto"/>
                <w:sz w:val="24"/>
                <w:szCs w:val="24"/>
              </w:rPr>
              <w:t>合同内容需体现具体工程内容、合同总价、签约日期。</w:t>
            </w:r>
          </w:p>
          <w:p w14:paraId="7D188204">
            <w:pPr>
              <w:spacing w:line="480" w:lineRule="exact"/>
              <w:jc w:val="left"/>
              <w:rPr>
                <w:rFonts w:ascii="宋体" w:hAnsi="宋体" w:eastAsia="宋体"/>
                <w:color w:val="auto"/>
                <w:sz w:val="24"/>
                <w:szCs w:val="24"/>
              </w:rPr>
            </w:pPr>
            <w:r>
              <w:rPr>
                <w:rFonts w:hint="eastAsia" w:ascii="宋体" w:hAnsi="宋体" w:eastAsia="宋体"/>
                <w:color w:val="auto"/>
                <w:sz w:val="24"/>
                <w:szCs w:val="24"/>
              </w:rPr>
              <w:t>所提供的材料须能明确反映类似项目特征，复印件加盖公章。</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3</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788C16E9">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1E568707">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29FE9435">
            <w:pPr>
              <w:spacing w:line="360" w:lineRule="auto"/>
              <w:jc w:val="left"/>
              <w:rPr>
                <w:rFonts w:hint="eastAsia"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auto"/>
                <w:sz w:val="24"/>
                <w:szCs w:val="24"/>
              </w:rPr>
              <w:t>比选申请人要将比选申请文件分别按资格审查文件、</w:t>
            </w:r>
            <w:r>
              <w:rPr>
                <w:rFonts w:hint="eastAsia" w:ascii="宋体" w:hAnsi="宋体" w:eastAsia="宋体"/>
                <w:b/>
                <w:color w:val="auto"/>
                <w:sz w:val="24"/>
                <w:szCs w:val="24"/>
                <w:lang w:val="en-US" w:eastAsia="zh-CN"/>
              </w:rPr>
              <w:t>技术</w:t>
            </w:r>
            <w:r>
              <w:rPr>
                <w:rFonts w:ascii="宋体" w:hAnsi="宋体" w:eastAsia="宋体"/>
                <w:b/>
                <w:color w:val="auto"/>
                <w:sz w:val="24"/>
                <w:szCs w:val="24"/>
              </w:rPr>
              <w:t>文件和</w:t>
            </w:r>
            <w:r>
              <w:rPr>
                <w:rFonts w:hint="eastAsia" w:ascii="宋体" w:hAnsi="宋体" w:eastAsia="宋体"/>
                <w:b/>
                <w:color w:val="auto"/>
                <w:sz w:val="24"/>
                <w:szCs w:val="24"/>
                <w:lang w:val="en-US" w:eastAsia="zh-CN"/>
              </w:rPr>
              <w:t>商务</w:t>
            </w:r>
            <w:r>
              <w:rPr>
                <w:rFonts w:ascii="宋体" w:hAnsi="宋体" w:eastAsia="宋体"/>
                <w:b/>
                <w:color w:val="auto"/>
                <w:sz w:val="24"/>
                <w:szCs w:val="2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hint="eastAsia" w:ascii="宋体" w:hAnsi="宋体" w:eastAsia="宋体"/>
                <w:color w:val="auto"/>
                <w:sz w:val="24"/>
                <w:szCs w:val="24"/>
                <w:lang w:eastAsia="zh-CN"/>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r>
              <w:rPr>
                <w:rFonts w:hint="eastAsia" w:ascii="宋体" w:hAnsi="宋体" w:eastAsia="宋体"/>
                <w:color w:val="auto"/>
                <w:sz w:val="24"/>
                <w:szCs w:val="24"/>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hint="eastAsia" w:ascii="宋体" w:hAnsi="宋体" w:eastAsiaTheme="minorEastAsia"/>
                <w:color w:val="auto"/>
                <w:sz w:val="24"/>
                <w:szCs w:val="24"/>
                <w:lang w:eastAsia="zh-CN"/>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r>
              <w:rPr>
                <w:rFonts w:hint="eastAsia"/>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u w:val="none"/>
              </w:rPr>
              <w:t>现场交底。</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w:t>
            </w:r>
            <w:r>
              <w:rPr>
                <w:rFonts w:hint="eastAsia" w:ascii="宋体" w:hAnsi="宋体" w:eastAsia="宋体"/>
                <w:color w:val="auto"/>
                <w:sz w:val="24"/>
                <w:szCs w:val="24"/>
                <w:lang w:val="en-US" w:eastAsia="zh-CN"/>
              </w:rPr>
              <w:t>按照</w:t>
            </w:r>
            <w:r>
              <w:rPr>
                <w:rFonts w:hint="eastAsia" w:ascii="宋体" w:hAnsi="宋体" w:eastAsia="宋体"/>
                <w:color w:val="auto"/>
                <w:sz w:val="24"/>
                <w:szCs w:val="24"/>
              </w:rPr>
              <w:t>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375039066"/>
      <w:bookmarkStart w:id="1" w:name="_Toc385427795"/>
      <w:bookmarkStart w:id="2" w:name="_Toc492478720"/>
      <w:bookmarkStart w:id="3" w:name="_Toc383891170"/>
      <w:bookmarkStart w:id="4" w:name="_Toc390098421"/>
      <w:bookmarkStart w:id="5" w:name="_Toc10653"/>
      <w:bookmarkStart w:id="6" w:name="_Toc22115"/>
      <w:bookmarkStart w:id="7" w:name="_Toc7797"/>
      <w:bookmarkStart w:id="8" w:name="_Toc12983507"/>
      <w:bookmarkStart w:id="9" w:name="_Toc29401"/>
      <w:bookmarkStart w:id="10" w:name="_Toc114134610"/>
      <w:bookmarkStart w:id="11" w:name="_Toc9929"/>
      <w:bookmarkStart w:id="12" w:name="_Toc24844"/>
      <w:bookmarkStart w:id="13" w:name="_Toc12940"/>
      <w:bookmarkStart w:id="14" w:name="_Toc25750593"/>
      <w:bookmarkStart w:id="15" w:name="_Toc31477"/>
      <w:bookmarkStart w:id="16" w:name="_Toc29859"/>
      <w:bookmarkStart w:id="17" w:name="_Toc307"/>
      <w:bookmarkStart w:id="18" w:name="_Toc17075"/>
      <w:bookmarkStart w:id="19" w:name="_Toc8288"/>
      <w:bookmarkStart w:id="20" w:name="_Toc17568"/>
      <w:bookmarkStart w:id="21" w:name="_Toc22845"/>
      <w:bookmarkStart w:id="22" w:name="_Toc25786"/>
      <w:bookmarkStart w:id="23" w:name="_Toc30498"/>
      <w:bookmarkStart w:id="24" w:name="_Toc7306"/>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25750600"/>
      <w:bookmarkStart w:id="26" w:name="_Toc2819"/>
      <w:bookmarkStart w:id="27" w:name="_Toc26680"/>
      <w:bookmarkStart w:id="28" w:name="_Toc26150"/>
      <w:bookmarkStart w:id="29" w:name="_Toc16435"/>
      <w:bookmarkStart w:id="30" w:name="_Toc16186"/>
      <w:bookmarkStart w:id="31" w:name="_Toc12983514"/>
      <w:bookmarkStart w:id="32" w:name="_Toc11259"/>
      <w:bookmarkStart w:id="33" w:name="_Toc12456"/>
      <w:bookmarkStart w:id="34" w:name="_Toc23794"/>
      <w:bookmarkStart w:id="35" w:name="_Toc492478727"/>
      <w:bookmarkStart w:id="36" w:name="_Toc29862"/>
      <w:bookmarkStart w:id="37" w:name="_Toc390098428"/>
      <w:bookmarkStart w:id="38" w:name="_Toc1733"/>
      <w:bookmarkStart w:id="39" w:name="_Toc375039073"/>
      <w:bookmarkStart w:id="40" w:name="_Toc114134617"/>
      <w:bookmarkStart w:id="41" w:name="_Toc20025"/>
      <w:bookmarkStart w:id="42" w:name="_Toc18350"/>
      <w:bookmarkStart w:id="43" w:name="_Toc4384"/>
      <w:bookmarkStart w:id="44" w:name="_Toc9592"/>
      <w:bookmarkStart w:id="45" w:name="_Toc383891177"/>
      <w:bookmarkStart w:id="46" w:name="_Toc21673"/>
      <w:bookmarkStart w:id="47" w:name="_Toc385427802"/>
      <w:bookmarkStart w:id="48" w:name="_Toc13418"/>
      <w:bookmarkStart w:id="49" w:name="_Toc12074"/>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26753"/>
      <w:bookmarkStart w:id="51" w:name="_Toc3492"/>
      <w:bookmarkStart w:id="52" w:name="_Toc25750601"/>
      <w:bookmarkStart w:id="53" w:name="_Toc15570"/>
      <w:bookmarkStart w:id="54" w:name="_Toc24857"/>
      <w:bookmarkStart w:id="55" w:name="_Toc114134618"/>
      <w:bookmarkStart w:id="56" w:name="_Toc22026"/>
      <w:bookmarkStart w:id="57" w:name="_Toc492478728"/>
      <w:bookmarkStart w:id="58" w:name="_Toc11040"/>
      <w:bookmarkStart w:id="59" w:name="_Toc28296"/>
      <w:bookmarkStart w:id="60" w:name="_Toc24935"/>
      <w:bookmarkStart w:id="61" w:name="_Toc385427803"/>
      <w:bookmarkStart w:id="62" w:name="_Toc6261"/>
      <w:bookmarkStart w:id="63" w:name="_Toc12983515"/>
      <w:bookmarkStart w:id="64" w:name="_Toc11161"/>
      <w:bookmarkStart w:id="65" w:name="_Toc28065"/>
      <w:bookmarkStart w:id="66" w:name="_Toc383891178"/>
      <w:bookmarkStart w:id="67" w:name="_Toc390098429"/>
      <w:bookmarkStart w:id="68" w:name="_Toc16237"/>
      <w:bookmarkStart w:id="69" w:name="_Toc9887"/>
      <w:bookmarkStart w:id="70" w:name="_Toc375039074"/>
      <w:bookmarkStart w:id="71" w:name="_Toc12207"/>
      <w:bookmarkStart w:id="72" w:name="_Toc19885"/>
      <w:bookmarkStart w:id="73" w:name="_Toc1047"/>
      <w:bookmarkStart w:id="74" w:name="_Toc25770"/>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3877"/>
      <w:bookmarkStart w:id="76" w:name="_Toc18149"/>
      <w:bookmarkStart w:id="77" w:name="_Toc375039075"/>
      <w:bookmarkStart w:id="78" w:name="_Toc30991"/>
      <w:bookmarkStart w:id="79" w:name="_Toc390098430"/>
      <w:bookmarkStart w:id="80" w:name="_Toc24760"/>
      <w:bookmarkStart w:id="81" w:name="_Toc29881"/>
      <w:bookmarkStart w:id="82" w:name="_Toc385427804"/>
      <w:bookmarkStart w:id="83" w:name="_Toc492478729"/>
      <w:bookmarkStart w:id="84" w:name="_Toc19681"/>
      <w:bookmarkStart w:id="85" w:name="_Toc3411"/>
      <w:bookmarkStart w:id="86" w:name="_Toc15809"/>
      <w:bookmarkStart w:id="87" w:name="_Toc23364"/>
      <w:bookmarkStart w:id="88" w:name="_Toc25750602"/>
      <w:bookmarkStart w:id="89" w:name="_Toc30356"/>
      <w:bookmarkStart w:id="90" w:name="_Toc383891179"/>
      <w:bookmarkStart w:id="91" w:name="_Toc28164"/>
      <w:bookmarkStart w:id="92" w:name="_Toc16307"/>
      <w:bookmarkStart w:id="93" w:name="_Toc23229"/>
      <w:bookmarkStart w:id="94" w:name="_Toc3464"/>
      <w:bookmarkStart w:id="95" w:name="_Toc12983516"/>
      <w:bookmarkStart w:id="96" w:name="_Toc14323"/>
      <w:bookmarkStart w:id="97" w:name="_Toc53"/>
      <w:bookmarkStart w:id="98" w:name="_Toc114134619"/>
      <w:bookmarkStart w:id="99" w:name="_Toc22476"/>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5750603"/>
      <w:bookmarkStart w:id="101" w:name="_Toc27194"/>
      <w:bookmarkStart w:id="102" w:name="_Toc15919"/>
      <w:bookmarkStart w:id="103" w:name="_Toc21144"/>
      <w:bookmarkStart w:id="104" w:name="_Toc20490"/>
      <w:bookmarkStart w:id="105" w:name="_Toc492478730"/>
      <w:bookmarkStart w:id="106" w:name="_Toc375039076"/>
      <w:bookmarkStart w:id="107" w:name="_Toc675"/>
      <w:bookmarkStart w:id="108" w:name="_Toc7608"/>
      <w:bookmarkStart w:id="109" w:name="_Toc23002"/>
      <w:bookmarkStart w:id="110" w:name="_Toc16783"/>
      <w:bookmarkStart w:id="111" w:name="_Toc385427805"/>
      <w:bookmarkStart w:id="112" w:name="_Toc2395"/>
      <w:bookmarkStart w:id="113" w:name="_Toc8151"/>
      <w:bookmarkStart w:id="114" w:name="_Toc3670"/>
      <w:bookmarkStart w:id="115" w:name="_Toc12983517"/>
      <w:bookmarkStart w:id="116" w:name="_Toc20248"/>
      <w:bookmarkStart w:id="117" w:name="_Toc390098431"/>
      <w:bookmarkStart w:id="118" w:name="_Toc14308"/>
      <w:bookmarkStart w:id="119" w:name="_Toc114134620"/>
      <w:bookmarkStart w:id="120" w:name="_Toc383891180"/>
      <w:bookmarkStart w:id="121" w:name="_Toc11211"/>
      <w:bookmarkStart w:id="122" w:name="_Toc15448"/>
      <w:bookmarkStart w:id="123" w:name="_Toc14630"/>
      <w:bookmarkStart w:id="124" w:name="_Toc27019"/>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25750604"/>
      <w:bookmarkStart w:id="126" w:name="_Toc9416"/>
      <w:bookmarkStart w:id="127" w:name="_Toc383891181"/>
      <w:bookmarkStart w:id="128" w:name="_Toc26974"/>
      <w:bookmarkStart w:id="129" w:name="_Toc24264"/>
      <w:bookmarkStart w:id="130" w:name="_Toc21084"/>
      <w:bookmarkStart w:id="131" w:name="_Toc17338"/>
      <w:bookmarkStart w:id="132" w:name="_Toc16653"/>
      <w:bookmarkStart w:id="133" w:name="_Toc6671"/>
      <w:bookmarkStart w:id="134" w:name="_Toc20685"/>
      <w:bookmarkStart w:id="135" w:name="_Toc3813"/>
      <w:bookmarkStart w:id="136" w:name="_Toc492478731"/>
      <w:bookmarkStart w:id="137" w:name="_Toc26482"/>
      <w:bookmarkStart w:id="138" w:name="_Toc7857"/>
      <w:bookmarkStart w:id="139" w:name="_Toc17379"/>
      <w:bookmarkStart w:id="140" w:name="_Toc390098432"/>
      <w:bookmarkStart w:id="141" w:name="_Toc114134621"/>
      <w:bookmarkStart w:id="142" w:name="_Toc22295"/>
      <w:bookmarkStart w:id="143" w:name="_Toc14123"/>
      <w:bookmarkStart w:id="144" w:name="_Toc3799"/>
      <w:bookmarkStart w:id="145" w:name="_Toc12983518"/>
      <w:bookmarkStart w:id="146" w:name="_Toc31743"/>
      <w:bookmarkStart w:id="147" w:name="_Toc17526"/>
      <w:bookmarkStart w:id="148" w:name="_Toc375039077"/>
      <w:bookmarkStart w:id="149" w:name="_Toc385427806"/>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1448"/>
      <w:bookmarkStart w:id="151" w:name="_Toc12947"/>
      <w:bookmarkStart w:id="152" w:name="_Toc390098433"/>
      <w:bookmarkStart w:id="153" w:name="_Toc25459"/>
      <w:bookmarkStart w:id="154" w:name="_Toc12762"/>
      <w:bookmarkStart w:id="155" w:name="_Toc1664"/>
      <w:bookmarkStart w:id="156" w:name="_Toc7428"/>
      <w:bookmarkStart w:id="157" w:name="_Toc20156"/>
      <w:bookmarkStart w:id="158" w:name="_Toc21706"/>
      <w:bookmarkStart w:id="159" w:name="_Toc5836"/>
      <w:bookmarkStart w:id="160" w:name="_Toc15940"/>
      <w:bookmarkStart w:id="161" w:name="_Toc12983519"/>
      <w:bookmarkStart w:id="162" w:name="_Toc21430"/>
      <w:bookmarkStart w:id="163" w:name="_Toc375039078"/>
      <w:bookmarkStart w:id="164" w:name="_Toc385427807"/>
      <w:bookmarkStart w:id="165" w:name="_Toc18875"/>
      <w:bookmarkStart w:id="166" w:name="_Toc2710"/>
      <w:bookmarkStart w:id="167" w:name="_Toc26064"/>
      <w:bookmarkStart w:id="168" w:name="_Toc28476"/>
      <w:bookmarkStart w:id="169" w:name="_Toc10220"/>
      <w:bookmarkStart w:id="170" w:name="_Toc25750605"/>
      <w:bookmarkStart w:id="171" w:name="_Toc114134622"/>
      <w:bookmarkStart w:id="172" w:name="_Toc492478732"/>
      <w:bookmarkStart w:id="173" w:name="_Toc383891182"/>
      <w:bookmarkStart w:id="174" w:name="_Toc28880"/>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2268"/>
      <w:bookmarkStart w:id="176" w:name="_Toc23114"/>
      <w:bookmarkStart w:id="177" w:name="_Toc30499"/>
      <w:bookmarkStart w:id="178" w:name="_Toc375039082"/>
      <w:bookmarkStart w:id="179" w:name="_Toc10918"/>
      <w:bookmarkStart w:id="180" w:name="_Toc385427811"/>
      <w:bookmarkStart w:id="181" w:name="_Toc20493"/>
      <w:bookmarkStart w:id="182" w:name="_Toc25750607"/>
      <w:bookmarkStart w:id="183" w:name="_Toc114134624"/>
      <w:bookmarkStart w:id="184" w:name="_Toc28555"/>
      <w:bookmarkStart w:id="185" w:name="_Toc24656"/>
      <w:bookmarkStart w:id="186" w:name="_Toc691"/>
      <w:bookmarkStart w:id="187" w:name="_Toc390098437"/>
      <w:bookmarkStart w:id="188" w:name="_Toc5690"/>
      <w:bookmarkStart w:id="189" w:name="_Toc28997"/>
      <w:bookmarkStart w:id="190" w:name="_Toc9117"/>
      <w:bookmarkStart w:id="191" w:name="_Toc845"/>
      <w:bookmarkStart w:id="192" w:name="_Toc20070"/>
      <w:bookmarkStart w:id="193" w:name="_Toc383891186"/>
      <w:bookmarkStart w:id="194" w:name="_Toc12983521"/>
      <w:bookmarkStart w:id="195" w:name="_Toc492478736"/>
      <w:bookmarkStart w:id="196" w:name="_Toc1604"/>
      <w:bookmarkStart w:id="197" w:name="_Toc20643"/>
      <w:bookmarkStart w:id="198" w:name="_Toc4433"/>
      <w:bookmarkStart w:id="199" w:name="_Toc7808"/>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25468"/>
      <w:bookmarkStart w:id="201" w:name="_Toc4216"/>
      <w:bookmarkStart w:id="202" w:name="_Toc12435"/>
      <w:bookmarkStart w:id="203" w:name="_Toc8100"/>
      <w:bookmarkStart w:id="204" w:name="_Toc14672"/>
      <w:bookmarkStart w:id="205" w:name="_Toc32525"/>
      <w:bookmarkStart w:id="206" w:name="_Toc19603"/>
      <w:bookmarkStart w:id="207" w:name="_Toc6065"/>
      <w:bookmarkStart w:id="208" w:name="_Toc32020"/>
      <w:bookmarkStart w:id="209" w:name="_Toc19044"/>
      <w:bookmarkStart w:id="210" w:name="_Toc492478737"/>
      <w:bookmarkStart w:id="211" w:name="_Toc390098438"/>
      <w:bookmarkStart w:id="212" w:name="_Toc27730"/>
      <w:bookmarkStart w:id="213" w:name="_Toc12506"/>
      <w:bookmarkStart w:id="214" w:name="_Toc3414"/>
      <w:bookmarkStart w:id="215" w:name="_Toc12983522"/>
      <w:bookmarkStart w:id="216" w:name="_Toc301"/>
      <w:bookmarkStart w:id="217" w:name="_Toc385427812"/>
      <w:bookmarkStart w:id="218" w:name="_Toc375039083"/>
      <w:bookmarkStart w:id="219" w:name="_Toc29108"/>
      <w:bookmarkStart w:id="220" w:name="_Toc25684"/>
      <w:bookmarkStart w:id="221" w:name="_Toc383891187"/>
      <w:bookmarkStart w:id="222" w:name="_Toc24922"/>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3891188"/>
      <w:bookmarkStart w:id="224" w:name="_Toc375039084"/>
      <w:bookmarkStart w:id="225" w:name="_Toc385427813"/>
      <w:bookmarkStart w:id="226" w:name="_Toc390098439"/>
      <w:bookmarkStart w:id="227" w:name="_Toc26551"/>
      <w:bookmarkStart w:id="228" w:name="_Toc30452"/>
      <w:bookmarkStart w:id="229" w:name="_Toc30962"/>
      <w:bookmarkStart w:id="230" w:name="_Toc6101"/>
      <w:bookmarkStart w:id="231" w:name="_Toc15116"/>
      <w:bookmarkStart w:id="232" w:name="_Toc30187"/>
      <w:bookmarkStart w:id="233" w:name="_Toc2975"/>
      <w:bookmarkStart w:id="234" w:name="_Toc2113"/>
      <w:bookmarkStart w:id="235" w:name="_Toc32054"/>
      <w:bookmarkStart w:id="236" w:name="_Toc114134625"/>
      <w:bookmarkStart w:id="237" w:name="_Toc492478738"/>
      <w:bookmarkStart w:id="238" w:name="_Toc10234"/>
      <w:bookmarkStart w:id="239" w:name="_Toc18322"/>
      <w:bookmarkStart w:id="240" w:name="_Toc1952"/>
      <w:bookmarkStart w:id="241" w:name="_Toc16409"/>
      <w:bookmarkStart w:id="242" w:name="_Toc26776"/>
      <w:bookmarkStart w:id="243" w:name="_Toc759"/>
      <w:bookmarkStart w:id="244" w:name="_Toc12983523"/>
      <w:bookmarkStart w:id="245" w:name="_Toc1315"/>
      <w:bookmarkStart w:id="246" w:name="_Toc23177"/>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26249"/>
      <w:bookmarkStart w:id="248" w:name="_Toc24648"/>
      <w:bookmarkStart w:id="249" w:name="_Toc15071"/>
      <w:bookmarkStart w:id="250" w:name="_Toc13829"/>
      <w:bookmarkStart w:id="251" w:name="_Toc492478739"/>
      <w:bookmarkStart w:id="252" w:name="_Toc5922"/>
      <w:bookmarkStart w:id="253" w:name="_Toc13875"/>
      <w:bookmarkStart w:id="254" w:name="_Toc15735"/>
      <w:bookmarkStart w:id="255" w:name="_Toc15650"/>
      <w:bookmarkStart w:id="256" w:name="_Toc17200"/>
      <w:bookmarkStart w:id="257" w:name="_Toc383891189"/>
      <w:bookmarkStart w:id="258" w:name="_Toc30196"/>
      <w:bookmarkStart w:id="259" w:name="_Toc18616"/>
      <w:bookmarkStart w:id="260" w:name="_Toc13621"/>
      <w:bookmarkStart w:id="261" w:name="_Toc15663"/>
      <w:bookmarkStart w:id="262" w:name="_Toc12117"/>
      <w:bookmarkStart w:id="263" w:name="_Toc19495"/>
      <w:bookmarkStart w:id="264" w:name="_Toc114134626"/>
      <w:bookmarkStart w:id="265" w:name="_Toc12983524"/>
      <w:bookmarkStart w:id="266" w:name="_Toc25750609"/>
      <w:bookmarkStart w:id="267" w:name="_Toc390098440"/>
      <w:bookmarkStart w:id="268" w:name="_Toc9307"/>
      <w:bookmarkStart w:id="269" w:name="_Toc12329"/>
      <w:bookmarkStart w:id="270" w:name="_Toc375039085"/>
      <w:bookmarkStart w:id="271" w:name="_Toc385427814"/>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3891190"/>
      <w:bookmarkStart w:id="273" w:name="_Toc375039086"/>
      <w:bookmarkStart w:id="274" w:name="_Toc390098441"/>
      <w:bookmarkStart w:id="275" w:name="_Toc385427815"/>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16266"/>
      <w:bookmarkStart w:id="277" w:name="_Toc2337"/>
      <w:bookmarkStart w:id="278" w:name="_Toc32760"/>
      <w:bookmarkStart w:id="279" w:name="_Toc13883"/>
      <w:bookmarkStart w:id="280" w:name="_Toc25750610"/>
      <w:bookmarkStart w:id="281" w:name="_Toc11255"/>
      <w:bookmarkStart w:id="282" w:name="_Toc22180"/>
      <w:bookmarkStart w:id="283" w:name="_Toc4735"/>
      <w:bookmarkStart w:id="284" w:name="_Toc12983525"/>
      <w:bookmarkStart w:id="285" w:name="_Toc23859"/>
      <w:bookmarkStart w:id="286" w:name="_Toc492478740"/>
      <w:bookmarkStart w:id="287" w:name="_Toc22445"/>
      <w:bookmarkStart w:id="288" w:name="_Toc114134627"/>
      <w:bookmarkStart w:id="289" w:name="_Toc11039"/>
      <w:bookmarkStart w:id="290" w:name="_Toc16818"/>
      <w:bookmarkStart w:id="291" w:name="_Toc6339"/>
      <w:bookmarkStart w:id="292" w:name="_Toc28071"/>
      <w:bookmarkStart w:id="293" w:name="_Toc11096"/>
      <w:bookmarkStart w:id="294" w:name="_Toc642"/>
      <w:bookmarkStart w:id="295" w:name="_Toc16755"/>
      <w:bookmarkStart w:id="296" w:name="_Toc6482"/>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14239"/>
      <w:bookmarkStart w:id="298" w:name="_Toc32252"/>
      <w:bookmarkStart w:id="299" w:name="_Toc324"/>
      <w:bookmarkStart w:id="300" w:name="_Toc15252"/>
      <w:bookmarkStart w:id="301" w:name="_Toc3597"/>
      <w:bookmarkStart w:id="302" w:name="_Toc13581"/>
      <w:bookmarkStart w:id="303" w:name="_Toc9522"/>
      <w:bookmarkStart w:id="304" w:name="_Toc29066"/>
      <w:bookmarkStart w:id="305" w:name="_Toc12983526"/>
      <w:bookmarkStart w:id="306" w:name="_Toc23404"/>
      <w:bookmarkStart w:id="307" w:name="_Toc385427816"/>
      <w:bookmarkStart w:id="308" w:name="_Toc383891191"/>
      <w:bookmarkStart w:id="309" w:name="_Toc492478741"/>
      <w:bookmarkStart w:id="310" w:name="_Toc375039087"/>
      <w:bookmarkStart w:id="311" w:name="_Toc25750611"/>
      <w:bookmarkStart w:id="312" w:name="_Toc22945"/>
      <w:bookmarkStart w:id="313" w:name="_Toc32621"/>
      <w:bookmarkStart w:id="314" w:name="_Toc26431"/>
      <w:bookmarkStart w:id="315" w:name="_Toc21960"/>
      <w:bookmarkStart w:id="316" w:name="_Toc390098442"/>
      <w:bookmarkStart w:id="317" w:name="_Toc114134628"/>
      <w:bookmarkStart w:id="318" w:name="_Toc11373"/>
      <w:bookmarkStart w:id="319" w:name="_Toc29473"/>
      <w:bookmarkStart w:id="320" w:name="_Toc2226"/>
      <w:bookmarkStart w:id="321" w:name="_Toc10818"/>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31033"/>
      <w:bookmarkStart w:id="323" w:name="_Toc385427817"/>
      <w:bookmarkStart w:id="324" w:name="_Toc492478742"/>
      <w:bookmarkStart w:id="325" w:name="_Toc114134629"/>
      <w:bookmarkStart w:id="326" w:name="_Toc383891192"/>
      <w:bookmarkStart w:id="327" w:name="_Toc29208"/>
      <w:bookmarkStart w:id="328" w:name="_Toc375039088"/>
      <w:bookmarkStart w:id="329" w:name="_Toc14522"/>
      <w:bookmarkStart w:id="330" w:name="_Toc9706"/>
      <w:bookmarkStart w:id="331" w:name="_Toc12682"/>
      <w:bookmarkStart w:id="332" w:name="_Toc243"/>
      <w:bookmarkStart w:id="333" w:name="_Toc26282"/>
      <w:bookmarkStart w:id="334" w:name="_Toc14411"/>
      <w:bookmarkStart w:id="335" w:name="_Toc28452"/>
      <w:bookmarkStart w:id="336" w:name="_Toc17797"/>
      <w:bookmarkStart w:id="337" w:name="_Toc21796"/>
      <w:bookmarkStart w:id="338" w:name="_Toc27195"/>
      <w:bookmarkStart w:id="339" w:name="_Toc25427"/>
      <w:bookmarkStart w:id="340" w:name="_Toc390098443"/>
      <w:bookmarkStart w:id="341" w:name="_Toc8636"/>
      <w:bookmarkStart w:id="342" w:name="_Toc12983527"/>
      <w:bookmarkStart w:id="343" w:name="_Toc4605"/>
      <w:bookmarkStart w:id="344" w:name="_Toc24030"/>
      <w:bookmarkStart w:id="345" w:name="_Toc25750612"/>
      <w:bookmarkStart w:id="346" w:name="_Toc23449"/>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390098444"/>
      <w:bookmarkStart w:id="348" w:name="_Toc28694"/>
      <w:bookmarkStart w:id="349" w:name="_Toc10325"/>
      <w:bookmarkStart w:id="350" w:name="_Toc31978"/>
      <w:bookmarkStart w:id="351" w:name="_Toc24485"/>
      <w:bookmarkStart w:id="352" w:name="_Toc22587"/>
      <w:bookmarkStart w:id="353" w:name="_Toc29264"/>
      <w:bookmarkStart w:id="354" w:name="_Toc383891193"/>
      <w:bookmarkStart w:id="355" w:name="_Toc5592"/>
      <w:bookmarkStart w:id="356" w:name="_Toc12182"/>
      <w:bookmarkStart w:id="357" w:name="_Toc25433"/>
      <w:bookmarkStart w:id="358" w:name="_Toc9549"/>
      <w:bookmarkStart w:id="359" w:name="_Toc12983528"/>
      <w:bookmarkStart w:id="360" w:name="_Toc18076"/>
      <w:bookmarkStart w:id="361" w:name="_Toc9728"/>
      <w:bookmarkStart w:id="362" w:name="_Toc4291"/>
      <w:bookmarkStart w:id="363" w:name="_Toc2306"/>
      <w:bookmarkStart w:id="364" w:name="_Toc11529"/>
      <w:bookmarkStart w:id="365" w:name="_Toc16856"/>
      <w:bookmarkStart w:id="366" w:name="_Toc375039089"/>
      <w:bookmarkStart w:id="367" w:name="_Toc3006"/>
      <w:bookmarkStart w:id="368" w:name="_Toc492478743"/>
      <w:bookmarkStart w:id="369" w:name="_Toc38542781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12983529"/>
      <w:bookmarkStart w:id="372" w:name="_Toc9309"/>
      <w:bookmarkStart w:id="373" w:name="_Toc4674"/>
      <w:bookmarkStart w:id="374" w:name="_Toc6377"/>
      <w:bookmarkStart w:id="375" w:name="_Toc4638"/>
      <w:bookmarkStart w:id="376" w:name="_Toc492478744"/>
      <w:bookmarkStart w:id="377" w:name="_Toc25116"/>
      <w:bookmarkStart w:id="378" w:name="_Toc4365"/>
      <w:bookmarkStart w:id="379" w:name="_Toc10292"/>
      <w:bookmarkStart w:id="380" w:name="_Toc24196"/>
      <w:bookmarkStart w:id="381" w:name="_Toc10883"/>
      <w:bookmarkStart w:id="382" w:name="_Toc4825"/>
      <w:bookmarkStart w:id="383" w:name="_Toc385427819"/>
      <w:bookmarkStart w:id="384" w:name="_Toc895"/>
      <w:bookmarkStart w:id="385" w:name="_Toc23705"/>
      <w:bookmarkStart w:id="386" w:name="_Toc9264"/>
      <w:bookmarkStart w:id="387" w:name="_Toc18919"/>
      <w:bookmarkStart w:id="388" w:name="_Toc6974"/>
      <w:bookmarkStart w:id="389" w:name="_Toc375039090"/>
      <w:bookmarkStart w:id="390" w:name="_Toc5182"/>
      <w:bookmarkStart w:id="391" w:name="_Toc6839"/>
      <w:bookmarkStart w:id="392" w:name="_Toc383891194"/>
      <w:bookmarkStart w:id="393" w:name="_Toc390098445"/>
      <w:bookmarkStart w:id="394" w:name="_Toc25750614"/>
      <w:bookmarkStart w:id="395" w:name="_Toc114134631"/>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75039091"/>
      <w:bookmarkStart w:id="397" w:name="_Toc390098446"/>
      <w:bookmarkStart w:id="398" w:name="_Toc383891195"/>
      <w:bookmarkStart w:id="399" w:name="_Toc385427820"/>
      <w:bookmarkStart w:id="400" w:name="_Toc114134632"/>
      <w:bookmarkStart w:id="401" w:name="_Toc24687"/>
      <w:bookmarkStart w:id="402" w:name="_Toc16601"/>
      <w:bookmarkStart w:id="403" w:name="_Toc17785"/>
      <w:bookmarkStart w:id="404" w:name="_Toc21819"/>
      <w:bookmarkStart w:id="405" w:name="_Toc25270"/>
      <w:bookmarkStart w:id="406" w:name="_Toc11263"/>
      <w:bookmarkStart w:id="407" w:name="_Toc16068"/>
      <w:bookmarkStart w:id="408" w:name="_Toc30671"/>
      <w:bookmarkStart w:id="409" w:name="_Toc5267"/>
      <w:bookmarkStart w:id="410" w:name="_Toc13202"/>
      <w:bookmarkStart w:id="411" w:name="_Toc23699"/>
      <w:bookmarkStart w:id="412" w:name="_Toc11013"/>
      <w:bookmarkStart w:id="413" w:name="_Toc25750615"/>
      <w:bookmarkStart w:id="414" w:name="_Toc12983530"/>
      <w:bookmarkStart w:id="415" w:name="_Toc15466"/>
      <w:bookmarkStart w:id="416" w:name="_Toc9391"/>
      <w:bookmarkStart w:id="417" w:name="_Toc24630"/>
      <w:bookmarkStart w:id="418" w:name="_Toc492478745"/>
      <w:bookmarkStart w:id="419" w:name="_Toc1920"/>
      <w:bookmarkStart w:id="420" w:name="_Toc27636"/>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9929"/>
      <w:bookmarkStart w:id="423" w:name="_Toc18063"/>
      <w:bookmarkStart w:id="424" w:name="_Toc27570"/>
      <w:bookmarkStart w:id="425" w:name="_Toc385427821"/>
      <w:bookmarkStart w:id="426" w:name="_Toc25047"/>
      <w:bookmarkStart w:id="427" w:name="_Toc11716"/>
      <w:bookmarkStart w:id="428" w:name="_Toc24755"/>
      <w:bookmarkStart w:id="429" w:name="_Toc833"/>
      <w:bookmarkStart w:id="430" w:name="_Toc13421"/>
      <w:bookmarkStart w:id="431" w:name="_Toc5386"/>
      <w:bookmarkStart w:id="432" w:name="_Toc12983531"/>
      <w:bookmarkStart w:id="433" w:name="_Toc8295"/>
      <w:bookmarkStart w:id="434" w:name="_Toc25750616"/>
      <w:bookmarkStart w:id="435" w:name="_Toc26137"/>
      <w:bookmarkStart w:id="436" w:name="_Toc390098447"/>
      <w:bookmarkStart w:id="437" w:name="_Toc15"/>
      <w:bookmarkStart w:id="438" w:name="_Toc114134633"/>
      <w:bookmarkStart w:id="439" w:name="_Toc383891196"/>
      <w:bookmarkStart w:id="440" w:name="_Toc1456"/>
      <w:bookmarkStart w:id="441" w:name="_Toc14719"/>
      <w:bookmarkStart w:id="442" w:name="_Toc375039093"/>
      <w:bookmarkStart w:id="443" w:name="_Toc18803"/>
      <w:bookmarkStart w:id="444" w:name="_Toc16072"/>
      <w:bookmarkStart w:id="445" w:name="_Toc492478746"/>
      <w:bookmarkStart w:id="446" w:name="_Toc17980"/>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9504"/>
      <w:bookmarkStart w:id="448" w:name="_Toc12671"/>
      <w:bookmarkStart w:id="449" w:name="_Toc7858"/>
      <w:bookmarkStart w:id="450" w:name="_Toc9602"/>
      <w:bookmarkStart w:id="451" w:name="_Toc12555"/>
      <w:bookmarkStart w:id="452" w:name="_Toc492478747"/>
      <w:bookmarkStart w:id="453" w:name="_Toc15988"/>
      <w:bookmarkStart w:id="454" w:name="_Toc21167"/>
      <w:bookmarkStart w:id="455" w:name="_Toc12909"/>
      <w:bookmarkStart w:id="456" w:name="_Toc30207"/>
      <w:bookmarkStart w:id="457" w:name="_Toc385427822"/>
      <w:bookmarkStart w:id="458" w:name="_Toc654"/>
      <w:bookmarkStart w:id="459" w:name="_Toc114134634"/>
      <w:bookmarkStart w:id="460" w:name="_Toc25734"/>
      <w:bookmarkStart w:id="461" w:name="_Toc383891197"/>
      <w:bookmarkStart w:id="462" w:name="_Toc12960"/>
      <w:bookmarkStart w:id="463" w:name="_Toc19810"/>
      <w:bookmarkStart w:id="464" w:name="_Toc9941"/>
      <w:bookmarkStart w:id="465" w:name="_Toc25750617"/>
      <w:bookmarkStart w:id="466" w:name="_Toc20523"/>
      <w:bookmarkStart w:id="467" w:name="_Toc390098448"/>
      <w:bookmarkStart w:id="468" w:name="_Toc18515"/>
      <w:bookmarkStart w:id="469" w:name="_Toc16963"/>
      <w:bookmarkStart w:id="470" w:name="_Toc12983532"/>
      <w:bookmarkStart w:id="471" w:name="_Toc378514937"/>
      <w:bookmarkStart w:id="472" w:name="_Toc294723156"/>
      <w:bookmarkStart w:id="473" w:name="_Toc375039094"/>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8701"/>
      <w:bookmarkStart w:id="475" w:name="_Toc13768"/>
      <w:bookmarkStart w:id="476" w:name="_Toc5983"/>
      <w:bookmarkStart w:id="477" w:name="_Toc14799"/>
      <w:bookmarkStart w:id="478" w:name="_Toc23267"/>
      <w:bookmarkStart w:id="479" w:name="_Toc1983"/>
      <w:bookmarkStart w:id="480" w:name="_Toc390098449"/>
      <w:bookmarkStart w:id="481" w:name="_Toc27670"/>
      <w:bookmarkStart w:id="482" w:name="_Toc14860"/>
      <w:bookmarkStart w:id="483" w:name="_Toc383891198"/>
      <w:bookmarkStart w:id="484" w:name="_Toc13743"/>
      <w:bookmarkStart w:id="485" w:name="_Toc385427823"/>
      <w:bookmarkStart w:id="486" w:name="_Toc28898"/>
      <w:bookmarkStart w:id="487" w:name="_Toc12983533"/>
      <w:bookmarkStart w:id="488" w:name="_Toc492478748"/>
      <w:bookmarkStart w:id="489" w:name="_Toc8827"/>
      <w:bookmarkStart w:id="490" w:name="_Toc25750618"/>
      <w:bookmarkStart w:id="491" w:name="_Toc114134635"/>
      <w:bookmarkStart w:id="492" w:name="_Toc22510"/>
      <w:bookmarkStart w:id="493" w:name="_Toc6624"/>
      <w:bookmarkStart w:id="494" w:name="_Toc24327"/>
      <w:bookmarkStart w:id="495" w:name="_Toc28843"/>
      <w:bookmarkStart w:id="496" w:name="_Toc11077"/>
      <w:bookmarkStart w:id="497" w:name="_Toc30429"/>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4397"/>
      <w:bookmarkStart w:id="499" w:name="_Toc12983534"/>
      <w:bookmarkStart w:id="500" w:name="_Toc6908"/>
      <w:bookmarkStart w:id="501" w:name="_Toc5607"/>
      <w:bookmarkStart w:id="502" w:name="_Toc28992"/>
      <w:bookmarkStart w:id="503" w:name="_Toc30017"/>
      <w:bookmarkStart w:id="504" w:name="_Toc114134636"/>
      <w:bookmarkStart w:id="505" w:name="_Toc1915"/>
      <w:bookmarkStart w:id="506" w:name="_Toc29146"/>
      <w:bookmarkStart w:id="507" w:name="_Toc492478749"/>
      <w:bookmarkStart w:id="508" w:name="_Toc16884"/>
      <w:bookmarkStart w:id="509" w:name="_Toc25750619"/>
      <w:bookmarkStart w:id="510" w:name="_Toc26070"/>
      <w:bookmarkStart w:id="511" w:name="_Toc20519"/>
      <w:bookmarkStart w:id="512" w:name="_Toc9040"/>
      <w:bookmarkStart w:id="513" w:name="_Toc22681"/>
      <w:bookmarkStart w:id="514" w:name="_Toc385427824"/>
      <w:bookmarkStart w:id="515" w:name="_Toc390098450"/>
      <w:bookmarkStart w:id="516" w:name="_Toc26318"/>
      <w:bookmarkStart w:id="517" w:name="_Toc5437"/>
      <w:bookmarkStart w:id="518" w:name="_Toc18093"/>
      <w:bookmarkStart w:id="519" w:name="_Toc5926"/>
      <w:bookmarkStart w:id="520" w:name="_Toc383891199"/>
      <w:bookmarkStart w:id="521" w:name="_Toc12795"/>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3808"/>
      <w:bookmarkStart w:id="523" w:name="_Toc20874"/>
      <w:bookmarkStart w:id="524" w:name="_Toc26239"/>
      <w:bookmarkStart w:id="525" w:name="_Toc19477"/>
      <w:bookmarkStart w:id="526" w:name="_Toc492478750"/>
      <w:bookmarkStart w:id="527" w:name="_Toc385427825"/>
      <w:bookmarkStart w:id="528" w:name="_Toc29398"/>
      <w:bookmarkStart w:id="529" w:name="_Toc23956"/>
      <w:bookmarkStart w:id="530" w:name="_Toc22146"/>
      <w:bookmarkStart w:id="531" w:name="_Toc31646"/>
      <w:bookmarkStart w:id="532" w:name="_Toc1027"/>
      <w:bookmarkStart w:id="533" w:name="_Toc25750620"/>
      <w:bookmarkStart w:id="534" w:name="_Toc21468"/>
      <w:bookmarkStart w:id="535" w:name="_Toc12167"/>
      <w:bookmarkStart w:id="536" w:name="_Toc20810"/>
      <w:bookmarkStart w:id="537" w:name="_Toc15051"/>
      <w:bookmarkStart w:id="538" w:name="_Toc17236"/>
      <w:bookmarkStart w:id="539" w:name="_Toc383891200"/>
      <w:bookmarkStart w:id="540" w:name="_Toc22063"/>
      <w:bookmarkStart w:id="541" w:name="_Toc12983535"/>
      <w:bookmarkStart w:id="542" w:name="_Toc114134637"/>
      <w:bookmarkStart w:id="543" w:name="_Toc23999"/>
      <w:bookmarkStart w:id="544" w:name="_Toc20912"/>
      <w:bookmarkStart w:id="545" w:name="_Toc390098451"/>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9737"/>
      <w:bookmarkStart w:id="547" w:name="_Toc29276"/>
      <w:bookmarkStart w:id="548" w:name="_Toc22994"/>
      <w:bookmarkStart w:id="549" w:name="_Toc23907"/>
      <w:bookmarkStart w:id="550" w:name="_Toc383891201"/>
      <w:bookmarkStart w:id="551" w:name="_Toc492478751"/>
      <w:bookmarkStart w:id="552" w:name="_Toc27112"/>
      <w:bookmarkStart w:id="553" w:name="_Toc24176"/>
      <w:bookmarkStart w:id="554" w:name="_Toc3258"/>
      <w:bookmarkStart w:id="555" w:name="_Toc390098452"/>
      <w:bookmarkStart w:id="556" w:name="_Toc114134638"/>
      <w:bookmarkStart w:id="557" w:name="_Toc19936"/>
      <w:bookmarkStart w:id="558" w:name="_Toc1004"/>
      <w:bookmarkStart w:id="559" w:name="_Toc16418"/>
      <w:bookmarkStart w:id="560" w:name="_Toc4958"/>
      <w:bookmarkStart w:id="561" w:name="_Toc385427826"/>
      <w:bookmarkStart w:id="562" w:name="_Toc20854"/>
      <w:bookmarkStart w:id="563" w:name="_Toc20881"/>
      <w:bookmarkStart w:id="564" w:name="_Toc9812"/>
      <w:bookmarkStart w:id="565" w:name="_Toc25750621"/>
      <w:bookmarkStart w:id="566" w:name="_Toc20444"/>
      <w:bookmarkStart w:id="567" w:name="_Toc8959"/>
      <w:bookmarkStart w:id="568" w:name="_Toc12983536"/>
      <w:bookmarkStart w:id="569" w:name="_Toc5319"/>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450"/>
      <w:bookmarkStart w:id="571" w:name="_Toc3358"/>
      <w:bookmarkStart w:id="572" w:name="_Toc19322"/>
      <w:bookmarkStart w:id="573" w:name="_Toc17460"/>
      <w:bookmarkStart w:id="574" w:name="_Toc12983537"/>
      <w:bookmarkStart w:id="575" w:name="_Toc25750622"/>
      <w:bookmarkStart w:id="576" w:name="_Toc27803"/>
      <w:bookmarkStart w:id="577" w:name="_Toc22500"/>
      <w:bookmarkStart w:id="578" w:name="_Toc114134639"/>
      <w:bookmarkStart w:id="579" w:name="_Toc492478752"/>
      <w:bookmarkStart w:id="580" w:name="_Toc390098453"/>
      <w:bookmarkStart w:id="581" w:name="_Toc11010"/>
      <w:bookmarkStart w:id="582" w:name="_Toc14300"/>
      <w:bookmarkStart w:id="583" w:name="_Toc15146"/>
      <w:bookmarkStart w:id="584" w:name="_Toc385427827"/>
      <w:bookmarkStart w:id="585" w:name="_Toc11657"/>
      <w:bookmarkStart w:id="586" w:name="_Toc32344"/>
      <w:bookmarkStart w:id="587" w:name="_Toc383891202"/>
      <w:bookmarkStart w:id="588" w:name="_Toc8845"/>
      <w:bookmarkStart w:id="589" w:name="_Toc28489"/>
      <w:bookmarkStart w:id="590" w:name="_Toc31774"/>
      <w:bookmarkStart w:id="591" w:name="_Toc507"/>
      <w:bookmarkStart w:id="592" w:name="_Toc27289"/>
      <w:bookmarkStart w:id="593" w:name="_Toc8074"/>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37"/>
      <w:bookmarkStart w:id="595" w:name="_Toc385427828"/>
      <w:bookmarkStart w:id="596" w:name="_Toc18192"/>
      <w:bookmarkStart w:id="597" w:name="_Toc15932"/>
      <w:bookmarkStart w:id="598" w:name="_Toc14042"/>
      <w:bookmarkStart w:id="599" w:name="_Toc3761"/>
      <w:bookmarkStart w:id="600" w:name="_Toc383891203"/>
      <w:bookmarkStart w:id="601" w:name="_Toc21947"/>
      <w:bookmarkStart w:id="602" w:name="_Toc17823"/>
      <w:bookmarkStart w:id="603" w:name="_Toc21142"/>
      <w:bookmarkStart w:id="604" w:name="_Toc27664"/>
      <w:bookmarkStart w:id="605" w:name="_Toc1215"/>
      <w:bookmarkStart w:id="606" w:name="_Toc22182"/>
      <w:bookmarkStart w:id="607" w:name="_Toc5257"/>
      <w:bookmarkStart w:id="608" w:name="_Toc375039095"/>
      <w:bookmarkStart w:id="609" w:name="_Toc19634"/>
      <w:bookmarkStart w:id="610" w:name="_Toc26470"/>
      <w:bookmarkStart w:id="611" w:name="_Toc390098454"/>
      <w:bookmarkStart w:id="612" w:name="_Toc5172"/>
      <w:bookmarkStart w:id="613" w:name="_Toc492478753"/>
      <w:bookmarkStart w:id="614" w:name="_Toc12983538"/>
      <w:bookmarkStart w:id="615" w:name="_Toc13986"/>
      <w:bookmarkStart w:id="616" w:name="_Toc16732"/>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492478754"/>
      <w:bookmarkStart w:id="620" w:name="_Toc2422"/>
      <w:bookmarkStart w:id="621" w:name="_Toc383891204"/>
      <w:bookmarkStart w:id="622" w:name="_Toc12031"/>
      <w:bookmarkStart w:id="623" w:name="_Toc375039096"/>
      <w:bookmarkStart w:id="624" w:name="_Toc10962"/>
      <w:bookmarkStart w:id="625" w:name="_Toc25257"/>
      <w:bookmarkStart w:id="626" w:name="_Toc1116"/>
      <w:bookmarkStart w:id="627" w:name="_Toc26954"/>
      <w:bookmarkStart w:id="628" w:name="_Toc11126"/>
      <w:bookmarkStart w:id="629" w:name="_Toc26919"/>
      <w:bookmarkStart w:id="630" w:name="_Toc20979"/>
      <w:bookmarkStart w:id="631" w:name="_Toc14235"/>
      <w:bookmarkStart w:id="632" w:name="_Toc12983539"/>
      <w:bookmarkStart w:id="633" w:name="_Toc17042"/>
      <w:bookmarkStart w:id="634" w:name="_Toc1945"/>
      <w:bookmarkStart w:id="635" w:name="_Toc6886"/>
      <w:bookmarkStart w:id="636" w:name="_Toc385427829"/>
      <w:bookmarkStart w:id="637" w:name="_Toc31757"/>
      <w:bookmarkStart w:id="638" w:name="_Toc3769"/>
      <w:bookmarkStart w:id="639" w:name="_Toc14454"/>
      <w:bookmarkStart w:id="640" w:name="_Toc390098455"/>
      <w:bookmarkStart w:id="641" w:name="_Toc5959"/>
      <w:bookmarkStart w:id="642" w:name="_Toc114134641"/>
      <w:bookmarkStart w:id="643" w:name="_Toc25750624"/>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24580"/>
      <w:bookmarkStart w:id="645" w:name="_Toc31958"/>
      <w:bookmarkStart w:id="646" w:name="_Toc8834"/>
      <w:bookmarkStart w:id="647" w:name="_Toc375039097"/>
      <w:bookmarkStart w:id="648" w:name="_Toc383891205"/>
      <w:bookmarkStart w:id="649" w:name="_Toc25431"/>
      <w:bookmarkStart w:id="650" w:name="_Toc12421"/>
      <w:bookmarkStart w:id="651" w:name="_Toc6000"/>
      <w:bookmarkStart w:id="652" w:name="_Toc390098456"/>
      <w:bookmarkStart w:id="653" w:name="_Toc12983540"/>
      <w:bookmarkStart w:id="654" w:name="_Toc385427830"/>
      <w:bookmarkStart w:id="655" w:name="_Toc26653"/>
      <w:bookmarkStart w:id="656" w:name="_Toc9113"/>
      <w:bookmarkStart w:id="657" w:name="_Toc18800"/>
      <w:bookmarkStart w:id="658" w:name="_Toc114134642"/>
      <w:bookmarkStart w:id="659" w:name="_Toc492478755"/>
      <w:bookmarkStart w:id="660" w:name="_Toc4743"/>
      <w:bookmarkStart w:id="661" w:name="_Toc2326"/>
      <w:bookmarkStart w:id="662" w:name="_Toc27839"/>
      <w:bookmarkStart w:id="663" w:name="_Toc21516"/>
      <w:bookmarkStart w:id="664" w:name="_Toc19952"/>
      <w:bookmarkStart w:id="665" w:name="_Toc22975"/>
      <w:bookmarkStart w:id="666" w:name="_Toc30278"/>
      <w:bookmarkStart w:id="667" w:name="_Toc24681"/>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25750626"/>
      <w:bookmarkStart w:id="669" w:name="_Toc28661"/>
      <w:bookmarkStart w:id="670" w:name="_Toc21728"/>
      <w:bookmarkStart w:id="671" w:name="_Toc385427831"/>
      <w:bookmarkStart w:id="672" w:name="_Toc492478756"/>
      <w:bookmarkStart w:id="673" w:name="_Toc20642"/>
      <w:bookmarkStart w:id="674" w:name="_Toc12983541"/>
      <w:bookmarkStart w:id="675" w:name="_Toc21975"/>
      <w:bookmarkStart w:id="676" w:name="_Toc31011"/>
      <w:bookmarkStart w:id="677" w:name="_Toc13914"/>
      <w:bookmarkStart w:id="678" w:name="_Toc26143"/>
      <w:bookmarkStart w:id="679" w:name="_Toc30743"/>
      <w:bookmarkStart w:id="680" w:name="_Toc8938"/>
      <w:bookmarkStart w:id="681" w:name="_Toc30026"/>
      <w:bookmarkStart w:id="682" w:name="_Toc18878"/>
      <w:bookmarkStart w:id="683" w:name="_Toc10522"/>
      <w:bookmarkStart w:id="684" w:name="_Toc390098457"/>
      <w:bookmarkStart w:id="685" w:name="_Toc11795"/>
      <w:bookmarkStart w:id="686" w:name="_Toc22688"/>
      <w:bookmarkStart w:id="687" w:name="_Toc26525"/>
      <w:bookmarkStart w:id="688" w:name="_Toc114134643"/>
      <w:bookmarkStart w:id="689" w:name="_Toc383891206"/>
      <w:bookmarkStart w:id="690" w:name="_Toc22323"/>
      <w:bookmarkStart w:id="691" w:name="_Toc1269"/>
      <w:bookmarkStart w:id="692" w:name="_Toc375039098"/>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25797"/>
      <w:bookmarkStart w:id="694" w:name="_Toc11913"/>
      <w:bookmarkStart w:id="695" w:name="_Toc13417"/>
      <w:bookmarkStart w:id="696" w:name="_Toc14301"/>
      <w:bookmarkStart w:id="697" w:name="_Toc385427832"/>
      <w:bookmarkStart w:id="698" w:name="_Toc19128"/>
      <w:bookmarkStart w:id="699" w:name="_Toc14832"/>
      <w:bookmarkStart w:id="700" w:name="_Toc18977"/>
      <w:bookmarkStart w:id="701" w:name="_Toc1873"/>
      <w:bookmarkStart w:id="702" w:name="_Toc390098458"/>
      <w:bookmarkStart w:id="703" w:name="_Toc114134644"/>
      <w:bookmarkStart w:id="704" w:name="_Toc383891207"/>
      <w:bookmarkStart w:id="705" w:name="_Toc31336"/>
      <w:bookmarkStart w:id="706" w:name="_Toc492478757"/>
      <w:bookmarkStart w:id="707" w:name="_Toc375039099"/>
      <w:bookmarkStart w:id="708" w:name="_Toc16111"/>
      <w:bookmarkStart w:id="709" w:name="_Toc377"/>
      <w:bookmarkStart w:id="710" w:name="_Toc23649"/>
      <w:bookmarkStart w:id="711" w:name="_Toc24183"/>
      <w:bookmarkStart w:id="712" w:name="_Toc17153"/>
      <w:bookmarkStart w:id="713" w:name="_Toc17818"/>
      <w:bookmarkStart w:id="714" w:name="_Toc19774"/>
      <w:bookmarkStart w:id="715" w:name="_Toc14325"/>
      <w:bookmarkStart w:id="716" w:name="_Toc25750627"/>
      <w:bookmarkStart w:id="717" w:name="_Toc12983542"/>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25750628"/>
      <w:bookmarkStart w:id="719" w:name="_Toc390098459"/>
      <w:bookmarkStart w:id="720" w:name="_Toc385427833"/>
      <w:bookmarkStart w:id="721" w:name="_Toc27683"/>
      <w:bookmarkStart w:id="722" w:name="_Toc9636"/>
      <w:bookmarkStart w:id="723" w:name="_Toc19556"/>
      <w:bookmarkStart w:id="724" w:name="_Toc20680"/>
      <w:bookmarkStart w:id="725" w:name="_Toc19943"/>
      <w:bookmarkStart w:id="726" w:name="_Toc673"/>
      <w:bookmarkStart w:id="727" w:name="_Toc17953"/>
      <w:bookmarkStart w:id="728" w:name="_Toc13596"/>
      <w:bookmarkStart w:id="729" w:name="_Toc13605"/>
      <w:bookmarkStart w:id="730" w:name="_Toc114134645"/>
      <w:bookmarkStart w:id="731" w:name="_Toc492478758"/>
      <w:bookmarkStart w:id="732" w:name="_Toc21798"/>
      <w:bookmarkStart w:id="733" w:name="_Toc10348"/>
      <w:bookmarkStart w:id="734" w:name="_Toc5061"/>
      <w:bookmarkStart w:id="735" w:name="_Toc32424"/>
      <w:bookmarkStart w:id="736" w:name="_Toc12065"/>
      <w:bookmarkStart w:id="737" w:name="_Toc921"/>
      <w:bookmarkStart w:id="738" w:name="_Toc12983543"/>
      <w:bookmarkStart w:id="739" w:name="_Toc22657"/>
      <w:bookmarkStart w:id="740" w:name="_Toc375039100"/>
      <w:bookmarkStart w:id="741" w:name="_Toc383891208"/>
      <w:bookmarkStart w:id="742" w:name="_Toc2061"/>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5208"/>
      <w:bookmarkStart w:id="744" w:name="_Toc24885"/>
      <w:bookmarkStart w:id="745" w:name="_Toc28815"/>
      <w:bookmarkStart w:id="746" w:name="_Toc30862"/>
      <w:bookmarkStart w:id="747" w:name="_Toc375039101"/>
      <w:bookmarkStart w:id="748" w:name="_Toc21570"/>
      <w:bookmarkStart w:id="749" w:name="_Toc15048"/>
      <w:bookmarkStart w:id="750" w:name="_Toc8628"/>
      <w:bookmarkStart w:id="751" w:name="_Toc21217"/>
      <w:bookmarkStart w:id="752" w:name="_Toc12983544"/>
      <w:bookmarkStart w:id="753" w:name="_Toc24240"/>
      <w:bookmarkStart w:id="754" w:name="_Toc390098460"/>
      <w:bookmarkStart w:id="755" w:name="_Toc25750629"/>
      <w:bookmarkStart w:id="756" w:name="_Toc114134646"/>
      <w:bookmarkStart w:id="757" w:name="_Toc5617"/>
      <w:bookmarkStart w:id="758" w:name="_Toc1862"/>
      <w:bookmarkStart w:id="759" w:name="_Toc29993"/>
      <w:bookmarkStart w:id="760" w:name="_Toc5767"/>
      <w:bookmarkStart w:id="761" w:name="_Toc492478759"/>
      <w:bookmarkStart w:id="762" w:name="_Toc22442"/>
      <w:bookmarkStart w:id="763" w:name="_Toc383891209"/>
      <w:bookmarkStart w:id="764" w:name="_Toc385427834"/>
      <w:bookmarkStart w:id="765" w:name="_Toc1780"/>
      <w:bookmarkStart w:id="766" w:name="_Toc4190"/>
      <w:bookmarkStart w:id="767" w:name="_Toc18694"/>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24750"/>
      <w:bookmarkStart w:id="769" w:name="_Toc492478760"/>
      <w:bookmarkStart w:id="770" w:name="_Toc9981"/>
      <w:bookmarkStart w:id="771" w:name="_Toc8104"/>
      <w:bookmarkStart w:id="772" w:name="_Toc6599"/>
      <w:bookmarkStart w:id="773" w:name="_Toc16589"/>
      <w:bookmarkStart w:id="774" w:name="_Toc25632"/>
      <w:bookmarkStart w:id="775" w:name="_Toc9433"/>
      <w:bookmarkStart w:id="776" w:name="_Toc5576"/>
      <w:bookmarkStart w:id="777" w:name="_Toc23817"/>
      <w:bookmarkStart w:id="778" w:name="_Toc390098461"/>
      <w:bookmarkStart w:id="779" w:name="_Toc20178"/>
      <w:bookmarkStart w:id="780" w:name="_Toc11079"/>
      <w:bookmarkStart w:id="781" w:name="_Toc25750630"/>
      <w:bookmarkStart w:id="782" w:name="_Toc385427835"/>
      <w:bookmarkStart w:id="783" w:name="_Toc12983545"/>
      <w:bookmarkStart w:id="784" w:name="_Toc16371"/>
      <w:bookmarkStart w:id="785" w:name="_Toc383891210"/>
      <w:bookmarkStart w:id="786" w:name="_Toc29857"/>
      <w:bookmarkStart w:id="787" w:name="_Toc11412"/>
      <w:bookmarkStart w:id="788" w:name="_Toc114134647"/>
      <w:bookmarkStart w:id="789" w:name="_Toc31814"/>
      <w:bookmarkStart w:id="790" w:name="_Toc375039102"/>
      <w:bookmarkStart w:id="791" w:name="_Toc25483"/>
      <w:bookmarkStart w:id="792" w:name="_Toc17281"/>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rPr>
        <w:t>技术得分20分（技术标总得分的60%（含）为及格，技术得分合格不足3家比选人的情况视为流标)，</w:t>
      </w:r>
      <w:r>
        <w:rPr>
          <w:rFonts w:hint="eastAsia" w:ascii="宋体" w:hAnsi="宋体" w:eastAsia="宋体"/>
          <w:b/>
          <w:bCs/>
          <w:color w:val="auto"/>
          <w:sz w:val="24"/>
          <w:szCs w:val="24"/>
          <w:u w:val="single"/>
          <w:lang w:val="en-US" w:eastAsia="zh-CN"/>
        </w:rPr>
        <w:t>商务</w:t>
      </w:r>
      <w:r>
        <w:rPr>
          <w:rFonts w:hint="eastAsia" w:ascii="宋体" w:hAnsi="宋体" w:eastAsia="宋体"/>
          <w:b/>
          <w:bCs/>
          <w:color w:val="auto"/>
          <w:sz w:val="24"/>
          <w:szCs w:val="24"/>
          <w:u w:val="single"/>
        </w:rPr>
        <w:t>得分</w:t>
      </w:r>
      <w:r>
        <w:rPr>
          <w:rFonts w:hint="eastAsia" w:ascii="宋体" w:hAnsi="宋体" w:eastAsia="宋体"/>
          <w:b/>
          <w:bCs/>
          <w:color w:val="auto"/>
          <w:sz w:val="24"/>
          <w:szCs w:val="24"/>
          <w:u w:val="single"/>
          <w:lang w:val="en-US" w:eastAsia="zh-CN"/>
        </w:rPr>
        <w:t>80</w:t>
      </w:r>
      <w:r>
        <w:rPr>
          <w:rFonts w:hint="eastAsia" w:ascii="宋体" w:hAnsi="宋体" w:eastAsia="宋体"/>
          <w:b/>
          <w:bCs/>
          <w:color w:val="auto"/>
          <w:sz w:val="24"/>
          <w:szCs w:val="24"/>
          <w:u w:val="single"/>
        </w:rPr>
        <w:t>分</w:t>
      </w:r>
      <w:r>
        <w:rPr>
          <w:rFonts w:hint="eastAsia" w:ascii="宋体" w:hAnsi="宋体" w:eastAsia="宋体"/>
          <w:color w:val="auto"/>
          <w:sz w:val="24"/>
          <w:szCs w:val="24"/>
        </w:rPr>
        <w:t>。</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w:t>
      </w:r>
      <w:r>
        <w:rPr>
          <w:rFonts w:hint="eastAsia" w:ascii="宋体" w:hAnsi="宋体" w:eastAsia="宋体"/>
          <w:color w:val="auto"/>
          <w:sz w:val="24"/>
          <w:szCs w:val="24"/>
          <w:lang w:val="en-US" w:eastAsia="zh-CN"/>
        </w:rPr>
        <w:t>技术文件评审表</w:t>
      </w:r>
      <w:r>
        <w:rPr>
          <w:rFonts w:hint="eastAsia" w:ascii="宋体" w:hAnsi="宋体" w:eastAsia="宋体"/>
          <w:color w:val="auto"/>
          <w:sz w:val="24"/>
          <w:szCs w:val="24"/>
        </w:rPr>
        <w:t>》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left="0" w:leftChars="0" w:firstLine="480" w:firstLineChars="200"/>
        <w:rPr>
          <w:color w:val="auto"/>
        </w:rPr>
      </w:pPr>
      <w:r>
        <w:rPr>
          <w:rFonts w:hint="eastAsia" w:ascii="宋体" w:hAnsi="宋体"/>
          <w:color w:val="auto"/>
          <w:sz w:val="24"/>
          <w:szCs w:val="24"/>
        </w:rPr>
        <w:t>（3）任何一项评审资料缺失的。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w:t>
      </w:r>
      <w:r>
        <w:rPr>
          <w:rFonts w:hint="eastAsia" w:ascii="宋体" w:hAnsi="宋体" w:eastAsia="宋体"/>
          <w:color w:val="auto"/>
          <w:sz w:val="24"/>
          <w:szCs w:val="24"/>
          <w:lang w:val="en-US" w:eastAsia="zh-CN"/>
        </w:rPr>
        <w:t>商务文件评审表</w:t>
      </w:r>
      <w:r>
        <w:rPr>
          <w:rFonts w:hint="eastAsia" w:ascii="宋体" w:hAnsi="宋体" w:eastAsia="宋体"/>
          <w:color w:val="auto"/>
          <w:sz w:val="24"/>
          <w:szCs w:val="24"/>
        </w:rPr>
        <w:t>》规定的量化因素和分值，对各比选申请人的比选申请</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9730"/>
      <w:bookmarkStart w:id="795" w:name="_Toc31611"/>
      <w:bookmarkStart w:id="796" w:name="_Toc29923"/>
      <w:bookmarkStart w:id="797" w:name="_Toc9588"/>
      <w:bookmarkStart w:id="798" w:name="_Toc23314"/>
      <w:bookmarkStart w:id="799" w:name="_Toc18096"/>
      <w:bookmarkStart w:id="800" w:name="_Toc492478849"/>
      <w:bookmarkStart w:id="801" w:name="_Toc19557"/>
      <w:bookmarkStart w:id="802" w:name="_Toc27271"/>
      <w:bookmarkStart w:id="803" w:name="_Toc15224"/>
      <w:bookmarkStart w:id="804" w:name="_Toc22464"/>
      <w:bookmarkStart w:id="805" w:name="_Toc29245"/>
      <w:bookmarkStart w:id="806" w:name="_Toc434"/>
      <w:bookmarkStart w:id="807" w:name="_Toc15073"/>
      <w:bookmarkStart w:id="808" w:name="_Toc28404"/>
      <w:bookmarkStart w:id="809" w:name="_Toc16364"/>
      <w:bookmarkStart w:id="810" w:name="_Toc10968"/>
      <w:bookmarkStart w:id="811" w:name="_Toc9189"/>
      <w:bookmarkStart w:id="812" w:name="_Toc114134688"/>
      <w:bookmarkStart w:id="813" w:name="_Toc25750694"/>
      <w:bookmarkStart w:id="814" w:name="_Toc414290583"/>
      <w:bookmarkStart w:id="815" w:name="_Toc2560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0055051A">
            <w:pPr>
              <w:spacing w:line="400" w:lineRule="exact"/>
              <w:rPr>
                <w:rFonts w:hint="eastAsia" w:ascii="宋体" w:hAnsi="宋体"/>
                <w:color w:val="auto"/>
              </w:rPr>
            </w:pPr>
            <w:r>
              <w:rPr>
                <w:rFonts w:hint="eastAsia" w:ascii="宋体" w:hAnsi="宋体"/>
                <w:color w:val="auto"/>
              </w:rPr>
              <w:t>提供以下证照复印件加盖公章：</w:t>
            </w:r>
          </w:p>
          <w:p w14:paraId="7CFDDA58">
            <w:pPr>
              <w:spacing w:line="400" w:lineRule="exact"/>
              <w:rPr>
                <w:rFonts w:hint="eastAsia" w:ascii="宋体" w:hAnsi="宋体"/>
                <w:color w:val="auto"/>
              </w:rPr>
            </w:pPr>
            <w:r>
              <w:rPr>
                <w:rFonts w:hint="eastAsia" w:ascii="宋体" w:hAnsi="宋体"/>
                <w:color w:val="auto"/>
              </w:rPr>
              <w:t>（1）为中华人民共和国境内依法设立的法人或其他组织，营业执照</w:t>
            </w:r>
            <w:r>
              <w:rPr>
                <w:rFonts w:hint="eastAsia" w:ascii="宋体" w:hAnsi="宋体"/>
                <w:color w:val="auto"/>
                <w:lang w:eastAsia="zh-CN"/>
              </w:rPr>
              <w:t>、</w:t>
            </w:r>
            <w:r>
              <w:rPr>
                <w:rFonts w:hint="eastAsia" w:ascii="宋体" w:hAnsi="宋体"/>
                <w:color w:val="auto"/>
                <w:lang w:val="en-US" w:eastAsia="zh-CN"/>
              </w:rPr>
              <w:t>开户许可证</w:t>
            </w:r>
            <w:r>
              <w:rPr>
                <w:rFonts w:hint="eastAsia" w:ascii="宋体" w:hAnsi="宋体"/>
                <w:color w:val="auto"/>
              </w:rPr>
              <w:t>。</w:t>
            </w:r>
          </w:p>
          <w:p w14:paraId="08896A56">
            <w:pPr>
              <w:spacing w:line="400" w:lineRule="exact"/>
              <w:rPr>
                <w:rFonts w:hint="eastAsia" w:ascii="宋体" w:hAnsi="宋体"/>
                <w:color w:val="auto"/>
              </w:rPr>
            </w:pPr>
            <w:r>
              <w:rPr>
                <w:rFonts w:hint="eastAsia" w:ascii="宋体" w:hAnsi="宋体"/>
                <w:color w:val="auto"/>
              </w:rPr>
              <w:t>（2）信用信息报告（登录信用中国网址：https：//www.creditchina.gov.cn/搜索公司下载信用信息报告）（列入失信被执行人、重大税收违法失信主体、政府采购严重违法失信行为记录名单的，将被拒绝参与本次采购活动。）</w:t>
            </w:r>
          </w:p>
          <w:p w14:paraId="2B4A78DC">
            <w:pPr>
              <w:spacing w:line="400" w:lineRule="exact"/>
              <w:rPr>
                <w:rFonts w:hint="eastAsia" w:ascii="宋体" w:hAnsi="宋体"/>
                <w:color w:val="auto"/>
                <w:lang w:eastAsia="zh-CN"/>
              </w:rPr>
            </w:pPr>
            <w:r>
              <w:rPr>
                <w:rFonts w:hint="eastAsia" w:ascii="宋体" w:hAnsi="宋体"/>
                <w:color w:val="auto"/>
              </w:rPr>
              <w:t>（3）</w:t>
            </w:r>
            <w:r>
              <w:rPr>
                <w:rFonts w:hint="eastAsia" w:ascii="宋体" w:hAnsi="宋体"/>
                <w:color w:val="auto"/>
                <w:lang w:val="en-US" w:eastAsia="zh-CN"/>
              </w:rPr>
              <w:t>提供</w:t>
            </w:r>
            <w:r>
              <w:rPr>
                <w:rFonts w:hint="eastAsia" w:ascii="宋体" w:hAnsi="宋体"/>
                <w:color w:val="auto"/>
              </w:rPr>
              <w:t>第三方出具的财务审计报告或由基本户开户银行出具的资信证明（202</w:t>
            </w:r>
            <w:r>
              <w:rPr>
                <w:rFonts w:hint="eastAsia" w:ascii="宋体" w:hAnsi="宋体"/>
                <w:color w:val="auto"/>
                <w:lang w:val="en-US" w:eastAsia="zh-CN"/>
              </w:rPr>
              <w:t>3</w:t>
            </w:r>
            <w:r>
              <w:rPr>
                <w:rFonts w:hint="eastAsia" w:ascii="宋体" w:hAnsi="宋体"/>
                <w:color w:val="auto"/>
              </w:rPr>
              <w:t>年 1 月 1 日至比选申请截止日期任意一年财务报表净利润为正值，或无超期、未标注欠息、诉讼等不良记录、账户未休眠的银行资信证明）</w:t>
            </w:r>
            <w:r>
              <w:rPr>
                <w:rFonts w:hint="eastAsia" w:ascii="宋体" w:hAnsi="宋体"/>
                <w:color w:val="auto"/>
                <w:lang w:eastAsia="zh-CN"/>
              </w:rPr>
              <w:t>。</w:t>
            </w:r>
          </w:p>
          <w:p w14:paraId="05425747">
            <w:pPr>
              <w:spacing w:line="400" w:lineRule="exact"/>
              <w:rPr>
                <w:rFonts w:hint="eastAsia" w:ascii="宋体" w:hAnsi="宋体"/>
                <w:color w:val="auto"/>
              </w:rPr>
            </w:pPr>
            <w:r>
              <w:rPr>
                <w:rFonts w:hint="eastAsia" w:ascii="宋体" w:hAnsi="宋体"/>
                <w:color w:val="auto"/>
              </w:rPr>
              <w:t>（4）开具发票能力：提供自202</w:t>
            </w:r>
            <w:r>
              <w:rPr>
                <w:rFonts w:hint="eastAsia" w:ascii="宋体" w:hAnsi="宋体"/>
                <w:color w:val="auto"/>
                <w:lang w:val="en-US" w:eastAsia="zh-CN"/>
              </w:rPr>
              <w:t>3</w:t>
            </w:r>
            <w:r>
              <w:rPr>
                <w:rFonts w:hint="eastAsia" w:ascii="宋体" w:hAnsi="宋体"/>
                <w:color w:val="auto"/>
              </w:rPr>
              <w:t>年 1 月 1 日至比选申请截止日期开具的</w:t>
            </w:r>
            <w:r>
              <w:rPr>
                <w:rFonts w:hint="eastAsia" w:ascii="宋体" w:hAnsi="宋体"/>
                <w:color w:val="auto"/>
                <w:lang w:val="en-US" w:eastAsia="zh-CN"/>
              </w:rPr>
              <w:t>瓷砖胶或界面剂</w:t>
            </w:r>
            <w:r>
              <w:rPr>
                <w:rFonts w:hint="eastAsia" w:ascii="宋体" w:hAnsi="宋体"/>
                <w:color w:val="auto"/>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3AB74D2A">
            <w:pPr>
              <w:spacing w:line="400" w:lineRule="exact"/>
              <w:rPr>
                <w:rFonts w:hint="eastAsia" w:ascii="宋体" w:hAnsi="宋体"/>
                <w:color w:val="auto"/>
              </w:rPr>
            </w:pPr>
            <w:r>
              <w:rPr>
                <w:rFonts w:hint="eastAsia" w:ascii="宋体" w:hAnsi="宋体"/>
                <w:color w:val="auto"/>
              </w:rPr>
              <w:t>提供1个自 202</w:t>
            </w:r>
            <w:r>
              <w:rPr>
                <w:rFonts w:hint="eastAsia" w:ascii="宋体" w:hAnsi="宋体"/>
                <w:color w:val="auto"/>
                <w:lang w:val="en-US" w:eastAsia="zh-CN"/>
              </w:rPr>
              <w:t>3</w:t>
            </w:r>
            <w:r>
              <w:rPr>
                <w:rFonts w:hint="eastAsia" w:ascii="宋体" w:hAnsi="宋体"/>
                <w:color w:val="auto"/>
              </w:rPr>
              <w:t>年1月1日至比选申请截止日期至内完成过或承接过的单项合同金额达</w:t>
            </w:r>
            <w:r>
              <w:rPr>
                <w:rFonts w:hint="eastAsia" w:ascii="宋体" w:hAnsi="宋体"/>
                <w:color w:val="auto"/>
                <w:lang w:val="en-US" w:eastAsia="zh-CN"/>
              </w:rPr>
              <w:t>45</w:t>
            </w:r>
            <w:r>
              <w:rPr>
                <w:rFonts w:hint="eastAsia" w:ascii="宋体" w:hAnsi="宋体"/>
                <w:color w:val="auto"/>
              </w:rPr>
              <w:t>万元及以上的</w:t>
            </w:r>
            <w:r>
              <w:rPr>
                <w:rFonts w:hint="eastAsia" w:ascii="宋体" w:hAnsi="宋体"/>
                <w:color w:val="auto"/>
                <w:lang w:val="en-US" w:eastAsia="zh-CN"/>
              </w:rPr>
              <w:t>瓷砖胶或界面剂</w:t>
            </w:r>
            <w:r>
              <w:rPr>
                <w:rFonts w:hint="eastAsia" w:ascii="宋体" w:hAnsi="宋体"/>
                <w:color w:val="auto"/>
              </w:rPr>
              <w:t>材料的业绩合同。</w:t>
            </w:r>
          </w:p>
          <w:p w14:paraId="026CE69A">
            <w:pPr>
              <w:spacing w:line="400" w:lineRule="exact"/>
              <w:rPr>
                <w:rFonts w:hint="eastAsia" w:ascii="宋体" w:hAnsi="宋体"/>
                <w:color w:val="auto"/>
              </w:rPr>
            </w:pPr>
            <w:r>
              <w:rPr>
                <w:rFonts w:hint="eastAsia" w:ascii="宋体" w:hAnsi="宋体"/>
                <w:color w:val="auto"/>
              </w:rPr>
              <w:t>提供下述材料之一即可：</w:t>
            </w:r>
          </w:p>
          <w:p w14:paraId="5BFDAB36">
            <w:pPr>
              <w:spacing w:line="400" w:lineRule="exact"/>
              <w:rPr>
                <w:rFonts w:hint="eastAsia" w:ascii="宋体" w:hAnsi="宋体"/>
                <w:color w:val="auto"/>
              </w:rPr>
            </w:pPr>
            <w:r>
              <w:rPr>
                <w:rFonts w:hint="eastAsia" w:ascii="宋体" w:hAnsi="宋体"/>
                <w:color w:val="auto"/>
              </w:rPr>
              <w:t>提供下述材料之一即可：①合同文件；②中标通知书。</w:t>
            </w:r>
          </w:p>
          <w:p w14:paraId="535FFFFB">
            <w:pPr>
              <w:spacing w:line="400" w:lineRule="exact"/>
              <w:rPr>
                <w:rFonts w:hint="eastAsia" w:ascii="宋体" w:hAnsi="宋体"/>
                <w:color w:val="auto"/>
              </w:rPr>
            </w:pPr>
            <w:r>
              <w:rPr>
                <w:rFonts w:hint="eastAsia" w:ascii="宋体" w:hAnsi="宋体"/>
                <w:color w:val="auto"/>
              </w:rPr>
              <w:t>合同内容需体现具体工程内容、合同总价、签约日期。</w:t>
            </w:r>
          </w:p>
          <w:p w14:paraId="630B5F6D">
            <w:pPr>
              <w:spacing w:line="400" w:lineRule="exact"/>
              <w:rPr>
                <w:rFonts w:hint="eastAsia" w:ascii="宋体" w:hAnsi="宋体"/>
                <w:color w:val="auto"/>
              </w:rPr>
            </w:pPr>
            <w:r>
              <w:rPr>
                <w:rFonts w:hint="eastAsia" w:ascii="宋体" w:hAnsi="宋体"/>
                <w:color w:val="auto"/>
              </w:rPr>
              <w:t>所提供的材料须能明确反映类似项目特征，复印件加盖公章。</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文件评审</w:t>
      </w:r>
      <w:r>
        <w:rPr>
          <w:rFonts w:hint="eastAsia" w:ascii="宋体" w:hAnsi="宋体" w:eastAsia="宋体" w:cs="宋体"/>
          <w:b/>
          <w:bCs/>
          <w:color w:val="auto"/>
          <w:szCs w:val="21"/>
        </w:rPr>
        <w:t>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w:t>
      </w:r>
      <w:r>
        <w:rPr>
          <w:rFonts w:hint="eastAsia" w:ascii="宋体" w:hAnsi="宋体" w:eastAsia="等线" w:cs="宋体"/>
          <w:b/>
          <w:color w:val="auto"/>
          <w:lang w:val="en-US" w:eastAsia="zh-CN" w:bidi="ar"/>
        </w:rPr>
        <w:t>12</w:t>
      </w:r>
      <w:r>
        <w:rPr>
          <w:rFonts w:hint="eastAsia" w:ascii="宋体" w:hAnsi="宋体" w:eastAsia="等线" w:cs="宋体"/>
          <w:b/>
          <w:color w:val="auto"/>
          <w:lang w:bidi="ar"/>
        </w:rPr>
        <w:t>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w:t>
      </w:r>
      <w:r>
        <w:rPr>
          <w:rFonts w:hint="eastAsia" w:ascii="宋体" w:hAnsi="宋体" w:eastAsia="宋体" w:cs="宋体"/>
          <w:b/>
          <w:bCs/>
          <w:color w:val="auto"/>
          <w:szCs w:val="21"/>
          <w:lang w:val="en-US" w:eastAsia="zh-CN"/>
        </w:rPr>
        <w:t>评审</w:t>
      </w:r>
      <w:r>
        <w:rPr>
          <w:rFonts w:hint="eastAsia" w:ascii="宋体" w:hAnsi="宋体" w:eastAsia="宋体" w:cs="宋体"/>
          <w:b/>
          <w:bCs/>
          <w:color w:val="auto"/>
          <w:szCs w:val="21"/>
        </w:rPr>
        <w:t>表</w:t>
      </w:r>
    </w:p>
    <w:tbl>
      <w:tblPr>
        <w:tblStyle w:val="18"/>
        <w:tblW w:w="9316" w:type="dxa"/>
        <w:jc w:val="center"/>
        <w:tblLayout w:type="fixed"/>
        <w:tblCellMar>
          <w:top w:w="0" w:type="dxa"/>
          <w:left w:w="108" w:type="dxa"/>
          <w:bottom w:w="0" w:type="dxa"/>
          <w:right w:w="108" w:type="dxa"/>
        </w:tblCellMar>
      </w:tblPr>
      <w:tblGrid>
        <w:gridCol w:w="791"/>
        <w:gridCol w:w="1651"/>
        <w:gridCol w:w="4755"/>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Cs w:val="21"/>
                <w:lang w:bidi="ar"/>
              </w:rPr>
            </w:pPr>
            <w:r>
              <w:rPr>
                <w:rFonts w:hint="eastAsia" w:ascii="宋体" w:hAnsi="宋体" w:eastAsia="宋体" w:cs="宋体"/>
                <w:color w:val="auto"/>
                <w:szCs w:val="21"/>
                <w:lang w:bidi="ar"/>
              </w:rPr>
              <w:t>业绩</w:t>
            </w:r>
          </w:p>
          <w:p w14:paraId="09FFFD32">
            <w:pPr>
              <w:jc w:val="both"/>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0CE50B9D">
            <w:pPr>
              <w:ind w:firstLine="422"/>
              <w:jc w:val="both"/>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2549F27">
            <w:pPr>
              <w:rPr>
                <w:rFonts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w:t>
            </w:r>
            <w:r>
              <w:rPr>
                <w:rFonts w:hint="eastAsia" w:ascii="宋体" w:hAnsi="宋体" w:eastAsia="宋体" w:cs="宋体"/>
                <w:color w:val="auto"/>
                <w:szCs w:val="21"/>
                <w:u w:val="single"/>
                <w:lang w:val="en-US" w:eastAsia="zh-CN" w:bidi="ar"/>
              </w:rPr>
              <w:t>3</w:t>
            </w:r>
            <w:r>
              <w:rPr>
                <w:rFonts w:hint="eastAsia" w:ascii="宋体" w:hAnsi="宋体" w:eastAsia="宋体" w:cs="宋体"/>
                <w:color w:val="auto"/>
                <w:szCs w:val="21"/>
                <w:u w:val="single"/>
                <w:lang w:bidi="ar"/>
              </w:rPr>
              <w:t xml:space="preserve"> 年1月1日至比选申请截止日期至内完成过或承接过的单项合同金额达</w:t>
            </w:r>
            <w:r>
              <w:rPr>
                <w:rFonts w:hint="eastAsia" w:ascii="宋体" w:hAnsi="宋体" w:eastAsia="宋体" w:cs="宋体"/>
                <w:color w:val="auto"/>
                <w:szCs w:val="21"/>
                <w:u w:val="single"/>
                <w:lang w:val="en-US" w:eastAsia="zh-CN" w:bidi="ar"/>
              </w:rPr>
              <w:t>45</w:t>
            </w:r>
            <w:r>
              <w:rPr>
                <w:rFonts w:hint="eastAsia" w:ascii="宋体" w:hAnsi="宋体" w:eastAsia="宋体" w:cs="宋体"/>
                <w:color w:val="auto"/>
                <w:szCs w:val="21"/>
                <w:u w:val="single"/>
                <w:lang w:bidi="ar"/>
              </w:rPr>
              <w:t>万元及以上的</w:t>
            </w:r>
            <w:r>
              <w:rPr>
                <w:rFonts w:hint="eastAsia" w:ascii="宋体" w:hAnsi="宋体"/>
                <w:color w:val="auto"/>
                <w:u w:val="single"/>
                <w:lang w:val="en-US" w:eastAsia="zh-CN"/>
              </w:rPr>
              <w:t>瓷砖胶或界面剂</w:t>
            </w:r>
            <w:r>
              <w:rPr>
                <w:rFonts w:hint="eastAsia" w:ascii="宋体" w:hAnsi="宋体" w:eastAsia="宋体" w:cs="宋体"/>
                <w:color w:val="auto"/>
                <w:szCs w:val="21"/>
                <w:u w:val="single"/>
                <w:lang w:bidi="ar"/>
              </w:rPr>
              <w:t>材料的业绩合同。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val="en-US" w:eastAsia="zh-CN" w:bidi="ar"/>
              </w:rPr>
              <w:t>2</w:t>
            </w:r>
            <w:r>
              <w:rPr>
                <w:rFonts w:hint="eastAsia" w:ascii="宋体" w:hAnsi="宋体" w:eastAsia="宋体" w:cs="宋体"/>
                <w:color w:val="auto"/>
                <w:szCs w:val="21"/>
                <w:lang w:bidi="ar"/>
              </w:rPr>
              <w:t>分，满分</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3F649FDE">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AEAE">
            <w:pPr>
              <w:jc w:val="left"/>
              <w:textAlignment w:val="center"/>
              <w:rPr>
                <w:rFonts w:hint="eastAsia"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w:t>
            </w:r>
          </w:p>
        </w:tc>
        <w:tc>
          <w:tcPr>
            <w:tcW w:w="1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A668">
            <w:pPr>
              <w:ind w:firstLine="210" w:firstLineChars="100"/>
              <w:jc w:val="left"/>
              <w:rPr>
                <w:rFonts w:hint="eastAsia" w:ascii="宋体" w:hAnsi="宋体" w:eastAsia="宋体" w:cs="宋体"/>
                <w:color w:val="auto"/>
                <w:szCs w:val="21"/>
                <w:lang w:bidi="ar"/>
              </w:rPr>
            </w:pPr>
            <w:r>
              <w:rPr>
                <w:rFonts w:hint="eastAsia" w:ascii="宋体" w:hAnsi="宋体" w:eastAsia="宋体" w:cs="宋体"/>
                <w:color w:val="auto"/>
                <w:szCs w:val="21"/>
                <w:lang w:bidi="ar"/>
              </w:rPr>
              <w:t>供货方案</w:t>
            </w:r>
          </w:p>
          <w:p w14:paraId="0A8B3775">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（技术评委</w:t>
            </w:r>
          </w:p>
          <w:p w14:paraId="6BC04D10">
            <w:pPr>
              <w:ind w:firstLine="422"/>
              <w:jc w:val="left"/>
              <w:rPr>
                <w:rFonts w:hint="eastAsia" w:ascii="宋体" w:hAnsi="宋体" w:eastAsia="宋体" w:cs="宋体"/>
                <w:color w:val="auto"/>
                <w:szCs w:val="21"/>
                <w:lang w:bidi="ar"/>
              </w:rPr>
            </w:pPr>
            <w:r>
              <w:rPr>
                <w:rFonts w:hint="eastAsia" w:ascii="宋体" w:hAnsi="宋体" w:eastAsia="宋体" w:cs="宋体"/>
                <w:color w:val="auto"/>
                <w:szCs w:val="21"/>
                <w:lang w:bidi="ar"/>
              </w:rPr>
              <w:t>评审)</w:t>
            </w:r>
          </w:p>
          <w:p w14:paraId="5C0CE5C9">
            <w:pPr>
              <w:ind w:firstLine="422"/>
              <w:jc w:val="left"/>
              <w:rPr>
                <w:rFonts w:hint="eastAsia" w:ascii="宋体" w:hAnsi="宋体" w:eastAsia="宋体" w:cs="宋体"/>
                <w:color w:val="auto"/>
                <w:szCs w:val="21"/>
                <w:lang w:bidi="ar"/>
              </w:rPr>
            </w:pPr>
          </w:p>
        </w:tc>
        <w:tc>
          <w:tcPr>
            <w:tcW w:w="4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F3F">
            <w:pPr>
              <w:jc w:val="left"/>
              <w:rPr>
                <w:rFonts w:hint="eastAsia" w:ascii="宋体" w:hAnsi="宋体" w:eastAsia="宋体" w:cs="宋体"/>
                <w:color w:val="auto"/>
                <w:szCs w:val="21"/>
                <w:lang w:val="en-US" w:eastAsia="zh-CN" w:bidi="ar"/>
              </w:rPr>
            </w:pPr>
            <w:r>
              <w:rPr>
                <w:rFonts w:hint="eastAsia" w:ascii="宋体" w:hAnsi="宋体" w:eastAsia="宋体" w:cs="宋体"/>
                <w:color w:val="auto"/>
                <w:szCs w:val="21"/>
                <w:lang w:bidi="ar"/>
              </w:rPr>
              <w:t>提供</w:t>
            </w:r>
            <w:r>
              <w:rPr>
                <w:rFonts w:hint="eastAsia" w:ascii="宋体" w:hAnsi="宋体" w:eastAsia="宋体" w:cs="宋体"/>
                <w:color w:val="auto"/>
                <w:szCs w:val="21"/>
                <w:lang w:val="en-US" w:eastAsia="zh-CN" w:bidi="ar"/>
              </w:rPr>
              <w:t>材料</w:t>
            </w:r>
            <w:r>
              <w:rPr>
                <w:rFonts w:hint="eastAsia" w:ascii="宋体" w:hAnsi="宋体" w:eastAsia="宋体" w:cs="宋体"/>
                <w:color w:val="auto"/>
                <w:szCs w:val="21"/>
                <w:lang w:bidi="ar"/>
              </w:rPr>
              <w:t>供货组织、质量保证方案。</w:t>
            </w:r>
          </w:p>
          <w:p w14:paraId="3A081BB6">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①方案优秀、针对性很强，得</w:t>
            </w:r>
            <w:r>
              <w:rPr>
                <w:rFonts w:hint="eastAsia" w:ascii="宋体" w:hAnsi="宋体" w:eastAsia="宋体" w:cs="宋体"/>
                <w:color w:val="auto"/>
                <w:szCs w:val="21"/>
                <w:lang w:val="en-US" w:eastAsia="zh-CN" w:bidi="ar"/>
              </w:rPr>
              <w:t>8</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10</w:t>
            </w:r>
            <w:r>
              <w:rPr>
                <w:rFonts w:hint="eastAsia" w:ascii="宋体" w:hAnsi="宋体" w:eastAsia="宋体" w:cs="宋体"/>
                <w:color w:val="auto"/>
                <w:szCs w:val="21"/>
                <w:lang w:bidi="ar"/>
              </w:rPr>
              <w:t>分;</w:t>
            </w:r>
          </w:p>
          <w:p w14:paraId="0A8FCED2">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 xml:space="preserve">②方案合理，有一定针对性，得 </w:t>
            </w:r>
            <w:r>
              <w:rPr>
                <w:rFonts w:hint="eastAsia" w:ascii="宋体" w:hAnsi="宋体" w:eastAsia="宋体" w:cs="宋体"/>
                <w:color w:val="auto"/>
                <w:szCs w:val="21"/>
                <w:lang w:val="en-US" w:eastAsia="zh-CN" w:bidi="ar"/>
              </w:rPr>
              <w:t>4</w:t>
            </w:r>
            <w:r>
              <w:rPr>
                <w:rFonts w:hint="eastAsia" w:ascii="宋体" w:hAnsi="宋体" w:eastAsia="宋体" w:cs="宋体"/>
                <w:color w:val="auto"/>
                <w:szCs w:val="21"/>
                <w:lang w:bidi="ar"/>
              </w:rPr>
              <w:t>-</w:t>
            </w:r>
            <w:r>
              <w:rPr>
                <w:rFonts w:hint="eastAsia" w:ascii="宋体" w:hAnsi="宋体" w:eastAsia="宋体" w:cs="宋体"/>
                <w:color w:val="auto"/>
                <w:szCs w:val="21"/>
                <w:lang w:val="en-US" w:eastAsia="zh-CN" w:bidi="ar"/>
              </w:rPr>
              <w:t>7</w:t>
            </w:r>
            <w:r>
              <w:rPr>
                <w:rFonts w:hint="eastAsia" w:ascii="宋体" w:hAnsi="宋体" w:eastAsia="宋体" w:cs="宋体"/>
                <w:color w:val="auto"/>
                <w:szCs w:val="21"/>
                <w:lang w:bidi="ar"/>
              </w:rPr>
              <w:t>分;</w:t>
            </w:r>
          </w:p>
          <w:p w14:paraId="6A6676E8">
            <w:pPr>
              <w:jc w:val="left"/>
              <w:rPr>
                <w:rFonts w:hint="eastAsia" w:ascii="宋体" w:hAnsi="宋体" w:eastAsia="宋体" w:cs="宋体"/>
                <w:color w:val="auto"/>
                <w:szCs w:val="21"/>
                <w:lang w:bidi="ar"/>
              </w:rPr>
            </w:pPr>
            <w:r>
              <w:rPr>
                <w:rFonts w:hint="eastAsia" w:ascii="宋体" w:hAnsi="宋体" w:eastAsia="宋体" w:cs="宋体"/>
                <w:color w:val="auto"/>
                <w:szCs w:val="21"/>
                <w:lang w:bidi="ar"/>
              </w:rPr>
              <w:t>③方案一般，有少部分内容具有针对性，得0-</w:t>
            </w:r>
            <w:r>
              <w:rPr>
                <w:rFonts w:hint="eastAsia" w:ascii="宋体" w:hAnsi="宋体" w:eastAsia="宋体" w:cs="宋体"/>
                <w:color w:val="auto"/>
                <w:szCs w:val="21"/>
                <w:lang w:val="en-US" w:eastAsia="zh-CN" w:bidi="ar"/>
              </w:rPr>
              <w:t>3</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4BA64">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7F5B">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4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商务文件评审</w:t>
      </w:r>
      <w:r>
        <w:rPr>
          <w:rFonts w:hint="eastAsia"/>
          <w:b/>
          <w:bCs/>
          <w:color w:val="auto"/>
        </w:rPr>
        <w:t>表》</w:t>
      </w:r>
    </w:p>
    <w:p w14:paraId="11C58C48">
      <w:pPr>
        <w:jc w:val="center"/>
        <w:rPr>
          <w:b/>
          <w:bCs/>
          <w:color w:val="auto"/>
        </w:rPr>
      </w:pPr>
      <w:r>
        <w:rPr>
          <w:rFonts w:hint="eastAsia"/>
          <w:b/>
          <w:bCs/>
          <w:color w:val="auto"/>
          <w:lang w:val="en-US" w:eastAsia="zh-CN"/>
        </w:rPr>
        <w:t>商务文件评审</w:t>
      </w:r>
      <w:r>
        <w:rPr>
          <w:rFonts w:hint="eastAsia"/>
          <w:b/>
          <w:bCs/>
          <w:color w:val="auto"/>
        </w:rPr>
        <w:t>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325"/>
        <w:gridCol w:w="610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32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right="0"/>
              <w:jc w:val="left"/>
              <w:textAlignment w:val="center"/>
              <w:rPr>
                <w:color w:val="auto"/>
              </w:rPr>
            </w:pPr>
            <w:r>
              <w:rPr>
                <w:rFonts w:hint="eastAsia"/>
                <w:color w:val="auto"/>
              </w:rPr>
              <w:t>总价评分。</w:t>
            </w:r>
          </w:p>
          <w:p w14:paraId="107F9ED1">
            <w:pPr>
              <w:pStyle w:val="7"/>
              <w:spacing w:before="0" w:after="0" w:afterAutospacing="0" w:line="440" w:lineRule="exact"/>
              <w:ind w:right="0"/>
              <w:jc w:val="left"/>
              <w:textAlignment w:val="center"/>
              <w:rPr>
                <w:rFonts w:ascii="宋体" w:hAnsi="宋体"/>
                <w:color w:val="auto"/>
                <w:sz w:val="24"/>
              </w:rPr>
            </w:pPr>
            <w:r>
              <w:rPr>
                <w:rFonts w:hint="eastAsia"/>
                <w:color w:val="auto"/>
              </w:rPr>
              <w:t>(满分:80分)</w:t>
            </w:r>
          </w:p>
        </w:tc>
        <w:tc>
          <w:tcPr>
            <w:tcW w:w="6107" w:type="dxa"/>
            <w:tcBorders>
              <w:top w:val="single" w:color="auto" w:sz="4" w:space="0"/>
              <w:left w:val="single" w:color="auto" w:sz="4" w:space="0"/>
              <w:bottom w:val="single" w:color="auto" w:sz="4" w:space="0"/>
              <w:right w:val="single" w:color="auto" w:sz="4" w:space="0"/>
            </w:tcBorders>
            <w:vAlign w:val="center"/>
          </w:tcPr>
          <w:p w14:paraId="67697E2B">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基准价：取全部有效报价的不含税总价算术平均值作为评标基准价，计算结果保留2位小数。</w:t>
            </w:r>
          </w:p>
          <w:p w14:paraId="20A60C85">
            <w:pPr>
              <w:pStyle w:val="12"/>
              <w:spacing w:before="0" w:after="0" w:afterAutospacing="0" w:line="440" w:lineRule="exact"/>
              <w:ind w:right="0"/>
              <w:jc w:val="left"/>
              <w:textAlignment w:val="center"/>
              <w:rPr>
                <w:rFonts w:hint="eastAsia"/>
                <w:color w:val="auto"/>
              </w:rPr>
            </w:pPr>
            <w:r>
              <w:rPr>
                <w:rFonts w:hint="eastAsia"/>
                <w:color w:val="auto"/>
                <w:lang w:eastAsia="zh-CN"/>
              </w:rPr>
              <w:t>（</w:t>
            </w:r>
            <w:r>
              <w:rPr>
                <w:rFonts w:hint="eastAsia"/>
                <w:color w:val="auto"/>
                <w:lang w:val="en-US" w:eastAsia="zh-CN"/>
              </w:rPr>
              <w:t>2</w:t>
            </w:r>
            <w:r>
              <w:rPr>
                <w:rFonts w:hint="eastAsia"/>
                <w:color w:val="auto"/>
                <w:lang w:eastAsia="zh-CN"/>
              </w:rPr>
              <w:t>）</w:t>
            </w:r>
            <w:r>
              <w:rPr>
                <w:rFonts w:hint="eastAsia"/>
                <w:color w:val="auto"/>
              </w:rPr>
              <w:t>报价评分标准：</w:t>
            </w:r>
          </w:p>
          <w:p w14:paraId="44F0A9C4">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投标人不含税总价每高于基准价1％，扣1分，不足1%的部分按线性内插法计算，计算公式：报价得分=</w:t>
            </w:r>
            <w:r>
              <w:rPr>
                <w:rFonts w:hint="eastAsia"/>
                <w:color w:val="auto"/>
                <w:lang w:val="en-US" w:eastAsia="zh-CN"/>
              </w:rPr>
              <w:t>80</w:t>
            </w:r>
            <w:r>
              <w:rPr>
                <w:rFonts w:hint="eastAsia"/>
                <w:color w:val="auto"/>
              </w:rPr>
              <w:t>—（投标人不含税总价—基准价）/基准价×1×100；</w:t>
            </w:r>
          </w:p>
          <w:p w14:paraId="04008A7D">
            <w:pPr>
              <w:pStyle w:val="12"/>
              <w:spacing w:before="0" w:after="0" w:afterAutospacing="0" w:line="440" w:lineRule="exact"/>
              <w:ind w:left="0" w:right="0" w:firstLine="402"/>
              <w:jc w:val="left"/>
              <w:textAlignment w:val="center"/>
              <w:rPr>
                <w:rFonts w:hint="eastAsia"/>
                <w:color w:val="auto"/>
              </w:rPr>
            </w:pPr>
            <w:r>
              <w:rPr>
                <w:rFonts w:hint="eastAsia"/>
                <w:color w:val="auto"/>
              </w:rPr>
              <w:t>投标人不含税总价每低于基准价1％，扣0.5分，不足1%的部分按线性内插法计算，计算公式：报价得分=</w:t>
            </w:r>
            <w:r>
              <w:rPr>
                <w:rFonts w:hint="eastAsia"/>
                <w:color w:val="auto"/>
                <w:lang w:val="en-US" w:eastAsia="zh-CN"/>
              </w:rPr>
              <w:t>80</w:t>
            </w:r>
            <w:r>
              <w:rPr>
                <w:rFonts w:hint="eastAsia"/>
                <w:color w:val="auto"/>
              </w:rPr>
              <w:t>—（基准价—投标人不含税总价）/基准价×0.5×100。</w:t>
            </w:r>
          </w:p>
          <w:p w14:paraId="723AB3C2">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32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10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w:t>
            </w:r>
            <w:r>
              <w:rPr>
                <w:rFonts w:hint="eastAsia" w:ascii="宋体" w:hAnsi="宋体"/>
                <w:b/>
                <w:color w:val="auto"/>
                <w:szCs w:val="21"/>
                <w:lang w:val="en-US" w:eastAsia="zh-CN"/>
              </w:rPr>
              <w:t>商务</w:t>
            </w:r>
            <w:r>
              <w:rPr>
                <w:rFonts w:hint="eastAsia" w:ascii="宋体" w:hAnsi="宋体"/>
                <w:b/>
                <w:color w:val="auto"/>
                <w:szCs w:val="21"/>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34552FBE">
      <w:pPr>
        <w:jc w:val="center"/>
        <w:rPr>
          <w:rFonts w:hint="eastAsia" w:ascii="宋体" w:hAnsi="宋体" w:eastAsia="宋体"/>
          <w:color w:val="auto"/>
          <w:sz w:val="52"/>
          <w:szCs w:val="52"/>
          <w:u w:val="single"/>
          <w:lang w:eastAsia="zh-CN"/>
        </w:rPr>
      </w:pPr>
      <w:r>
        <w:rPr>
          <w:rFonts w:hint="eastAsia" w:ascii="宋体" w:hAnsi="宋体" w:eastAsia="宋体"/>
          <w:color w:val="auto"/>
          <w:sz w:val="36"/>
          <w:szCs w:val="36"/>
          <w:u w:val="single"/>
          <w:lang w:eastAsia="zh-CN"/>
        </w:rPr>
        <w:t>2026年-2027年南宁轨道地产建筑工程有限责任公司瓷砖胶、界面剂采购（重）</w:t>
      </w:r>
    </w:p>
    <w:p w14:paraId="0AAEEA5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39754203">
      <w:pPr>
        <w:ind w:firstLine="643"/>
        <w:rPr>
          <w:rFonts w:ascii="宋体" w:hAnsi="宋体" w:eastAsia="宋体" w:cs="宋体"/>
          <w:b/>
          <w:bCs/>
          <w:color w:val="auto"/>
          <w:sz w:val="32"/>
          <w:szCs w:val="32"/>
        </w:rPr>
      </w:pPr>
      <w:r>
        <w:rPr>
          <w:rFonts w:ascii="宋体" w:hAnsi="宋体" w:eastAsia="宋体" w:cs="宋体"/>
          <w:b/>
          <w:bCs/>
          <w:color w:val="auto"/>
          <w:sz w:val="32"/>
          <w:szCs w:val="32"/>
        </w:rPr>
        <w:t>五、现场交底</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30"/>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30"/>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2026年-2027年南宁轨道地产建筑工程有限责任公司瓷砖胶、界面剂采购（重）</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30"/>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74F16061">
      <w:pPr>
        <w:pStyle w:val="30"/>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三、业绩证明：（详见“</w:t>
      </w:r>
      <w:r>
        <w:rPr>
          <w:rFonts w:ascii="宋体" w:hAnsi="宋体" w:eastAsia="宋体" w:cs="宋体"/>
          <w:b/>
          <w:bCs/>
          <w:color w:val="auto"/>
          <w:sz w:val="32"/>
          <w:szCs w:val="32"/>
        </w:rPr>
        <w:t>第二章比选申请须知和第五章评审办法</w:t>
      </w:r>
      <w:r>
        <w:rPr>
          <w:rFonts w:hint="eastAsia" w:ascii="宋体" w:hAnsi="宋体" w:eastAsia="宋体" w:cs="宋体"/>
          <w:b/>
          <w:bCs/>
          <w:color w:val="auto"/>
          <w:sz w:val="32"/>
          <w:szCs w:val="32"/>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2026年-2027年南宁轨道地产建筑工程有限责任公司瓷砖胶、界面剂采购（重）</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2026年-2027年南宁轨道地产建筑工程有限责任公司瓷砖胶、界面剂采购（重）</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2026年-2027年南宁轨道地产建筑工程有限责任公司瓷砖胶、界面剂采购（重）</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23890EF">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2026年-2027年南宁轨道地产建筑工程有限责任公司瓷砖胶、界面剂采购（重）</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3BD9E9A">
      <w:pPr>
        <w:ind w:firstLine="883"/>
        <w:jc w:val="center"/>
        <w:rPr>
          <w:rFonts w:ascii="宋体" w:hAnsi="宋体" w:eastAsia="宋体"/>
          <w:b/>
          <w:bCs/>
          <w:color w:val="auto"/>
          <w:sz w:val="44"/>
          <w:szCs w:val="44"/>
        </w:rPr>
      </w:pPr>
      <w:bookmarkStart w:id="825" w:name="OLE_LINK8"/>
      <w:bookmarkStart w:id="826" w:name="OLE_LINK17"/>
      <w:r>
        <w:rPr>
          <w:rFonts w:hint="eastAsia" w:ascii="宋体" w:hAnsi="宋体" w:eastAsia="宋体"/>
          <w:b/>
          <w:bCs/>
          <w:color w:val="auto"/>
          <w:sz w:val="44"/>
          <w:szCs w:val="44"/>
        </w:rPr>
        <w:t>目  录</w:t>
      </w:r>
    </w:p>
    <w:p w14:paraId="786F6AEE">
      <w:pPr>
        <w:ind w:firstLine="720"/>
        <w:rPr>
          <w:rFonts w:ascii="宋体" w:hAnsi="宋体" w:eastAsia="宋体"/>
          <w:b/>
          <w:bCs/>
          <w:color w:val="auto"/>
          <w:sz w:val="36"/>
          <w:szCs w:val="36"/>
        </w:rPr>
      </w:pPr>
    </w:p>
    <w:p w14:paraId="48F073FB">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28B88D6D">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BC443F2">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34461819">
      <w:pPr>
        <w:pStyle w:val="30"/>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308A8410">
      <w:pPr>
        <w:pStyle w:val="30"/>
        <w:ind w:left="1280" w:firstLine="0" w:firstLineChars="0"/>
        <w:jc w:val="left"/>
        <w:rPr>
          <w:rFonts w:ascii="宋体" w:hAnsi="宋体" w:eastAsia="宋体" w:cs="宋体"/>
          <w:b/>
          <w:bCs/>
          <w:color w:val="auto"/>
          <w:sz w:val="28"/>
          <w:szCs w:val="28"/>
        </w:rPr>
      </w:pPr>
    </w:p>
    <w:p w14:paraId="1D7C09B1">
      <w:pPr>
        <w:pStyle w:val="30"/>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53A08CE1">
      <w:pPr>
        <w:pStyle w:val="30"/>
        <w:ind w:left="1280" w:firstLine="0" w:firstLineChars="0"/>
        <w:jc w:val="left"/>
        <w:rPr>
          <w:rFonts w:ascii="宋体" w:hAnsi="宋体" w:eastAsia="宋体" w:cs="宋体"/>
          <w:b/>
          <w:bCs/>
          <w:color w:val="auto"/>
          <w:sz w:val="28"/>
          <w:szCs w:val="28"/>
        </w:rPr>
      </w:pPr>
    </w:p>
    <w:p w14:paraId="3D92CA0B">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21EF4B7">
      <w:pPr>
        <w:pStyle w:val="30"/>
        <w:ind w:left="1280" w:firstLine="0" w:firstLineChars="0"/>
        <w:jc w:val="left"/>
        <w:rPr>
          <w:rFonts w:ascii="宋体" w:hAnsi="宋体" w:eastAsia="宋体" w:cs="宋体"/>
          <w:b/>
          <w:bCs/>
          <w:color w:val="auto"/>
          <w:sz w:val="28"/>
          <w:szCs w:val="28"/>
        </w:rPr>
      </w:pPr>
    </w:p>
    <w:p w14:paraId="19AE05B9">
      <w:pPr>
        <w:pStyle w:val="30"/>
        <w:ind w:left="1280" w:firstLine="0" w:firstLineChars="0"/>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0FA0F5A3">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1AEDA67A">
      <w:pPr>
        <w:ind w:firstLine="640"/>
        <w:rPr>
          <w:rFonts w:hint="default" w:ascii="宋体" w:hAnsi="宋体" w:eastAsia="宋体" w:cs="宋体"/>
          <w:b/>
          <w:bCs/>
          <w:color w:val="auto"/>
          <w:sz w:val="32"/>
          <w:szCs w:val="32"/>
          <w:lang w:val="en-US" w:eastAsia="zh-CN"/>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lang w:val="en-US" w:eastAsia="zh-CN"/>
        </w:rPr>
        <w:t>供货方案</w:t>
      </w:r>
    </w:p>
    <w:p w14:paraId="70B90434">
      <w:pPr>
        <w:ind w:firstLine="1044"/>
        <w:jc w:val="center"/>
        <w:rPr>
          <w:rFonts w:ascii="宋体" w:hAnsi="宋体" w:eastAsia="宋体"/>
          <w:color w:val="auto"/>
          <w:sz w:val="52"/>
          <w:szCs w:val="52"/>
          <w:u w:val="single"/>
        </w:rPr>
        <w:sectPr>
          <w:pgSz w:w="11906" w:h="16838"/>
          <w:pgMar w:top="1440" w:right="1800" w:bottom="1440" w:left="1800" w:header="851" w:footer="992" w:gutter="0"/>
          <w:cols w:space="425" w:num="1"/>
          <w:docGrid w:type="lines" w:linePitch="312" w:charSpace="0"/>
        </w:sectPr>
      </w:pPr>
    </w:p>
    <w:p w14:paraId="5504B3A7">
      <w:pPr>
        <w:ind w:firstLine="1044"/>
        <w:jc w:val="center"/>
        <w:rPr>
          <w:rFonts w:ascii="宋体" w:hAnsi="宋体" w:eastAsia="宋体"/>
          <w:color w:val="auto"/>
          <w:sz w:val="52"/>
          <w:szCs w:val="52"/>
          <w:u w:val="single"/>
        </w:rPr>
      </w:pPr>
    </w:p>
    <w:p w14:paraId="2C5EB075">
      <w:pPr>
        <w:jc w:val="center"/>
        <w:rPr>
          <w:rFonts w:hint="eastAsia" w:ascii="宋体" w:hAnsi="宋体" w:eastAsia="宋体"/>
          <w:color w:val="auto"/>
          <w:sz w:val="36"/>
          <w:szCs w:val="36"/>
          <w:lang w:eastAsia="zh-CN"/>
        </w:rPr>
      </w:pPr>
      <w:r>
        <w:rPr>
          <w:rFonts w:hint="eastAsia" w:ascii="宋体" w:hAnsi="宋体" w:eastAsia="宋体"/>
          <w:color w:val="auto"/>
          <w:sz w:val="52"/>
          <w:szCs w:val="52"/>
          <w:u w:val="single"/>
          <w:lang w:eastAsia="zh-CN"/>
        </w:rPr>
        <w:t>2026年-2027年南宁轨道地产建筑工程有限责任公司瓷砖胶、界面剂采购（重）</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A3C0685-3977-4F85-94BB-2890A51996ED}"/>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90F68275-0171-46BF-9260-AC10252DCD84}"/>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D0C5E"/>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124B98"/>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446301"/>
    <w:rsid w:val="12843C71"/>
    <w:rsid w:val="12AF0CEE"/>
    <w:rsid w:val="12B74C45"/>
    <w:rsid w:val="12B85E9B"/>
    <w:rsid w:val="12EF558E"/>
    <w:rsid w:val="12FA6367"/>
    <w:rsid w:val="131E40C5"/>
    <w:rsid w:val="132536A6"/>
    <w:rsid w:val="13434F53"/>
    <w:rsid w:val="13531FC1"/>
    <w:rsid w:val="135C39F4"/>
    <w:rsid w:val="136F6921"/>
    <w:rsid w:val="13781A27"/>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2C54AB"/>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25B08"/>
    <w:rsid w:val="1BAB226E"/>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2E467C5"/>
    <w:rsid w:val="23337719"/>
    <w:rsid w:val="237C3DA7"/>
    <w:rsid w:val="23AB2B2B"/>
    <w:rsid w:val="23AD6B8C"/>
    <w:rsid w:val="23ED1676"/>
    <w:rsid w:val="2415163D"/>
    <w:rsid w:val="24183F9D"/>
    <w:rsid w:val="24362C8F"/>
    <w:rsid w:val="24925E82"/>
    <w:rsid w:val="24D34D10"/>
    <w:rsid w:val="24FC281A"/>
    <w:rsid w:val="251834B6"/>
    <w:rsid w:val="25E66CC5"/>
    <w:rsid w:val="25E87C00"/>
    <w:rsid w:val="25F80F5A"/>
    <w:rsid w:val="266879AE"/>
    <w:rsid w:val="267D783B"/>
    <w:rsid w:val="267F67D1"/>
    <w:rsid w:val="2685028B"/>
    <w:rsid w:val="26A42C70"/>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0F810FA"/>
    <w:rsid w:val="31251541"/>
    <w:rsid w:val="31DB3455"/>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461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94589D"/>
    <w:rsid w:val="40BD701A"/>
    <w:rsid w:val="41186412"/>
    <w:rsid w:val="411F78B8"/>
    <w:rsid w:val="412342BB"/>
    <w:rsid w:val="41596145"/>
    <w:rsid w:val="415E04EE"/>
    <w:rsid w:val="41F3318B"/>
    <w:rsid w:val="428E5E9A"/>
    <w:rsid w:val="42ED4D97"/>
    <w:rsid w:val="43064811"/>
    <w:rsid w:val="434D7F2B"/>
    <w:rsid w:val="43525542"/>
    <w:rsid w:val="43851473"/>
    <w:rsid w:val="43A044FF"/>
    <w:rsid w:val="43CC2929"/>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820FF"/>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336AB"/>
    <w:rsid w:val="484F0599"/>
    <w:rsid w:val="485252BC"/>
    <w:rsid w:val="485611FE"/>
    <w:rsid w:val="48873598"/>
    <w:rsid w:val="488F4011"/>
    <w:rsid w:val="48AE39F0"/>
    <w:rsid w:val="48C4659A"/>
    <w:rsid w:val="48DF5E57"/>
    <w:rsid w:val="492E50F9"/>
    <w:rsid w:val="49390EFD"/>
    <w:rsid w:val="498F61B8"/>
    <w:rsid w:val="49A609AE"/>
    <w:rsid w:val="49A90533"/>
    <w:rsid w:val="49C93F70"/>
    <w:rsid w:val="4A4E2219"/>
    <w:rsid w:val="4A9B5A20"/>
    <w:rsid w:val="4AA77F21"/>
    <w:rsid w:val="4AF34927"/>
    <w:rsid w:val="4B3519D1"/>
    <w:rsid w:val="4BB02E05"/>
    <w:rsid w:val="4BBB72B9"/>
    <w:rsid w:val="4BD20FCE"/>
    <w:rsid w:val="4C0C793F"/>
    <w:rsid w:val="4C0D46FC"/>
    <w:rsid w:val="4C2D08FA"/>
    <w:rsid w:val="4C672498"/>
    <w:rsid w:val="4C8D5D8B"/>
    <w:rsid w:val="4CB134FE"/>
    <w:rsid w:val="4CF6364B"/>
    <w:rsid w:val="4D29404E"/>
    <w:rsid w:val="4D410CA2"/>
    <w:rsid w:val="4D467EC5"/>
    <w:rsid w:val="4D7660EF"/>
    <w:rsid w:val="4D890A14"/>
    <w:rsid w:val="4DAE7818"/>
    <w:rsid w:val="4DB964A1"/>
    <w:rsid w:val="4DF80A94"/>
    <w:rsid w:val="4DFB23D2"/>
    <w:rsid w:val="4E323FA5"/>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619D1"/>
    <w:rsid w:val="520C2D5F"/>
    <w:rsid w:val="523A5B1F"/>
    <w:rsid w:val="523B6EAF"/>
    <w:rsid w:val="52670DFD"/>
    <w:rsid w:val="52762A77"/>
    <w:rsid w:val="528D5C4E"/>
    <w:rsid w:val="52E53CDC"/>
    <w:rsid w:val="53996FC4"/>
    <w:rsid w:val="53F824DC"/>
    <w:rsid w:val="542F0206"/>
    <w:rsid w:val="548D7640"/>
    <w:rsid w:val="549A3F89"/>
    <w:rsid w:val="54D2203E"/>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DA65F98"/>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B0D59"/>
    <w:rsid w:val="617C580C"/>
    <w:rsid w:val="619169E7"/>
    <w:rsid w:val="619A1CC6"/>
    <w:rsid w:val="61A84853"/>
    <w:rsid w:val="61BF2475"/>
    <w:rsid w:val="622A34BA"/>
    <w:rsid w:val="622B7232"/>
    <w:rsid w:val="62521D73"/>
    <w:rsid w:val="62547CD1"/>
    <w:rsid w:val="62D60C84"/>
    <w:rsid w:val="63772A7C"/>
    <w:rsid w:val="63E853DA"/>
    <w:rsid w:val="63F27EFF"/>
    <w:rsid w:val="642108EC"/>
    <w:rsid w:val="64744EC0"/>
    <w:rsid w:val="647924D6"/>
    <w:rsid w:val="647A7108"/>
    <w:rsid w:val="64836EB1"/>
    <w:rsid w:val="65316523"/>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46C7D"/>
    <w:rsid w:val="6A0D5B9B"/>
    <w:rsid w:val="6A131586"/>
    <w:rsid w:val="6A615EE7"/>
    <w:rsid w:val="6A7D43A3"/>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581C9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75586C"/>
    <w:rsid w:val="7ABC2AE7"/>
    <w:rsid w:val="7ADA324A"/>
    <w:rsid w:val="7AEA5A84"/>
    <w:rsid w:val="7B03673F"/>
    <w:rsid w:val="7B136D89"/>
    <w:rsid w:val="7B3D5BB4"/>
    <w:rsid w:val="7BB87930"/>
    <w:rsid w:val="7BD21F06"/>
    <w:rsid w:val="7BF22E42"/>
    <w:rsid w:val="7C26489A"/>
    <w:rsid w:val="7C5533D1"/>
    <w:rsid w:val="7C890B90"/>
    <w:rsid w:val="7C8D4919"/>
    <w:rsid w:val="7CD04806"/>
    <w:rsid w:val="7D136216"/>
    <w:rsid w:val="7D3467E3"/>
    <w:rsid w:val="7D491FE6"/>
    <w:rsid w:val="7D904B75"/>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autoRedefine/>
    <w:semiHidden/>
    <w:unhideWhenUsed/>
    <w:qFormat/>
    <w:uiPriority w:val="99"/>
    <w:pPr>
      <w:jc w:val="left"/>
    </w:pPr>
  </w:style>
  <w:style w:type="paragraph" w:styleId="7">
    <w:name w:val="Body Text"/>
    <w:basedOn w:val="1"/>
    <w:next w:val="8"/>
    <w:link w:val="37"/>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5"/>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9"/>
    <w:autoRedefine/>
    <w:semiHidden/>
    <w:unhideWhenUsed/>
    <w:qFormat/>
    <w:uiPriority w:val="99"/>
    <w:rPr>
      <w:sz w:val="18"/>
      <w:szCs w:val="18"/>
    </w:rPr>
  </w:style>
  <w:style w:type="paragraph" w:styleId="14">
    <w:name w:val="footer"/>
    <w:basedOn w:val="1"/>
    <w:link w:val="28"/>
    <w:autoRedefine/>
    <w:unhideWhenUsed/>
    <w:qFormat/>
    <w:uiPriority w:val="99"/>
    <w:pPr>
      <w:tabs>
        <w:tab w:val="center" w:pos="4153"/>
        <w:tab w:val="right" w:pos="8306"/>
      </w:tabs>
      <w:snapToGrid w:val="0"/>
      <w:jc w:val="left"/>
    </w:pPr>
    <w:rPr>
      <w:sz w:val="18"/>
      <w:szCs w:val="18"/>
    </w:rPr>
  </w:style>
  <w:style w:type="paragraph" w:styleId="15">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2"/>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autoRedefine/>
    <w:unhideWhenUsed/>
    <w:qFormat/>
    <w:uiPriority w:val="99"/>
    <w:rPr>
      <w:color w:val="0563C1" w:themeColor="hyperlink"/>
      <w:u w:val="single"/>
      <w14:textFill>
        <w14:solidFill>
          <w14:schemeClr w14:val="hlink"/>
        </w14:solidFill>
      </w14:textFill>
    </w:rPr>
  </w:style>
  <w:style w:type="character" w:styleId="23">
    <w:name w:val="annotation reference"/>
    <w:basedOn w:val="20"/>
    <w:autoRedefine/>
    <w:semiHidden/>
    <w:unhideWhenUsed/>
    <w:qFormat/>
    <w:uiPriority w:val="99"/>
    <w:rPr>
      <w:sz w:val="21"/>
      <w:szCs w:val="21"/>
    </w:rPr>
  </w:style>
  <w:style w:type="paragraph" w:customStyle="1" w:styleId="24">
    <w:name w:val="明显引用1"/>
    <w:basedOn w:val="25"/>
    <w:next w:val="1"/>
    <w:qFormat/>
    <w:uiPriority w:val="0"/>
    <w:pPr>
      <w:pBdr>
        <w:bottom w:val="single" w:color="4F81BD" w:sz="4" w:space="4"/>
      </w:pBdr>
      <w:spacing w:before="200" w:after="280"/>
      <w:ind w:left="936" w:right="936"/>
    </w:pPr>
    <w:rPr>
      <w:b/>
      <w:bCs/>
      <w:i/>
      <w:iCs/>
      <w:color w:val="4F81BD"/>
    </w:rPr>
  </w:style>
  <w:style w:type="paragraph" w:customStyle="1" w:styleId="25">
    <w:name w:val="Normal_1"/>
    <w:next w:val="8"/>
    <w:qFormat/>
    <w:uiPriority w:val="0"/>
    <w:pPr>
      <w:widowControl w:val="0"/>
      <w:jc w:val="both"/>
    </w:pPr>
    <w:rPr>
      <w:rFonts w:ascii="Calibri" w:hAnsi="Calibri" w:eastAsia="宋体" w:cs="Times New Roman"/>
      <w:lang w:val="en-US" w:eastAsia="zh-CN" w:bidi="ar-SA"/>
    </w:rPr>
  </w:style>
  <w:style w:type="paragraph" w:customStyle="1" w:styleId="26">
    <w:name w:val="明显引用11"/>
    <w:basedOn w:val="25"/>
    <w:next w:val="1"/>
    <w:qFormat/>
    <w:uiPriority w:val="0"/>
    <w:pPr>
      <w:pBdr>
        <w:bottom w:val="single" w:color="4F81BD" w:sz="4" w:space="4"/>
      </w:pBdr>
      <w:spacing w:before="200" w:after="280"/>
      <w:ind w:left="936" w:right="936"/>
    </w:pPr>
    <w:rPr>
      <w:b/>
      <w:bCs/>
      <w:i/>
      <w:iCs/>
      <w:color w:val="4F81BD"/>
    </w:rPr>
  </w:style>
  <w:style w:type="character" w:customStyle="1" w:styleId="27">
    <w:name w:val="页眉 字符"/>
    <w:basedOn w:val="20"/>
    <w:link w:val="15"/>
    <w:autoRedefine/>
    <w:qFormat/>
    <w:uiPriority w:val="99"/>
    <w:rPr>
      <w:sz w:val="18"/>
      <w:szCs w:val="18"/>
    </w:rPr>
  </w:style>
  <w:style w:type="character" w:customStyle="1" w:styleId="28">
    <w:name w:val="页脚 字符"/>
    <w:basedOn w:val="20"/>
    <w:link w:val="14"/>
    <w:autoRedefine/>
    <w:qFormat/>
    <w:uiPriority w:val="99"/>
    <w:rPr>
      <w:sz w:val="18"/>
      <w:szCs w:val="18"/>
    </w:rPr>
  </w:style>
  <w:style w:type="character" w:customStyle="1" w:styleId="29">
    <w:name w:val="批注框文本 字符"/>
    <w:basedOn w:val="20"/>
    <w:link w:val="13"/>
    <w:autoRedefine/>
    <w:semiHidden/>
    <w:qFormat/>
    <w:uiPriority w:val="99"/>
    <w:rPr>
      <w:sz w:val="18"/>
      <w:szCs w:val="18"/>
    </w:rPr>
  </w:style>
  <w:style w:type="paragraph" w:styleId="30">
    <w:name w:val="List Paragraph"/>
    <w:basedOn w:val="1"/>
    <w:autoRedefine/>
    <w:qFormat/>
    <w:uiPriority w:val="34"/>
    <w:pPr>
      <w:ind w:firstLine="420" w:firstLineChars="200"/>
    </w:pPr>
  </w:style>
  <w:style w:type="character" w:customStyle="1" w:styleId="31">
    <w:name w:val="批注文字 字符"/>
    <w:basedOn w:val="20"/>
    <w:link w:val="6"/>
    <w:autoRedefine/>
    <w:semiHidden/>
    <w:qFormat/>
    <w:uiPriority w:val="99"/>
  </w:style>
  <w:style w:type="character" w:customStyle="1" w:styleId="32">
    <w:name w:val="批注主题 字符"/>
    <w:basedOn w:val="31"/>
    <w:link w:val="17"/>
    <w:autoRedefine/>
    <w:semiHidden/>
    <w:qFormat/>
    <w:uiPriority w:val="99"/>
    <w:rPr>
      <w:b/>
      <w:bCs/>
    </w:rPr>
  </w:style>
  <w:style w:type="character" w:customStyle="1" w:styleId="33">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4">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5">
    <w:name w:val="纯文本 字符"/>
    <w:basedOn w:val="20"/>
    <w:link w:val="12"/>
    <w:autoRedefine/>
    <w:qFormat/>
    <w:uiPriority w:val="99"/>
    <w:rPr>
      <w:rFonts w:ascii="宋体" w:hAnsi="Courier New" w:eastAsia="宋体" w:cs="宋体"/>
      <w:kern w:val="0"/>
      <w:sz w:val="20"/>
      <w:szCs w:val="20"/>
    </w:rPr>
  </w:style>
  <w:style w:type="character" w:customStyle="1" w:styleId="36">
    <w:name w:val="标题 1 字符"/>
    <w:basedOn w:val="20"/>
    <w:link w:val="2"/>
    <w:autoRedefine/>
    <w:qFormat/>
    <w:uiPriority w:val="9"/>
    <w:rPr>
      <w:b/>
      <w:bCs/>
      <w:kern w:val="44"/>
      <w:sz w:val="44"/>
      <w:szCs w:val="44"/>
    </w:rPr>
  </w:style>
  <w:style w:type="character" w:customStyle="1" w:styleId="37">
    <w:name w:val="正文文本 字符"/>
    <w:basedOn w:val="20"/>
    <w:link w:val="7"/>
    <w:autoRedefine/>
    <w:qFormat/>
    <w:uiPriority w:val="99"/>
    <w:rPr>
      <w:rFonts w:ascii="Times New Roman" w:hAnsi="Times New Roman" w:eastAsia="宋体" w:cs="Times New Roman"/>
      <w:kern w:val="0"/>
      <w:szCs w:val="21"/>
    </w:rPr>
  </w:style>
  <w:style w:type="paragraph" w:customStyle="1" w:styleId="38">
    <w:name w:val="List Paragraph1"/>
    <w:basedOn w:val="1"/>
    <w:autoRedefine/>
    <w:qFormat/>
    <w:uiPriority w:val="0"/>
    <w:pPr>
      <w:ind w:firstLine="420" w:firstLineChars="200"/>
    </w:pPr>
    <w:rPr>
      <w:rFonts w:ascii="等线" w:hAnsi="等线" w:eastAsia="等线" w:cs="Times New Roman"/>
      <w:szCs w:val="21"/>
    </w:rPr>
  </w:style>
  <w:style w:type="paragraph" w:customStyle="1" w:styleId="39">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40">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font101"/>
    <w:basedOn w:val="20"/>
    <w:qFormat/>
    <w:uiPriority w:val="0"/>
    <w:rPr>
      <w:rFonts w:hint="eastAsia" w:ascii="宋体" w:hAnsi="宋体" w:eastAsia="宋体" w:cs="宋体"/>
      <w:b/>
      <w:bCs/>
      <w:color w:val="FF0000"/>
      <w:sz w:val="36"/>
      <w:szCs w:val="36"/>
      <w:u w:val="none"/>
    </w:rPr>
  </w:style>
  <w:style w:type="character" w:customStyle="1" w:styleId="42">
    <w:name w:val="font21"/>
    <w:basedOn w:val="20"/>
    <w:qFormat/>
    <w:uiPriority w:val="0"/>
    <w:rPr>
      <w:rFonts w:hint="eastAsia" w:ascii="宋体" w:hAnsi="宋体" w:eastAsia="宋体" w:cs="宋体"/>
      <w:b/>
      <w:bCs/>
      <w:color w:val="000000"/>
      <w:sz w:val="36"/>
      <w:szCs w:val="36"/>
      <w:u w:val="none"/>
    </w:rPr>
  </w:style>
  <w:style w:type="character" w:customStyle="1" w:styleId="43">
    <w:name w:val="font01"/>
    <w:basedOn w:val="20"/>
    <w:qFormat/>
    <w:uiPriority w:val="0"/>
    <w:rPr>
      <w:rFonts w:hint="eastAsia" w:ascii="宋体" w:hAnsi="宋体" w:eastAsia="宋体" w:cs="宋体"/>
      <w:color w:val="000000"/>
      <w:sz w:val="24"/>
      <w:szCs w:val="24"/>
      <w:u w:val="none"/>
    </w:rPr>
  </w:style>
  <w:style w:type="character" w:customStyle="1" w:styleId="44">
    <w:name w:val="font112"/>
    <w:basedOn w:val="20"/>
    <w:qFormat/>
    <w:uiPriority w:val="0"/>
    <w:rPr>
      <w:rFonts w:hint="eastAsia" w:ascii="宋体" w:hAnsi="宋体" w:eastAsia="宋体" w:cs="宋体"/>
      <w:b/>
      <w:bCs/>
      <w:color w:val="000000"/>
      <w:sz w:val="24"/>
      <w:szCs w:val="24"/>
      <w:u w:val="single"/>
    </w:rPr>
  </w:style>
  <w:style w:type="character" w:customStyle="1" w:styleId="45">
    <w:name w:val="font81"/>
    <w:basedOn w:val="20"/>
    <w:qFormat/>
    <w:uiPriority w:val="0"/>
    <w:rPr>
      <w:rFonts w:hint="eastAsia" w:ascii="宋体" w:hAnsi="宋体" w:eastAsia="宋体" w:cs="宋体"/>
      <w:b/>
      <w:bCs/>
      <w:color w:val="000000"/>
      <w:sz w:val="24"/>
      <w:szCs w:val="24"/>
      <w:u w:val="none"/>
    </w:rPr>
  </w:style>
  <w:style w:type="table" w:customStyle="1" w:styleId="46">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1706</Words>
  <Characters>1900</Characters>
  <Lines>150</Lines>
  <Paragraphs>42</Paragraphs>
  <TotalTime>15</TotalTime>
  <ScaleCrop>false</ScaleCrop>
  <LinksUpToDate>false</LinksUpToDate>
  <CharactersWithSpaces>1938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2026-04-29T00:57:45Z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8456865FE26C438FB3099CF7611D3472_13</vt:lpwstr>
  </property>
  <property fmtid="{D5CDD505-2E9C-101B-9397-08002B2CF9AE}" pid="4" name="KSOTemplateDocerSaveRecord">
    <vt:lpwstr>eyJoZGlkIjoiY2UzOGVjYTkyYTRhZGNhZWE3ODEwZDk3MzE3NWQwYzciLCJ1c2VySWQiOiI2NzMzMzUyNzQifQ==</vt:lpwstr>
  </property>
</Properties>
</file>