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rPr>
          <w:rFonts w:ascii="宋体" w:hAnsi="宋体" w:eastAsia="宋体"/>
          <w:sz w:val="36"/>
          <w:szCs w:val="36"/>
          <w:u w:val="single"/>
        </w:rPr>
      </w:pPr>
    </w:p>
    <w:p w14:paraId="738C54B1">
      <w:pPr>
        <w:jc w:val="center"/>
        <w:rPr>
          <w:rFonts w:hint="eastAsia" w:ascii="宋体" w:hAnsi="宋体" w:eastAsia="宋体"/>
          <w:sz w:val="36"/>
          <w:szCs w:val="36"/>
          <w:lang w:eastAsia="zh-CN"/>
        </w:rPr>
      </w:pPr>
      <w:r>
        <w:rPr>
          <w:rFonts w:hint="eastAsia" w:ascii="宋体" w:hAnsi="宋体" w:eastAsia="宋体"/>
          <w:sz w:val="36"/>
          <w:szCs w:val="36"/>
          <w:u w:val="single"/>
          <w:lang w:eastAsia="zh-CN"/>
        </w:rPr>
        <w:t>2025年-2026年南宁轨道地产建筑工程有限责任公司零星材料集中采购（重）</w:t>
      </w:r>
    </w:p>
    <w:p w14:paraId="7BD1F877">
      <w:pPr>
        <w:jc w:val="center"/>
        <w:rPr>
          <w:rFonts w:ascii="宋体" w:hAnsi="宋体" w:eastAsia="宋体"/>
          <w:sz w:val="36"/>
          <w:szCs w:val="36"/>
        </w:rPr>
      </w:pPr>
    </w:p>
    <w:p w14:paraId="2C9FAC6F">
      <w:pPr>
        <w:jc w:val="center"/>
        <w:rPr>
          <w:rFonts w:ascii="宋体" w:hAnsi="宋体" w:eastAsia="宋体"/>
          <w:sz w:val="36"/>
          <w:szCs w:val="36"/>
        </w:rPr>
      </w:pPr>
    </w:p>
    <w:p w14:paraId="453F1F8C">
      <w:pPr>
        <w:jc w:val="center"/>
        <w:rPr>
          <w:rFonts w:ascii="宋体" w:hAnsi="宋体" w:eastAsia="宋体"/>
          <w:sz w:val="36"/>
          <w:szCs w:val="36"/>
        </w:rPr>
      </w:pPr>
    </w:p>
    <w:p w14:paraId="28A5A608">
      <w:pPr>
        <w:jc w:val="center"/>
        <w:rPr>
          <w:rFonts w:ascii="宋体" w:hAnsi="宋体" w:eastAsia="宋体"/>
          <w:sz w:val="36"/>
          <w:szCs w:val="36"/>
        </w:rPr>
      </w:pPr>
    </w:p>
    <w:p w14:paraId="174A00D6">
      <w:pPr>
        <w:jc w:val="center"/>
        <w:rPr>
          <w:rFonts w:ascii="宋体" w:hAnsi="宋体" w:eastAsia="宋体"/>
          <w:sz w:val="36"/>
          <w:szCs w:val="36"/>
        </w:rPr>
      </w:pPr>
    </w:p>
    <w:p w14:paraId="7DC2F9F5">
      <w:pPr>
        <w:jc w:val="center"/>
        <w:rPr>
          <w:rFonts w:ascii="宋体" w:hAnsi="宋体" w:eastAsia="宋体"/>
          <w:b/>
          <w:bCs/>
          <w:sz w:val="72"/>
          <w:szCs w:val="72"/>
        </w:rPr>
      </w:pPr>
      <w:r>
        <w:rPr>
          <w:rFonts w:hint="eastAsia" w:ascii="宋体" w:hAnsi="宋体" w:eastAsia="宋体"/>
          <w:b/>
          <w:bCs/>
          <w:sz w:val="72"/>
          <w:szCs w:val="72"/>
        </w:rPr>
        <w:t>公开比选文件</w:t>
      </w:r>
    </w:p>
    <w:p w14:paraId="11A3FAC8">
      <w:pPr>
        <w:jc w:val="center"/>
        <w:rPr>
          <w:rFonts w:ascii="宋体" w:hAnsi="宋体" w:eastAsia="宋体"/>
          <w:sz w:val="36"/>
          <w:szCs w:val="36"/>
        </w:rPr>
      </w:pPr>
    </w:p>
    <w:p w14:paraId="4AE5E91D">
      <w:pPr>
        <w:jc w:val="center"/>
        <w:rPr>
          <w:rFonts w:ascii="宋体" w:hAnsi="宋体" w:eastAsia="宋体"/>
          <w:sz w:val="36"/>
          <w:szCs w:val="36"/>
        </w:rPr>
      </w:pPr>
    </w:p>
    <w:p w14:paraId="5B023282">
      <w:pPr>
        <w:rPr>
          <w:rFonts w:ascii="宋体" w:hAnsi="宋体" w:eastAsia="宋体"/>
          <w:sz w:val="36"/>
          <w:szCs w:val="36"/>
        </w:rPr>
      </w:pPr>
    </w:p>
    <w:p w14:paraId="19D81203">
      <w:pPr>
        <w:jc w:val="center"/>
        <w:rPr>
          <w:rFonts w:ascii="宋体" w:hAnsi="宋体" w:eastAsia="宋体"/>
          <w:sz w:val="36"/>
          <w:szCs w:val="36"/>
        </w:rPr>
      </w:pPr>
    </w:p>
    <w:p w14:paraId="6192F880">
      <w:pPr>
        <w:jc w:val="center"/>
        <w:rPr>
          <w:rFonts w:ascii="宋体" w:hAnsi="宋体" w:eastAsia="宋体"/>
          <w:sz w:val="36"/>
          <w:szCs w:val="36"/>
        </w:rPr>
      </w:pPr>
    </w:p>
    <w:p w14:paraId="3FFB52FC">
      <w:pPr>
        <w:jc w:val="center"/>
        <w:rPr>
          <w:rFonts w:ascii="宋体" w:hAnsi="宋体" w:eastAsia="宋体"/>
          <w:sz w:val="36"/>
          <w:szCs w:val="36"/>
        </w:rPr>
      </w:pPr>
    </w:p>
    <w:p w14:paraId="3A37E6DF">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5466E98E">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11</w:t>
      </w:r>
      <w:r>
        <w:rPr>
          <w:rFonts w:hint="eastAsia" w:ascii="宋体" w:hAnsi="宋体" w:eastAsia="宋体"/>
          <w:sz w:val="36"/>
          <w:szCs w:val="36"/>
        </w:rPr>
        <w:t>月</w:t>
      </w:r>
      <w:bookmarkStart w:id="824" w:name="_GoBack"/>
      <w:bookmarkEnd w:id="824"/>
    </w:p>
    <w:p w14:paraId="650301F6">
      <w:pPr>
        <w:jc w:val="center"/>
        <w:rPr>
          <w:rFonts w:ascii="宋体" w:hAnsi="宋体" w:eastAsia="宋体"/>
          <w:sz w:val="36"/>
          <w:szCs w:val="36"/>
        </w:rPr>
      </w:pPr>
      <w:r>
        <w:rPr>
          <w:rFonts w:ascii="宋体" w:hAnsi="宋体" w:eastAsia="宋体"/>
          <w:sz w:val="36"/>
          <w:szCs w:val="36"/>
        </w:rPr>
        <w:br w:type="page"/>
      </w:r>
    </w:p>
    <w:p w14:paraId="63337074">
      <w:pPr>
        <w:jc w:val="center"/>
        <w:rPr>
          <w:rFonts w:ascii="宋体" w:hAnsi="宋体" w:eastAsia="宋体"/>
          <w:b/>
          <w:bCs/>
          <w:sz w:val="36"/>
          <w:szCs w:val="36"/>
        </w:rPr>
      </w:pPr>
      <w:r>
        <w:rPr>
          <w:rFonts w:hint="eastAsia" w:ascii="宋体" w:hAnsi="宋体" w:eastAsia="宋体"/>
          <w:b/>
          <w:bCs/>
          <w:sz w:val="36"/>
          <w:szCs w:val="36"/>
        </w:rPr>
        <w:t>目录</w:t>
      </w:r>
    </w:p>
    <w:p w14:paraId="1203EB06">
      <w:pPr>
        <w:jc w:val="center"/>
        <w:rPr>
          <w:rFonts w:ascii="宋体" w:hAnsi="宋体" w:eastAsia="宋体"/>
          <w:sz w:val="36"/>
          <w:szCs w:val="36"/>
        </w:rPr>
      </w:pPr>
    </w:p>
    <w:p w14:paraId="2CD80551">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第一章比选公告</w:t>
      </w:r>
    </w:p>
    <w:p w14:paraId="0205CC9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第二章比选申请须知</w:t>
      </w:r>
    </w:p>
    <w:p w14:paraId="754518E5">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第三章合同条款及格式</w:t>
      </w:r>
    </w:p>
    <w:p w14:paraId="24C2EE6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第四章技术标准和要求</w:t>
      </w:r>
    </w:p>
    <w:p w14:paraId="080340C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第五章评审办法</w:t>
      </w:r>
    </w:p>
    <w:p w14:paraId="55AD105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第六章比选申请文件格式</w:t>
      </w:r>
    </w:p>
    <w:p w14:paraId="5BFB3136">
      <w:pPr>
        <w:jc w:val="center"/>
        <w:rPr>
          <w:rFonts w:ascii="宋体" w:hAnsi="宋体" w:eastAsia="宋体"/>
          <w:sz w:val="36"/>
          <w:szCs w:val="36"/>
        </w:rPr>
      </w:pPr>
    </w:p>
    <w:p w14:paraId="5C00AD05">
      <w:pPr>
        <w:jc w:val="center"/>
        <w:rPr>
          <w:rFonts w:ascii="宋体" w:hAnsi="宋体" w:eastAsia="宋体"/>
          <w:sz w:val="36"/>
          <w:szCs w:val="36"/>
        </w:rPr>
      </w:pPr>
      <w:r>
        <w:rPr>
          <w:rFonts w:ascii="宋体" w:hAnsi="宋体" w:eastAsia="宋体"/>
          <w:sz w:val="36"/>
          <w:szCs w:val="36"/>
        </w:rPr>
        <w:br w:type="page"/>
      </w:r>
    </w:p>
    <w:p w14:paraId="125917D5">
      <w:pPr>
        <w:jc w:val="center"/>
        <w:outlineLvl w:val="0"/>
        <w:rPr>
          <w:rFonts w:ascii="宋体" w:hAnsi="宋体" w:eastAsia="宋体"/>
          <w:b/>
          <w:bCs/>
          <w:sz w:val="36"/>
          <w:szCs w:val="36"/>
        </w:rPr>
      </w:pPr>
      <w:r>
        <w:rPr>
          <w:rFonts w:hint="eastAsia" w:ascii="宋体" w:hAnsi="宋体" w:eastAsia="宋体"/>
          <w:b/>
          <w:bCs/>
          <w:sz w:val="36"/>
          <w:szCs w:val="36"/>
        </w:rPr>
        <w:t>第一章比选公告</w:t>
      </w:r>
    </w:p>
    <w:p w14:paraId="6EBB75C2">
      <w:pPr>
        <w:jc w:val="center"/>
        <w:rPr>
          <w:rFonts w:ascii="宋体" w:hAnsi="宋体" w:eastAsia="宋体"/>
          <w:sz w:val="36"/>
          <w:szCs w:val="36"/>
          <w:u w:val="single"/>
        </w:rPr>
      </w:pPr>
    </w:p>
    <w:p w14:paraId="11D4035C">
      <w:pPr>
        <w:jc w:val="center"/>
        <w:outlineLvl w:val="0"/>
        <w:rPr>
          <w:rFonts w:hint="eastAsia" w:ascii="宋体" w:hAnsi="宋体" w:eastAsia="宋体"/>
          <w:sz w:val="36"/>
          <w:szCs w:val="36"/>
          <w:u w:val="single"/>
          <w:lang w:eastAsia="zh-CN"/>
        </w:rPr>
      </w:pPr>
      <w:r>
        <w:rPr>
          <w:rFonts w:hint="eastAsia" w:ascii="宋体" w:hAnsi="宋体" w:eastAsia="宋体"/>
          <w:sz w:val="36"/>
          <w:szCs w:val="36"/>
          <w:u w:val="single"/>
          <w:lang w:eastAsia="zh-CN"/>
        </w:rPr>
        <w:t>2025年-2026年南宁轨道地产建筑工程有限责任公司零星材料集中采购（重）</w:t>
      </w:r>
    </w:p>
    <w:p w14:paraId="65CC435B">
      <w:pPr>
        <w:jc w:val="center"/>
        <w:outlineLvl w:val="0"/>
        <w:rPr>
          <w:rFonts w:ascii="宋体" w:hAnsi="宋体" w:eastAsia="宋体"/>
          <w:sz w:val="36"/>
          <w:szCs w:val="36"/>
        </w:rPr>
      </w:pPr>
      <w:r>
        <w:rPr>
          <w:rFonts w:hint="eastAsia" w:ascii="宋体" w:hAnsi="宋体" w:eastAsia="宋体"/>
          <w:sz w:val="36"/>
          <w:szCs w:val="36"/>
        </w:rPr>
        <w:t>比选公告</w:t>
      </w:r>
    </w:p>
    <w:p w14:paraId="6DED0629">
      <w:pPr>
        <w:jc w:val="center"/>
        <w:rPr>
          <w:rFonts w:ascii="宋体" w:hAnsi="宋体" w:eastAsia="宋体"/>
          <w:sz w:val="36"/>
          <w:szCs w:val="36"/>
        </w:rPr>
      </w:pPr>
    </w:p>
    <w:p w14:paraId="1BC1AD00">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1、比选人</w:t>
      </w:r>
    </w:p>
    <w:p w14:paraId="1CC9D7BA">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5BC68DA6">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2、项目概况</w:t>
      </w:r>
    </w:p>
    <w:p w14:paraId="7AC730DD">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eastAsia" w:ascii="宋体" w:hAnsi="宋体" w:eastAsia="宋体"/>
          <w:sz w:val="24"/>
          <w:szCs w:val="24"/>
          <w:u w:val="single"/>
          <w:lang w:eastAsia="zh-CN"/>
        </w:rPr>
        <w:t>2025年-2026年南宁轨道地产建筑工程有限责任公司零星材料集中采购（重）</w:t>
      </w:r>
      <w:r>
        <w:rPr>
          <w:rFonts w:hint="eastAsia" w:ascii="宋体" w:hAnsi="宋体" w:eastAsia="宋体"/>
          <w:sz w:val="24"/>
          <w:szCs w:val="24"/>
          <w:u w:val="single"/>
        </w:rPr>
        <w:t>。</w:t>
      </w:r>
    </w:p>
    <w:p w14:paraId="58712AD6">
      <w:pPr>
        <w:pStyle w:val="29"/>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（2）</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大写：叁拾捌万叁仟壹佰壹拾伍元肆角贰分</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小写：383115.42</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7D35999B">
      <w:pPr>
        <w:pStyle w:val="37"/>
        <w:spacing w:line="480" w:lineRule="exact"/>
        <w:ind w:firstLine="480"/>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rPr>
        <w:t>从2025年</w:t>
      </w:r>
      <w:r>
        <w:rPr>
          <w:rFonts w:hint="eastAsia" w:ascii="宋体" w:hAnsi="宋体" w:eastAsia="宋体"/>
          <w:sz w:val="24"/>
          <w:szCs w:val="24"/>
          <w:u w:val="single"/>
          <w:lang w:val="en-US" w:eastAsia="zh-CN"/>
        </w:rPr>
        <w:t>12</w:t>
      </w:r>
      <w:r>
        <w:rPr>
          <w:rFonts w:hint="eastAsia" w:ascii="宋体" w:hAnsi="宋体" w:eastAsia="宋体"/>
          <w:sz w:val="24"/>
          <w:szCs w:val="24"/>
          <w:u w:val="single"/>
        </w:rPr>
        <w:t>月</w:t>
      </w:r>
      <w:r>
        <w:rPr>
          <w:rFonts w:hint="eastAsia" w:ascii="宋体" w:hAnsi="宋体" w:eastAsia="宋体"/>
          <w:sz w:val="24"/>
          <w:szCs w:val="24"/>
          <w:u w:val="single"/>
          <w:lang w:val="en-US" w:eastAsia="zh-CN"/>
        </w:rPr>
        <w:t>1</w:t>
      </w:r>
      <w:r>
        <w:rPr>
          <w:rFonts w:hint="eastAsia" w:ascii="宋体" w:hAnsi="宋体" w:eastAsia="宋体"/>
          <w:sz w:val="24"/>
          <w:szCs w:val="24"/>
          <w:u w:val="single"/>
        </w:rPr>
        <w:t>日起至202</w:t>
      </w:r>
      <w:r>
        <w:rPr>
          <w:rFonts w:hint="eastAsia" w:ascii="宋体" w:hAnsi="宋体" w:eastAsia="宋体"/>
          <w:sz w:val="24"/>
          <w:szCs w:val="24"/>
          <w:u w:val="single"/>
          <w:lang w:val="en-US" w:eastAsia="zh-CN"/>
        </w:rPr>
        <w:t>6</w:t>
      </w:r>
      <w:r>
        <w:rPr>
          <w:rFonts w:hint="eastAsia" w:ascii="宋体" w:hAnsi="宋体" w:eastAsia="宋体"/>
          <w:sz w:val="24"/>
          <w:szCs w:val="24"/>
          <w:u w:val="single"/>
        </w:rPr>
        <w:t>年</w:t>
      </w:r>
      <w:r>
        <w:rPr>
          <w:rFonts w:hint="eastAsia" w:ascii="宋体" w:hAnsi="宋体" w:eastAsia="宋体"/>
          <w:sz w:val="24"/>
          <w:szCs w:val="24"/>
          <w:u w:val="single"/>
          <w:lang w:val="en-US" w:eastAsia="zh-CN"/>
        </w:rPr>
        <w:t>11</w:t>
      </w:r>
      <w:r>
        <w:rPr>
          <w:rFonts w:hint="eastAsia" w:ascii="宋体" w:hAnsi="宋体" w:eastAsia="宋体"/>
          <w:sz w:val="24"/>
          <w:szCs w:val="24"/>
          <w:u w:val="single"/>
        </w:rPr>
        <w:t>月</w:t>
      </w:r>
      <w:r>
        <w:rPr>
          <w:rFonts w:hint="eastAsia" w:ascii="宋体" w:hAnsi="宋体" w:eastAsia="宋体"/>
          <w:sz w:val="24"/>
          <w:szCs w:val="24"/>
          <w:u w:val="single"/>
          <w:lang w:val="en-US" w:eastAsia="zh-CN"/>
        </w:rPr>
        <w:t>30</w:t>
      </w:r>
      <w:r>
        <w:rPr>
          <w:rFonts w:hint="eastAsia" w:ascii="宋体" w:hAnsi="宋体" w:eastAsia="宋体"/>
          <w:sz w:val="24"/>
          <w:szCs w:val="24"/>
          <w:u w:val="single"/>
        </w:rPr>
        <w:t>日止</w:t>
      </w:r>
      <w:r>
        <w:rPr>
          <w:rFonts w:hint="eastAsia" w:ascii="宋体" w:hAnsi="宋体" w:eastAsia="宋体"/>
          <w:sz w:val="24"/>
          <w:szCs w:val="24"/>
        </w:rPr>
        <w:t>（以比选人实际发出的供货通知时间为准）。</w:t>
      </w:r>
    </w:p>
    <w:p w14:paraId="00EB58BE">
      <w:pPr>
        <w:pStyle w:val="37"/>
        <w:spacing w:line="480" w:lineRule="exact"/>
        <w:ind w:firstLine="480"/>
        <w:jc w:val="left"/>
        <w:rPr>
          <w:rFonts w:hint="eastAsia" w:ascii="宋体" w:hAnsi="宋体" w:eastAsia="宋体"/>
          <w:sz w:val="24"/>
          <w:szCs w:val="24"/>
          <w:u w:val="single"/>
        </w:rPr>
      </w:pPr>
      <w:r>
        <w:rPr>
          <w:rFonts w:hint="eastAsia" w:ascii="宋体" w:hAnsi="宋体" w:eastAsia="宋体"/>
          <w:sz w:val="24"/>
          <w:szCs w:val="24"/>
          <w:u w:val="single"/>
        </w:rPr>
        <w:t>供货周期为接到比选人发出通知供货开始，至货物到达现场的时间段。每批次货物供货周期必须小于或等于</w:t>
      </w:r>
      <w:r>
        <w:rPr>
          <w:rFonts w:hint="eastAsia" w:ascii="宋体" w:hAnsi="宋体" w:eastAsia="宋体"/>
          <w:sz w:val="24"/>
          <w:szCs w:val="24"/>
          <w:u w:val="single"/>
          <w:lang w:val="en-US" w:eastAsia="zh-CN"/>
        </w:rPr>
        <w:t>1</w:t>
      </w:r>
      <w:r>
        <w:rPr>
          <w:rFonts w:hint="eastAsia" w:ascii="宋体" w:hAnsi="宋体" w:eastAsia="宋体"/>
          <w:sz w:val="24"/>
          <w:szCs w:val="24"/>
          <w:u w:val="single"/>
        </w:rPr>
        <w:t>天（具体供货时间以比选人实际发出的供货通知时间为准）。</w:t>
      </w:r>
    </w:p>
    <w:p w14:paraId="74FBDEE8">
      <w:pPr>
        <w:pStyle w:val="37"/>
        <w:spacing w:line="480" w:lineRule="exact"/>
        <w:ind w:firstLine="480"/>
        <w:jc w:val="left"/>
        <w:rPr>
          <w:rFonts w:hint="default" w:ascii="宋体" w:hAnsi="宋体" w:eastAsia="宋体"/>
          <w:b/>
          <w:bCs/>
          <w:sz w:val="24"/>
          <w:szCs w:val="24"/>
          <w:highlight w:val="none"/>
          <w:u w:val="single"/>
          <w:lang w:val="en-US" w:eastAsia="zh-CN"/>
        </w:rPr>
      </w:pPr>
      <w:r>
        <w:rPr>
          <w:rFonts w:hint="eastAsia" w:ascii="宋体" w:hAnsi="宋体" w:eastAsia="宋体"/>
          <w:b/>
          <w:bCs/>
          <w:sz w:val="24"/>
          <w:szCs w:val="24"/>
          <w:highlight w:val="none"/>
          <w:u w:val="single"/>
          <w:lang w:val="en-US" w:eastAsia="zh-CN"/>
        </w:rPr>
        <w:t>供货要求：本项目为零星材料集中采购，非一次性供货，为零星供货，将根据项目实际需求要求供货。</w:t>
      </w:r>
    </w:p>
    <w:p w14:paraId="251652C4">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对工期的其他要求：</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无</w:t>
      </w:r>
      <w:r>
        <w:rPr>
          <w:rFonts w:ascii="宋体" w:hAnsi="宋体" w:eastAsia="宋体"/>
          <w:sz w:val="24"/>
          <w:szCs w:val="24"/>
          <w:u w:val="single"/>
        </w:rPr>
        <w:t xml:space="preserve"> </w:t>
      </w:r>
      <w:r>
        <w:rPr>
          <w:rFonts w:hint="eastAsia" w:ascii="宋体" w:hAnsi="宋体" w:eastAsia="宋体"/>
          <w:sz w:val="24"/>
          <w:szCs w:val="24"/>
          <w:u w:val="single"/>
        </w:rPr>
        <w:t>。</w:t>
      </w:r>
    </w:p>
    <w:p w14:paraId="30893685">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（3）项目地点：</w:t>
      </w:r>
      <w:r>
        <w:rPr>
          <w:rFonts w:hint="eastAsia" w:ascii="宋体" w:hAnsi="宋体" w:eastAsia="宋体"/>
          <w:sz w:val="24"/>
          <w:szCs w:val="24"/>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内</w:t>
      </w:r>
      <w:r>
        <w:rPr>
          <w:rFonts w:hint="eastAsia" w:ascii="宋体" w:hAnsi="宋体" w:eastAsia="宋体"/>
          <w:sz w:val="24"/>
          <w:szCs w:val="24"/>
          <w:u w:val="single"/>
        </w:rPr>
        <w:t>。</w:t>
      </w:r>
    </w:p>
    <w:p w14:paraId="47F76182">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（4）比选具体内容及范围：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6721CF2C">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（5）其他情况：</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包含二次转运至地下室</w:t>
      </w:r>
      <w:r>
        <w:rPr>
          <w:rFonts w:hint="eastAsia" w:ascii="宋体" w:hAnsi="宋体" w:eastAsia="宋体"/>
          <w:sz w:val="24"/>
          <w:szCs w:val="24"/>
          <w:u w:val="single"/>
        </w:rPr>
        <w:t xml:space="preserve"> 。</w:t>
      </w:r>
    </w:p>
    <w:p w14:paraId="77DD7B27">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2、比选申请人资格要求（详见比选申请须知前附表）</w:t>
      </w:r>
    </w:p>
    <w:p w14:paraId="20EF019A">
      <w:pPr>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3、发布公告媒介和比选文件的获取</w:t>
      </w:r>
    </w:p>
    <w:p w14:paraId="1B4A9038">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u w:val="single"/>
        </w:rPr>
        <w:t>南宁轨道地产集团有限责任公司</w:t>
      </w:r>
      <w:r>
        <w:rPr>
          <w:rFonts w:hint="eastAsia" w:ascii="宋体" w:hAnsi="宋体" w:eastAsia="宋体"/>
          <w:sz w:val="24"/>
          <w:szCs w:val="24"/>
          <w:u w:val="single"/>
        </w:rPr>
        <w:t>官网(http://</w:t>
      </w:r>
      <w:r>
        <w:fldChar w:fldCharType="begin"/>
      </w:r>
      <w:r>
        <w:instrText xml:space="preserve"> HYPERLINK "http://www.nngddc.com" </w:instrText>
      </w:r>
      <w:r>
        <w:fldChar w:fldCharType="separate"/>
      </w:r>
      <w:r>
        <w:rPr>
          <w:u w:val="single"/>
        </w:rPr>
        <w:t>http://www.nngddc.com</w:t>
      </w:r>
      <w:r>
        <w:rPr>
          <w:u w:val="single"/>
        </w:rPr>
        <w:fldChar w:fldCharType="end"/>
      </w:r>
      <w:r>
        <w:rPr>
          <w:rFonts w:hint="eastAsia" w:ascii="宋体" w:hAnsi="宋体" w:eastAsia="宋体"/>
          <w:sz w:val="24"/>
          <w:szCs w:val="24"/>
          <w:u w:val="single"/>
        </w:rPr>
        <w:t>)的采购</w:t>
      </w:r>
      <w:r>
        <w:rPr>
          <w:rFonts w:ascii="宋体" w:hAnsi="宋体" w:eastAsia="宋体"/>
          <w:sz w:val="24"/>
          <w:szCs w:val="24"/>
          <w:u w:val="single"/>
        </w:rPr>
        <w:t>信息栏</w:t>
      </w:r>
      <w:r>
        <w:rPr>
          <w:rFonts w:hint="eastAsia" w:ascii="宋体" w:hAnsi="宋体" w:eastAsia="宋体"/>
          <w:sz w:val="24"/>
          <w:szCs w:val="24"/>
          <w:u w:val="single"/>
        </w:rPr>
        <w:t>、广西交易所集团国有企业阳光采购平台（https://mh.gxcq.com.cn/#/）。</w:t>
      </w:r>
    </w:p>
    <w:p w14:paraId="5FFB6A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outlineLvl w:val="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6C037245">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b/>
          <w:bCs/>
          <w:sz w:val="24"/>
          <w:szCs w:val="24"/>
          <w:highlight w:val="none"/>
        </w:rPr>
        <w:t>比选申请文件须密封后于</w:t>
      </w:r>
      <w:r>
        <w:rPr>
          <w:rFonts w:hint="eastAsia" w:ascii="宋体" w:hAnsi="宋体" w:eastAsia="宋体"/>
          <w:b/>
          <w:bCs/>
          <w:sz w:val="24"/>
          <w:szCs w:val="24"/>
          <w:highlight w:val="none"/>
          <w:u w:val="single"/>
          <w:lang w:val="en-US" w:eastAsia="zh-CN"/>
        </w:rPr>
        <w:t>2025</w:t>
      </w:r>
      <w:r>
        <w:rPr>
          <w:rFonts w:hint="eastAsia" w:ascii="宋体" w:hAnsi="宋体" w:eastAsia="宋体"/>
          <w:b/>
          <w:bCs/>
          <w:sz w:val="24"/>
          <w:szCs w:val="24"/>
          <w:highlight w:val="none"/>
        </w:rPr>
        <w:t>年</w:t>
      </w:r>
      <w:r>
        <w:rPr>
          <w:rFonts w:hint="eastAsia" w:ascii="宋体" w:hAnsi="宋体" w:eastAsia="宋体"/>
          <w:b/>
          <w:bCs/>
          <w:sz w:val="24"/>
          <w:szCs w:val="24"/>
          <w:highlight w:val="none"/>
          <w:u w:val="single"/>
          <w:lang w:val="en-US" w:eastAsia="zh-CN"/>
        </w:rPr>
        <w:t>11</w:t>
      </w:r>
      <w:r>
        <w:rPr>
          <w:rFonts w:hint="eastAsia" w:ascii="宋体" w:hAnsi="宋体" w:eastAsia="宋体"/>
          <w:b/>
          <w:bCs/>
          <w:sz w:val="24"/>
          <w:szCs w:val="24"/>
          <w:highlight w:val="none"/>
        </w:rPr>
        <w:t>月</w:t>
      </w:r>
      <w:r>
        <w:rPr>
          <w:rFonts w:hint="eastAsia" w:ascii="宋体" w:hAnsi="宋体" w:eastAsia="宋体"/>
          <w:b/>
          <w:bCs/>
          <w:sz w:val="24"/>
          <w:szCs w:val="24"/>
          <w:highlight w:val="none"/>
          <w:u w:val="single"/>
          <w:lang w:val="en-US" w:eastAsia="zh-CN"/>
        </w:rPr>
        <w:t xml:space="preserve"> 17 </w:t>
      </w:r>
      <w:r>
        <w:rPr>
          <w:rFonts w:hint="eastAsia" w:ascii="宋体" w:hAnsi="宋体" w:eastAsia="宋体"/>
          <w:b/>
          <w:bCs/>
          <w:sz w:val="24"/>
          <w:szCs w:val="24"/>
          <w:highlight w:val="none"/>
        </w:rPr>
        <w:t>日</w:t>
      </w:r>
      <w:r>
        <w:rPr>
          <w:rFonts w:hint="eastAsia" w:ascii="宋体" w:hAnsi="宋体" w:eastAsia="宋体"/>
          <w:b/>
          <w:bCs/>
          <w:sz w:val="24"/>
          <w:szCs w:val="24"/>
          <w:highlight w:val="none"/>
          <w:u w:val="single"/>
          <w:lang w:val="en-US" w:eastAsia="zh-CN"/>
        </w:rPr>
        <w:t>10</w:t>
      </w:r>
      <w:r>
        <w:rPr>
          <w:rFonts w:hint="eastAsia" w:ascii="宋体" w:hAnsi="宋体" w:eastAsia="宋体"/>
          <w:b/>
          <w:bCs/>
          <w:sz w:val="24"/>
          <w:szCs w:val="24"/>
          <w:highlight w:val="none"/>
        </w:rPr>
        <w:t>时</w:t>
      </w:r>
      <w:r>
        <w:rPr>
          <w:rFonts w:hint="eastAsia" w:ascii="宋体" w:hAnsi="宋体" w:eastAsia="宋体"/>
          <w:b/>
          <w:bCs/>
          <w:sz w:val="24"/>
          <w:szCs w:val="24"/>
          <w:highlight w:val="none"/>
          <w:u w:val="single"/>
          <w:lang w:val="en-US" w:eastAsia="zh-CN"/>
        </w:rPr>
        <w:t>00</w:t>
      </w:r>
      <w:r>
        <w:rPr>
          <w:rFonts w:hint="eastAsia" w:ascii="宋体" w:hAnsi="宋体" w:eastAsia="宋体"/>
          <w:b/>
          <w:bCs/>
          <w:sz w:val="24"/>
          <w:szCs w:val="24"/>
          <w:highlight w:val="none"/>
        </w:rPr>
        <w:t>分</w:t>
      </w:r>
      <w:r>
        <w:rPr>
          <w:rFonts w:hint="eastAsia" w:ascii="宋体" w:hAnsi="宋体" w:eastAsia="宋体"/>
          <w:sz w:val="24"/>
          <w:szCs w:val="24"/>
        </w:rPr>
        <w:t>（北京时间）前递交，递交地点在</w:t>
      </w:r>
      <w:r>
        <w:rPr>
          <w:rFonts w:hint="eastAsia" w:ascii="宋体" w:hAnsi="宋体" w:eastAsia="宋体"/>
          <w:sz w:val="24"/>
          <w:szCs w:val="24"/>
          <w:u w:val="single"/>
        </w:rPr>
        <w:t xml:space="preserve"> 南宁市青秀区凤岭北路111号‌‌国际旅游中心C座37楼合约采购部 </w:t>
      </w:r>
      <w:r>
        <w:rPr>
          <w:rFonts w:hint="eastAsia" w:ascii="宋体" w:hAnsi="宋体" w:eastAsia="宋体"/>
          <w:sz w:val="24"/>
          <w:szCs w:val="24"/>
        </w:rPr>
        <w:t>。</w:t>
      </w:r>
    </w:p>
    <w:p w14:paraId="7EB4CF59">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349659F4">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5、比选人联系方式</w:t>
      </w:r>
    </w:p>
    <w:p w14:paraId="683C26CB">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南宁市青秀区凤岭北路111号‌‌国际旅游中心C座37楼合约采购部</w:t>
      </w:r>
    </w:p>
    <w:p w14:paraId="6DE956FC">
      <w:pPr>
        <w:pStyle w:val="29"/>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sz w:val="24"/>
          <w:szCs w:val="24"/>
        </w:rPr>
        <w:t>联系人：</w:t>
      </w:r>
      <w:r>
        <w:rPr>
          <w:rFonts w:hint="eastAsia" w:ascii="宋体" w:hAnsi="宋体" w:eastAsia="宋体"/>
          <w:color w:val="auto"/>
          <w:sz w:val="24"/>
          <w:szCs w:val="24"/>
          <w:highlight w:val="none"/>
          <w:u w:val="single"/>
          <w:lang w:val="en-US" w:eastAsia="zh-CN"/>
        </w:rPr>
        <w:t>陆工</w:t>
      </w:r>
    </w:p>
    <w:p w14:paraId="36A072C9">
      <w:pPr>
        <w:pStyle w:val="29"/>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/18978943061</w:t>
      </w:r>
    </w:p>
    <w:p w14:paraId="252AEC4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邮编：</w:t>
      </w:r>
      <w:r>
        <w:rPr>
          <w:rFonts w:hint="eastAsia" w:ascii="宋体" w:hAnsi="宋体" w:eastAsia="宋体"/>
          <w:sz w:val="24"/>
          <w:szCs w:val="24"/>
          <w:u w:val="single"/>
        </w:rPr>
        <w:t>5</w:t>
      </w:r>
      <w:r>
        <w:rPr>
          <w:rFonts w:ascii="宋体" w:hAnsi="宋体" w:eastAsia="宋体"/>
          <w:sz w:val="24"/>
          <w:szCs w:val="24"/>
          <w:u w:val="single"/>
        </w:rPr>
        <w:t>30022</w:t>
      </w:r>
    </w:p>
    <w:p w14:paraId="454A4D05">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电子邮箱：</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435754386</w:t>
      </w:r>
      <w:r>
        <w:rPr>
          <w:rFonts w:hint="eastAsia" w:ascii="宋体" w:hAnsi="宋体" w:eastAsia="宋体"/>
          <w:sz w:val="24"/>
          <w:szCs w:val="24"/>
          <w:u w:val="single"/>
        </w:rPr>
        <w:t>@qq.com</w:t>
      </w:r>
      <w:r>
        <w:rPr>
          <w:rFonts w:ascii="宋体" w:hAnsi="宋体" w:eastAsia="宋体"/>
          <w:sz w:val="24"/>
          <w:szCs w:val="24"/>
          <w:u w:val="single"/>
        </w:rPr>
        <w:t xml:space="preserve"> </w:t>
      </w:r>
    </w:p>
    <w:p w14:paraId="72863801">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6、比选人纪检监督联系方式</w:t>
      </w:r>
    </w:p>
    <w:p w14:paraId="5081F331">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电话：</w:t>
      </w:r>
      <w:r>
        <w:rPr>
          <w:rFonts w:hint="eastAsia" w:ascii="宋体" w:hAnsi="宋体" w:eastAsia="宋体"/>
          <w:sz w:val="24"/>
          <w:szCs w:val="24"/>
          <w:u w:val="single"/>
        </w:rPr>
        <w:t>0</w:t>
      </w:r>
      <w:r>
        <w:rPr>
          <w:rFonts w:ascii="宋体" w:hAnsi="宋体" w:eastAsia="宋体"/>
          <w:sz w:val="24"/>
          <w:szCs w:val="24"/>
          <w:u w:val="single"/>
        </w:rPr>
        <w:t>771-5890240</w:t>
      </w:r>
    </w:p>
    <w:p w14:paraId="747F90B1">
      <w:pPr>
        <w:pStyle w:val="29"/>
        <w:spacing w:line="480" w:lineRule="exact"/>
        <w:ind w:left="720" w:firstLine="0" w:firstLineChars="0"/>
        <w:jc w:val="left"/>
        <w:rPr>
          <w:rFonts w:ascii="宋体" w:hAnsi="宋体" w:eastAsia="宋体"/>
          <w:sz w:val="24"/>
          <w:szCs w:val="24"/>
        </w:rPr>
      </w:pPr>
    </w:p>
    <w:p w14:paraId="2C6895FF">
      <w:pPr>
        <w:pStyle w:val="29"/>
        <w:spacing w:line="480" w:lineRule="exact"/>
        <w:ind w:left="720" w:firstLine="0" w:firstLineChars="0"/>
        <w:jc w:val="left"/>
        <w:rPr>
          <w:rFonts w:ascii="宋体" w:hAnsi="宋体" w:eastAsia="宋体"/>
          <w:sz w:val="24"/>
          <w:szCs w:val="24"/>
        </w:rPr>
      </w:pPr>
    </w:p>
    <w:p w14:paraId="5238EE3A">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日期：2025年11月 11 日</w:t>
      </w:r>
    </w:p>
    <w:p w14:paraId="134C6831">
      <w:pPr>
        <w:widowControl/>
        <w:jc w:val="left"/>
        <w:rPr>
          <w:rFonts w:ascii="宋体" w:hAnsi="宋体" w:eastAsia="宋体"/>
          <w:sz w:val="24"/>
          <w:szCs w:val="24"/>
        </w:rPr>
      </w:pPr>
    </w:p>
    <w:p w14:paraId="507AFB9E">
      <w:pPr>
        <w:rPr>
          <w:rFonts w:hint="eastAsia" w:ascii="宋体" w:hAnsi="宋体" w:eastAsia="宋体"/>
          <w:b/>
          <w:bCs/>
          <w:sz w:val="36"/>
          <w:szCs w:val="36"/>
        </w:rPr>
      </w:pPr>
      <w:r>
        <w:rPr>
          <w:rFonts w:hint="eastAsia" w:ascii="宋体" w:hAnsi="宋体" w:eastAsia="宋体"/>
          <w:b/>
          <w:bCs/>
          <w:sz w:val="36"/>
          <w:szCs w:val="36"/>
        </w:rPr>
        <w:br w:type="page"/>
      </w:r>
    </w:p>
    <w:p w14:paraId="3F182A71">
      <w:pPr>
        <w:jc w:val="center"/>
        <w:outlineLvl w:val="0"/>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outlineLvl w:val="0"/>
        <w:rPr>
          <w:rFonts w:ascii="宋体" w:hAnsi="宋体" w:eastAsia="宋体"/>
          <w:b/>
          <w:bCs/>
          <w:sz w:val="24"/>
          <w:szCs w:val="24"/>
        </w:rPr>
      </w:pPr>
      <w:r>
        <w:rPr>
          <w:rFonts w:hint="eastAsia" w:ascii="宋体" w:hAnsi="宋体" w:eastAsia="宋体"/>
          <w:b/>
          <w:bCs/>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844"/>
        <w:gridCol w:w="885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844"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885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844"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8856"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r>
              <w:rPr>
                <w:rFonts w:hint="eastAsia" w:ascii="宋体" w:hAnsi="宋体" w:eastAsia="宋体"/>
                <w:color w:val="auto"/>
                <w:sz w:val="24"/>
                <w:szCs w:val="24"/>
                <w:highlight w:val="yellow"/>
                <w:u w:val="single"/>
              </w:rPr>
              <w:t>营业执照</w:t>
            </w:r>
            <w:r>
              <w:rPr>
                <w:rFonts w:hint="eastAsia" w:ascii="宋体" w:hAnsi="宋体" w:eastAsia="宋体"/>
                <w:color w:val="auto"/>
                <w:sz w:val="24"/>
                <w:szCs w:val="24"/>
                <w:highlight w:val="yellow"/>
              </w:rPr>
              <w:t>。</w:t>
            </w:r>
          </w:p>
          <w:p w14:paraId="57169719">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rPr>
              <w:t>（2）信用信息报告（信用中国网址：</w:t>
            </w:r>
            <w:r>
              <w:rPr>
                <w:rFonts w:hint="eastAsia" w:ascii="宋体" w:hAnsi="宋体" w:eastAsia="宋体"/>
                <w:color w:val="auto"/>
                <w:sz w:val="24"/>
                <w:szCs w:val="24"/>
                <w:highlight w:val="yellow"/>
              </w:rPr>
              <w:fldChar w:fldCharType="begin"/>
            </w:r>
            <w:r>
              <w:rPr>
                <w:rFonts w:hint="eastAsia" w:ascii="宋体" w:hAnsi="宋体" w:eastAsia="宋体"/>
                <w:color w:val="auto"/>
                <w:sz w:val="24"/>
                <w:szCs w:val="24"/>
                <w:highlight w:val="yellow"/>
              </w:rPr>
              <w:instrText xml:space="preserve"> HYPERLINK "https://www.creditchina.gov.cn/）" </w:instrText>
            </w:r>
            <w:r>
              <w:rPr>
                <w:rFonts w:hint="eastAsia" w:ascii="宋体" w:hAnsi="宋体" w:eastAsia="宋体"/>
                <w:color w:val="auto"/>
                <w:sz w:val="24"/>
                <w:szCs w:val="24"/>
                <w:highlight w:val="yellow"/>
              </w:rPr>
              <w:fldChar w:fldCharType="separate"/>
            </w:r>
            <w:r>
              <w:rPr>
                <w:rStyle w:val="21"/>
                <w:rFonts w:hint="eastAsia" w:ascii="宋体" w:hAnsi="宋体" w:eastAsia="宋体"/>
                <w:sz w:val="24"/>
                <w:szCs w:val="24"/>
                <w:highlight w:val="yellow"/>
              </w:rPr>
              <w:t>https://www.creditchina.gov.cn/）</w:t>
            </w:r>
            <w:r>
              <w:rPr>
                <w:rFonts w:hint="eastAsia" w:ascii="宋体" w:hAnsi="宋体" w:eastAsia="宋体"/>
                <w:color w:val="auto"/>
                <w:sz w:val="24"/>
                <w:szCs w:val="24"/>
                <w:highlight w:val="yellow"/>
              </w:rPr>
              <w:fldChar w:fldCharType="end"/>
            </w:r>
          </w:p>
          <w:p w14:paraId="536C51A3">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财务报表或银行资信证明（2022年 1 月 1 日至比选申请截止日期任意一年第三方出具的财务报表净利润为正值，或由基本户开户银行开具的无超期、未标注欠息、诉讼等不良记录、账户未休眠的资信证明）</w:t>
            </w:r>
          </w:p>
          <w:p w14:paraId="1E191683">
            <w:pPr>
              <w:spacing w:line="480" w:lineRule="exact"/>
              <w:jc w:val="left"/>
              <w:rPr>
                <w:rFonts w:hint="eastAsia" w:ascii="宋体" w:hAnsi="宋体" w:eastAsia="宋体"/>
                <w:color w:val="auto"/>
                <w:sz w:val="24"/>
                <w:szCs w:val="24"/>
                <w:highlight w:val="yellow"/>
                <w:u w:val="none"/>
              </w:rPr>
            </w:pPr>
            <w:r>
              <w:rPr>
                <w:rFonts w:hint="eastAsia" w:ascii="宋体" w:hAnsi="宋体"/>
                <w:color w:val="auto"/>
                <w:sz w:val="24"/>
                <w:szCs w:val="24"/>
                <w:highlight w:val="yellow"/>
                <w:u w:val="none"/>
                <w:lang w:eastAsia="zh-CN"/>
              </w:rPr>
              <w:t>（</w:t>
            </w:r>
            <w:r>
              <w:rPr>
                <w:rFonts w:hint="eastAsia" w:ascii="宋体" w:hAnsi="宋体"/>
                <w:color w:val="auto"/>
                <w:sz w:val="24"/>
                <w:szCs w:val="24"/>
                <w:highlight w:val="yellow"/>
                <w:u w:val="none"/>
                <w:lang w:val="en-US" w:eastAsia="zh-CN"/>
              </w:rPr>
              <w:t>4</w:t>
            </w:r>
            <w:r>
              <w:rPr>
                <w:rFonts w:hint="eastAsia" w:ascii="宋体" w:hAnsi="宋体"/>
                <w:color w:val="auto"/>
                <w:sz w:val="24"/>
                <w:szCs w:val="24"/>
                <w:highlight w:val="yellow"/>
                <w:u w:val="none"/>
                <w:lang w:eastAsia="zh-CN"/>
              </w:rPr>
              <w:t>）</w:t>
            </w:r>
            <w:r>
              <w:rPr>
                <w:rFonts w:hint="eastAsia" w:ascii="宋体" w:hAnsi="宋体" w:eastAsia="宋体"/>
                <w:color w:val="auto"/>
                <w:sz w:val="24"/>
                <w:szCs w:val="24"/>
                <w:highlight w:val="yellow"/>
                <w:u w:val="none"/>
              </w:rPr>
              <w:t>提供1个自 2022 年1月1日至比选申请截止日期至内完成过或承接过</w:t>
            </w:r>
            <w:r>
              <w:rPr>
                <w:rFonts w:hint="eastAsia" w:ascii="宋体" w:hAnsi="宋体" w:eastAsia="宋体"/>
                <w:color w:val="auto"/>
                <w:sz w:val="24"/>
                <w:szCs w:val="24"/>
                <w:highlight w:val="yellow"/>
                <w:u w:val="none"/>
                <w:lang w:val="en-US" w:eastAsia="zh-CN"/>
              </w:rPr>
              <w:t>的</w:t>
            </w:r>
            <w:r>
              <w:rPr>
                <w:rFonts w:hint="eastAsia" w:ascii="宋体" w:hAnsi="宋体" w:eastAsia="宋体"/>
                <w:color w:val="auto"/>
                <w:sz w:val="24"/>
                <w:szCs w:val="24"/>
                <w:highlight w:val="yellow"/>
                <w:u w:val="none"/>
              </w:rPr>
              <w:t>单项合同金额达</w:t>
            </w:r>
            <w:r>
              <w:rPr>
                <w:rFonts w:hint="eastAsia" w:ascii="宋体" w:hAnsi="宋体" w:eastAsia="宋体"/>
                <w:color w:val="auto"/>
                <w:sz w:val="24"/>
                <w:szCs w:val="24"/>
                <w:highlight w:val="yellow"/>
                <w:u w:val="none"/>
                <w:lang w:val="en-US" w:eastAsia="zh-CN"/>
              </w:rPr>
              <w:t>20</w:t>
            </w:r>
            <w:r>
              <w:rPr>
                <w:rFonts w:hint="eastAsia" w:ascii="宋体" w:hAnsi="宋体" w:eastAsia="宋体"/>
                <w:color w:val="auto"/>
                <w:sz w:val="24"/>
                <w:szCs w:val="24"/>
                <w:highlight w:val="yellow"/>
                <w:u w:val="none"/>
              </w:rPr>
              <w:t>万元及以上的</w:t>
            </w:r>
            <w:r>
              <w:rPr>
                <w:rFonts w:hint="eastAsia" w:ascii="宋体" w:hAnsi="宋体" w:eastAsia="宋体"/>
                <w:color w:val="auto"/>
                <w:sz w:val="24"/>
                <w:szCs w:val="24"/>
                <w:highlight w:val="yellow"/>
                <w:u w:val="none"/>
                <w:lang w:val="en-US" w:eastAsia="zh-CN"/>
              </w:rPr>
              <w:t>建设工程类零星材料供应</w:t>
            </w:r>
            <w:r>
              <w:rPr>
                <w:rFonts w:hint="eastAsia" w:ascii="宋体" w:hAnsi="宋体" w:eastAsia="宋体"/>
                <w:color w:val="auto"/>
                <w:sz w:val="24"/>
                <w:szCs w:val="24"/>
                <w:highlight w:val="yellow"/>
                <w:u w:val="none"/>
              </w:rPr>
              <w:t>的业绩合同。</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844"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885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844"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885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844"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885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844"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8856" w:type="dxa"/>
            <w:vAlign w:val="center"/>
          </w:tcPr>
          <w:p w14:paraId="3AC4CBDF">
            <w:pPr>
              <w:spacing w:line="480" w:lineRule="exact"/>
              <w:jc w:val="left"/>
              <w:rPr>
                <w:rFonts w:hint="default" w:ascii="宋体" w:hAnsi="宋体" w:eastAsia="宋体"/>
                <w:sz w:val="24"/>
                <w:szCs w:val="24"/>
                <w:lang w:val="en-US" w:eastAsia="zh-CN"/>
              </w:rPr>
            </w:pPr>
            <w:r>
              <w:rPr>
                <w:rFonts w:hint="eastAsia" w:ascii="宋体" w:hAnsi="宋体" w:eastAsia="宋体"/>
                <w:sz w:val="24"/>
                <w:szCs w:val="24"/>
              </w:rPr>
              <w:t>比选申请文件组成部分：</w:t>
            </w:r>
            <w:r>
              <w:rPr>
                <w:rFonts w:hint="eastAsia" w:ascii="宋体" w:hAnsi="宋体" w:eastAsia="宋体"/>
                <w:sz w:val="24"/>
                <w:szCs w:val="24"/>
                <w:u w:val="single"/>
              </w:rPr>
              <w:t>资格审查文件、报价文件</w:t>
            </w:r>
            <w:r>
              <w:rPr>
                <w:rFonts w:hint="eastAsia" w:ascii="宋体" w:hAnsi="宋体" w:eastAsia="宋体"/>
                <w:sz w:val="24"/>
                <w:szCs w:val="24"/>
              </w:rPr>
              <w:t>（具体详见比选申请文件格式的内容）</w:t>
            </w:r>
            <w:r>
              <w:rPr>
                <w:rFonts w:hint="eastAsia" w:ascii="宋体" w:hAnsi="宋体" w:eastAsia="宋体"/>
                <w:sz w:val="24"/>
                <w:szCs w:val="24"/>
                <w:lang w:eastAsia="zh-CN"/>
              </w:rPr>
              <w:t>，</w:t>
            </w:r>
            <w:r>
              <w:rPr>
                <w:rFonts w:hint="eastAsia" w:ascii="宋体" w:hAnsi="宋体" w:eastAsia="宋体"/>
                <w:b/>
                <w:bCs/>
                <w:sz w:val="24"/>
                <w:szCs w:val="24"/>
                <w:u w:val="single"/>
              </w:rPr>
              <w:t>资格审查文件、报价文件</w:t>
            </w:r>
            <w:r>
              <w:rPr>
                <w:rFonts w:hint="eastAsia" w:ascii="宋体" w:hAnsi="宋体" w:eastAsia="宋体"/>
                <w:b/>
                <w:bCs/>
                <w:sz w:val="24"/>
                <w:szCs w:val="24"/>
                <w:u w:val="single"/>
                <w:lang w:val="en-US" w:eastAsia="zh-CN"/>
              </w:rPr>
              <w:t>需分别进行装订。</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844"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885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lang w:val="en-US" w:eastAsia="zh-CN"/>
              </w:rPr>
              <w:t>低价</w:t>
            </w:r>
            <w:r>
              <w:rPr>
                <w:rFonts w:hint="eastAsia" w:ascii="宋体" w:hAnsi="宋体" w:eastAsia="宋体"/>
                <w:sz w:val="24"/>
                <w:szCs w:val="24"/>
              </w:rPr>
              <w:t>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7</w:t>
            </w:r>
          </w:p>
        </w:tc>
        <w:tc>
          <w:tcPr>
            <w:tcW w:w="844" w:type="dxa"/>
            <w:vAlign w:val="center"/>
          </w:tcPr>
          <w:p w14:paraId="48EE5B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比选申请报价</w:t>
            </w:r>
          </w:p>
        </w:tc>
        <w:tc>
          <w:tcPr>
            <w:tcW w:w="8856" w:type="dxa"/>
            <w:vAlign w:val="center"/>
          </w:tcPr>
          <w:p w14:paraId="56C260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w:t>
            </w:r>
            <w:r>
              <w:rPr>
                <w:rFonts w:hint="eastAsia" w:ascii="宋体" w:hAnsi="宋体" w:eastAsia="宋体"/>
                <w:color w:val="auto"/>
                <w:sz w:val="24"/>
                <w:szCs w:val="24"/>
                <w:highlight w:val="none"/>
                <w:lang w:val="en-US" w:eastAsia="zh-CN"/>
              </w:rPr>
              <w:t>不</w:t>
            </w:r>
            <w:r>
              <w:rPr>
                <w:rFonts w:hint="eastAsia" w:ascii="宋体" w:hAnsi="宋体" w:eastAsia="宋体"/>
                <w:color w:val="auto"/>
                <w:sz w:val="24"/>
                <w:szCs w:val="24"/>
                <w:highlight w:val="none"/>
              </w:rPr>
              <w:t>含税报价报价，含税报价为合同暂定价，本合同最终税金在结算阶段，按实际产生的税金进行核算，但合同不含税价格不因国家税率调整而调整。</w:t>
            </w:r>
          </w:p>
          <w:p w14:paraId="7AE386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19C18A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8</w:t>
            </w:r>
          </w:p>
        </w:tc>
        <w:tc>
          <w:tcPr>
            <w:tcW w:w="844" w:type="dxa"/>
            <w:vAlign w:val="center"/>
          </w:tcPr>
          <w:p w14:paraId="3FE9518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比选申请文件份数</w:t>
            </w:r>
          </w:p>
        </w:tc>
        <w:tc>
          <w:tcPr>
            <w:tcW w:w="8856" w:type="dxa"/>
            <w:vAlign w:val="center"/>
          </w:tcPr>
          <w:p w14:paraId="6DF27A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9</w:t>
            </w:r>
          </w:p>
        </w:tc>
        <w:tc>
          <w:tcPr>
            <w:tcW w:w="844" w:type="dxa"/>
            <w:vAlign w:val="center"/>
          </w:tcPr>
          <w:p w14:paraId="250028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比选申请文件装订</w:t>
            </w:r>
          </w:p>
        </w:tc>
        <w:tc>
          <w:tcPr>
            <w:tcW w:w="8856" w:type="dxa"/>
            <w:vAlign w:val="center"/>
          </w:tcPr>
          <w:p w14:paraId="520CFC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16C0B3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比选申请文件的装订：</w:t>
            </w:r>
            <w:r>
              <w:rPr>
                <w:rFonts w:hint="eastAsia" w:ascii="宋体" w:hAnsi="宋体" w:eastAsia="宋体"/>
                <w:b/>
                <w:bCs/>
                <w:sz w:val="24"/>
                <w:szCs w:val="24"/>
                <w:u w:val="single"/>
              </w:rPr>
              <w:t>资格审查文件、报价文件</w:t>
            </w:r>
            <w:r>
              <w:rPr>
                <w:rFonts w:hint="eastAsia" w:ascii="宋体" w:hAnsi="宋体" w:eastAsia="宋体"/>
                <w:b/>
                <w:bCs/>
                <w:sz w:val="24"/>
                <w:szCs w:val="24"/>
                <w:u w:val="single"/>
                <w:lang w:val="en-US" w:eastAsia="zh-CN"/>
              </w:rPr>
              <w:t>需分别进行装订，</w:t>
            </w:r>
            <w:r>
              <w:rPr>
                <w:rFonts w:hint="eastAsia" w:ascii="宋体" w:hAnsi="宋体" w:eastAsia="宋体"/>
                <w:color w:val="auto"/>
                <w:sz w:val="24"/>
                <w:szCs w:val="24"/>
                <w:highlight w:val="none"/>
              </w:rPr>
              <w:t>建议统一为A4印刷本。使用不锈钢书钉或拉线装订或无线胶装，装订时书钉牢固、不掉页。</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10</w:t>
            </w:r>
          </w:p>
        </w:tc>
        <w:tc>
          <w:tcPr>
            <w:tcW w:w="844" w:type="dxa"/>
            <w:vAlign w:val="center"/>
          </w:tcPr>
          <w:p w14:paraId="78E920A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比选申请文件封面要求</w:t>
            </w:r>
          </w:p>
        </w:tc>
        <w:tc>
          <w:tcPr>
            <w:tcW w:w="8856" w:type="dxa"/>
            <w:vAlign w:val="center"/>
          </w:tcPr>
          <w:p w14:paraId="33392832">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11</w:t>
            </w:r>
          </w:p>
        </w:tc>
        <w:tc>
          <w:tcPr>
            <w:tcW w:w="844" w:type="dxa"/>
            <w:vAlign w:val="center"/>
          </w:tcPr>
          <w:p w14:paraId="47D791B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比选申请文件密封要求</w:t>
            </w:r>
          </w:p>
        </w:tc>
        <w:tc>
          <w:tcPr>
            <w:tcW w:w="8856" w:type="dxa"/>
            <w:vAlign w:val="center"/>
          </w:tcPr>
          <w:p w14:paraId="0E58BE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12</w:t>
            </w:r>
          </w:p>
        </w:tc>
        <w:tc>
          <w:tcPr>
            <w:tcW w:w="844" w:type="dxa"/>
            <w:vAlign w:val="center"/>
          </w:tcPr>
          <w:p w14:paraId="6885E43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highlight w:val="yellow"/>
              </w:rPr>
            </w:pPr>
            <w:r>
              <w:rPr>
                <w:rFonts w:hint="eastAsia" w:ascii="宋体" w:hAnsi="宋体" w:eastAsia="宋体"/>
                <w:color w:val="auto"/>
                <w:sz w:val="24"/>
                <w:szCs w:val="24"/>
                <w:highlight w:val="none"/>
              </w:rPr>
              <w:t>比选申请保证金</w:t>
            </w:r>
          </w:p>
        </w:tc>
        <w:tc>
          <w:tcPr>
            <w:tcW w:w="8856" w:type="dxa"/>
            <w:vAlign w:val="center"/>
          </w:tcPr>
          <w:p w14:paraId="2D0E65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13</w:t>
            </w:r>
          </w:p>
        </w:tc>
        <w:tc>
          <w:tcPr>
            <w:tcW w:w="844" w:type="dxa"/>
            <w:vAlign w:val="center"/>
          </w:tcPr>
          <w:p w14:paraId="0891A6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履约担保</w:t>
            </w:r>
          </w:p>
        </w:tc>
        <w:tc>
          <w:tcPr>
            <w:tcW w:w="8856" w:type="dxa"/>
            <w:vAlign w:val="center"/>
          </w:tcPr>
          <w:p w14:paraId="5FE47B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14</w:t>
            </w:r>
          </w:p>
        </w:tc>
        <w:tc>
          <w:tcPr>
            <w:tcW w:w="844" w:type="dxa"/>
            <w:vAlign w:val="center"/>
          </w:tcPr>
          <w:p w14:paraId="172B4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比选申请有效期</w:t>
            </w:r>
          </w:p>
        </w:tc>
        <w:tc>
          <w:tcPr>
            <w:tcW w:w="8856" w:type="dxa"/>
            <w:vAlign w:val="center"/>
          </w:tcPr>
          <w:p w14:paraId="1411F5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15</w:t>
            </w:r>
          </w:p>
        </w:tc>
        <w:tc>
          <w:tcPr>
            <w:tcW w:w="844" w:type="dxa"/>
            <w:vAlign w:val="center"/>
          </w:tcPr>
          <w:p w14:paraId="6865DBB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踏勘现场</w:t>
            </w:r>
          </w:p>
        </w:tc>
        <w:tc>
          <w:tcPr>
            <w:tcW w:w="8856" w:type="dxa"/>
            <w:vAlign w:val="center"/>
          </w:tcPr>
          <w:p w14:paraId="46BA98C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比选申请人</w:t>
            </w:r>
            <w:r>
              <w:rPr>
                <w:rFonts w:hint="eastAsia" w:ascii="宋体" w:hAnsi="宋体" w:eastAsia="宋体"/>
                <w:color w:val="auto"/>
                <w:sz w:val="24"/>
                <w:szCs w:val="24"/>
                <w:highlight w:val="none"/>
                <w:lang w:val="en-US" w:eastAsia="zh-CN"/>
              </w:rPr>
              <w:t>必须</w:t>
            </w:r>
            <w:r>
              <w:rPr>
                <w:rFonts w:hint="eastAsia" w:ascii="宋体" w:hAnsi="宋体" w:eastAsia="宋体"/>
                <w:color w:val="auto"/>
                <w:sz w:val="24"/>
                <w:szCs w:val="24"/>
                <w:highlight w:val="none"/>
              </w:rPr>
              <w:t>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16</w:t>
            </w:r>
          </w:p>
        </w:tc>
        <w:tc>
          <w:tcPr>
            <w:tcW w:w="844" w:type="dxa"/>
            <w:vAlign w:val="center"/>
          </w:tcPr>
          <w:p w14:paraId="27F9EC6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现场交底</w:t>
            </w:r>
          </w:p>
        </w:tc>
        <w:tc>
          <w:tcPr>
            <w:tcW w:w="8856" w:type="dxa"/>
            <w:vAlign w:val="center"/>
          </w:tcPr>
          <w:p w14:paraId="25BD352B">
            <w:pPr>
              <w:rPr>
                <w:rFonts w:ascii="宋体" w:hAnsi="宋体" w:eastAsia="宋体"/>
                <w:sz w:val="24"/>
                <w:szCs w:val="24"/>
              </w:rPr>
            </w:pPr>
            <w:r>
              <w:rPr>
                <w:rFonts w:hint="eastAsia" w:ascii="宋体" w:hAnsi="宋体" w:eastAsia="宋体"/>
                <w:b/>
                <w:i/>
                <w:iCs/>
                <w:color w:val="auto"/>
                <w:sz w:val="24"/>
                <w:szCs w:val="24"/>
                <w:highlight w:val="none"/>
                <w:u w:val="none"/>
                <w:lang w:val="en-US" w:eastAsia="zh-CN"/>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17</w:t>
            </w:r>
          </w:p>
        </w:tc>
        <w:tc>
          <w:tcPr>
            <w:tcW w:w="844" w:type="dxa"/>
            <w:vAlign w:val="center"/>
          </w:tcPr>
          <w:p w14:paraId="468868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分包</w:t>
            </w:r>
          </w:p>
        </w:tc>
        <w:tc>
          <w:tcPr>
            <w:tcW w:w="8856" w:type="dxa"/>
            <w:vAlign w:val="center"/>
          </w:tcPr>
          <w:p w14:paraId="55DCBA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18</w:t>
            </w:r>
          </w:p>
        </w:tc>
        <w:tc>
          <w:tcPr>
            <w:tcW w:w="844" w:type="dxa"/>
            <w:vAlign w:val="center"/>
          </w:tcPr>
          <w:p w14:paraId="469E69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偏离</w:t>
            </w:r>
          </w:p>
        </w:tc>
        <w:tc>
          <w:tcPr>
            <w:tcW w:w="8856" w:type="dxa"/>
            <w:vAlign w:val="center"/>
          </w:tcPr>
          <w:p w14:paraId="2A30FB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19</w:t>
            </w:r>
          </w:p>
        </w:tc>
        <w:tc>
          <w:tcPr>
            <w:tcW w:w="844" w:type="dxa"/>
            <w:vAlign w:val="center"/>
          </w:tcPr>
          <w:p w14:paraId="2F76B2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放弃中选人资格</w:t>
            </w:r>
          </w:p>
        </w:tc>
        <w:tc>
          <w:tcPr>
            <w:tcW w:w="8856" w:type="dxa"/>
            <w:vAlign w:val="center"/>
          </w:tcPr>
          <w:p w14:paraId="6BDE57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20</w:t>
            </w:r>
          </w:p>
        </w:tc>
        <w:tc>
          <w:tcPr>
            <w:tcW w:w="844" w:type="dxa"/>
            <w:vAlign w:val="center"/>
          </w:tcPr>
          <w:p w14:paraId="66A884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中选候选人</w:t>
            </w:r>
          </w:p>
        </w:tc>
        <w:tc>
          <w:tcPr>
            <w:tcW w:w="8856" w:type="dxa"/>
            <w:vAlign w:val="center"/>
          </w:tcPr>
          <w:p w14:paraId="69C92D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21</w:t>
            </w:r>
          </w:p>
        </w:tc>
        <w:tc>
          <w:tcPr>
            <w:tcW w:w="844" w:type="dxa"/>
            <w:vAlign w:val="center"/>
          </w:tcPr>
          <w:p w14:paraId="6CECF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定标办法</w:t>
            </w:r>
          </w:p>
        </w:tc>
        <w:tc>
          <w:tcPr>
            <w:tcW w:w="8856" w:type="dxa"/>
            <w:vAlign w:val="center"/>
          </w:tcPr>
          <w:p w14:paraId="42696A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22</w:t>
            </w:r>
          </w:p>
        </w:tc>
        <w:tc>
          <w:tcPr>
            <w:tcW w:w="844" w:type="dxa"/>
            <w:vAlign w:val="center"/>
          </w:tcPr>
          <w:p w14:paraId="551A7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其他内容</w:t>
            </w:r>
          </w:p>
        </w:tc>
        <w:tc>
          <w:tcPr>
            <w:tcW w:w="8856" w:type="dxa"/>
            <w:vAlign w:val="center"/>
          </w:tcPr>
          <w:p w14:paraId="228E637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23</w:t>
            </w:r>
          </w:p>
        </w:tc>
        <w:tc>
          <w:tcPr>
            <w:tcW w:w="844" w:type="dxa"/>
            <w:vAlign w:val="center"/>
          </w:tcPr>
          <w:p w14:paraId="3A06A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比选资格否决</w:t>
            </w:r>
          </w:p>
        </w:tc>
        <w:tc>
          <w:tcPr>
            <w:tcW w:w="8856" w:type="dxa"/>
            <w:vAlign w:val="center"/>
          </w:tcPr>
          <w:p w14:paraId="000514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24</w:t>
            </w:r>
          </w:p>
        </w:tc>
        <w:tc>
          <w:tcPr>
            <w:tcW w:w="844" w:type="dxa"/>
            <w:vAlign w:val="center"/>
          </w:tcPr>
          <w:p w14:paraId="480E5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中选资格否决</w:t>
            </w:r>
          </w:p>
        </w:tc>
        <w:tc>
          <w:tcPr>
            <w:tcW w:w="8856" w:type="dxa"/>
            <w:vAlign w:val="center"/>
          </w:tcPr>
          <w:p w14:paraId="2E5B166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6AF3C0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（13）比选文件、法律、法规规定的其他情形。</w:t>
            </w:r>
          </w:p>
        </w:tc>
      </w:tr>
    </w:tbl>
    <w:p w14:paraId="53A9BA49">
      <w:pPr>
        <w:spacing w:line="480" w:lineRule="exact"/>
        <w:jc w:val="left"/>
        <w:outlineLvl w:val="0"/>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outlineLvl w:val="1"/>
        <w:rPr>
          <w:rFonts w:ascii="宋体" w:hAnsi="宋体" w:eastAsia="宋体"/>
          <w:sz w:val="24"/>
          <w:szCs w:val="24"/>
        </w:rPr>
      </w:pPr>
      <w:bookmarkStart w:id="0" w:name="_Toc383891170"/>
      <w:bookmarkStart w:id="1" w:name="_Toc492478720"/>
      <w:bookmarkStart w:id="2" w:name="_Toc390098421"/>
      <w:bookmarkStart w:id="3" w:name="_Toc385427795"/>
      <w:bookmarkStart w:id="4" w:name="_Toc375039066"/>
      <w:bookmarkStart w:id="5" w:name="_Toc22115"/>
      <w:bookmarkStart w:id="6" w:name="_Toc29401"/>
      <w:bookmarkStart w:id="7" w:name="_Toc9929"/>
      <w:bookmarkStart w:id="8" w:name="_Toc12940"/>
      <w:bookmarkStart w:id="9" w:name="_Toc29859"/>
      <w:bookmarkStart w:id="10" w:name="_Toc24844"/>
      <w:bookmarkStart w:id="11" w:name="_Toc10653"/>
      <w:bookmarkStart w:id="12" w:name="_Toc25786"/>
      <w:bookmarkStart w:id="13" w:name="_Toc12983507"/>
      <w:bookmarkStart w:id="14" w:name="_Toc8288"/>
      <w:bookmarkStart w:id="15" w:name="_Toc25750593"/>
      <w:bookmarkStart w:id="16" w:name="_Toc114134610"/>
      <w:bookmarkStart w:id="17" w:name="_Toc7306"/>
      <w:bookmarkStart w:id="18" w:name="_Toc307"/>
      <w:bookmarkStart w:id="19" w:name="_Toc31477"/>
      <w:bookmarkStart w:id="20" w:name="_Toc22845"/>
      <w:bookmarkStart w:id="21" w:name="_Toc30498"/>
      <w:bookmarkStart w:id="22" w:name="_Toc17568"/>
      <w:bookmarkStart w:id="23" w:name="_Toc7797"/>
      <w:bookmarkStart w:id="24" w:name="_Toc17075"/>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outlineLvl w:val="1"/>
        <w:rPr>
          <w:rFonts w:ascii="宋体" w:hAnsi="宋体" w:eastAsia="宋体"/>
          <w:sz w:val="24"/>
          <w:szCs w:val="24"/>
        </w:rPr>
      </w:pPr>
      <w:bookmarkStart w:id="25" w:name="_Toc1733"/>
      <w:bookmarkStart w:id="26" w:name="_Toc16435"/>
      <w:bookmarkStart w:id="27" w:name="_Toc23794"/>
      <w:bookmarkStart w:id="28" w:name="_Toc390098428"/>
      <w:bookmarkStart w:id="29" w:name="_Toc25750600"/>
      <w:bookmarkStart w:id="30" w:name="_Toc375039073"/>
      <w:bookmarkStart w:id="31" w:name="_Toc16186"/>
      <w:bookmarkStart w:id="32" w:name="_Toc18350"/>
      <w:bookmarkStart w:id="33" w:name="_Toc29862"/>
      <w:bookmarkStart w:id="34" w:name="_Toc21673"/>
      <w:bookmarkStart w:id="35" w:name="_Toc13418"/>
      <w:bookmarkStart w:id="36" w:name="_Toc26150"/>
      <w:bookmarkStart w:id="37" w:name="_Toc385427802"/>
      <w:bookmarkStart w:id="38" w:name="_Toc11259"/>
      <w:bookmarkStart w:id="39" w:name="_Toc4384"/>
      <w:bookmarkStart w:id="40" w:name="_Toc2819"/>
      <w:bookmarkStart w:id="41" w:name="_Toc12074"/>
      <w:bookmarkStart w:id="42" w:name="_Toc26680"/>
      <w:bookmarkStart w:id="43" w:name="_Toc12983514"/>
      <w:bookmarkStart w:id="44" w:name="_Toc20025"/>
      <w:bookmarkStart w:id="45" w:name="_Toc114134617"/>
      <w:bookmarkStart w:id="46" w:name="_Toc12456"/>
      <w:bookmarkStart w:id="47" w:name="_Toc492478727"/>
      <w:bookmarkStart w:id="48" w:name="_Toc9592"/>
      <w:bookmarkStart w:id="49" w:name="_Toc383891177"/>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outlineLvl w:val="1"/>
        <w:rPr>
          <w:rFonts w:ascii="宋体" w:hAnsi="宋体" w:eastAsia="宋体"/>
          <w:sz w:val="24"/>
          <w:szCs w:val="24"/>
        </w:rPr>
      </w:pPr>
      <w:bookmarkStart w:id="50" w:name="_Toc383891178"/>
      <w:bookmarkStart w:id="51" w:name="_Toc11161"/>
      <w:bookmarkStart w:id="52" w:name="_Toc19885"/>
      <w:bookmarkStart w:id="53" w:name="_Toc26753"/>
      <w:bookmarkStart w:id="54" w:name="_Toc390098429"/>
      <w:bookmarkStart w:id="55" w:name="_Toc12207"/>
      <w:bookmarkStart w:id="56" w:name="_Toc492478728"/>
      <w:bookmarkStart w:id="57" w:name="_Toc24935"/>
      <w:bookmarkStart w:id="58" w:name="_Toc1047"/>
      <w:bookmarkStart w:id="59" w:name="_Toc6261"/>
      <w:bookmarkStart w:id="60" w:name="_Toc385427803"/>
      <w:bookmarkStart w:id="61" w:name="_Toc12983515"/>
      <w:bookmarkStart w:id="62" w:name="_Toc114134618"/>
      <w:bookmarkStart w:id="63" w:name="_Toc16237"/>
      <w:bookmarkStart w:id="64" w:name="_Toc24857"/>
      <w:bookmarkStart w:id="65" w:name="_Toc25750601"/>
      <w:bookmarkStart w:id="66" w:name="_Toc15570"/>
      <w:bookmarkStart w:id="67" w:name="_Toc9887"/>
      <w:bookmarkStart w:id="68" w:name="_Toc11040"/>
      <w:bookmarkStart w:id="69" w:name="_Toc28296"/>
      <w:bookmarkStart w:id="70" w:name="_Toc3492"/>
      <w:bookmarkStart w:id="71" w:name="_Toc28065"/>
      <w:bookmarkStart w:id="72" w:name="_Toc25770"/>
      <w:bookmarkStart w:id="73" w:name="_Toc375039074"/>
      <w:bookmarkStart w:id="74" w:name="_Toc22026"/>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outlineLvl w:val="1"/>
        <w:rPr>
          <w:rFonts w:ascii="宋体" w:hAnsi="宋体" w:eastAsia="宋体"/>
          <w:sz w:val="24"/>
          <w:szCs w:val="24"/>
        </w:rPr>
      </w:pPr>
      <w:bookmarkStart w:id="75" w:name="_Toc28164"/>
      <w:bookmarkStart w:id="76" w:name="_Toc16307"/>
      <w:bookmarkStart w:id="77" w:name="_Toc25750602"/>
      <w:bookmarkStart w:id="78" w:name="_Toc114134619"/>
      <w:bookmarkStart w:id="79" w:name="_Toc29881"/>
      <w:bookmarkStart w:id="80" w:name="_Toc24760"/>
      <w:bookmarkStart w:id="81" w:name="_Toc18149"/>
      <w:bookmarkStart w:id="82" w:name="_Toc23229"/>
      <w:bookmarkStart w:id="83" w:name="_Toc492478729"/>
      <w:bookmarkStart w:id="84" w:name="_Toc383891179"/>
      <w:bookmarkStart w:id="85" w:name="_Toc19681"/>
      <w:bookmarkStart w:id="86" w:name="_Toc30356"/>
      <w:bookmarkStart w:id="87" w:name="_Toc15809"/>
      <w:bookmarkStart w:id="88" w:name="_Toc385427804"/>
      <w:bookmarkStart w:id="89" w:name="_Toc3411"/>
      <w:bookmarkStart w:id="90" w:name="_Toc14323"/>
      <w:bookmarkStart w:id="91" w:name="_Toc12983516"/>
      <w:bookmarkStart w:id="92" w:name="_Toc375039075"/>
      <w:bookmarkStart w:id="93" w:name="_Toc3877"/>
      <w:bookmarkStart w:id="94" w:name="_Toc53"/>
      <w:bookmarkStart w:id="95" w:name="_Toc22476"/>
      <w:bookmarkStart w:id="96" w:name="_Toc30991"/>
      <w:bookmarkStart w:id="97" w:name="_Toc3464"/>
      <w:bookmarkStart w:id="98" w:name="_Toc390098430"/>
      <w:bookmarkStart w:id="99" w:name="_Toc23364"/>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outlineLvl w:val="1"/>
        <w:rPr>
          <w:rFonts w:ascii="宋体" w:hAnsi="宋体" w:eastAsia="宋体"/>
          <w:sz w:val="24"/>
          <w:szCs w:val="24"/>
        </w:rPr>
      </w:pPr>
      <w:bookmarkStart w:id="100" w:name="_Toc15448"/>
      <w:bookmarkStart w:id="101" w:name="_Toc15919"/>
      <w:bookmarkStart w:id="102" w:name="_Toc385427805"/>
      <w:bookmarkStart w:id="103" w:name="_Toc114134620"/>
      <w:bookmarkStart w:id="104" w:name="_Toc383891180"/>
      <w:bookmarkStart w:id="105" w:name="_Toc16783"/>
      <w:bookmarkStart w:id="106" w:name="_Toc390098431"/>
      <w:bookmarkStart w:id="107" w:name="_Toc675"/>
      <w:bookmarkStart w:id="108" w:name="_Toc20248"/>
      <w:bookmarkStart w:id="109" w:name="_Toc14308"/>
      <w:bookmarkStart w:id="110" w:name="_Toc7608"/>
      <w:bookmarkStart w:id="111" w:name="_Toc21144"/>
      <w:bookmarkStart w:id="112" w:name="_Toc14630"/>
      <w:bookmarkStart w:id="113" w:name="_Toc27194"/>
      <w:bookmarkStart w:id="114" w:name="_Toc23002"/>
      <w:bookmarkStart w:id="115" w:name="_Toc3670"/>
      <w:bookmarkStart w:id="116" w:name="_Toc375039076"/>
      <w:bookmarkStart w:id="117" w:name="_Toc25750603"/>
      <w:bookmarkStart w:id="118" w:name="_Toc2395"/>
      <w:bookmarkStart w:id="119" w:name="_Toc492478730"/>
      <w:bookmarkStart w:id="120" w:name="_Toc8151"/>
      <w:bookmarkStart w:id="121" w:name="_Toc12983517"/>
      <w:bookmarkStart w:id="122" w:name="_Toc27019"/>
      <w:bookmarkStart w:id="123" w:name="_Toc11211"/>
      <w:bookmarkStart w:id="124" w:name="_Toc20490"/>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b/>
          <w:bCs/>
          <w:sz w:val="24"/>
          <w:szCs w:val="24"/>
          <w:u w:val="single"/>
        </w:rPr>
        <w:t>资格审查文件、报价文件</w:t>
      </w:r>
      <w:r>
        <w:rPr>
          <w:rFonts w:hint="eastAsia" w:ascii="宋体" w:hAnsi="宋体" w:eastAsia="宋体"/>
          <w:b/>
          <w:bCs/>
          <w:sz w:val="24"/>
          <w:szCs w:val="24"/>
          <w:u w:val="single"/>
          <w:lang w:val="en-US" w:eastAsia="zh-CN"/>
        </w:rPr>
        <w:t>需分别进行装订。</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outlineLvl w:val="1"/>
        <w:rPr>
          <w:rFonts w:ascii="宋体" w:hAnsi="宋体" w:eastAsia="宋体"/>
          <w:sz w:val="24"/>
          <w:szCs w:val="24"/>
        </w:rPr>
      </w:pPr>
      <w:bookmarkStart w:id="125" w:name="_Toc12983518"/>
      <w:bookmarkStart w:id="126" w:name="_Toc21084"/>
      <w:bookmarkStart w:id="127" w:name="_Toc24264"/>
      <w:bookmarkStart w:id="128" w:name="_Toc385427806"/>
      <w:bookmarkStart w:id="129" w:name="_Toc114134621"/>
      <w:bookmarkStart w:id="130" w:name="_Toc3799"/>
      <w:bookmarkStart w:id="131" w:name="_Toc17379"/>
      <w:bookmarkStart w:id="132" w:name="_Toc375039077"/>
      <w:bookmarkStart w:id="133" w:name="_Toc25750604"/>
      <w:bookmarkStart w:id="134" w:name="_Toc14123"/>
      <w:bookmarkStart w:id="135" w:name="_Toc22295"/>
      <w:bookmarkStart w:id="136" w:name="_Toc26482"/>
      <w:bookmarkStart w:id="137" w:name="_Toc3813"/>
      <w:bookmarkStart w:id="138" w:name="_Toc16653"/>
      <w:bookmarkStart w:id="139" w:name="_Toc17338"/>
      <w:bookmarkStart w:id="140" w:name="_Toc6671"/>
      <w:bookmarkStart w:id="141" w:name="_Toc20685"/>
      <w:bookmarkStart w:id="142" w:name="_Toc492478731"/>
      <w:bookmarkStart w:id="143" w:name="_Toc17526"/>
      <w:bookmarkStart w:id="144" w:name="_Toc390098432"/>
      <w:bookmarkStart w:id="145" w:name="_Toc31743"/>
      <w:bookmarkStart w:id="146" w:name="_Toc9416"/>
      <w:bookmarkStart w:id="147" w:name="_Toc26974"/>
      <w:bookmarkStart w:id="148" w:name="_Toc7857"/>
      <w:bookmarkStart w:id="149" w:name="_Toc383891181"/>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w:t>
      </w:r>
      <w:r>
        <w:rPr>
          <w:rFonts w:hint="eastAsia" w:ascii="宋体" w:hAnsi="宋体" w:eastAsia="宋体"/>
          <w:sz w:val="24"/>
          <w:szCs w:val="24"/>
          <w:lang w:val="en-US" w:eastAsia="zh-CN"/>
        </w:rPr>
        <w:t>不</w:t>
      </w:r>
      <w:r>
        <w:rPr>
          <w:rFonts w:hint="eastAsia" w:ascii="宋体" w:hAnsi="宋体" w:eastAsia="宋体"/>
          <w:sz w:val="24"/>
          <w:szCs w:val="24"/>
        </w:rPr>
        <w:t>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outlineLvl w:val="1"/>
        <w:rPr>
          <w:rFonts w:ascii="宋体" w:hAnsi="宋体" w:eastAsia="宋体"/>
          <w:sz w:val="24"/>
          <w:szCs w:val="24"/>
        </w:rPr>
      </w:pPr>
      <w:bookmarkStart w:id="150" w:name="_Toc15940"/>
      <w:bookmarkStart w:id="151" w:name="_Toc2710"/>
      <w:bookmarkStart w:id="152" w:name="_Toc1664"/>
      <w:bookmarkStart w:id="153" w:name="_Toc25750605"/>
      <w:bookmarkStart w:id="154" w:name="_Toc114134622"/>
      <w:bookmarkStart w:id="155" w:name="_Toc7428"/>
      <w:bookmarkStart w:id="156" w:name="_Toc21706"/>
      <w:bookmarkStart w:id="157" w:name="_Toc375039078"/>
      <w:bookmarkStart w:id="158" w:name="_Toc18875"/>
      <w:bookmarkStart w:id="159" w:name="_Toc25459"/>
      <w:bookmarkStart w:id="160" w:name="_Toc385427807"/>
      <w:bookmarkStart w:id="161" w:name="_Toc12983519"/>
      <w:bookmarkStart w:id="162" w:name="_Toc12762"/>
      <w:bookmarkStart w:id="163" w:name="_Toc383891182"/>
      <w:bookmarkStart w:id="164" w:name="_Toc28476"/>
      <w:bookmarkStart w:id="165" w:name="_Toc26064"/>
      <w:bookmarkStart w:id="166" w:name="_Toc10220"/>
      <w:bookmarkStart w:id="167" w:name="_Toc20156"/>
      <w:bookmarkStart w:id="168" w:name="_Toc12947"/>
      <w:bookmarkStart w:id="169" w:name="_Toc390098433"/>
      <w:bookmarkStart w:id="170" w:name="_Toc492478732"/>
      <w:bookmarkStart w:id="171" w:name="_Toc5836"/>
      <w:bookmarkStart w:id="172" w:name="_Toc28880"/>
      <w:bookmarkStart w:id="173" w:name="_Toc21430"/>
      <w:bookmarkStart w:id="174" w:name="_Toc21448"/>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outlineLvl w:val="1"/>
        <w:rPr>
          <w:rFonts w:ascii="宋体" w:hAnsi="宋体" w:eastAsia="宋体"/>
          <w:sz w:val="24"/>
          <w:szCs w:val="24"/>
        </w:rPr>
      </w:pPr>
      <w:bookmarkStart w:id="175" w:name="_Toc385427811"/>
      <w:bookmarkStart w:id="176" w:name="_Toc5690"/>
      <w:bookmarkStart w:id="177" w:name="_Toc24656"/>
      <w:bookmarkStart w:id="178" w:name="_Toc28997"/>
      <w:bookmarkStart w:id="179" w:name="_Toc10918"/>
      <w:bookmarkStart w:id="180" w:name="_Toc845"/>
      <w:bookmarkStart w:id="181" w:name="_Toc383891186"/>
      <w:bookmarkStart w:id="182" w:name="_Toc492478736"/>
      <w:bookmarkStart w:id="183" w:name="_Toc390098437"/>
      <w:bookmarkStart w:id="184" w:name="_Toc25750607"/>
      <w:bookmarkStart w:id="185" w:name="_Toc4433"/>
      <w:bookmarkStart w:id="186" w:name="_Toc28555"/>
      <w:bookmarkStart w:id="187" w:name="_Toc20643"/>
      <w:bookmarkStart w:id="188" w:name="_Toc375039082"/>
      <w:bookmarkStart w:id="189" w:name="_Toc20070"/>
      <w:bookmarkStart w:id="190" w:name="_Toc7808"/>
      <w:bookmarkStart w:id="191" w:name="_Toc9117"/>
      <w:bookmarkStart w:id="192" w:name="_Toc12983521"/>
      <w:bookmarkStart w:id="193" w:name="_Toc30499"/>
      <w:bookmarkStart w:id="194" w:name="_Toc691"/>
      <w:bookmarkStart w:id="195" w:name="_Toc114134624"/>
      <w:bookmarkStart w:id="196" w:name="_Toc20493"/>
      <w:bookmarkStart w:id="197" w:name="_Toc2268"/>
      <w:bookmarkStart w:id="198" w:name="_Toc23114"/>
      <w:bookmarkStart w:id="199" w:name="_Toc1604"/>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outlineLvl w:val="1"/>
        <w:rPr>
          <w:rFonts w:ascii="宋体" w:hAnsi="宋体" w:eastAsia="宋体"/>
          <w:b/>
          <w:bCs/>
          <w:sz w:val="24"/>
          <w:szCs w:val="24"/>
        </w:rPr>
      </w:pPr>
      <w:bookmarkStart w:id="200" w:name="_Toc492478737"/>
      <w:bookmarkStart w:id="201" w:name="_Toc12506"/>
      <w:bookmarkStart w:id="202" w:name="_Toc390098438"/>
      <w:bookmarkStart w:id="203" w:name="_Toc24922"/>
      <w:bookmarkStart w:id="204" w:name="_Toc385427812"/>
      <w:bookmarkStart w:id="205" w:name="_Toc12983522"/>
      <w:bookmarkStart w:id="206" w:name="_Toc6065"/>
      <w:bookmarkStart w:id="207" w:name="_Toc32525"/>
      <w:bookmarkStart w:id="208" w:name="_Toc27730"/>
      <w:bookmarkStart w:id="209" w:name="_Toc19044"/>
      <w:bookmarkStart w:id="210" w:name="_Toc301"/>
      <w:bookmarkStart w:id="211" w:name="_Toc25684"/>
      <w:bookmarkStart w:id="212" w:name="_Toc14672"/>
      <w:bookmarkStart w:id="213" w:name="_Toc383891187"/>
      <w:bookmarkStart w:id="214" w:name="_Toc29108"/>
      <w:bookmarkStart w:id="215" w:name="_Toc3414"/>
      <w:bookmarkStart w:id="216" w:name="_Toc12435"/>
      <w:bookmarkStart w:id="217" w:name="_Toc25468"/>
      <w:bookmarkStart w:id="218" w:name="_Toc32020"/>
      <w:bookmarkStart w:id="219" w:name="_Toc8100"/>
      <w:bookmarkStart w:id="220" w:name="_Toc375039083"/>
      <w:bookmarkStart w:id="221" w:name="_Toc4216"/>
      <w:bookmarkStart w:id="222" w:name="_Toc19603"/>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outlineLvl w:val="0"/>
        <w:rPr>
          <w:rFonts w:ascii="宋体" w:hAnsi="宋体" w:eastAsia="宋体"/>
          <w:b/>
          <w:bCs/>
          <w:sz w:val="24"/>
          <w:szCs w:val="24"/>
        </w:rPr>
      </w:pPr>
      <w:bookmarkStart w:id="223" w:name="_Toc385427813"/>
      <w:bookmarkStart w:id="224" w:name="_Toc390098439"/>
      <w:bookmarkStart w:id="225" w:name="_Toc383891188"/>
      <w:bookmarkStart w:id="226" w:name="_Toc375039084"/>
      <w:bookmarkStart w:id="227" w:name="_Toc10234"/>
      <w:bookmarkStart w:id="228" w:name="_Toc12983523"/>
      <w:bookmarkStart w:id="229" w:name="_Toc30962"/>
      <w:bookmarkStart w:id="230" w:name="_Toc15116"/>
      <w:bookmarkStart w:id="231" w:name="_Toc30452"/>
      <w:bookmarkStart w:id="232" w:name="_Toc26776"/>
      <w:bookmarkStart w:id="233" w:name="_Toc30187"/>
      <w:bookmarkStart w:id="234" w:name="_Toc18322"/>
      <w:bookmarkStart w:id="235" w:name="_Toc2113"/>
      <w:bookmarkStart w:id="236" w:name="_Toc6101"/>
      <w:bookmarkStart w:id="237" w:name="_Toc26551"/>
      <w:bookmarkStart w:id="238" w:name="_Toc492478738"/>
      <w:bookmarkStart w:id="239" w:name="_Toc16409"/>
      <w:bookmarkStart w:id="240" w:name="_Toc759"/>
      <w:bookmarkStart w:id="241" w:name="_Toc23177"/>
      <w:bookmarkStart w:id="242" w:name="_Toc2975"/>
      <w:bookmarkStart w:id="243" w:name="_Toc32054"/>
      <w:bookmarkStart w:id="244" w:name="_Toc1315"/>
      <w:bookmarkStart w:id="245" w:name="_Toc114134625"/>
      <w:bookmarkStart w:id="246" w:name="_Toc1952"/>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outlineLvl w:val="1"/>
        <w:rPr>
          <w:rFonts w:ascii="宋体" w:hAnsi="宋体" w:eastAsia="宋体"/>
          <w:sz w:val="24"/>
          <w:szCs w:val="24"/>
        </w:rPr>
      </w:pPr>
      <w:bookmarkStart w:id="247" w:name="_Toc13829"/>
      <w:bookmarkStart w:id="248" w:name="_Toc17200"/>
      <w:bookmarkStart w:id="249" w:name="_Toc492478739"/>
      <w:bookmarkStart w:id="250" w:name="_Toc5922"/>
      <w:bookmarkStart w:id="251" w:name="_Toc25750609"/>
      <w:bookmarkStart w:id="252" w:name="_Toc19495"/>
      <w:bookmarkStart w:id="253" w:name="_Toc9307"/>
      <w:bookmarkStart w:id="254" w:name="_Toc30196"/>
      <w:bookmarkStart w:id="255" w:name="_Toc26249"/>
      <w:bookmarkStart w:id="256" w:name="_Toc12117"/>
      <w:bookmarkStart w:id="257" w:name="_Toc15663"/>
      <w:bookmarkStart w:id="258" w:name="_Toc15735"/>
      <w:bookmarkStart w:id="259" w:name="_Toc12329"/>
      <w:bookmarkStart w:id="260" w:name="_Toc13621"/>
      <w:bookmarkStart w:id="261" w:name="_Toc375039085"/>
      <w:bookmarkStart w:id="262" w:name="_Toc15071"/>
      <w:bookmarkStart w:id="263" w:name="_Toc12983524"/>
      <w:bookmarkStart w:id="264" w:name="_Toc390098440"/>
      <w:bookmarkStart w:id="265" w:name="_Toc13875"/>
      <w:bookmarkStart w:id="266" w:name="_Toc114134626"/>
      <w:bookmarkStart w:id="267" w:name="_Toc383891189"/>
      <w:bookmarkStart w:id="268" w:name="_Toc18616"/>
      <w:bookmarkStart w:id="269" w:name="_Toc385427814"/>
      <w:bookmarkStart w:id="270" w:name="_Toc15650"/>
      <w:bookmarkStart w:id="271" w:name="_Toc24648"/>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75039086"/>
      <w:bookmarkStart w:id="273" w:name="_Toc390098441"/>
      <w:bookmarkStart w:id="274" w:name="_Toc383891190"/>
      <w:bookmarkStart w:id="275" w:name="_Toc385427815"/>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outlineLvl w:val="1"/>
        <w:rPr>
          <w:rFonts w:ascii="宋体" w:hAnsi="宋体" w:eastAsia="宋体"/>
          <w:sz w:val="24"/>
          <w:szCs w:val="24"/>
        </w:rPr>
      </w:pPr>
      <w:bookmarkStart w:id="276" w:name="_Toc492478740"/>
      <w:bookmarkStart w:id="277" w:name="_Toc16266"/>
      <w:bookmarkStart w:id="278" w:name="_Toc25750610"/>
      <w:bookmarkStart w:id="279" w:name="_Toc16818"/>
      <w:bookmarkStart w:id="280" w:name="_Toc4735"/>
      <w:bookmarkStart w:id="281" w:name="_Toc22180"/>
      <w:bookmarkStart w:id="282" w:name="_Toc6482"/>
      <w:bookmarkStart w:id="283" w:name="_Toc11255"/>
      <w:bookmarkStart w:id="284" w:name="_Toc22445"/>
      <w:bookmarkStart w:id="285" w:name="_Toc114134627"/>
      <w:bookmarkStart w:id="286" w:name="_Toc11039"/>
      <w:bookmarkStart w:id="287" w:name="_Toc2337"/>
      <w:bookmarkStart w:id="288" w:name="_Toc12983525"/>
      <w:bookmarkStart w:id="289" w:name="_Toc13883"/>
      <w:bookmarkStart w:id="290" w:name="_Toc11096"/>
      <w:bookmarkStart w:id="291" w:name="_Toc642"/>
      <w:bookmarkStart w:id="292" w:name="_Toc32760"/>
      <w:bookmarkStart w:id="293" w:name="_Toc28071"/>
      <w:bookmarkStart w:id="294" w:name="_Toc23859"/>
      <w:bookmarkStart w:id="295" w:name="_Toc16755"/>
      <w:bookmarkStart w:id="296" w:name="_Toc6339"/>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outlineLvl w:val="1"/>
        <w:rPr>
          <w:rFonts w:ascii="宋体" w:hAnsi="宋体" w:eastAsia="宋体"/>
          <w:sz w:val="24"/>
          <w:szCs w:val="24"/>
        </w:rPr>
      </w:pPr>
      <w:bookmarkStart w:id="297" w:name="_Toc324"/>
      <w:bookmarkStart w:id="298" w:name="_Toc15252"/>
      <w:bookmarkStart w:id="299" w:name="_Toc21960"/>
      <w:bookmarkStart w:id="300" w:name="_Toc385427816"/>
      <w:bookmarkStart w:id="301" w:name="_Toc32621"/>
      <w:bookmarkStart w:id="302" w:name="_Toc9522"/>
      <w:bookmarkStart w:id="303" w:name="_Toc492478741"/>
      <w:bookmarkStart w:id="304" w:name="_Toc11373"/>
      <w:bookmarkStart w:id="305" w:name="_Toc32252"/>
      <w:bookmarkStart w:id="306" w:name="_Toc3597"/>
      <w:bookmarkStart w:id="307" w:name="_Toc13581"/>
      <w:bookmarkStart w:id="308" w:name="_Toc114134628"/>
      <w:bookmarkStart w:id="309" w:name="_Toc26431"/>
      <w:bookmarkStart w:id="310" w:name="_Toc375039087"/>
      <w:bookmarkStart w:id="311" w:name="_Toc22945"/>
      <w:bookmarkStart w:id="312" w:name="_Toc2226"/>
      <w:bookmarkStart w:id="313" w:name="_Toc10818"/>
      <w:bookmarkStart w:id="314" w:name="_Toc12983526"/>
      <w:bookmarkStart w:id="315" w:name="_Toc25750611"/>
      <w:bookmarkStart w:id="316" w:name="_Toc29066"/>
      <w:bookmarkStart w:id="317" w:name="_Toc23404"/>
      <w:bookmarkStart w:id="318" w:name="_Toc390098442"/>
      <w:bookmarkStart w:id="319" w:name="_Toc29473"/>
      <w:bookmarkStart w:id="320" w:name="_Toc383891191"/>
      <w:bookmarkStart w:id="321" w:name="_Toc14239"/>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outlineLvl w:val="1"/>
        <w:rPr>
          <w:rFonts w:ascii="宋体" w:hAnsi="宋体" w:eastAsia="宋体"/>
          <w:sz w:val="24"/>
          <w:szCs w:val="24"/>
        </w:rPr>
      </w:pPr>
      <w:bookmarkStart w:id="322" w:name="_Toc28452"/>
      <w:bookmarkStart w:id="323" w:name="_Toc4605"/>
      <w:bookmarkStart w:id="324" w:name="_Toc14522"/>
      <w:bookmarkStart w:id="325" w:name="_Toc383891192"/>
      <w:bookmarkStart w:id="326" w:name="_Toc375039088"/>
      <w:bookmarkStart w:id="327" w:name="_Toc385427817"/>
      <w:bookmarkStart w:id="328" w:name="_Toc27195"/>
      <w:bookmarkStart w:id="329" w:name="_Toc243"/>
      <w:bookmarkStart w:id="330" w:name="_Toc31033"/>
      <w:bookmarkStart w:id="331" w:name="_Toc9706"/>
      <w:bookmarkStart w:id="332" w:name="_Toc8636"/>
      <w:bookmarkStart w:id="333" w:name="_Toc114134629"/>
      <w:bookmarkStart w:id="334" w:name="_Toc12983527"/>
      <w:bookmarkStart w:id="335" w:name="_Toc25427"/>
      <w:bookmarkStart w:id="336" w:name="_Toc17797"/>
      <w:bookmarkStart w:id="337" w:name="_Toc14411"/>
      <w:bookmarkStart w:id="338" w:name="_Toc26282"/>
      <w:bookmarkStart w:id="339" w:name="_Toc25750612"/>
      <w:bookmarkStart w:id="340" w:name="_Toc24030"/>
      <w:bookmarkStart w:id="341" w:name="_Toc23449"/>
      <w:bookmarkStart w:id="342" w:name="_Toc390098443"/>
      <w:bookmarkStart w:id="343" w:name="_Toc12682"/>
      <w:bookmarkStart w:id="344" w:name="_Toc492478742"/>
      <w:bookmarkStart w:id="345" w:name="_Toc21796"/>
      <w:bookmarkStart w:id="346" w:name="_Toc29208"/>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outlineLvl w:val="0"/>
        <w:rPr>
          <w:rFonts w:ascii="宋体" w:hAnsi="宋体" w:eastAsia="宋体"/>
          <w:sz w:val="24"/>
          <w:szCs w:val="24"/>
        </w:rPr>
      </w:pPr>
      <w:bookmarkStart w:id="347" w:name="_Toc2306"/>
      <w:bookmarkStart w:id="348" w:name="_Toc18076"/>
      <w:bookmarkStart w:id="349" w:name="_Toc16856"/>
      <w:bookmarkStart w:id="350" w:name="_Toc390098444"/>
      <w:bookmarkStart w:id="351" w:name="_Toc375039089"/>
      <w:bookmarkStart w:id="352" w:name="_Toc28694"/>
      <w:bookmarkStart w:id="353" w:name="_Toc11529"/>
      <w:bookmarkStart w:id="354" w:name="_Toc12182"/>
      <w:bookmarkStart w:id="355" w:name="_Toc25433"/>
      <w:bookmarkStart w:id="356" w:name="_Toc385427818"/>
      <w:bookmarkStart w:id="357" w:name="_Toc22587"/>
      <w:bookmarkStart w:id="358" w:name="_Toc24485"/>
      <w:bookmarkStart w:id="359" w:name="_Toc4291"/>
      <w:bookmarkStart w:id="360" w:name="_Toc29264"/>
      <w:bookmarkStart w:id="361" w:name="_Toc3006"/>
      <w:bookmarkStart w:id="362" w:name="_Toc492478743"/>
      <w:bookmarkStart w:id="363" w:name="_Toc10325"/>
      <w:bookmarkStart w:id="364" w:name="_Toc9549"/>
      <w:bookmarkStart w:id="365" w:name="_Toc383891193"/>
      <w:bookmarkStart w:id="366" w:name="_Toc5592"/>
      <w:bookmarkStart w:id="367" w:name="_Toc9728"/>
      <w:bookmarkStart w:id="368" w:name="_Toc31978"/>
      <w:bookmarkStart w:id="369" w:name="_Toc12983528"/>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outlineLvl w:val="1"/>
        <w:rPr>
          <w:rFonts w:ascii="宋体" w:hAnsi="宋体" w:eastAsia="宋体"/>
          <w:sz w:val="24"/>
          <w:szCs w:val="24"/>
        </w:rPr>
      </w:pPr>
      <w:bookmarkStart w:id="371" w:name="_Toc383891194"/>
      <w:bookmarkStart w:id="372" w:name="_Toc4638"/>
      <w:bookmarkStart w:id="373" w:name="_Toc24196"/>
      <w:bookmarkStart w:id="374" w:name="_Toc9309"/>
      <w:bookmarkStart w:id="375" w:name="_Toc10883"/>
      <w:bookmarkStart w:id="376" w:name="_Toc4674"/>
      <w:bookmarkStart w:id="377" w:name="_Toc4825"/>
      <w:bookmarkStart w:id="378" w:name="_Toc9264"/>
      <w:bookmarkStart w:id="379" w:name="_Toc12983529"/>
      <w:bookmarkStart w:id="380" w:name="_Toc10292"/>
      <w:bookmarkStart w:id="381" w:name="_Toc385427819"/>
      <w:bookmarkStart w:id="382" w:name="_Toc18919"/>
      <w:bookmarkStart w:id="383" w:name="_Toc6839"/>
      <w:bookmarkStart w:id="384" w:name="_Toc25116"/>
      <w:bookmarkStart w:id="385" w:name="_Toc5182"/>
      <w:bookmarkStart w:id="386" w:name="_Toc375039090"/>
      <w:bookmarkStart w:id="387" w:name="_Toc390098445"/>
      <w:bookmarkStart w:id="388" w:name="_Toc895"/>
      <w:bookmarkStart w:id="389" w:name="_Toc4365"/>
      <w:bookmarkStart w:id="390" w:name="_Toc492478744"/>
      <w:bookmarkStart w:id="391" w:name="_Toc6974"/>
      <w:bookmarkStart w:id="392" w:name="_Toc23705"/>
      <w:bookmarkStart w:id="393" w:name="_Toc6377"/>
      <w:bookmarkStart w:id="394" w:name="_Toc25750614"/>
      <w:bookmarkStart w:id="395" w:name="_Toc114134631"/>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outlineLvl w:val="1"/>
        <w:rPr>
          <w:rFonts w:ascii="宋体" w:hAnsi="宋体" w:eastAsia="宋体"/>
          <w:sz w:val="24"/>
          <w:szCs w:val="24"/>
        </w:rPr>
      </w:pPr>
      <w:bookmarkStart w:id="396" w:name="_Toc390098446"/>
      <w:bookmarkStart w:id="397" w:name="_Toc385427820"/>
      <w:bookmarkStart w:id="398" w:name="_Toc383891195"/>
      <w:bookmarkStart w:id="399" w:name="_Toc375039091"/>
      <w:bookmarkStart w:id="400" w:name="_Toc114134632"/>
      <w:bookmarkStart w:id="401" w:name="_Toc16068"/>
      <w:bookmarkStart w:id="402" w:name="_Toc30671"/>
      <w:bookmarkStart w:id="403" w:name="_Toc11013"/>
      <w:bookmarkStart w:id="404" w:name="_Toc27636"/>
      <w:bookmarkStart w:id="405" w:name="_Toc21819"/>
      <w:bookmarkStart w:id="406" w:name="_Toc25270"/>
      <w:bookmarkStart w:id="407" w:name="_Toc17785"/>
      <w:bookmarkStart w:id="408" w:name="_Toc24687"/>
      <w:bookmarkStart w:id="409" w:name="_Toc25750615"/>
      <w:bookmarkStart w:id="410" w:name="_Toc24630"/>
      <w:bookmarkStart w:id="411" w:name="_Toc5267"/>
      <w:bookmarkStart w:id="412" w:name="_Toc23699"/>
      <w:bookmarkStart w:id="413" w:name="_Toc13202"/>
      <w:bookmarkStart w:id="414" w:name="_Toc492478745"/>
      <w:bookmarkStart w:id="415" w:name="_Toc9391"/>
      <w:bookmarkStart w:id="416" w:name="_Toc12983530"/>
      <w:bookmarkStart w:id="417" w:name="_Toc1920"/>
      <w:bookmarkStart w:id="418" w:name="_Toc16601"/>
      <w:bookmarkStart w:id="419" w:name="_Toc11263"/>
      <w:bookmarkStart w:id="420" w:name="_Toc15466"/>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outlineLvl w:val="1"/>
        <w:rPr>
          <w:rFonts w:ascii="宋体" w:hAnsi="宋体" w:eastAsia="宋体"/>
          <w:sz w:val="24"/>
          <w:szCs w:val="24"/>
        </w:rPr>
      </w:pPr>
      <w:bookmarkStart w:id="422" w:name="_Toc29929"/>
      <w:bookmarkStart w:id="423" w:name="_Toc375039093"/>
      <w:bookmarkStart w:id="424" w:name="_Toc16072"/>
      <w:bookmarkStart w:id="425" w:name="_Toc11716"/>
      <w:bookmarkStart w:id="426" w:name="_Toc27570"/>
      <w:bookmarkStart w:id="427" w:name="_Toc24755"/>
      <w:bookmarkStart w:id="428" w:name="_Toc5386"/>
      <w:bookmarkStart w:id="429" w:name="_Toc8295"/>
      <w:bookmarkStart w:id="430" w:name="_Toc26137"/>
      <w:bookmarkStart w:id="431" w:name="_Toc385427821"/>
      <w:bookmarkStart w:id="432" w:name="_Toc17980"/>
      <w:bookmarkStart w:id="433" w:name="_Toc492478746"/>
      <w:bookmarkStart w:id="434" w:name="_Toc1456"/>
      <w:bookmarkStart w:id="435" w:name="_Toc390098447"/>
      <w:bookmarkStart w:id="436" w:name="_Toc25047"/>
      <w:bookmarkStart w:id="437" w:name="_Toc15"/>
      <w:bookmarkStart w:id="438" w:name="_Toc25750616"/>
      <w:bookmarkStart w:id="439" w:name="_Toc14719"/>
      <w:bookmarkStart w:id="440" w:name="_Toc114134633"/>
      <w:bookmarkStart w:id="441" w:name="_Toc383891196"/>
      <w:bookmarkStart w:id="442" w:name="_Toc13421"/>
      <w:bookmarkStart w:id="443" w:name="_Toc833"/>
      <w:bookmarkStart w:id="444" w:name="_Toc18803"/>
      <w:bookmarkStart w:id="445" w:name="_Toc18063"/>
      <w:bookmarkStart w:id="446" w:name="_Toc12983531"/>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outlineLvl w:val="1"/>
        <w:rPr>
          <w:rFonts w:ascii="宋体" w:hAnsi="宋体" w:eastAsia="宋体"/>
          <w:sz w:val="24"/>
          <w:szCs w:val="24"/>
        </w:rPr>
      </w:pPr>
      <w:bookmarkStart w:id="447" w:name="_Toc390098448"/>
      <w:bookmarkStart w:id="448" w:name="_Toc9602"/>
      <w:bookmarkStart w:id="449" w:name="_Toc12960"/>
      <w:bookmarkStart w:id="450" w:name="_Toc9941"/>
      <w:bookmarkStart w:id="451" w:name="_Toc383891197"/>
      <w:bookmarkStart w:id="452" w:name="_Toc30207"/>
      <w:bookmarkStart w:id="453" w:name="_Toc12671"/>
      <w:bookmarkStart w:id="454" w:name="_Toc29504"/>
      <w:bookmarkStart w:id="455" w:name="_Toc7858"/>
      <w:bookmarkStart w:id="456" w:name="_Toc385427822"/>
      <w:bookmarkStart w:id="457" w:name="_Toc16963"/>
      <w:bookmarkStart w:id="458" w:name="_Toc15988"/>
      <w:bookmarkStart w:id="459" w:name="_Toc20523"/>
      <w:bookmarkStart w:id="460" w:name="_Toc19810"/>
      <w:bookmarkStart w:id="461" w:name="_Toc114134634"/>
      <w:bookmarkStart w:id="462" w:name="_Toc12983532"/>
      <w:bookmarkStart w:id="463" w:name="_Toc654"/>
      <w:bookmarkStart w:id="464" w:name="_Toc18515"/>
      <w:bookmarkStart w:id="465" w:name="_Toc25750617"/>
      <w:bookmarkStart w:id="466" w:name="_Toc12909"/>
      <w:bookmarkStart w:id="467" w:name="_Toc12555"/>
      <w:bookmarkStart w:id="468" w:name="_Toc21167"/>
      <w:bookmarkStart w:id="469" w:name="_Toc492478747"/>
      <w:bookmarkStart w:id="470" w:name="_Toc25734"/>
      <w:bookmarkStart w:id="471" w:name="_Toc378514937"/>
      <w:bookmarkStart w:id="472" w:name="_Toc375039094"/>
      <w:bookmarkStart w:id="473" w:name="_Toc294723156"/>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outlineLvl w:val="1"/>
        <w:rPr>
          <w:rFonts w:ascii="宋体" w:hAnsi="宋体" w:eastAsia="宋体"/>
          <w:sz w:val="24"/>
          <w:szCs w:val="24"/>
        </w:rPr>
      </w:pPr>
      <w:bookmarkStart w:id="474" w:name="_Toc5983"/>
      <w:bookmarkStart w:id="475" w:name="_Toc30429"/>
      <w:bookmarkStart w:id="476" w:name="_Toc383891198"/>
      <w:bookmarkStart w:id="477" w:name="_Toc1983"/>
      <w:bookmarkStart w:id="478" w:name="_Toc13768"/>
      <w:bookmarkStart w:id="479" w:name="_Toc24327"/>
      <w:bookmarkStart w:id="480" w:name="_Toc13743"/>
      <w:bookmarkStart w:id="481" w:name="_Toc14799"/>
      <w:bookmarkStart w:id="482" w:name="_Toc11077"/>
      <w:bookmarkStart w:id="483" w:name="_Toc12983533"/>
      <w:bookmarkStart w:id="484" w:name="_Toc23267"/>
      <w:bookmarkStart w:id="485" w:name="_Toc114134635"/>
      <w:bookmarkStart w:id="486" w:name="_Toc22510"/>
      <w:bookmarkStart w:id="487" w:name="_Toc492478748"/>
      <w:bookmarkStart w:id="488" w:name="_Toc28898"/>
      <w:bookmarkStart w:id="489" w:name="_Toc390098449"/>
      <w:bookmarkStart w:id="490" w:name="_Toc28843"/>
      <w:bookmarkStart w:id="491" w:name="_Toc385427823"/>
      <w:bookmarkStart w:id="492" w:name="_Toc28701"/>
      <w:bookmarkStart w:id="493" w:name="_Toc6624"/>
      <w:bookmarkStart w:id="494" w:name="_Toc27670"/>
      <w:bookmarkStart w:id="495" w:name="_Toc8827"/>
      <w:bookmarkStart w:id="496" w:name="_Toc25750618"/>
      <w:bookmarkStart w:id="497" w:name="_Toc14860"/>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outlineLvl w:val="1"/>
        <w:rPr>
          <w:rFonts w:ascii="宋体" w:hAnsi="宋体" w:eastAsia="宋体"/>
          <w:sz w:val="24"/>
          <w:szCs w:val="24"/>
        </w:rPr>
      </w:pPr>
      <w:bookmarkStart w:id="498" w:name="_Toc12983534"/>
      <w:bookmarkStart w:id="499" w:name="_Toc22681"/>
      <w:bookmarkStart w:id="500" w:name="_Toc25750619"/>
      <w:bookmarkStart w:id="501" w:name="_Toc12795"/>
      <w:bookmarkStart w:id="502" w:name="_Toc5437"/>
      <w:bookmarkStart w:id="503" w:name="_Toc26070"/>
      <w:bookmarkStart w:id="504" w:name="_Toc390098450"/>
      <w:bookmarkStart w:id="505" w:name="_Toc4397"/>
      <w:bookmarkStart w:id="506" w:name="_Toc383891199"/>
      <w:bookmarkStart w:id="507" w:name="_Toc385427824"/>
      <w:bookmarkStart w:id="508" w:name="_Toc9040"/>
      <w:bookmarkStart w:id="509" w:name="_Toc5607"/>
      <w:bookmarkStart w:id="510" w:name="_Toc18093"/>
      <w:bookmarkStart w:id="511" w:name="_Toc1915"/>
      <w:bookmarkStart w:id="512" w:name="_Toc5926"/>
      <w:bookmarkStart w:id="513" w:name="_Toc20519"/>
      <w:bookmarkStart w:id="514" w:name="_Toc6908"/>
      <w:bookmarkStart w:id="515" w:name="_Toc492478749"/>
      <w:bookmarkStart w:id="516" w:name="_Toc28992"/>
      <w:bookmarkStart w:id="517" w:name="_Toc26318"/>
      <w:bookmarkStart w:id="518" w:name="_Toc30017"/>
      <w:bookmarkStart w:id="519" w:name="_Toc16884"/>
      <w:bookmarkStart w:id="520" w:name="_Toc29146"/>
      <w:bookmarkStart w:id="521" w:name="_Toc114134636"/>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outlineLvl w:val="1"/>
        <w:rPr>
          <w:rFonts w:ascii="宋体" w:hAnsi="宋体" w:eastAsia="宋体"/>
          <w:sz w:val="24"/>
          <w:szCs w:val="24"/>
        </w:rPr>
      </w:pPr>
      <w:bookmarkStart w:id="522" w:name="_Toc12167"/>
      <w:bookmarkStart w:id="523" w:name="_Toc25750620"/>
      <w:bookmarkStart w:id="524" w:name="_Toc390098451"/>
      <w:bookmarkStart w:id="525" w:name="_Toc23999"/>
      <w:bookmarkStart w:id="526" w:name="_Toc20810"/>
      <w:bookmarkStart w:id="527" w:name="_Toc26239"/>
      <w:bookmarkStart w:id="528" w:name="_Toc15051"/>
      <w:bookmarkStart w:id="529" w:name="_Toc23956"/>
      <w:bookmarkStart w:id="530" w:name="_Toc20912"/>
      <w:bookmarkStart w:id="531" w:name="_Toc114134637"/>
      <w:bookmarkStart w:id="532" w:name="_Toc383891200"/>
      <w:bookmarkStart w:id="533" w:name="_Toc22063"/>
      <w:bookmarkStart w:id="534" w:name="_Toc385427825"/>
      <w:bookmarkStart w:id="535" w:name="_Toc492478750"/>
      <w:bookmarkStart w:id="536" w:name="_Toc17236"/>
      <w:bookmarkStart w:id="537" w:name="_Toc1027"/>
      <w:bookmarkStart w:id="538" w:name="_Toc20874"/>
      <w:bookmarkStart w:id="539" w:name="_Toc29398"/>
      <w:bookmarkStart w:id="540" w:name="_Toc19477"/>
      <w:bookmarkStart w:id="541" w:name="_Toc31646"/>
      <w:bookmarkStart w:id="542" w:name="_Toc21468"/>
      <w:bookmarkStart w:id="543" w:name="_Toc22146"/>
      <w:bookmarkStart w:id="544" w:name="_Toc12983535"/>
      <w:bookmarkStart w:id="545" w:name="_Toc23808"/>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outlineLvl w:val="1"/>
        <w:rPr>
          <w:rFonts w:ascii="宋体" w:hAnsi="宋体" w:eastAsia="宋体"/>
          <w:sz w:val="24"/>
          <w:szCs w:val="24"/>
        </w:rPr>
      </w:pPr>
      <w:bookmarkStart w:id="546" w:name="_Toc383891201"/>
      <w:bookmarkStart w:id="547" w:name="_Toc8959"/>
      <w:bookmarkStart w:id="548" w:name="_Toc12983536"/>
      <w:bookmarkStart w:id="549" w:name="_Toc5319"/>
      <w:bookmarkStart w:id="550" w:name="_Toc25750621"/>
      <w:bookmarkStart w:id="551" w:name="_Toc3258"/>
      <w:bookmarkStart w:id="552" w:name="_Toc492478751"/>
      <w:bookmarkStart w:id="553" w:name="_Toc9737"/>
      <w:bookmarkStart w:id="554" w:name="_Toc390098452"/>
      <w:bookmarkStart w:id="555" w:name="_Toc20444"/>
      <w:bookmarkStart w:id="556" w:name="_Toc114134638"/>
      <w:bookmarkStart w:id="557" w:name="_Toc24176"/>
      <w:bookmarkStart w:id="558" w:name="_Toc4958"/>
      <w:bookmarkStart w:id="559" w:name="_Toc29276"/>
      <w:bookmarkStart w:id="560" w:name="_Toc23907"/>
      <w:bookmarkStart w:id="561" w:name="_Toc1004"/>
      <w:bookmarkStart w:id="562" w:name="_Toc20881"/>
      <w:bookmarkStart w:id="563" w:name="_Toc385427826"/>
      <w:bookmarkStart w:id="564" w:name="_Toc27112"/>
      <w:bookmarkStart w:id="565" w:name="_Toc19936"/>
      <w:bookmarkStart w:id="566" w:name="_Toc22994"/>
      <w:bookmarkStart w:id="567" w:name="_Toc20854"/>
      <w:bookmarkStart w:id="568" w:name="_Toc16418"/>
      <w:bookmarkStart w:id="569" w:name="_Toc9812"/>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outlineLvl w:val="1"/>
        <w:rPr>
          <w:rFonts w:ascii="宋体" w:hAnsi="宋体" w:eastAsia="宋体"/>
          <w:sz w:val="24"/>
          <w:szCs w:val="24"/>
        </w:rPr>
      </w:pPr>
      <w:bookmarkStart w:id="570" w:name="_Toc15146"/>
      <w:bookmarkStart w:id="571" w:name="_Toc114134639"/>
      <w:bookmarkStart w:id="572" w:name="_Toc31774"/>
      <w:bookmarkStart w:id="573" w:name="_Toc32344"/>
      <w:bookmarkStart w:id="574" w:name="_Toc385427827"/>
      <w:bookmarkStart w:id="575" w:name="_Toc17460"/>
      <w:bookmarkStart w:id="576" w:name="_Toc11010"/>
      <w:bookmarkStart w:id="577" w:name="_Toc12983537"/>
      <w:bookmarkStart w:id="578" w:name="_Toc27289"/>
      <w:bookmarkStart w:id="579" w:name="_Toc11657"/>
      <w:bookmarkStart w:id="580" w:name="_Toc19322"/>
      <w:bookmarkStart w:id="581" w:name="_Toc14300"/>
      <w:bookmarkStart w:id="582" w:name="_Toc1450"/>
      <w:bookmarkStart w:id="583" w:name="_Toc3358"/>
      <w:bookmarkStart w:id="584" w:name="_Toc22500"/>
      <w:bookmarkStart w:id="585" w:name="_Toc390098453"/>
      <w:bookmarkStart w:id="586" w:name="_Toc27803"/>
      <w:bookmarkStart w:id="587" w:name="_Toc507"/>
      <w:bookmarkStart w:id="588" w:name="_Toc28489"/>
      <w:bookmarkStart w:id="589" w:name="_Toc25750622"/>
      <w:bookmarkStart w:id="590" w:name="_Toc492478752"/>
      <w:bookmarkStart w:id="591" w:name="_Toc8074"/>
      <w:bookmarkStart w:id="592" w:name="_Toc8845"/>
      <w:bookmarkStart w:id="593" w:name="_Toc383891202"/>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outlineLvl w:val="1"/>
        <w:rPr>
          <w:rFonts w:ascii="宋体" w:hAnsi="宋体" w:eastAsia="宋体"/>
          <w:sz w:val="24"/>
          <w:szCs w:val="24"/>
        </w:rPr>
      </w:pPr>
      <w:bookmarkStart w:id="594" w:name="_Toc5257"/>
      <w:bookmarkStart w:id="595" w:name="_Toc3761"/>
      <w:bookmarkStart w:id="596" w:name="_Toc492478753"/>
      <w:bookmarkStart w:id="597" w:name="_Toc5172"/>
      <w:bookmarkStart w:id="598" w:name="_Toc21142"/>
      <w:bookmarkStart w:id="599" w:name="_Toc385427828"/>
      <w:bookmarkStart w:id="600" w:name="_Toc21947"/>
      <w:bookmarkStart w:id="601" w:name="_Toc22182"/>
      <w:bookmarkStart w:id="602" w:name="_Toc12983538"/>
      <w:bookmarkStart w:id="603" w:name="_Toc14042"/>
      <w:bookmarkStart w:id="604" w:name="_Toc27664"/>
      <w:bookmarkStart w:id="605" w:name="_Toc26470"/>
      <w:bookmarkStart w:id="606" w:name="_Toc17823"/>
      <w:bookmarkStart w:id="607" w:name="_Toc19634"/>
      <w:bookmarkStart w:id="608" w:name="_Toc18192"/>
      <w:bookmarkStart w:id="609" w:name="_Toc15932"/>
      <w:bookmarkStart w:id="610" w:name="_Toc383891203"/>
      <w:bookmarkStart w:id="611" w:name="_Toc37"/>
      <w:bookmarkStart w:id="612" w:name="_Toc16732"/>
      <w:bookmarkStart w:id="613" w:name="_Toc375039095"/>
      <w:bookmarkStart w:id="614" w:name="_Toc1215"/>
      <w:bookmarkStart w:id="615" w:name="_Toc13986"/>
      <w:bookmarkStart w:id="616" w:name="_Toc390098454"/>
      <w:bookmarkStart w:id="617" w:name="_Toc25750623"/>
      <w:bookmarkStart w:id="618" w:name="_Toc114134640"/>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17042"/>
      <w:bookmarkStart w:id="620" w:name="_Toc12983539"/>
      <w:bookmarkStart w:id="621" w:name="_Toc1116"/>
      <w:bookmarkStart w:id="622" w:name="_Toc2422"/>
      <w:bookmarkStart w:id="623" w:name="_Toc10962"/>
      <w:bookmarkStart w:id="624" w:name="_Toc3769"/>
      <w:bookmarkStart w:id="625" w:name="_Toc492478754"/>
      <w:bookmarkStart w:id="626" w:name="_Toc11126"/>
      <w:bookmarkStart w:id="627" w:name="_Toc26919"/>
      <w:bookmarkStart w:id="628" w:name="_Toc14235"/>
      <w:bookmarkStart w:id="629" w:name="_Toc12031"/>
      <w:bookmarkStart w:id="630" w:name="_Toc5959"/>
      <w:bookmarkStart w:id="631" w:name="_Toc20979"/>
      <w:bookmarkStart w:id="632" w:name="_Toc26954"/>
      <w:bookmarkStart w:id="633" w:name="_Toc31757"/>
      <w:bookmarkStart w:id="634" w:name="_Toc375039096"/>
      <w:bookmarkStart w:id="635" w:name="_Toc1945"/>
      <w:bookmarkStart w:id="636" w:name="_Toc383891204"/>
      <w:bookmarkStart w:id="637" w:name="_Toc25257"/>
      <w:bookmarkStart w:id="638" w:name="_Toc385427829"/>
      <w:bookmarkStart w:id="639" w:name="_Toc14454"/>
      <w:bookmarkStart w:id="640" w:name="_Toc6886"/>
      <w:bookmarkStart w:id="641" w:name="_Toc390098455"/>
      <w:bookmarkStart w:id="642" w:name="_Toc114134641"/>
      <w:bookmarkStart w:id="643" w:name="_Toc25750624"/>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outlineLvl w:val="0"/>
        <w:rPr>
          <w:rFonts w:ascii="宋体" w:hAnsi="宋体" w:eastAsia="宋体"/>
          <w:b/>
          <w:bCs/>
          <w:sz w:val="24"/>
          <w:szCs w:val="24"/>
        </w:rPr>
      </w:pPr>
      <w:bookmarkStart w:id="644" w:name="_Toc4743"/>
      <w:bookmarkStart w:id="645" w:name="_Toc375039097"/>
      <w:bookmarkStart w:id="646" w:name="_Toc2326"/>
      <w:bookmarkStart w:id="647" w:name="_Toc21516"/>
      <w:bookmarkStart w:id="648" w:name="_Toc25431"/>
      <w:bookmarkStart w:id="649" w:name="_Toc24681"/>
      <w:bookmarkStart w:id="650" w:name="_Toc12421"/>
      <w:bookmarkStart w:id="651" w:name="_Toc114134642"/>
      <w:bookmarkStart w:id="652" w:name="_Toc390098456"/>
      <w:bookmarkStart w:id="653" w:name="_Toc27839"/>
      <w:bookmarkStart w:id="654" w:name="_Toc385427830"/>
      <w:bookmarkStart w:id="655" w:name="_Toc26653"/>
      <w:bookmarkStart w:id="656" w:name="_Toc8834"/>
      <w:bookmarkStart w:id="657" w:name="_Toc492478755"/>
      <w:bookmarkStart w:id="658" w:name="_Toc19952"/>
      <w:bookmarkStart w:id="659" w:name="_Toc24580"/>
      <w:bookmarkStart w:id="660" w:name="_Toc12983540"/>
      <w:bookmarkStart w:id="661" w:name="_Toc18800"/>
      <w:bookmarkStart w:id="662" w:name="_Toc30278"/>
      <w:bookmarkStart w:id="663" w:name="_Toc383891205"/>
      <w:bookmarkStart w:id="664" w:name="_Toc6000"/>
      <w:bookmarkStart w:id="665" w:name="_Toc22975"/>
      <w:bookmarkStart w:id="666" w:name="_Toc9113"/>
      <w:bookmarkStart w:id="667" w:name="_Toc31958"/>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outlineLvl w:val="1"/>
        <w:rPr>
          <w:rFonts w:ascii="宋体" w:hAnsi="宋体" w:eastAsia="宋体"/>
          <w:sz w:val="24"/>
          <w:szCs w:val="24"/>
        </w:rPr>
      </w:pPr>
      <w:bookmarkStart w:id="668" w:name="_Toc492478756"/>
      <w:bookmarkStart w:id="669" w:name="_Toc26143"/>
      <w:bookmarkStart w:id="670" w:name="_Toc25750626"/>
      <w:bookmarkStart w:id="671" w:name="_Toc1269"/>
      <w:bookmarkStart w:id="672" w:name="_Toc18878"/>
      <w:bookmarkStart w:id="673" w:name="_Toc31011"/>
      <w:bookmarkStart w:id="674" w:name="_Toc20642"/>
      <w:bookmarkStart w:id="675" w:name="_Toc383891206"/>
      <w:bookmarkStart w:id="676" w:name="_Toc22688"/>
      <w:bookmarkStart w:id="677" w:name="_Toc21975"/>
      <w:bookmarkStart w:id="678" w:name="_Toc390098457"/>
      <w:bookmarkStart w:id="679" w:name="_Toc13914"/>
      <w:bookmarkStart w:id="680" w:name="_Toc12983541"/>
      <w:bookmarkStart w:id="681" w:name="_Toc30026"/>
      <w:bookmarkStart w:id="682" w:name="_Toc30743"/>
      <w:bookmarkStart w:id="683" w:name="_Toc26525"/>
      <w:bookmarkStart w:id="684" w:name="_Toc375039098"/>
      <w:bookmarkStart w:id="685" w:name="_Toc28661"/>
      <w:bookmarkStart w:id="686" w:name="_Toc385427831"/>
      <w:bookmarkStart w:id="687" w:name="_Toc114134643"/>
      <w:bookmarkStart w:id="688" w:name="_Toc22323"/>
      <w:bookmarkStart w:id="689" w:name="_Toc8938"/>
      <w:bookmarkStart w:id="690" w:name="_Toc21728"/>
      <w:bookmarkStart w:id="691" w:name="_Toc10522"/>
      <w:bookmarkStart w:id="692" w:name="_Toc11795"/>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outlineLvl w:val="1"/>
        <w:rPr>
          <w:rFonts w:ascii="宋体" w:hAnsi="宋体" w:eastAsia="宋体"/>
          <w:sz w:val="24"/>
          <w:szCs w:val="24"/>
        </w:rPr>
      </w:pPr>
      <w:bookmarkStart w:id="693" w:name="_Toc13417"/>
      <w:bookmarkStart w:id="694" w:name="_Toc23649"/>
      <w:bookmarkStart w:id="695" w:name="_Toc377"/>
      <w:bookmarkStart w:id="696" w:name="_Toc25797"/>
      <w:bookmarkStart w:id="697" w:name="_Toc19774"/>
      <w:bookmarkStart w:id="698" w:name="_Toc383891207"/>
      <w:bookmarkStart w:id="699" w:name="_Toc390098458"/>
      <w:bookmarkStart w:id="700" w:name="_Toc375039099"/>
      <w:bookmarkStart w:id="701" w:name="_Toc12983542"/>
      <w:bookmarkStart w:id="702" w:name="_Toc14301"/>
      <w:bookmarkStart w:id="703" w:name="_Toc14832"/>
      <w:bookmarkStart w:id="704" w:name="_Toc492478757"/>
      <w:bookmarkStart w:id="705" w:name="_Toc17818"/>
      <w:bookmarkStart w:id="706" w:name="_Toc16111"/>
      <w:bookmarkStart w:id="707" w:name="_Toc114134644"/>
      <w:bookmarkStart w:id="708" w:name="_Toc385427832"/>
      <w:bookmarkStart w:id="709" w:name="_Toc18977"/>
      <w:bookmarkStart w:id="710" w:name="_Toc31336"/>
      <w:bookmarkStart w:id="711" w:name="_Toc19128"/>
      <w:bookmarkStart w:id="712" w:name="_Toc1873"/>
      <w:bookmarkStart w:id="713" w:name="_Toc24183"/>
      <w:bookmarkStart w:id="714" w:name="_Toc11913"/>
      <w:bookmarkStart w:id="715" w:name="_Toc25750627"/>
      <w:bookmarkStart w:id="716" w:name="_Toc17153"/>
      <w:bookmarkStart w:id="717" w:name="_Toc14325"/>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outlineLvl w:val="1"/>
        <w:rPr>
          <w:rFonts w:ascii="宋体" w:hAnsi="宋体" w:eastAsia="宋体"/>
          <w:sz w:val="24"/>
          <w:szCs w:val="24"/>
        </w:rPr>
      </w:pPr>
      <w:bookmarkStart w:id="718" w:name="_Toc32424"/>
      <w:bookmarkStart w:id="719" w:name="_Toc12065"/>
      <w:bookmarkStart w:id="720" w:name="_Toc673"/>
      <w:bookmarkStart w:id="721" w:name="_Toc17953"/>
      <w:bookmarkStart w:id="722" w:name="_Toc12983543"/>
      <w:bookmarkStart w:id="723" w:name="_Toc19943"/>
      <w:bookmarkStart w:id="724" w:name="_Toc375039100"/>
      <w:bookmarkStart w:id="725" w:name="_Toc390098459"/>
      <w:bookmarkStart w:id="726" w:name="_Toc921"/>
      <w:bookmarkStart w:id="727" w:name="_Toc385427833"/>
      <w:bookmarkStart w:id="728" w:name="_Toc19556"/>
      <w:bookmarkStart w:id="729" w:name="_Toc9636"/>
      <w:bookmarkStart w:id="730" w:name="_Toc21798"/>
      <w:bookmarkStart w:id="731" w:name="_Toc20680"/>
      <w:bookmarkStart w:id="732" w:name="_Toc25750628"/>
      <w:bookmarkStart w:id="733" w:name="_Toc114134645"/>
      <w:bookmarkStart w:id="734" w:name="_Toc13605"/>
      <w:bookmarkStart w:id="735" w:name="_Toc22657"/>
      <w:bookmarkStart w:id="736" w:name="_Toc5061"/>
      <w:bookmarkStart w:id="737" w:name="_Toc13596"/>
      <w:bookmarkStart w:id="738" w:name="_Toc10348"/>
      <w:bookmarkStart w:id="739" w:name="_Toc27683"/>
      <w:bookmarkStart w:id="740" w:name="_Toc383891208"/>
      <w:bookmarkStart w:id="741" w:name="_Toc492478758"/>
      <w:bookmarkStart w:id="742" w:name="_Toc2061"/>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outlineLvl w:val="1"/>
        <w:rPr>
          <w:rFonts w:ascii="宋体" w:hAnsi="宋体" w:eastAsia="宋体"/>
          <w:sz w:val="24"/>
          <w:szCs w:val="24"/>
        </w:rPr>
      </w:pPr>
      <w:bookmarkStart w:id="743" w:name="_Toc24885"/>
      <w:bookmarkStart w:id="744" w:name="_Toc114134646"/>
      <w:bookmarkStart w:id="745" w:name="_Toc15048"/>
      <w:bookmarkStart w:id="746" w:name="_Toc18694"/>
      <w:bookmarkStart w:id="747" w:name="_Toc24240"/>
      <w:bookmarkStart w:id="748" w:name="_Toc383891209"/>
      <w:bookmarkStart w:id="749" w:name="_Toc21570"/>
      <w:bookmarkStart w:id="750" w:name="_Toc30862"/>
      <w:bookmarkStart w:id="751" w:name="_Toc25208"/>
      <w:bookmarkStart w:id="752" w:name="_Toc28815"/>
      <w:bookmarkStart w:id="753" w:name="_Toc8628"/>
      <w:bookmarkStart w:id="754" w:name="_Toc25750629"/>
      <w:bookmarkStart w:id="755" w:name="_Toc22442"/>
      <w:bookmarkStart w:id="756" w:name="_Toc5767"/>
      <w:bookmarkStart w:id="757" w:name="_Toc4190"/>
      <w:bookmarkStart w:id="758" w:name="_Toc29993"/>
      <w:bookmarkStart w:id="759" w:name="_Toc5617"/>
      <w:bookmarkStart w:id="760" w:name="_Toc12983544"/>
      <w:bookmarkStart w:id="761" w:name="_Toc21217"/>
      <w:bookmarkStart w:id="762" w:name="_Toc390098460"/>
      <w:bookmarkStart w:id="763" w:name="_Toc1862"/>
      <w:bookmarkStart w:id="764" w:name="_Toc1780"/>
      <w:bookmarkStart w:id="765" w:name="_Toc492478759"/>
      <w:bookmarkStart w:id="766" w:name="_Toc375039101"/>
      <w:bookmarkStart w:id="767" w:name="_Toc385427834"/>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outlineLvl w:val="1"/>
        <w:rPr>
          <w:rFonts w:ascii="宋体" w:hAnsi="宋体" w:eastAsia="宋体"/>
          <w:sz w:val="24"/>
          <w:szCs w:val="24"/>
        </w:rPr>
      </w:pPr>
      <w:bookmarkStart w:id="768" w:name="_Toc11412"/>
      <w:bookmarkStart w:id="769" w:name="_Toc375039102"/>
      <w:bookmarkStart w:id="770" w:name="_Toc17281"/>
      <w:bookmarkStart w:id="771" w:name="_Toc6599"/>
      <w:bookmarkStart w:id="772" w:name="_Toc9981"/>
      <w:bookmarkStart w:id="773" w:name="_Toc25483"/>
      <w:bookmarkStart w:id="774" w:name="_Toc12983545"/>
      <w:bookmarkStart w:id="775" w:name="_Toc20178"/>
      <w:bookmarkStart w:id="776" w:name="_Toc492478760"/>
      <w:bookmarkStart w:id="777" w:name="_Toc16371"/>
      <w:bookmarkStart w:id="778" w:name="_Toc24750"/>
      <w:bookmarkStart w:id="779" w:name="_Toc25632"/>
      <w:bookmarkStart w:id="780" w:name="_Toc25750630"/>
      <w:bookmarkStart w:id="781" w:name="_Toc9433"/>
      <w:bookmarkStart w:id="782" w:name="_Toc383891210"/>
      <w:bookmarkStart w:id="783" w:name="_Toc114134647"/>
      <w:bookmarkStart w:id="784" w:name="_Toc11079"/>
      <w:bookmarkStart w:id="785" w:name="_Toc385427835"/>
      <w:bookmarkStart w:id="786" w:name="_Toc29857"/>
      <w:bookmarkStart w:id="787" w:name="_Toc16589"/>
      <w:bookmarkStart w:id="788" w:name="_Toc8104"/>
      <w:bookmarkStart w:id="789" w:name="_Toc23817"/>
      <w:bookmarkStart w:id="790" w:name="_Toc390098461"/>
      <w:bookmarkStart w:id="791" w:name="_Toc31814"/>
      <w:bookmarkStart w:id="792" w:name="_Toc5576"/>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p>
    <w:p w14:paraId="02C199DF">
      <w:pPr>
        <w:spacing w:line="480" w:lineRule="exact"/>
        <w:ind w:firstLine="723" w:firstLineChars="200"/>
        <w:jc w:val="center"/>
        <w:outlineLvl w:val="0"/>
        <w:rPr>
          <w:rFonts w:ascii="宋体" w:hAnsi="宋体" w:eastAsia="宋体"/>
          <w:sz w:val="24"/>
          <w:szCs w:val="24"/>
          <w:highlight w:val="yellow"/>
        </w:rPr>
      </w:pPr>
      <w:r>
        <w:rPr>
          <w:rFonts w:hint="eastAsia" w:ascii="宋体" w:hAnsi="宋体" w:eastAsia="宋体"/>
          <w:b/>
          <w:bCs/>
          <w:sz w:val="36"/>
          <w:szCs w:val="36"/>
          <w:highlight w:val="yellow"/>
        </w:rPr>
        <w:t>第三章合同条款及格式</w:t>
      </w:r>
    </w:p>
    <w:p w14:paraId="7452DC96">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548ACF20">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both"/>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u w:val="single"/>
        </w:rPr>
        <w:t>南宁轨道地产建筑工程有限责任公司</w:t>
      </w:r>
      <w:r>
        <w:rPr>
          <w:rFonts w:hint="eastAsia" w:ascii="宋体" w:hAnsi="宋体" w:eastAsia="宋体" w:cs="宋体"/>
          <w:b/>
          <w:color w:val="auto"/>
          <w:sz w:val="28"/>
          <w:szCs w:val="28"/>
          <w:highlight w:val="none"/>
          <w:u w:val="single"/>
          <w:lang w:val="en-US" w:eastAsia="zh-CN"/>
        </w:rPr>
        <w:t xml:space="preserve">  年度    </w:t>
      </w:r>
      <w:r>
        <w:rPr>
          <w:rFonts w:hint="eastAsia" w:ascii="宋体" w:hAnsi="宋体" w:eastAsia="宋体" w:cs="宋体"/>
          <w:b/>
          <w:color w:val="auto"/>
          <w:sz w:val="28"/>
          <w:szCs w:val="28"/>
          <w:highlight w:val="none"/>
          <w:u w:val="single"/>
        </w:rPr>
        <w:t>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b/>
          <w:color w:val="auto"/>
          <w:sz w:val="28"/>
          <w:szCs w:val="28"/>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甲方（购方）：</w:t>
      </w:r>
      <w:r>
        <w:rPr>
          <w:rFonts w:hint="eastAsia" w:ascii="宋体" w:hAnsi="宋体" w:eastAsia="宋体" w:cs="宋体"/>
          <w:b/>
          <w:color w:val="auto"/>
          <w:sz w:val="28"/>
          <w:szCs w:val="28"/>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乙方（供方）：</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u w:val="single"/>
          <w:lang w:val="en-US" w:eastAsia="zh-CN"/>
        </w:rPr>
        <w:t xml:space="preserve">             </w:t>
      </w:r>
      <w:r>
        <w:rPr>
          <w:rFonts w:hint="eastAsia" w:ascii="宋体" w:hAnsi="宋体" w:eastAsia="宋体" w:cs="宋体"/>
          <w:b/>
          <w:color w:val="auto"/>
          <w:sz w:val="28"/>
          <w:szCs w:val="28"/>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一、供应项目、生产厂、规格品种、等级、包装、价格</w:t>
      </w:r>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1、供应项目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2、项目地址：</w:t>
      </w:r>
      <w:r>
        <w:rPr>
          <w:rFonts w:hint="eastAsia" w:ascii="宋体" w:hAnsi="宋体" w:eastAsia="宋体" w:cs="宋体"/>
          <w:color w:val="auto"/>
          <w:sz w:val="24"/>
          <w:szCs w:val="24"/>
          <w:highlight w:val="none"/>
          <w:u w:val="single"/>
        </w:rPr>
        <w:t xml:space="preserve">  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3、规格品种、等级、包装、采购单价、暂定采购量等：详见合同附件一 ，采购单价包含：</w:t>
      </w:r>
      <w:r>
        <w:rPr>
          <w:rFonts w:hint="eastAsia" w:ascii="宋体" w:hAnsi="宋体" w:eastAsia="宋体" w:cs="宋体"/>
          <w:color w:val="auto"/>
          <w:sz w:val="24"/>
          <w:szCs w:val="24"/>
          <w:highlight w:val="none"/>
          <w:u w:val="single"/>
        </w:rPr>
        <w:t xml:space="preserve"> 材料费、运费、卸车费、税金等</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详见清单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4、发票要求：由乙方提供发票，发票要求是增值税专用发票 。</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5、价格调整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u w:val="single"/>
        </w:rPr>
        <w:t>最终实际结算单价</w:t>
      </w:r>
      <w:r>
        <w:rPr>
          <w:rFonts w:hint="eastAsia" w:ascii="宋体" w:hAnsi="宋体" w:eastAsia="宋体" w:cs="宋体"/>
          <w:color w:val="auto"/>
          <w:sz w:val="24"/>
          <w:szCs w:val="24"/>
          <w:highlight w:val="none"/>
          <w:u w:val="single"/>
          <w:lang w:val="en-US" w:eastAsia="zh-CN"/>
        </w:rPr>
        <w:t>按本合同“附件一合同清单”执行。</w:t>
      </w:r>
    </w:p>
    <w:p w14:paraId="3F35AB2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、合同暂定金额：（大写）人民币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元</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除税总价为：</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元</w:t>
      </w:r>
      <w:r>
        <w:rPr>
          <w:rFonts w:hint="eastAsia" w:ascii="宋体" w:hAnsi="宋体" w:eastAsia="宋体" w:cs="宋体"/>
          <w:bCs/>
          <w:color w:val="auto"/>
          <w:sz w:val="24"/>
          <w:szCs w:val="24"/>
          <w:highlight w:val="none"/>
        </w:rPr>
        <w:t>，增值税为：</w:t>
      </w:r>
      <w:r>
        <w:rPr>
          <w:rFonts w:hint="eastAsia" w:ascii="宋体" w:hAnsi="宋体" w:eastAsia="宋体" w:cs="宋体"/>
          <w:color w:val="auto"/>
          <w:kern w:val="0"/>
          <w:sz w:val="24"/>
          <w:szCs w:val="24"/>
          <w:highlight w:val="none"/>
          <w:u w:val="single"/>
        </w:rPr>
        <w:t>￥</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元）</w:t>
      </w:r>
      <w:r>
        <w:rPr>
          <w:rFonts w:hint="eastAsia" w:ascii="宋体" w:hAnsi="宋体" w:eastAsia="宋体" w:cs="宋体"/>
          <w:bCs/>
          <w:color w:val="auto"/>
          <w:sz w:val="24"/>
          <w:szCs w:val="24"/>
          <w:highlight w:val="none"/>
        </w:rPr>
        <w:t>。合同总价为含税价，税率为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w:t>
      </w:r>
      <w:r>
        <w:rPr>
          <w:rFonts w:hint="eastAsia" w:ascii="宋体" w:hAnsi="宋体" w:eastAsia="宋体" w:cs="宋体"/>
          <w:bCs/>
          <w:color w:val="auto"/>
          <w:sz w:val="24"/>
          <w:szCs w:val="24"/>
          <w:highlight w:val="none"/>
        </w:rPr>
        <w:t>，增值税和税率随着国家或地区政策的调整而调整。</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8</w:t>
      </w:r>
      <w:r>
        <w:rPr>
          <w:rFonts w:hint="eastAsia" w:ascii="宋体" w:hAnsi="宋体" w:eastAsia="宋体" w:cs="宋体"/>
          <w:bCs/>
          <w:color w:val="auto"/>
          <w:sz w:val="24"/>
          <w:szCs w:val="24"/>
          <w:highlight w:val="none"/>
        </w:rPr>
        <w:t>.甲方向乙方提出增加</w:t>
      </w:r>
      <w:r>
        <w:rPr>
          <w:rFonts w:hint="eastAsia" w:ascii="宋体" w:hAnsi="宋体" w:eastAsia="宋体" w:cs="宋体"/>
          <w:bCs/>
          <w:color w:val="auto"/>
          <w:sz w:val="24"/>
          <w:szCs w:val="24"/>
          <w:highlight w:val="none"/>
          <w:lang w:eastAsia="zh-CN"/>
        </w:rPr>
        <w:t>供应物资</w:t>
      </w:r>
      <w:r>
        <w:rPr>
          <w:rFonts w:hint="eastAsia" w:ascii="宋体" w:hAnsi="宋体" w:eastAsia="宋体" w:cs="宋体"/>
          <w:bCs/>
          <w:color w:val="auto"/>
          <w:sz w:val="24"/>
          <w:szCs w:val="24"/>
          <w:highlight w:val="none"/>
        </w:rPr>
        <w:t>内容</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包括内容和数量</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，乙方应无条件服从并按甲方的要求配合完成</w:t>
      </w:r>
      <w:r>
        <w:rPr>
          <w:rFonts w:hint="eastAsia" w:ascii="宋体" w:hAnsi="宋体" w:eastAsia="宋体" w:cs="宋体"/>
          <w:bCs/>
          <w:color w:val="auto"/>
          <w:sz w:val="24"/>
          <w:szCs w:val="24"/>
          <w:highlight w:val="none"/>
          <w:lang w:eastAsia="zh-CN"/>
        </w:rPr>
        <w:t>供应</w:t>
      </w:r>
      <w:r>
        <w:rPr>
          <w:rFonts w:hint="eastAsia" w:ascii="宋体" w:hAnsi="宋体" w:eastAsia="宋体" w:cs="宋体"/>
          <w:bCs/>
          <w:color w:val="auto"/>
          <w:sz w:val="24"/>
          <w:szCs w:val="24"/>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9</w:t>
      </w:r>
      <w:r>
        <w:rPr>
          <w:rFonts w:hint="eastAsia" w:ascii="宋体" w:hAnsi="宋体" w:eastAsia="宋体" w:cs="宋体"/>
          <w:bCs/>
          <w:color w:val="auto"/>
          <w:sz w:val="24"/>
          <w:szCs w:val="24"/>
          <w:highlight w:val="none"/>
        </w:rPr>
        <w:t>.乙方应根据合同中已确定单价的内容提供确保质量要求的物资（包括材料或设备的内容和数量），如有新增内容，双方另行协商确定单价，并可根据实际发生的数量提出结算和支付申请。</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二、供货时间及数量</w:t>
      </w:r>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1、甲方指定供货通知人：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本合同甲方经办人：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计划供货时间：从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日止，有效期</w:t>
      </w:r>
      <w:r>
        <w:rPr>
          <w:rFonts w:hint="eastAsia" w:ascii="宋体" w:hAnsi="宋体" w:eastAsia="宋体" w:cs="宋体"/>
          <w:color w:val="auto"/>
          <w:sz w:val="24"/>
          <w:szCs w:val="24"/>
          <w:highlight w:val="none"/>
          <w:lang w:val="en-US" w:eastAsia="zh-CN"/>
        </w:rPr>
        <w:t xml:space="preserve"> 24</w:t>
      </w:r>
      <w:r>
        <w:rPr>
          <w:rFonts w:hint="eastAsia" w:ascii="宋体" w:hAnsi="宋体" w:eastAsia="宋体" w:cs="宋体"/>
          <w:color w:val="auto"/>
          <w:sz w:val="24"/>
          <w:szCs w:val="24"/>
          <w:highlight w:val="none"/>
        </w:rPr>
        <w:t>个月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每一批次货物在接到甲方供货通知后，1天内乙方供货到甲方指定的现场。</w:t>
      </w:r>
      <w:r>
        <w:rPr>
          <w:rFonts w:hint="eastAsia" w:ascii="宋体" w:hAnsi="宋体" w:eastAsia="宋体" w:cs="宋体"/>
          <w:b/>
          <w:bCs/>
          <w:color w:val="auto"/>
          <w:sz w:val="24"/>
          <w:szCs w:val="24"/>
          <w:highlight w:val="none"/>
          <w:lang w:val="en-US" w:eastAsia="zh-CN"/>
        </w:rPr>
        <w:t>本合同非一次性供货，实际为合同期限内按甲方项目需求按批次供货。</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三、质量标准、进场验收、资质资料、合格证明</w:t>
      </w:r>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、乙方提供相关的厂家资质资料，以及产品合格证明：生产厂家营业执照（复印件）、生产厂家生产许可证（复印件）、所供各类规格材料的生产厂家出厂检验报告（复印件）、产品合格证（原件）。</w:t>
      </w:r>
      <w:r>
        <w:rPr>
          <w:rFonts w:hint="eastAsia" w:ascii="宋体" w:hAnsi="宋体" w:eastAsia="宋体" w:cs="宋体"/>
          <w:color w:val="auto"/>
          <w:sz w:val="24"/>
          <w:szCs w:val="24"/>
          <w:highlight w:val="none"/>
          <w:lang w:val="en-US" w:eastAsia="zh-CN"/>
        </w:rPr>
        <w:t>所供资料按</w:t>
      </w:r>
      <w:r>
        <w:rPr>
          <w:rFonts w:hint="eastAsia" w:ascii="宋体" w:hAnsi="宋体" w:eastAsia="宋体" w:cs="宋体"/>
          <w:color w:val="auto"/>
          <w:sz w:val="24"/>
          <w:szCs w:val="24"/>
          <w:highlight w:val="none"/>
        </w:rPr>
        <w:t>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482" w:leftChars="0" w:right="0" w:rightChars="0" w:hanging="482" w:hanging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四、交货地点、交货方式、收货签认、送货单要求：</w:t>
      </w:r>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1、甲方根据实际采购需求将采购的材料信息以“</w:t>
      </w:r>
      <w:r>
        <w:rPr>
          <w:rFonts w:hint="eastAsia" w:ascii="宋体" w:hAnsi="宋体" w:eastAsia="宋体" w:cs="宋体"/>
          <w:color w:val="auto"/>
          <w:sz w:val="24"/>
          <w:szCs w:val="24"/>
          <w:highlight w:val="none"/>
          <w:u w:val="single"/>
        </w:rPr>
        <w:t>供货通知”形式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详见合同附件</w:t>
      </w:r>
      <w:r>
        <w:rPr>
          <w:rFonts w:hint="eastAsia" w:ascii="宋体" w:hAnsi="宋体" w:eastAsia="宋体" w:cs="宋体"/>
          <w:color w:val="auto"/>
          <w:sz w:val="24"/>
          <w:szCs w:val="24"/>
          <w:highlight w:val="none"/>
          <w:u w:val="single"/>
          <w:lang w:val="en-US" w:eastAsia="zh-CN"/>
        </w:rPr>
        <w:t>三</w:t>
      </w:r>
      <w:r>
        <w:rPr>
          <w:rFonts w:hint="eastAsia" w:ascii="宋体" w:hAnsi="宋体" w:eastAsia="宋体" w:cs="宋体"/>
          <w:color w:val="auto"/>
          <w:sz w:val="24"/>
          <w:szCs w:val="24"/>
          <w:highlight w:val="none"/>
          <w:u w:val="single"/>
        </w:rPr>
        <w:t>）提交乙方，甲方应在“供货通知”中明确材料的产品名称、规格型号、数量、到货日期、工程项目、送货地址、</w:t>
      </w:r>
      <w:r>
        <w:rPr>
          <w:rFonts w:hint="eastAsia" w:ascii="宋体" w:hAnsi="宋体" w:eastAsia="宋体" w:cs="宋体"/>
          <w:color w:val="auto"/>
          <w:sz w:val="24"/>
          <w:szCs w:val="24"/>
          <w:highlight w:val="none"/>
          <w:u w:val="single"/>
          <w:lang w:val="en-US" w:eastAsia="zh-CN"/>
        </w:rPr>
        <w:t>收货人</w:t>
      </w:r>
      <w:r>
        <w:rPr>
          <w:rFonts w:hint="eastAsia" w:ascii="宋体" w:hAnsi="宋体" w:eastAsia="宋体" w:cs="宋体"/>
          <w:color w:val="auto"/>
          <w:sz w:val="24"/>
          <w:szCs w:val="24"/>
          <w:highlight w:val="none"/>
          <w:u w:val="single"/>
        </w:rPr>
        <w:t>及联系方式等</w:t>
      </w:r>
      <w:r>
        <w:rPr>
          <w:rFonts w:hint="eastAsia" w:ascii="宋体" w:hAnsi="宋体" w:eastAsia="宋体" w:cs="宋体"/>
          <w:color w:val="auto"/>
          <w:sz w:val="24"/>
          <w:szCs w:val="24"/>
          <w:highlight w:val="none"/>
        </w:rPr>
        <w:t>。</w:t>
      </w:r>
    </w:p>
    <w:p w14:paraId="2AE68C6F">
      <w:pPr>
        <w:keepNext w:val="0"/>
        <w:keepLines w:val="0"/>
        <w:pageBreakBefore w:val="0"/>
        <w:kinsoku/>
        <w:overflowPunct/>
        <w:topLinePunct w:val="0"/>
        <w:autoSpaceDE/>
        <w:autoSpaceDN/>
        <w:bidi w:val="0"/>
        <w:adjustRightInd/>
        <w:spacing w:afterAutospacing="0" w:line="440" w:lineRule="exact"/>
        <w:ind w:left="0" w:leftChars="0" w:right="0" w:rightChars="0"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乙方负责根据甲方的“供货通知”将材料运至甲方指定地点，</w:t>
      </w:r>
      <w:r>
        <w:rPr>
          <w:rFonts w:hint="eastAsia" w:ascii="宋体" w:hAnsi="宋体" w:eastAsia="宋体" w:cs="宋体"/>
          <w:color w:val="auto"/>
          <w:sz w:val="24"/>
          <w:szCs w:val="24"/>
          <w:highlight w:val="none"/>
        </w:rPr>
        <w:t>卸完清点后，甲乙双方就每</w:t>
      </w:r>
    </w:p>
    <w:p w14:paraId="3788D45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）乙方业务负责人：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）乙方配送材料或设备到交货地点时，应随货配送</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甲方只对合同约定的甲方指定收货人、甲方项目负责人在送</w:t>
      </w:r>
      <w:r>
        <w:rPr>
          <w:rFonts w:hint="eastAsia" w:ascii="宋体" w:hAnsi="宋体" w:eastAsia="宋体" w:cs="宋体"/>
          <w:b/>
          <w:color w:val="auto"/>
          <w:sz w:val="24"/>
          <w:szCs w:val="24"/>
          <w:highlight w:val="none"/>
        </w:rPr>
        <w:t>货原始单据</w:t>
      </w:r>
      <w:r>
        <w:rPr>
          <w:rFonts w:hint="eastAsia" w:ascii="宋体" w:hAnsi="宋体" w:eastAsia="宋体" w:cs="宋体"/>
          <w:color w:val="auto"/>
          <w:sz w:val="24"/>
          <w:szCs w:val="24"/>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除甲方指定收货人、甲方项目负责人之外的甲方任何个人在</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4、送货原始单据</w:t>
      </w:r>
      <w:r>
        <w:rPr>
          <w:rFonts w:hint="eastAsia" w:ascii="宋体" w:hAnsi="宋体" w:eastAsia="宋体" w:cs="宋体"/>
          <w:color w:val="auto"/>
          <w:sz w:val="24"/>
          <w:szCs w:val="24"/>
          <w:highlight w:val="none"/>
          <w:lang w:val="en-US" w:eastAsia="zh-CN"/>
        </w:rPr>
        <w:t>一式三联</w:t>
      </w:r>
      <w:r>
        <w:rPr>
          <w:rFonts w:hint="eastAsia" w:ascii="宋体" w:hAnsi="宋体" w:eastAsia="宋体" w:cs="宋体"/>
          <w:color w:val="auto"/>
          <w:sz w:val="24"/>
          <w:szCs w:val="24"/>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五、支付条件、支付方式、结算方式、发票开具及收款方账户</w:t>
      </w:r>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1、支付条件：本合同支付条件按照下列第</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b/>
          <w:bCs/>
          <w:color w:val="auto"/>
          <w:sz w:val="24"/>
          <w:szCs w:val="24"/>
          <w:highlight w:val="none"/>
        </w:rPr>
        <w:t>货到工地并经甲方相关部门验收通过后，第四个月支付至第一个月累计供货金额的100%。</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（2）合同签订后3个工作日内支付合同暂定金额的</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w:t>
      </w:r>
      <w:r>
        <w:rPr>
          <w:rFonts w:hint="eastAsia" w:ascii="宋体" w:hAnsi="宋体" w:eastAsia="宋体" w:cs="宋体"/>
          <w:color w:val="auto"/>
          <w:sz w:val="24"/>
          <w:szCs w:val="24"/>
          <w:highlight w:val="none"/>
          <w:u w:val="single"/>
        </w:rPr>
        <w:t xml:space="preserve">       /       。</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2、支付方式：公对公转账。</w:t>
      </w:r>
    </w:p>
    <w:p w14:paraId="6B6DDBA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3、结算方式：按照合同中约定的采购单价和甲乙双方签字确认的实际供货数量进行结算，如有新增内容，双方另行协商确定单价。</w:t>
      </w:r>
    </w:p>
    <w:p w14:paraId="262D700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FF0000"/>
          <w:sz w:val="24"/>
          <w:szCs w:val="24"/>
          <w:highlight w:val="none"/>
          <w:lang w:val="en-US" w:eastAsia="zh-CN"/>
        </w:rPr>
        <w:t>地址：</w:t>
      </w:r>
      <w:r>
        <w:rPr>
          <w:rFonts w:hint="eastAsia" w:ascii="宋体" w:hAnsi="宋体" w:eastAsia="宋体" w:cs="宋体"/>
          <w:color w:val="FF0000"/>
          <w:sz w:val="24"/>
          <w:szCs w:val="24"/>
          <w:highlight w:val="none"/>
        </w:rPr>
        <w:t>南宁市青秀区凤岭北路111号南宁国际旅游中心3号楼38层</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开户行：中国建设银行股份有限公司南宁金湖北路支行</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账号：45001604264050702251</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税号：91450100198466905E</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六、质保金金额、质保期限、质保要求</w:t>
      </w:r>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1、本合同质保金按照下列第（</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（1）质保金金额</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 xml:space="preserve"> ；质保期限</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（2）预留结算金额的</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作为质保金；质保期限为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（1）质保期内，凡因产品造成的质量事故和质量缺陷、脱落</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由乙方负责无偿保修和承担甲方及客户的一切损失损害赔偿责任，</w:t>
      </w:r>
      <w:r>
        <w:rPr>
          <w:rFonts w:hint="eastAsia" w:ascii="宋体" w:hAnsi="宋体" w:eastAsia="宋体" w:cs="宋体"/>
          <w:color w:val="auto"/>
          <w:sz w:val="24"/>
          <w:szCs w:val="24"/>
          <w:highlight w:val="none"/>
          <w:lang w:val="en-US" w:eastAsia="zh-CN"/>
        </w:rPr>
        <w:t>货物或产品</w:t>
      </w:r>
      <w:r>
        <w:rPr>
          <w:rFonts w:hint="eastAsia" w:ascii="宋体" w:hAnsi="宋体" w:eastAsia="宋体" w:cs="宋体"/>
          <w:color w:val="auto"/>
          <w:sz w:val="24"/>
          <w:szCs w:val="24"/>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24" w:firstLineChars="176"/>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七、违约责任</w:t>
      </w:r>
    </w:p>
    <w:p w14:paraId="1FBF3359">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1、若乙方提供的样板未达到甲方要求，且送样三次均未达标，甲方有权解除合同。</w:t>
      </w:r>
      <w:r>
        <w:rPr>
          <w:rFonts w:hint="eastAsia" w:ascii="宋体" w:hAnsi="宋体" w:eastAsia="宋体" w:cs="宋体"/>
          <w:color w:val="auto"/>
          <w:sz w:val="24"/>
          <w:szCs w:val="24"/>
          <w:highlight w:val="none"/>
          <w:lang w:val="en-US" w:eastAsia="zh-CN"/>
        </w:rPr>
        <w:t xml:space="preserve">  </w:t>
      </w:r>
    </w:p>
    <w:p w14:paraId="4554EC1C">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rPr>
        <w:t>2.</w:t>
      </w:r>
      <w:r>
        <w:rPr>
          <w:rFonts w:hint="eastAsia" w:ascii="宋体" w:hAnsi="宋体" w:eastAsia="宋体" w:cs="宋体"/>
          <w:color w:val="auto"/>
          <w:sz w:val="24"/>
          <w:szCs w:val="24"/>
          <w:highlight w:val="none"/>
        </w:rPr>
        <w:t>如因乙方原因，未能按照甲方要求的时限</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，预计必将影响后续目标实现的，甲方有权采取立即组织委托第三方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。乙方同意甲方在其当期</w:t>
      </w:r>
      <w:r>
        <w:rPr>
          <w:rFonts w:hint="eastAsia" w:ascii="宋体" w:hAnsi="宋体" w:eastAsia="宋体" w:cs="宋体"/>
          <w:color w:val="auto"/>
          <w:sz w:val="24"/>
          <w:szCs w:val="24"/>
          <w:highlight w:val="none"/>
          <w:lang w:val="en-US" w:eastAsia="zh-CN"/>
        </w:rPr>
        <w:t>货</w:t>
      </w:r>
      <w:r>
        <w:rPr>
          <w:rFonts w:hint="eastAsia" w:ascii="宋体" w:hAnsi="宋体" w:eastAsia="宋体" w:cs="宋体"/>
          <w:color w:val="auto"/>
          <w:sz w:val="24"/>
          <w:szCs w:val="24"/>
          <w:highlight w:val="none"/>
        </w:rPr>
        <w:t>款或结算款支付时按照甲方认定的第三方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产生费用的1.5倍进行扣除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并赔偿由此给甲方造成的损失（</w:t>
      </w:r>
      <w:r>
        <w:rPr>
          <w:rFonts w:hint="eastAsia" w:ascii="宋体" w:hAnsi="宋体" w:eastAsia="宋体" w:cs="宋体"/>
          <w:color w:val="auto"/>
          <w:sz w:val="24"/>
          <w:szCs w:val="24"/>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14:paraId="7FCCE1CA">
      <w:pPr>
        <w:pStyle w:val="38"/>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22" w:firstLineChars="176"/>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、乙方超出合同约定的供货时间</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宋体" w:hAnsi="宋体" w:eastAsia="宋体" w:cs="宋体"/>
          <w:color w:val="auto"/>
          <w:kern w:val="2"/>
          <w:sz w:val="24"/>
          <w:szCs w:val="24"/>
          <w:highlight w:val="none"/>
          <w:lang w:val="en-US" w:eastAsia="zh-CN" w:bidi="ar-SA"/>
        </w:rPr>
        <w:t>按</w:t>
      </w:r>
      <w:r>
        <w:rPr>
          <w:rFonts w:hint="eastAsia" w:ascii="宋体" w:hAnsi="宋体" w:eastAsia="宋体" w:cs="宋体"/>
          <w:color w:val="auto"/>
          <w:sz w:val="24"/>
          <w:szCs w:val="24"/>
          <w:highlight w:val="none"/>
        </w:rPr>
        <w:t>以人民币1000-5000</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元/次</w:t>
      </w:r>
      <w:r>
        <w:rPr>
          <w:rFonts w:hint="eastAsia" w:ascii="宋体" w:hAnsi="宋体" w:eastAsia="宋体" w:cs="宋体"/>
          <w:color w:val="auto"/>
          <w:kern w:val="2"/>
          <w:sz w:val="24"/>
          <w:szCs w:val="24"/>
          <w:highlight w:val="none"/>
          <w:lang w:val="en-US" w:eastAsia="zh-CN" w:bidi="ar-SA"/>
        </w:rPr>
        <w:t>收违约金</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lang w:val="en-US" w:eastAsia="zh-CN" w:bidi="ar-SA"/>
        </w:rPr>
        <w:t>违约金</w:t>
      </w:r>
      <w:r>
        <w:rPr>
          <w:rFonts w:hint="eastAsia" w:ascii="宋体" w:hAnsi="宋体" w:eastAsia="宋体" w:cs="宋体"/>
          <w:color w:val="auto"/>
          <w:sz w:val="24"/>
          <w:szCs w:val="24"/>
          <w:highlight w:val="none"/>
        </w:rPr>
        <w:t>由乙方自接到甲方</w:t>
      </w:r>
      <w:r>
        <w:rPr>
          <w:rFonts w:hint="eastAsia" w:ascii="宋体" w:hAnsi="宋体" w:eastAsia="宋体" w:cs="宋体"/>
          <w:color w:val="auto"/>
          <w:kern w:val="2"/>
          <w:sz w:val="24"/>
          <w:szCs w:val="24"/>
          <w:highlight w:val="none"/>
          <w:lang w:val="en-US" w:eastAsia="zh-CN" w:bidi="ar-SA"/>
        </w:rPr>
        <w:t>书面通知</w:t>
      </w:r>
      <w:r>
        <w:rPr>
          <w:rFonts w:hint="eastAsia" w:ascii="宋体" w:hAnsi="宋体" w:eastAsia="宋体" w:cs="宋体"/>
          <w:color w:val="auto"/>
          <w:sz w:val="24"/>
          <w:szCs w:val="24"/>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468FCD6">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rFonts w:hint="eastAsia" w:ascii="宋体" w:hAnsi="宋体" w:eastAsia="宋体" w:cs="宋体"/>
          <w:color w:val="0000FF"/>
          <w:sz w:val="24"/>
          <w:szCs w:val="24"/>
        </w:rPr>
      </w:pPr>
      <w:r>
        <w:rPr>
          <w:rFonts w:hint="eastAsia" w:ascii="宋体" w:hAnsi="宋体" w:eastAsia="宋体" w:cs="宋体"/>
          <w:b/>
          <w:color w:val="auto"/>
          <w:sz w:val="24"/>
          <w:szCs w:val="24"/>
          <w:highlight w:val="none"/>
        </w:rPr>
        <w:t>八、</w:t>
      </w:r>
      <w:r>
        <w:rPr>
          <w:rFonts w:hint="eastAsia" w:ascii="宋体" w:hAnsi="宋体" w:eastAsia="宋体" w:cs="宋体"/>
          <w:b/>
          <w:color w:val="0000FF"/>
          <w:kern w:val="0"/>
          <w:sz w:val="24"/>
          <w:szCs w:val="24"/>
          <w:highlight w:val="none"/>
          <w:lang w:val="en-US" w:eastAsia="zh-CN" w:bidi="ar-SA"/>
        </w:rPr>
        <w:t>通知与送达：</w:t>
      </w:r>
      <w:r>
        <w:rPr>
          <w:rFonts w:hint="eastAsia" w:ascii="宋体" w:hAnsi="宋体" w:eastAsia="宋体" w:cs="宋体"/>
          <w:color w:val="0000FF"/>
          <w:sz w:val="24"/>
          <w:szCs w:val="24"/>
        </w:rPr>
        <w:t xml:space="preserve"> </w:t>
      </w:r>
    </w:p>
    <w:p w14:paraId="03595F0B">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宋体" w:hAnsi="宋体" w:eastAsia="宋体" w:cs="宋体"/>
          <w:color w:val="0000FF"/>
          <w:kern w:val="0"/>
          <w:sz w:val="24"/>
          <w:szCs w:val="24"/>
          <w:highlight w:val="none"/>
          <w:lang w:val="en-US" w:eastAsia="zh-CN" w:bidi="ar-SA"/>
        </w:rPr>
      </w:pPr>
      <w:r>
        <w:rPr>
          <w:rFonts w:hint="eastAsia" w:ascii="宋体" w:hAnsi="宋体" w:eastAsia="宋体" w:cs="宋体"/>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4C4A0717">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宋体" w:hAnsi="宋体" w:eastAsia="宋体" w:cs="宋体"/>
          <w:color w:val="0000FF"/>
          <w:sz w:val="24"/>
          <w:szCs w:val="24"/>
          <w:highlight w:val="none"/>
        </w:rPr>
      </w:pPr>
      <w:r>
        <w:rPr>
          <w:rFonts w:hint="eastAsia" w:ascii="宋体" w:hAnsi="宋体" w:eastAsia="宋体" w:cs="宋体"/>
          <w:color w:val="0000FF"/>
          <w:kern w:val="0"/>
          <w:sz w:val="24"/>
          <w:szCs w:val="24"/>
          <w:highlight w:val="none"/>
          <w:lang w:val="en-US" w:eastAsia="zh-CN" w:bidi="ar-SA"/>
        </w:rPr>
        <w:t>2.以专人送达的，由指定联系人签字之日为送达日；以信件或快递方式送达的，以发</w:t>
      </w:r>
      <w:r>
        <w:rPr>
          <w:rFonts w:hint="eastAsia" w:ascii="宋体" w:hAnsi="宋体" w:eastAsia="宋体" w:cs="宋体"/>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5838C5E0">
      <w:pPr>
        <w:pageBreakBefore w:val="0"/>
        <w:kinsoku/>
        <w:overflowPunct/>
        <w:topLinePunct w:val="0"/>
        <w:autoSpaceDE/>
        <w:autoSpaceDN/>
        <w:bidi w:val="0"/>
        <w:spacing w:beforeAutospacing="0" w:afterAutospacing="0" w:line="540" w:lineRule="exact"/>
        <w:ind w:left="0" w:leftChars="0" w:firstLine="484" w:firstLineChars="202"/>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3.</w:t>
      </w:r>
      <w:r>
        <w:rPr>
          <w:rFonts w:hint="eastAsia" w:ascii="宋体" w:hAnsi="宋体" w:eastAsia="宋体" w:cs="宋体"/>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5F55AB3">
      <w:pPr>
        <w:pageBreakBefore w:val="0"/>
        <w:kinsoku/>
        <w:overflowPunct/>
        <w:topLinePunct w:val="0"/>
        <w:autoSpaceDE/>
        <w:autoSpaceDN/>
        <w:bidi w:val="0"/>
        <w:spacing w:beforeAutospacing="0" w:afterAutospacing="0" w:line="540" w:lineRule="exact"/>
        <w:ind w:left="0" w:leftChars="0" w:firstLine="484" w:firstLineChars="202"/>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4.</w:t>
      </w:r>
      <w:r>
        <w:rPr>
          <w:rFonts w:hint="eastAsia" w:ascii="宋体" w:hAnsi="宋体" w:eastAsia="宋体" w:cs="宋体"/>
          <w:color w:val="0000FF"/>
          <w:sz w:val="24"/>
          <w:szCs w:val="24"/>
          <w:highlight w:val="none"/>
        </w:rPr>
        <w:t xml:space="preserve">合同送达条款为独立条款，不受合同整体或其他条款的效力的影响。 </w:t>
      </w:r>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rPr>
        <w:t>其他约定事项：</w:t>
      </w:r>
      <w:r>
        <w:rPr>
          <w:rFonts w:hint="eastAsia" w:ascii="宋体" w:hAnsi="宋体" w:eastAsia="宋体" w:cs="宋体"/>
          <w:color w:val="auto"/>
          <w:sz w:val="24"/>
          <w:szCs w:val="24"/>
          <w:highlight w:val="none"/>
          <w:u w:val="single"/>
        </w:rPr>
        <w:t xml:space="preserve"> 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未尽事宜，双方协商解决；协调不成，依法向签约所在地人民法院起诉。</w:t>
      </w:r>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本合同有效期自甲乙双方签字盖章日起生效，直至对供应项目供货完成且最终结算为止。</w:t>
      </w:r>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本合同一式四份，甲方执三份，乙方执一份，双方签字盖章后生效。</w:t>
      </w:r>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footerReference r:id="rId3" w:type="default"/>
          <w:pgSz w:w="11906" w:h="16838"/>
          <w:pgMar w:top="1440" w:right="1474" w:bottom="1440" w:left="1474" w:header="851" w:footer="992" w:gutter="0"/>
          <w:pgNumType w:fmt="decimal" w:start="1"/>
          <w:cols w:space="720" w:num="1"/>
          <w:docGrid w:type="lines" w:linePitch="312" w:charSpace="0"/>
        </w:sectPr>
      </w:pPr>
    </w:p>
    <w:p w14:paraId="23841CCD">
      <w:pPr>
        <w:pStyle w:val="39"/>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p>
    <w:p w14:paraId="6BB88BE7">
      <w:pPr>
        <w:pStyle w:val="39"/>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rPr>
          <w:rFonts w:hint="eastAsia" w:ascii="宋体" w:hAnsi="宋体" w:eastAsia="宋体" w:cs="宋体"/>
          <w:b/>
          <w:color w:val="auto"/>
          <w:sz w:val="24"/>
          <w:szCs w:val="24"/>
          <w:highlight w:val="none"/>
        </w:rPr>
        <w:sectPr>
          <w:type w:val="continuous"/>
          <w:pgSz w:w="11906" w:h="16838"/>
          <w:pgMar w:top="1440" w:right="1474" w:bottom="1440" w:left="1474" w:header="851" w:footer="992" w:gutter="0"/>
          <w:pgNumType w:fmt="decimal"/>
          <w:cols w:equalWidth="0" w:num="2">
            <w:col w:w="4266" w:space="425"/>
            <w:col w:w="4266"/>
          </w:cols>
          <w:docGrid w:type="lines" w:linePitch="312" w:charSpace="0"/>
        </w:sectPr>
      </w:pPr>
    </w:p>
    <w:p w14:paraId="305E2B4D">
      <w:pPr>
        <w:pStyle w:val="39"/>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合同附件：</w:t>
      </w:r>
    </w:p>
    <w:p w14:paraId="1AF73423">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附件一：</w:t>
      </w:r>
      <w:r>
        <w:rPr>
          <w:rFonts w:hint="eastAsia" w:ascii="宋体" w:hAnsi="宋体" w:eastAsia="宋体" w:cs="宋体"/>
          <w:bCs/>
          <w:color w:val="auto"/>
          <w:sz w:val="24"/>
          <w:szCs w:val="24"/>
          <w:highlight w:val="none"/>
          <w:u w:val="single"/>
        </w:rPr>
        <w:t>合同清单</w:t>
      </w:r>
    </w:p>
    <w:p w14:paraId="627E3000">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附件二：工程建设项目廉政责任书</w:t>
      </w:r>
    </w:p>
    <w:p w14:paraId="5957C125">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附件三：供货通知</w:t>
      </w:r>
    </w:p>
    <w:p w14:paraId="149E6F4F">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sectPr>
          <w:type w:val="continuous"/>
          <w:pgSz w:w="11906" w:h="16838"/>
          <w:pgMar w:top="1440" w:right="1474" w:bottom="1440" w:left="1474" w:header="851" w:footer="992" w:gutter="0"/>
          <w:pgNumType w:fmt="decimal"/>
          <w:cols w:space="425" w:num="1"/>
          <w:docGrid w:type="lines" w:linePitch="312" w:charSpace="0"/>
        </w:sectPr>
      </w:pPr>
    </w:p>
    <w:p w14:paraId="08992D1B">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u w:val="single"/>
        </w:rPr>
        <w:br w:type="page"/>
      </w:r>
    </w:p>
    <w:p w14:paraId="1A52877B">
      <w:pPr>
        <w:keepNext w:val="0"/>
        <w:keepLines w:val="0"/>
        <w:pageBreakBefore w:val="0"/>
        <w:kinsoku/>
        <w:overflowPunct/>
        <w:topLinePunct w:val="0"/>
        <w:autoSpaceDE/>
        <w:autoSpaceDN/>
        <w:bidi w:val="0"/>
        <w:adjustRightInd/>
        <w:spacing w:afterAutospacing="0" w:line="440" w:lineRule="exact"/>
        <w:ind w:left="0" w:leftChars="0" w:right="0" w:rightChars="0"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（以下无正文）</w:t>
      </w:r>
    </w:p>
    <w:p w14:paraId="20F96780">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rPr>
      </w:pPr>
    </w:p>
    <w:p w14:paraId="1ECD2B89">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rPr>
      </w:pPr>
    </w:p>
    <w:p w14:paraId="67CA39D5">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rPr>
      </w:pPr>
    </w:p>
    <w:p w14:paraId="300477E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B89268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C0F7CC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6FC399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type w:val="continuous"/>
          <w:pgSz w:w="11906" w:h="16838"/>
          <w:pgMar w:top="1440" w:right="1474" w:bottom="1440" w:left="1474" w:header="851" w:footer="992" w:gutter="0"/>
          <w:pgNumType w:fmt="decimal"/>
          <w:cols w:equalWidth="0" w:num="2">
            <w:col w:w="4266" w:space="425"/>
            <w:col w:w="4266"/>
          </w:cols>
          <w:docGrid w:type="lines" w:linePitch="312" w:charSpace="0"/>
        </w:sectPr>
      </w:pPr>
    </w:p>
    <w:p w14:paraId="22FC482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甲方名称（公章）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南宁轨道地产建筑工程有限责任公司</w:t>
      </w:r>
    </w:p>
    <w:p w14:paraId="2EBDE13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E9CB29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75DFC96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33E6E01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w:t>
      </w:r>
      <w:r>
        <w:rPr>
          <w:rFonts w:hint="eastAsia" w:ascii="宋体" w:hAnsi="宋体" w:eastAsia="宋体" w:cs="宋体"/>
          <w:color w:val="FF0000"/>
          <w:sz w:val="24"/>
          <w:szCs w:val="24"/>
          <w:highlight w:val="none"/>
        </w:rPr>
        <w:t>南宁市青秀区凤岭北路111号南宁国际旅游中心3号楼</w:t>
      </w:r>
      <w:r>
        <w:rPr>
          <w:rFonts w:ascii="宋体" w:hAnsi="宋体" w:eastAsia="宋体" w:cs="宋体"/>
          <w:color w:val="FF0000"/>
          <w:sz w:val="24"/>
          <w:szCs w:val="24"/>
        </w:rPr>
        <w:t>3601-3603、3605-3607、3701-3703</w:t>
      </w:r>
      <w:r>
        <w:rPr>
          <w:rFonts w:hint="eastAsia" w:ascii="宋体" w:hAnsi="宋体" w:eastAsia="宋体" w:cs="宋体"/>
          <w:color w:val="FF0000"/>
          <w:sz w:val="24"/>
          <w:szCs w:val="24"/>
          <w:lang w:eastAsia="zh-CN"/>
        </w:rPr>
        <w:t>、</w:t>
      </w:r>
      <w:r>
        <w:rPr>
          <w:rFonts w:ascii="宋体" w:hAnsi="宋体" w:eastAsia="宋体" w:cs="宋体"/>
          <w:color w:val="FF0000"/>
          <w:sz w:val="24"/>
          <w:szCs w:val="24"/>
        </w:rPr>
        <w:t>3705-3713、3715-3716、3801-3803、3805-3813、3815-3816</w:t>
      </w:r>
      <w:r>
        <w:rPr>
          <w:rFonts w:hint="eastAsia" w:ascii="宋体" w:hAnsi="宋体" w:eastAsia="宋体" w:cs="宋体"/>
          <w:color w:val="FF0000"/>
          <w:sz w:val="24"/>
          <w:szCs w:val="24"/>
          <w:highlight w:val="none"/>
        </w:rPr>
        <w:t> </w:t>
      </w:r>
      <w:r>
        <w:rPr>
          <w:rFonts w:hint="eastAsia" w:ascii="宋体" w:hAnsi="宋体" w:eastAsia="宋体" w:cs="宋体"/>
          <w:color w:val="auto"/>
          <w:sz w:val="24"/>
          <w:szCs w:val="24"/>
          <w:highlight w:val="none"/>
        </w:rPr>
        <w:t xml:space="preserve"> </w:t>
      </w:r>
    </w:p>
    <w:p w14:paraId="793F58F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南宁金湖北路支行</w:t>
      </w:r>
    </w:p>
    <w:p w14:paraId="172E8E3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 4500 1604 2640 5070 2251</w:t>
      </w:r>
    </w:p>
    <w:p w14:paraId="0EA0627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联系电话：0771-5863298</w:t>
      </w:r>
    </w:p>
    <w:p w14:paraId="0615188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签约地点：南宁市青秀区</w:t>
      </w:r>
    </w:p>
    <w:p w14:paraId="31B1CFB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      年   月   日</w:t>
      </w:r>
    </w:p>
    <w:p w14:paraId="35954F0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246EFDC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6A9568D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5466B64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13393F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00B8613B">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2358304D">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2A5B18AC">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0394787C">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444F3340">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536E7E0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乙方名称（公章）：</w:t>
      </w:r>
    </w:p>
    <w:p w14:paraId="3C48B64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单位地址、电话：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银行账号：</w:t>
      </w:r>
    </w:p>
    <w:p w14:paraId="2DA68F1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法人联系电话：</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sectPr>
          <w:type w:val="continuous"/>
          <w:pgSz w:w="11906" w:h="16838"/>
          <w:pgMar w:top="1440" w:right="1474" w:bottom="1440" w:left="1474" w:header="851" w:footer="992" w:gutter="0"/>
          <w:pgNumType w:fmt="decimal"/>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附件一：合同清单（包括但不限于以下内容）</w:t>
      </w:r>
    </w:p>
    <w:tbl>
      <w:tblPr>
        <w:tblStyle w:val="18"/>
        <w:tblW w:w="4994" w:type="pct"/>
        <w:tblInd w:w="0" w:type="dxa"/>
        <w:tblLayout w:type="autofit"/>
        <w:tblCellMar>
          <w:top w:w="0" w:type="dxa"/>
          <w:left w:w="108" w:type="dxa"/>
          <w:bottom w:w="0" w:type="dxa"/>
          <w:right w:w="108" w:type="dxa"/>
        </w:tblCellMar>
      </w:tblPr>
      <w:tblGrid>
        <w:gridCol w:w="456"/>
        <w:gridCol w:w="1623"/>
        <w:gridCol w:w="1023"/>
        <w:gridCol w:w="828"/>
        <w:gridCol w:w="1046"/>
        <w:gridCol w:w="832"/>
        <w:gridCol w:w="1057"/>
        <w:gridCol w:w="1158"/>
        <w:gridCol w:w="489"/>
      </w:tblGrid>
      <w:tr w14:paraId="0872FF94">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序号</w:t>
            </w:r>
          </w:p>
        </w:tc>
        <w:tc>
          <w:tcPr>
            <w:tcW w:w="956"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材料或设备名称</w:t>
            </w:r>
          </w:p>
        </w:tc>
        <w:tc>
          <w:tcPr>
            <w:tcW w:w="603"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规格</w:t>
            </w:r>
          </w:p>
        </w:tc>
        <w:tc>
          <w:tcPr>
            <w:tcW w:w="489"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品牌</w:t>
            </w:r>
          </w:p>
        </w:tc>
        <w:tc>
          <w:tcPr>
            <w:tcW w:w="617"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数量</w:t>
            </w:r>
          </w:p>
        </w:tc>
        <w:tc>
          <w:tcPr>
            <w:tcW w:w="489"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单位</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综合单价（元）</w:t>
            </w:r>
          </w:p>
        </w:tc>
        <w:tc>
          <w:tcPr>
            <w:tcW w:w="682"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小计金额（元）</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备注</w:t>
            </w:r>
          </w:p>
        </w:tc>
      </w:tr>
      <w:tr w14:paraId="5A01FBA1">
        <w:tblPrEx>
          <w:tblCellMar>
            <w:top w:w="0" w:type="dxa"/>
            <w:left w:w="108" w:type="dxa"/>
            <w:bottom w:w="0" w:type="dxa"/>
            <w:right w:w="108" w:type="dxa"/>
          </w:tblCellMar>
        </w:tblPrEx>
        <w:trPr>
          <w:trHeight w:val="660" w:hRule="atLeast"/>
        </w:trPr>
        <w:tc>
          <w:tcPr>
            <w:tcW w:w="426" w:type="dxa"/>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626" w:type="dxa"/>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40154103">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626" w:type="dxa"/>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2C3D1A90">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44A2EC3E">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5C5DED64">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246BE1FB">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009CAB81">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283CFC36">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390A78ED">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358F0982">
        <w:tblPrEx>
          <w:tblCellMar>
            <w:top w:w="0" w:type="dxa"/>
            <w:left w:w="108" w:type="dxa"/>
            <w:bottom w:w="0" w:type="dxa"/>
            <w:right w:w="108" w:type="dxa"/>
          </w:tblCellMar>
        </w:tblPrEx>
        <w:trPr>
          <w:trHeight w:val="402" w:hRule="atLeast"/>
        </w:trPr>
        <w:tc>
          <w:tcPr>
            <w:tcW w:w="5000" w:type="pct"/>
            <w:gridSpan w:val="9"/>
            <w:tcBorders>
              <w:top w:val="nil"/>
              <w:left w:val="single" w:color="auto" w:sz="4" w:space="0"/>
              <w:bottom w:val="single" w:color="auto" w:sz="4" w:space="0"/>
              <w:right w:val="single" w:color="auto" w:sz="4" w:space="0"/>
            </w:tcBorders>
            <w:noWrap w:val="0"/>
            <w:vAlign w:val="center"/>
          </w:tcPr>
          <w:p w14:paraId="6D935069">
            <w:pPr>
              <w:keepNext w:val="0"/>
              <w:keepLines w:val="0"/>
              <w:pageBreakBefore w:val="0"/>
              <w:widowControl/>
              <w:numPr>
                <w:ilvl w:val="0"/>
                <w:numId w:val="0"/>
              </w:numPr>
              <w:kinsoku/>
              <w:overflowPunct/>
              <w:topLinePunct w:val="0"/>
              <w:autoSpaceDE/>
              <w:autoSpaceDN/>
              <w:bidi w:val="0"/>
              <w:adjustRightInd/>
              <w:spacing w:afterAutospacing="0" w:line="440" w:lineRule="exact"/>
              <w:ind w:left="0" w:leftChars="0" w:right="0" w:rightChars="0" w:firstLine="720" w:firstLineChars="300"/>
              <w:jc w:val="left"/>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备注：</w:t>
            </w:r>
          </w:p>
        </w:tc>
      </w:tr>
      <w:tr w14:paraId="26F315B4">
        <w:tblPrEx>
          <w:tblCellMar>
            <w:top w:w="0" w:type="dxa"/>
            <w:left w:w="108" w:type="dxa"/>
            <w:bottom w:w="0" w:type="dxa"/>
            <w:right w:w="108" w:type="dxa"/>
          </w:tblCellMar>
        </w:tblPrEx>
        <w:trPr>
          <w:trHeight w:val="510" w:hRule="atLeast"/>
        </w:trPr>
        <w:tc>
          <w:tcPr>
            <w:tcW w:w="3406"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rPr>
              <w:t>合计总金额（大写）：</w:t>
            </w:r>
            <w:r>
              <w:rPr>
                <w:rFonts w:hint="eastAsia" w:ascii="仿宋_GB2312" w:hAnsi="仿宋_GB2312" w:eastAsia="仿宋_GB2312" w:cs="仿宋_GB2312"/>
                <w:color w:val="auto"/>
                <w:kern w:val="0"/>
                <w:sz w:val="24"/>
                <w:szCs w:val="24"/>
                <w:highlight w:val="none"/>
                <w:lang w:val="en-US" w:eastAsia="zh-CN"/>
              </w:rPr>
              <w:t xml:space="preserve">   </w:t>
            </w:r>
          </w:p>
        </w:tc>
        <w:tc>
          <w:tcPr>
            <w:tcW w:w="1593"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Cs/>
                <w:color w:val="auto"/>
                <w:kern w:val="0"/>
                <w:sz w:val="24"/>
                <w:szCs w:val="24"/>
                <w:highlight w:val="none"/>
              </w:rPr>
            </w:pPr>
            <w:r>
              <w:rPr>
                <w:rFonts w:hint="eastAsia" w:ascii="仿宋_GB2312" w:hAnsi="仿宋_GB2312" w:eastAsia="仿宋_GB2312" w:cs="仿宋_GB2312"/>
                <w:bCs/>
                <w:color w:val="auto"/>
                <w:kern w:val="0"/>
                <w:sz w:val="24"/>
                <w:szCs w:val="24"/>
                <w:highlight w:val="none"/>
              </w:rPr>
              <w:t xml:space="preserve">￥ </w:t>
            </w:r>
            <w:r>
              <w:rPr>
                <w:rFonts w:hint="eastAsia" w:ascii="仿宋_GB2312" w:hAnsi="仿宋_GB2312" w:eastAsia="仿宋_GB2312" w:cs="仿宋_GB2312"/>
                <w:bCs/>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lang w:val="en-US" w:eastAsia="zh-CN"/>
              </w:rPr>
              <w:t xml:space="preserve">     </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bCs/>
                <w:color w:val="auto"/>
                <w:kern w:val="0"/>
                <w:sz w:val="24"/>
                <w:szCs w:val="24"/>
                <w:highlight w:val="none"/>
              </w:rPr>
              <w:t>元</w:t>
            </w:r>
          </w:p>
        </w:tc>
      </w:tr>
    </w:tbl>
    <w:p w14:paraId="1E1931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58BC5E8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br w:type="page"/>
      </w:r>
      <w:r>
        <w:rPr>
          <w:rFonts w:hint="eastAsia" w:ascii="仿宋_GB2312" w:hAnsi="仿宋_GB2312" w:eastAsia="仿宋_GB2312" w:cs="仿宋_GB2312"/>
          <w:color w:val="auto"/>
          <w:sz w:val="24"/>
          <w:szCs w:val="24"/>
          <w:highlight w:val="none"/>
          <w:lang w:val="en-US" w:eastAsia="zh-CN"/>
        </w:rPr>
        <w:t>附件二：工程建设项目廉政责任书</w:t>
      </w: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6129A1F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工程建设项目廉政责任书</w:t>
      </w:r>
    </w:p>
    <w:p w14:paraId="2702247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（一）应严格遵守国家关于市场准入、项目招标投标、工程建设、施工安装和市场活动等有关</w:t>
      </w:r>
      <w:r>
        <w:rPr>
          <w:rFonts w:hint="eastAsia" w:ascii="宋体" w:hAnsi="宋体" w:eastAsia="宋体" w:cs="宋体"/>
          <w:color w:val="auto"/>
          <w:sz w:val="24"/>
          <w:szCs w:val="24"/>
          <w:highlight w:val="none"/>
          <w:lang w:eastAsia="zh-CN"/>
        </w:rPr>
        <w:t>法律法规</w:t>
      </w:r>
      <w:r>
        <w:rPr>
          <w:rFonts w:hint="eastAsia" w:ascii="宋体" w:hAnsi="宋体" w:eastAsia="宋体" w:cs="宋体"/>
          <w:color w:val="auto"/>
          <w:sz w:val="24"/>
          <w:szCs w:val="24"/>
          <w:highlight w:val="none"/>
        </w:rPr>
        <w:t>、相关政策</w:t>
      </w:r>
      <w:r>
        <w:rPr>
          <w:rFonts w:hint="eastAsia" w:ascii="宋体" w:hAnsi="宋体" w:eastAsia="宋体" w:cs="宋体"/>
          <w:color w:val="auto"/>
          <w:sz w:val="24"/>
          <w:szCs w:val="24"/>
          <w:highlight w:val="none"/>
          <w:lang w:eastAsia="zh-CN"/>
        </w:rPr>
        <w:t>以及</w:t>
      </w:r>
      <w:r>
        <w:rPr>
          <w:rFonts w:hint="eastAsia" w:ascii="宋体" w:hAnsi="宋体" w:eastAsia="宋体" w:cs="宋体"/>
          <w:color w:val="auto"/>
          <w:sz w:val="24"/>
          <w:szCs w:val="24"/>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531" w:leftChars="142" w:right="0" w:rightChars="0" w:hanging="1233" w:hangingChars="5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本责任书一式四份，由甲乙双方各执一份，送交甲乙双方的监督单位各一份。</w:t>
      </w:r>
    </w:p>
    <w:p w14:paraId="7AE7EA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p>
    <w:p w14:paraId="25A0997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甲方单位：（盖章）           乙方单位：（盖章）</w:t>
      </w:r>
    </w:p>
    <w:p w14:paraId="56ACE25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p>
    <w:p w14:paraId="7980B33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                  法定代表人或</w:t>
      </w:r>
    </w:p>
    <w:p w14:paraId="38A6CDA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授权代表（签字）：             授权代表（签字）：</w:t>
      </w:r>
    </w:p>
    <w:p w14:paraId="35EC442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3A745A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                  年   月   日</w:t>
      </w:r>
    </w:p>
    <w:p w14:paraId="78EA27DB">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081E18B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4623F822">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4ECC808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1994CC0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902972D">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3F11C15">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85E553B">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613991BA">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39796F5">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9D04F01">
      <w:pPr>
        <w:pStyle w:val="8"/>
        <w:rPr>
          <w:rFonts w:hint="eastAsia" w:ascii="宋体" w:hAnsi="宋体" w:eastAsia="宋体" w:cs="宋体"/>
          <w:color w:val="auto"/>
          <w:sz w:val="24"/>
          <w:szCs w:val="24"/>
          <w:highlight w:val="none"/>
        </w:rPr>
      </w:pPr>
    </w:p>
    <w:p w14:paraId="33F84C73">
      <w:pPr>
        <w:pStyle w:val="11"/>
        <w:rPr>
          <w:rFonts w:hint="eastAsia" w:ascii="宋体" w:hAnsi="宋体" w:eastAsia="宋体" w:cs="宋体"/>
          <w:color w:val="auto"/>
          <w:sz w:val="24"/>
          <w:szCs w:val="24"/>
          <w:highlight w:val="none"/>
        </w:rPr>
      </w:pPr>
    </w:p>
    <w:p w14:paraId="0EA63BD4">
      <w:pPr>
        <w:pStyle w:val="11"/>
        <w:rPr>
          <w:rFonts w:hint="eastAsia" w:ascii="宋体" w:hAnsi="宋体" w:eastAsia="宋体" w:cs="宋体"/>
          <w:color w:val="auto"/>
          <w:sz w:val="24"/>
          <w:szCs w:val="24"/>
          <w:highlight w:val="none"/>
        </w:rPr>
      </w:pPr>
    </w:p>
    <w:p w14:paraId="3620A260">
      <w:pPr>
        <w:pStyle w:val="11"/>
        <w:rPr>
          <w:rFonts w:hint="eastAsia" w:ascii="宋体" w:hAnsi="宋体" w:eastAsia="宋体" w:cs="宋体"/>
          <w:color w:val="auto"/>
          <w:sz w:val="24"/>
          <w:szCs w:val="24"/>
          <w:highlight w:val="none"/>
        </w:rPr>
      </w:pPr>
    </w:p>
    <w:p w14:paraId="664A7811">
      <w:pPr>
        <w:pStyle w:val="11"/>
        <w:rPr>
          <w:rFonts w:hint="eastAsia" w:ascii="宋体" w:hAnsi="宋体" w:eastAsia="宋体" w:cs="宋体"/>
          <w:color w:val="auto"/>
          <w:sz w:val="24"/>
          <w:szCs w:val="24"/>
          <w:highlight w:val="none"/>
        </w:rPr>
      </w:pPr>
    </w:p>
    <w:p w14:paraId="7DECF548">
      <w:pPr>
        <w:pStyle w:val="11"/>
        <w:rPr>
          <w:rFonts w:hint="eastAsia" w:ascii="宋体" w:hAnsi="宋体" w:eastAsia="宋体" w:cs="宋体"/>
          <w:color w:val="auto"/>
          <w:sz w:val="24"/>
          <w:szCs w:val="24"/>
          <w:highlight w:val="none"/>
        </w:rPr>
      </w:pPr>
    </w:p>
    <w:p w14:paraId="7E8EF749">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232F6CF">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：供货通知（根据具体情况进行调整）</w:t>
      </w:r>
    </w:p>
    <w:p w14:paraId="6137B0F7">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货 通 知</w:t>
      </w:r>
    </w:p>
    <w:p w14:paraId="6603A03A">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6480" w:firstLineChars="2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合同编号：</w:t>
      </w:r>
      <w:r>
        <w:rPr>
          <w:rFonts w:hint="eastAsia" w:ascii="宋体" w:hAnsi="宋体" w:eastAsia="宋体" w:cs="宋体"/>
          <w:color w:val="auto"/>
          <w:sz w:val="24"/>
          <w:szCs w:val="24"/>
          <w:highlight w:val="none"/>
          <w:u w:val="single"/>
          <w:lang w:val="en-US" w:eastAsia="zh-CN"/>
        </w:rPr>
        <w:t>XXXXXX</w:t>
      </w:r>
    </w:p>
    <w:p w14:paraId="3EA9C2D6">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合同名称：南宁轨道地产建筑工程有限责任公司</w:t>
      </w:r>
      <w:r>
        <w:rPr>
          <w:rFonts w:hint="eastAsia" w:ascii="宋体" w:hAnsi="宋体" w:eastAsia="宋体" w:cs="宋体"/>
          <w:color w:val="auto"/>
          <w:sz w:val="24"/>
          <w:szCs w:val="24"/>
          <w:highlight w:val="none"/>
          <w:lang w:val="en-US" w:eastAsia="zh-CN"/>
        </w:rPr>
        <w:t>xxx</w:t>
      </w:r>
      <w:r>
        <w:rPr>
          <w:rFonts w:hint="eastAsia" w:ascii="宋体" w:hAnsi="宋体" w:eastAsia="宋体" w:cs="宋体"/>
          <w:color w:val="auto"/>
          <w:sz w:val="24"/>
          <w:szCs w:val="24"/>
          <w:highlight w:val="none"/>
        </w:rPr>
        <w:t>年度</w:t>
      </w:r>
      <w:r>
        <w:rPr>
          <w:rFonts w:hint="eastAsia" w:ascii="宋体" w:hAnsi="宋体" w:eastAsia="宋体" w:cs="宋体"/>
          <w:color w:val="auto"/>
          <w:sz w:val="24"/>
          <w:szCs w:val="24"/>
          <w:highlight w:val="none"/>
          <w:lang w:val="en-US" w:eastAsia="zh-CN"/>
        </w:rPr>
        <w:t>xxxx</w:t>
      </w:r>
      <w:r>
        <w:rPr>
          <w:rFonts w:hint="eastAsia" w:ascii="宋体" w:hAnsi="宋体" w:eastAsia="宋体" w:cs="宋体"/>
          <w:color w:val="auto"/>
          <w:sz w:val="24"/>
          <w:szCs w:val="24"/>
          <w:highlight w:val="none"/>
        </w:rPr>
        <w:t>集中采购合同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收货人：                            联系电话：</w:t>
      </w:r>
    </w:p>
    <w:p w14:paraId="1C4CF56D">
      <w:pPr>
        <w:pStyle w:val="7"/>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兹通知我司需要以下物资，请于下列日期送货至本供货通知的工程项目工地。</w:t>
      </w:r>
    </w:p>
    <w:p w14:paraId="4776E5B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宋体" w:hAnsi="宋体" w:eastAsia="宋体" w:cs="宋体"/>
          <w:color w:val="auto"/>
          <w:sz w:val="24"/>
          <w:szCs w:val="24"/>
          <w:highlight w:val="none"/>
        </w:rPr>
      </w:pPr>
    </w:p>
    <w:tbl>
      <w:tblPr>
        <w:tblStyle w:val="18"/>
        <w:tblW w:w="4911"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kern w:val="0"/>
                <w:sz w:val="24"/>
                <w:szCs w:val="24"/>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kern w:val="0"/>
                <w:sz w:val="24"/>
                <w:szCs w:val="24"/>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bl>
    <w:p w14:paraId="6CC28D8A">
      <w:pPr>
        <w:keepNext w:val="0"/>
        <w:keepLines w:val="0"/>
        <w:pageBreakBefore w:val="0"/>
        <w:kinsoku/>
        <w:wordWrap/>
        <w:overflowPunct/>
        <w:topLinePunct w:val="0"/>
        <w:autoSpaceDE/>
        <w:autoSpaceDN/>
        <w:bidi w:val="0"/>
        <w:adjustRightInd/>
        <w:snapToGrid/>
        <w:spacing w:afterAutospacing="0" w:line="440" w:lineRule="exact"/>
        <w:ind w:right="0" w:rightChars="0" w:firstLine="4560" w:firstLineChars="19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南宁轨道地产建筑公司有限责任公司</w:t>
      </w:r>
    </w:p>
    <w:p w14:paraId="0169849C">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5421" w:firstLineChars="2259"/>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部（盖章）</w:t>
      </w:r>
    </w:p>
    <w:p w14:paraId="796D3D5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5760" w:firstLineChars="2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经办人：</w:t>
      </w:r>
    </w:p>
    <w:p w14:paraId="07B6FB58">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5760" w:firstLineChars="2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5760" w:firstLineChars="24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日期：</w:t>
      </w:r>
      <w:bookmarkStart w:id="793" w:name="RANGE!A1:H21"/>
      <w:bookmarkEnd w:id="793"/>
    </w:p>
    <w:p w14:paraId="2465A4E8">
      <w:pPr>
        <w:widowControl/>
        <w:jc w:val="left"/>
        <w:rPr>
          <w:rFonts w:ascii="宋体" w:hAnsi="宋体" w:eastAsia="宋体"/>
          <w:sz w:val="24"/>
          <w:szCs w:val="24"/>
        </w:rPr>
      </w:pPr>
    </w:p>
    <w:p w14:paraId="1E77E9F0">
      <w:pPr>
        <w:widowControl/>
        <w:jc w:val="left"/>
        <w:rPr>
          <w:rFonts w:ascii="宋体" w:hAnsi="宋体" w:eastAsia="宋体"/>
          <w:sz w:val="24"/>
          <w:szCs w:val="24"/>
        </w:rPr>
      </w:pPr>
    </w:p>
    <w:p w14:paraId="4ED454CB">
      <w:pPr>
        <w:widowControl/>
        <w:jc w:val="left"/>
        <w:rPr>
          <w:rFonts w:ascii="宋体" w:hAnsi="宋体" w:eastAsia="宋体"/>
          <w:sz w:val="24"/>
          <w:szCs w:val="24"/>
        </w:rPr>
      </w:pPr>
    </w:p>
    <w:p w14:paraId="0ABCA7EA">
      <w:pPr>
        <w:widowControl/>
        <w:jc w:val="left"/>
        <w:rPr>
          <w:rFonts w:ascii="宋体" w:hAnsi="宋体" w:eastAsia="宋体"/>
          <w:sz w:val="24"/>
          <w:szCs w:val="24"/>
        </w:rPr>
      </w:pPr>
    </w:p>
    <w:p w14:paraId="2DFEE414">
      <w:pPr>
        <w:spacing w:line="480" w:lineRule="exact"/>
        <w:ind w:firstLine="723" w:firstLineChars="200"/>
        <w:jc w:val="center"/>
        <w:outlineLvl w:val="0"/>
        <w:rPr>
          <w:rFonts w:ascii="宋体" w:hAnsi="宋体" w:eastAsia="宋体"/>
          <w:sz w:val="24"/>
          <w:szCs w:val="24"/>
        </w:rPr>
      </w:pPr>
      <w:r>
        <w:rPr>
          <w:rFonts w:hint="eastAsia" w:ascii="宋体" w:hAnsi="宋体" w:eastAsia="宋体"/>
          <w:b/>
          <w:bCs/>
          <w:sz w:val="36"/>
          <w:szCs w:val="36"/>
        </w:rPr>
        <w:t>第四章技术标准和要求</w:t>
      </w:r>
    </w:p>
    <w:p w14:paraId="24928C53">
      <w:pPr>
        <w:jc w:val="center"/>
        <w:rPr>
          <w:rFonts w:ascii="宋体" w:hAnsi="宋体" w:eastAsia="宋体"/>
          <w:b/>
          <w:bCs/>
          <w:color w:val="FF0000"/>
          <w:sz w:val="36"/>
          <w:szCs w:val="36"/>
        </w:rPr>
      </w:pPr>
    </w:p>
    <w:p w14:paraId="5A1538F3">
      <w:pPr>
        <w:jc w:val="center"/>
        <w:rPr>
          <w:rFonts w:hint="eastAsia" w:ascii="宋体" w:hAnsi="宋体" w:eastAsia="宋体"/>
          <w:b/>
          <w:bCs/>
          <w:sz w:val="36"/>
          <w:szCs w:val="36"/>
          <w:lang w:eastAsia="zh-CN"/>
        </w:rPr>
      </w:pPr>
      <w:r>
        <w:rPr>
          <w:rFonts w:hint="eastAsia" w:ascii="宋体" w:hAnsi="宋体" w:eastAsia="宋体"/>
          <w:b/>
          <w:bCs/>
          <w:sz w:val="36"/>
          <w:szCs w:val="36"/>
          <w:lang w:val="en-US" w:eastAsia="zh-CN"/>
        </w:rPr>
        <w:t>无</w:t>
      </w:r>
    </w:p>
    <w:p w14:paraId="7F8D2BF9">
      <w:pPr>
        <w:jc w:val="center"/>
        <w:rPr>
          <w:rFonts w:ascii="宋体" w:hAnsi="宋体" w:eastAsia="宋体"/>
          <w:b/>
          <w:bCs/>
          <w:sz w:val="36"/>
          <w:szCs w:val="36"/>
        </w:rPr>
      </w:pPr>
    </w:p>
    <w:p w14:paraId="5C491359">
      <w:pPr>
        <w:jc w:val="center"/>
        <w:rPr>
          <w:rFonts w:ascii="宋体" w:hAnsi="宋体" w:eastAsia="宋体"/>
          <w:b/>
          <w:bCs/>
          <w:sz w:val="36"/>
          <w:szCs w:val="36"/>
        </w:rPr>
      </w:pPr>
    </w:p>
    <w:p w14:paraId="663E4798">
      <w:pPr>
        <w:spacing w:line="480" w:lineRule="exact"/>
        <w:ind w:firstLine="480" w:firstLineChars="200"/>
        <w:rPr>
          <w:rFonts w:ascii="宋体" w:hAnsi="宋体" w:eastAsia="宋体"/>
          <w:sz w:val="24"/>
          <w:szCs w:val="24"/>
        </w:rPr>
      </w:pPr>
    </w:p>
    <w:p w14:paraId="4DF934B1">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F3A0390">
      <w:pPr>
        <w:spacing w:line="480" w:lineRule="exact"/>
        <w:ind w:firstLine="723" w:firstLineChars="200"/>
        <w:jc w:val="center"/>
        <w:outlineLvl w:val="0"/>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的比选申请文件，进入价格评审采用</w:t>
      </w:r>
      <w:r>
        <w:rPr>
          <w:rFonts w:hint="eastAsia" w:ascii="宋体" w:hAnsi="宋体" w:eastAsia="宋体"/>
          <w:b/>
          <w:bCs/>
          <w:color w:val="auto"/>
          <w:sz w:val="24"/>
          <w:szCs w:val="24"/>
          <w:highlight w:val="yellow"/>
          <w:u w:val="single"/>
        </w:rPr>
        <w:t xml:space="preserve"> </w:t>
      </w:r>
      <w:r>
        <w:rPr>
          <w:rFonts w:hint="eastAsia" w:ascii="宋体" w:hAnsi="宋体" w:eastAsia="宋体"/>
          <w:b/>
          <w:bCs/>
          <w:color w:val="auto"/>
          <w:sz w:val="24"/>
          <w:szCs w:val="24"/>
          <w:highlight w:val="yellow"/>
          <w:u w:val="single"/>
          <w:lang w:val="en-US" w:eastAsia="zh-CN"/>
        </w:rPr>
        <w:t>低价</w:t>
      </w:r>
      <w:r>
        <w:rPr>
          <w:rFonts w:hint="eastAsia" w:ascii="宋体" w:hAnsi="宋体" w:eastAsia="宋体"/>
          <w:b/>
          <w:bCs/>
          <w:color w:val="auto"/>
          <w:sz w:val="24"/>
          <w:szCs w:val="24"/>
          <w:highlight w:val="yellow"/>
          <w:u w:val="single"/>
        </w:rPr>
        <w:t>评分法</w:t>
      </w:r>
      <w:r>
        <w:rPr>
          <w:rFonts w:hint="eastAsia" w:ascii="宋体" w:hAnsi="宋体" w:eastAsia="宋体"/>
          <w:color w:val="auto"/>
          <w:sz w:val="24"/>
          <w:szCs w:val="24"/>
          <w:highlight w:val="yellow"/>
        </w:rPr>
        <w:t>进行评审。</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比选评审小组将依照本比选文件相关要求，对照比选申请文件的应答进行比较，并对各比选申请文件的商务内容进行评审</w:t>
      </w:r>
      <w:r>
        <w:rPr>
          <w:rFonts w:hint="eastAsia" w:ascii="宋体" w:hAnsi="宋体" w:eastAsia="宋体"/>
          <w:sz w:val="24"/>
          <w:szCs w:val="24"/>
          <w:lang w:val="en-US" w:eastAsia="zh-CN"/>
        </w:rPr>
        <w:t>排名</w:t>
      </w:r>
      <w:r>
        <w:rPr>
          <w:rFonts w:hint="eastAsia" w:ascii="宋体" w:hAnsi="宋体" w:eastAsia="宋体"/>
          <w:sz w:val="24"/>
          <w:szCs w:val="24"/>
        </w:rPr>
        <w:t>。</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2.4按照</w:t>
      </w:r>
      <w:r>
        <w:rPr>
          <w:rFonts w:hint="eastAsia" w:ascii="宋体" w:hAnsi="宋体" w:eastAsia="宋体"/>
          <w:sz w:val="24"/>
          <w:szCs w:val="24"/>
          <w:lang w:val="en-US" w:eastAsia="zh-CN"/>
        </w:rPr>
        <w:t>不含税总报价</w:t>
      </w:r>
      <w:r>
        <w:rPr>
          <w:rFonts w:hint="eastAsia" w:ascii="宋体" w:hAnsi="宋体" w:eastAsia="宋体"/>
          <w:sz w:val="24"/>
          <w:szCs w:val="24"/>
        </w:rPr>
        <w:t>由低到高的顺序提出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outlineLvl w:val="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outlineLvl w:val="1"/>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outlineLvl w:val="1"/>
        <w:rPr>
          <w:rFonts w:ascii="宋体" w:hAnsi="宋体" w:eastAsia="宋体"/>
          <w:b/>
          <w:bCs/>
          <w:sz w:val="24"/>
          <w:szCs w:val="24"/>
        </w:rPr>
      </w:pPr>
      <w:r>
        <w:rPr>
          <w:rFonts w:hint="eastAsia" w:ascii="宋体" w:hAnsi="宋体" w:eastAsia="宋体"/>
          <w:b/>
          <w:bCs/>
          <w:sz w:val="24"/>
          <w:szCs w:val="24"/>
        </w:rPr>
        <w:t>3.2详细评审</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lang w:val="en-US" w:eastAsia="zh-CN"/>
        </w:rPr>
        <w:t>1</w:t>
      </w:r>
      <w:r>
        <w:rPr>
          <w:rFonts w:hint="eastAsia" w:ascii="宋体" w:hAnsi="宋体" w:eastAsia="宋体"/>
          <w:sz w:val="24"/>
          <w:szCs w:val="24"/>
        </w:rPr>
        <w:t>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hint="eastAsia" w:ascii="宋体" w:hAnsi="宋体" w:eastAsia="宋体"/>
          <w:sz w:val="24"/>
          <w:szCs w:val="24"/>
          <w:lang w:val="en-US" w:eastAsia="zh-CN"/>
        </w:rPr>
        <w:t>1</w:t>
      </w:r>
      <w:r>
        <w:rPr>
          <w:rFonts w:hint="eastAsia" w:ascii="宋体" w:hAnsi="宋体" w:eastAsia="宋体"/>
          <w:sz w:val="24"/>
          <w:szCs w:val="24"/>
        </w:rPr>
        <w:t>.1比选评审小组对通过初步评审的比选申请文件的报价文件进行详细评审。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hint="eastAsia" w:ascii="宋体" w:hAnsi="宋体" w:eastAsia="宋体"/>
          <w:sz w:val="24"/>
          <w:szCs w:val="24"/>
          <w:lang w:val="en-US" w:eastAsia="zh-CN"/>
        </w:rPr>
        <w:t>1</w:t>
      </w:r>
      <w:r>
        <w:rPr>
          <w:rFonts w:hint="eastAsia" w:ascii="宋体" w:hAnsi="宋体" w:eastAsia="宋体"/>
          <w:sz w:val="24"/>
          <w:szCs w:val="24"/>
        </w:rPr>
        <w:t>.2比选申请报价有算术错误的，比选评审小组按以下原则对比选申请报价进行修正，修正的价格经比选申请人书面确认后具有约束力。比选申请人不接受修正价格的，其比选申请作否决比选申请处理：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hint="eastAsia" w:ascii="宋体" w:hAnsi="宋体" w:eastAsia="宋体"/>
          <w:sz w:val="24"/>
          <w:szCs w:val="24"/>
          <w:lang w:val="en-US" w:eastAsia="zh-CN"/>
        </w:rPr>
        <w:t>1</w:t>
      </w:r>
      <w:r>
        <w:rPr>
          <w:rFonts w:hint="eastAsia" w:ascii="宋体" w:hAnsi="宋体" w:eastAsia="宋体"/>
          <w:sz w:val="24"/>
          <w:szCs w:val="24"/>
        </w:rPr>
        <w:t>.3出现下列情况的比选申请文件将予以否决：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794" w:name="_Hlk36511445"/>
      <w:r>
        <w:rPr>
          <w:rFonts w:hint="eastAsia" w:ascii="宋体" w:hAnsi="宋体" w:eastAsia="宋体"/>
          <w:sz w:val="24"/>
          <w:szCs w:val="24"/>
        </w:rPr>
        <w:t>比选申请报价清单如有漏项的比选申请文件，将予以否决。</w:t>
      </w:r>
      <w:bookmarkEnd w:id="794"/>
    </w:p>
    <w:p w14:paraId="734878D6">
      <w:pPr>
        <w:pStyle w:val="7"/>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hint="eastAsia" w:ascii="宋体" w:hAnsi="宋体" w:eastAsia="宋体"/>
          <w:sz w:val="24"/>
          <w:szCs w:val="24"/>
          <w:lang w:val="en-US" w:eastAsia="zh-CN"/>
        </w:rPr>
        <w:t>1</w:t>
      </w:r>
      <w:r>
        <w:rPr>
          <w:rFonts w:hint="eastAsia" w:ascii="宋体" w:hAnsi="宋体" w:eastAsia="宋体"/>
          <w:sz w:val="24"/>
          <w:szCs w:val="24"/>
        </w:rPr>
        <w:t>.4比选评审小组按照《比选报价评分表》规定的量化因素和分值，对各比选申请人的比选申请报价评审，并计算出价格得分（得分计算四舍五入，取小数点后两位）。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b/>
          <w:bCs/>
          <w:sz w:val="24"/>
          <w:szCs w:val="24"/>
          <w:u w:val="single"/>
          <w:lang w:val="en-US" w:eastAsia="zh-CN"/>
        </w:rPr>
        <w:t>排名</w:t>
      </w:r>
      <w:r>
        <w:rPr>
          <w:rFonts w:hint="eastAsia" w:ascii="宋体" w:hAnsi="宋体" w:eastAsia="宋体"/>
          <w:sz w:val="24"/>
          <w:szCs w:val="24"/>
        </w:rPr>
        <w:t>由高到低顺序推荐中选候选人。</w:t>
      </w:r>
    </w:p>
    <w:p w14:paraId="7B0ED4D5">
      <w:pPr>
        <w:spacing w:line="480" w:lineRule="exact"/>
        <w:ind w:firstLine="482" w:firstLineChars="200"/>
        <w:rPr>
          <w:rFonts w:hint="eastAsia" w:ascii="Calibri" w:hAnsi="Calibri" w:eastAsia="宋体" w:cs="Calibri"/>
          <w:b/>
          <w:bCs/>
          <w:color w:val="auto"/>
          <w:sz w:val="24"/>
          <w:szCs w:val="24"/>
          <w:highlight w:val="none"/>
        </w:rPr>
      </w:pPr>
      <w:r>
        <w:rPr>
          <w:rFonts w:hint="eastAsia" w:ascii="Calibri" w:hAnsi="Calibri" w:eastAsia="宋体" w:cs="Calibri"/>
          <w:b/>
          <w:bCs/>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报价最低者为中选供应商。</w:t>
      </w:r>
    </w:p>
    <w:p w14:paraId="346FEE8D">
      <w:pPr>
        <w:spacing w:line="480" w:lineRule="exact"/>
        <w:ind w:firstLine="482" w:firstLineChars="200"/>
        <w:rPr>
          <w:rFonts w:hint="eastAsia" w:ascii="Calibri" w:hAnsi="Calibri" w:eastAsia="宋体" w:cs="Calibri"/>
          <w:b/>
          <w:bCs/>
          <w:color w:val="auto"/>
          <w:sz w:val="24"/>
          <w:szCs w:val="24"/>
          <w:highlight w:val="none"/>
        </w:rPr>
      </w:pPr>
      <w:r>
        <w:rPr>
          <w:rFonts w:hint="eastAsia" w:ascii="Calibri" w:hAnsi="Calibri" w:eastAsia="宋体" w:cs="Calibri"/>
          <w:b/>
          <w:bCs/>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3C2A03E6">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59B07B2A">
      <w:pPr>
        <w:spacing w:line="480" w:lineRule="exact"/>
        <w:ind w:firstLine="480" w:firstLineChars="200"/>
        <w:rPr>
          <w:rFonts w:ascii="宋体" w:hAnsi="宋体" w:eastAsia="宋体"/>
          <w:sz w:val="24"/>
          <w:szCs w:val="24"/>
        </w:rPr>
      </w:pPr>
    </w:p>
    <w:p w14:paraId="19E46097">
      <w:pPr>
        <w:spacing w:line="480" w:lineRule="exact"/>
        <w:ind w:firstLine="480" w:firstLineChars="200"/>
        <w:rPr>
          <w:rFonts w:ascii="宋体" w:hAnsi="宋体" w:eastAsia="宋体"/>
          <w:sz w:val="24"/>
          <w:szCs w:val="24"/>
        </w:rPr>
      </w:pPr>
    </w:p>
    <w:p w14:paraId="2AB42FE9">
      <w:pPr>
        <w:spacing w:line="480" w:lineRule="exact"/>
        <w:ind w:firstLine="480" w:firstLineChars="200"/>
        <w:rPr>
          <w:rFonts w:ascii="宋体" w:hAnsi="宋体" w:eastAsia="宋体"/>
          <w:sz w:val="24"/>
          <w:szCs w:val="24"/>
        </w:rPr>
      </w:pPr>
    </w:p>
    <w:p w14:paraId="75DF884D">
      <w:pPr>
        <w:pStyle w:val="7"/>
      </w:pPr>
    </w:p>
    <w:p w14:paraId="14568E5B">
      <w:pPr>
        <w:spacing w:line="480" w:lineRule="exact"/>
        <w:rPr>
          <w:rFonts w:ascii="宋体" w:hAnsi="宋体" w:eastAsia="宋体"/>
          <w:sz w:val="24"/>
          <w:szCs w:val="24"/>
        </w:rPr>
      </w:pPr>
    </w:p>
    <w:p w14:paraId="6B6844D7">
      <w:r>
        <w:br w:type="page"/>
      </w:r>
    </w:p>
    <w:p w14:paraId="6E9E48E5">
      <w:pPr>
        <w:pStyle w:val="2"/>
        <w:spacing w:after="0" w:line="360" w:lineRule="auto"/>
        <w:ind w:right="-57" w:rightChars="0"/>
        <w:outlineLvl w:val="1"/>
        <w:rPr>
          <w:sz w:val="21"/>
          <w:szCs w:val="21"/>
        </w:rPr>
      </w:pPr>
      <w:bookmarkStart w:id="795" w:name="_Toc16364"/>
      <w:bookmarkStart w:id="796" w:name="_Toc9588"/>
      <w:bookmarkStart w:id="797" w:name="_Toc29923"/>
      <w:bookmarkStart w:id="798" w:name="_Toc18096"/>
      <w:bookmarkStart w:id="799" w:name="_Toc114134688"/>
      <w:bookmarkStart w:id="800" w:name="_Toc9730"/>
      <w:bookmarkStart w:id="801" w:name="_Toc15224"/>
      <w:bookmarkStart w:id="802" w:name="_Toc25604"/>
      <w:bookmarkStart w:id="803" w:name="_Toc25750694"/>
      <w:bookmarkStart w:id="804" w:name="_Toc434"/>
      <w:bookmarkStart w:id="805" w:name="_Toc10968"/>
      <w:bookmarkStart w:id="806" w:name="_Toc19557"/>
      <w:bookmarkStart w:id="807" w:name="_Toc29245"/>
      <w:bookmarkStart w:id="808" w:name="_Toc15073"/>
      <w:bookmarkStart w:id="809" w:name="_Toc9189"/>
      <w:bookmarkStart w:id="810" w:name="_Toc27271"/>
      <w:bookmarkStart w:id="811" w:name="_Toc28404"/>
      <w:bookmarkStart w:id="812" w:name="_Toc22464"/>
      <w:bookmarkStart w:id="813" w:name="_Toc414290583"/>
      <w:bookmarkStart w:id="814" w:name="_Toc23314"/>
      <w:bookmarkStart w:id="815" w:name="_Toc31611"/>
      <w:bookmarkStart w:id="816" w:name="_Toc492478849"/>
      <w:r>
        <w:rPr>
          <w:rFonts w:hint="eastAsia"/>
          <w:sz w:val="21"/>
          <w:szCs w:val="21"/>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rightChars="0"/>
        <w:jc w:val="center"/>
        <w:outlineLvl w:val="2"/>
        <w:rPr>
          <w:rFonts w:ascii="宋体" w:hAnsi="宋体"/>
          <w:b/>
          <w:sz w:val="24"/>
          <w:szCs w:val="24"/>
        </w:rPr>
      </w:pPr>
      <w:r>
        <w:rPr>
          <w:rFonts w:hint="eastAsia" w:ascii="宋体" w:hAnsi="宋体"/>
          <w:b/>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rFonts w:hint="eastAsia" w:ascii="宋体" w:hAnsi="宋体" w:eastAsia="宋体" w:cs="宋体"/>
              </w:rPr>
            </w:pPr>
            <w:r>
              <w:rPr>
                <w:rFonts w:hint="eastAsia" w:ascii="宋体" w:hAnsi="宋体" w:eastAsia="宋体" w:cs="宋体"/>
              </w:rPr>
              <w:t>序号</w:t>
            </w:r>
          </w:p>
        </w:tc>
        <w:tc>
          <w:tcPr>
            <w:tcW w:w="5250" w:type="dxa"/>
            <w:vAlign w:val="center"/>
          </w:tcPr>
          <w:p w14:paraId="0E73494C">
            <w:pPr>
              <w:jc w:val="center"/>
              <w:rPr>
                <w:rFonts w:hint="eastAsia" w:ascii="宋体" w:hAnsi="宋体" w:eastAsia="宋体" w:cs="宋体"/>
              </w:rPr>
            </w:pPr>
            <w:r>
              <w:rPr>
                <w:rFonts w:hint="eastAsia" w:ascii="宋体" w:hAnsi="宋体" w:eastAsia="宋体" w:cs="宋体"/>
              </w:rPr>
              <w:t>评审内容</w:t>
            </w:r>
          </w:p>
        </w:tc>
        <w:tc>
          <w:tcPr>
            <w:tcW w:w="2471" w:type="dxa"/>
          </w:tcPr>
          <w:p w14:paraId="28A4740F">
            <w:pPr>
              <w:snapToGrid w:val="0"/>
              <w:spacing w:line="360" w:lineRule="exact"/>
              <w:jc w:val="center"/>
              <w:rPr>
                <w:rFonts w:hint="eastAsia" w:ascii="宋体" w:hAnsi="宋体" w:eastAsia="宋体" w:cs="宋体"/>
                <w:b/>
                <w:sz w:val="24"/>
                <w:szCs w:val="24"/>
              </w:rPr>
            </w:pPr>
            <w:r>
              <w:rPr>
                <w:rFonts w:hint="eastAsia" w:ascii="宋体" w:hAnsi="宋体" w:eastAsia="宋体" w:cs="宋体"/>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rFonts w:hint="eastAsia" w:ascii="宋体" w:hAnsi="宋体" w:eastAsia="宋体" w:cs="宋体"/>
              </w:rPr>
            </w:pPr>
            <w:r>
              <w:rPr>
                <w:rFonts w:hint="eastAsia" w:ascii="宋体" w:hAnsi="宋体" w:eastAsia="宋体" w:cs="宋体"/>
              </w:rPr>
              <w:t>1</w:t>
            </w:r>
          </w:p>
        </w:tc>
        <w:tc>
          <w:tcPr>
            <w:tcW w:w="5250" w:type="dxa"/>
            <w:vAlign w:val="center"/>
          </w:tcPr>
          <w:p w14:paraId="2A07B2DD">
            <w:pPr>
              <w:rPr>
                <w:rFonts w:hint="eastAsia" w:ascii="宋体" w:hAnsi="宋体" w:eastAsia="宋体" w:cs="宋体"/>
              </w:rPr>
            </w:pPr>
            <w:r>
              <w:rPr>
                <w:rFonts w:hint="eastAsia" w:ascii="宋体" w:hAnsi="宋体" w:eastAsia="宋体" w:cs="宋体"/>
              </w:rPr>
              <w:t>比选申请文件按要求在规定的位置签字（或盖章）并加盖比选申请人单位公章的</w:t>
            </w:r>
          </w:p>
        </w:tc>
        <w:tc>
          <w:tcPr>
            <w:tcW w:w="2471" w:type="dxa"/>
          </w:tcPr>
          <w:p w14:paraId="415050DE">
            <w:pPr>
              <w:snapToGrid w:val="0"/>
              <w:spacing w:line="360" w:lineRule="exact"/>
              <w:ind w:right="240"/>
              <w:jc w:val="center"/>
              <w:rPr>
                <w:rFonts w:hint="eastAsia" w:ascii="宋体" w:hAnsi="宋体" w:eastAsia="宋体" w:cs="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rFonts w:hint="eastAsia" w:ascii="宋体" w:hAnsi="宋体" w:eastAsia="宋体" w:cs="宋体"/>
              </w:rPr>
            </w:pPr>
            <w:r>
              <w:rPr>
                <w:rFonts w:hint="eastAsia" w:ascii="宋体" w:hAnsi="宋体" w:eastAsia="宋体" w:cs="宋体"/>
              </w:rPr>
              <w:t>2</w:t>
            </w:r>
          </w:p>
        </w:tc>
        <w:tc>
          <w:tcPr>
            <w:tcW w:w="5250" w:type="dxa"/>
            <w:vAlign w:val="center"/>
          </w:tcPr>
          <w:p w14:paraId="3222B8E8">
            <w:pPr>
              <w:rPr>
                <w:rFonts w:hint="eastAsia" w:ascii="宋体" w:hAnsi="宋体" w:eastAsia="宋体" w:cs="宋体"/>
              </w:rPr>
            </w:pPr>
            <w:r>
              <w:rPr>
                <w:rFonts w:hint="eastAsia" w:ascii="宋体" w:hAnsi="宋体" w:eastAsia="宋体" w:cs="宋体"/>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hint="eastAsia" w:ascii="宋体" w:hAnsi="宋体" w:eastAsia="宋体" w:cs="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rFonts w:hint="eastAsia" w:ascii="宋体" w:hAnsi="宋体" w:eastAsia="宋体" w:cs="宋体"/>
              </w:rPr>
            </w:pPr>
            <w:r>
              <w:rPr>
                <w:rFonts w:hint="eastAsia" w:ascii="宋体" w:hAnsi="宋体" w:eastAsia="宋体" w:cs="宋体"/>
              </w:rPr>
              <w:t>3</w:t>
            </w:r>
          </w:p>
        </w:tc>
        <w:tc>
          <w:tcPr>
            <w:tcW w:w="5250" w:type="dxa"/>
            <w:vAlign w:val="center"/>
          </w:tcPr>
          <w:p w14:paraId="3BDAB955">
            <w:pPr>
              <w:rPr>
                <w:rFonts w:hint="eastAsia" w:ascii="宋体" w:hAnsi="宋体" w:eastAsia="宋体" w:cs="宋体"/>
              </w:rPr>
            </w:pPr>
            <w:r>
              <w:rPr>
                <w:rFonts w:hint="eastAsia" w:ascii="宋体" w:hAnsi="宋体" w:eastAsia="宋体" w:cs="宋体"/>
              </w:rPr>
              <w:t>在比选申请文件中无虚假资料的</w:t>
            </w:r>
          </w:p>
        </w:tc>
        <w:tc>
          <w:tcPr>
            <w:tcW w:w="2471" w:type="dxa"/>
          </w:tcPr>
          <w:p w14:paraId="764DFBDC">
            <w:pPr>
              <w:snapToGrid w:val="0"/>
              <w:spacing w:line="360" w:lineRule="exact"/>
              <w:ind w:right="240"/>
              <w:jc w:val="center"/>
              <w:rPr>
                <w:rFonts w:hint="eastAsia" w:ascii="宋体" w:hAnsi="宋体" w:eastAsia="宋体" w:cs="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rFonts w:hint="eastAsia" w:ascii="宋体" w:hAnsi="宋体" w:eastAsia="宋体" w:cs="宋体"/>
              </w:rPr>
            </w:pPr>
            <w:r>
              <w:rPr>
                <w:rFonts w:hint="eastAsia" w:ascii="宋体" w:hAnsi="宋体" w:eastAsia="宋体" w:cs="宋体"/>
              </w:rPr>
              <w:t>4</w:t>
            </w:r>
          </w:p>
        </w:tc>
        <w:tc>
          <w:tcPr>
            <w:tcW w:w="5250" w:type="dxa"/>
            <w:vAlign w:val="center"/>
          </w:tcPr>
          <w:p w14:paraId="795D4394">
            <w:pPr>
              <w:rPr>
                <w:rFonts w:hint="eastAsia" w:ascii="宋体" w:hAnsi="宋体" w:eastAsia="宋体" w:cs="宋体"/>
              </w:rPr>
            </w:pPr>
            <w:r>
              <w:rPr>
                <w:rFonts w:hint="eastAsia" w:ascii="宋体" w:hAnsi="宋体" w:eastAsia="宋体" w:cs="宋体"/>
              </w:rPr>
              <w:t>无比选文件、法律、法规规定的其他否决比选申请条件</w:t>
            </w:r>
          </w:p>
        </w:tc>
        <w:tc>
          <w:tcPr>
            <w:tcW w:w="2471" w:type="dxa"/>
          </w:tcPr>
          <w:p w14:paraId="6C55726D">
            <w:pPr>
              <w:snapToGrid w:val="0"/>
              <w:spacing w:line="360" w:lineRule="exact"/>
              <w:ind w:right="240"/>
              <w:jc w:val="center"/>
              <w:rPr>
                <w:rFonts w:hint="eastAsia" w:ascii="宋体" w:hAnsi="宋体" w:eastAsia="宋体" w:cs="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rightChars="0"/>
        <w:jc w:val="center"/>
        <w:outlineLvl w:val="2"/>
      </w:pPr>
      <w:r>
        <w:rPr>
          <w:rFonts w:hint="eastAsia" w:ascii="宋体" w:hAnsi="宋体"/>
          <w:b/>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386"/>
        <w:gridCol w:w="6835"/>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rFonts w:hint="eastAsia" w:ascii="宋体" w:hAnsi="宋体" w:eastAsia="宋体" w:cs="宋体"/>
              </w:rPr>
            </w:pPr>
            <w:r>
              <w:rPr>
                <w:rFonts w:hint="eastAsia" w:ascii="宋体" w:hAnsi="宋体" w:eastAsia="宋体" w:cs="宋体"/>
              </w:rPr>
              <w:t>序号</w:t>
            </w:r>
          </w:p>
        </w:tc>
        <w:tc>
          <w:tcPr>
            <w:tcW w:w="386" w:type="dxa"/>
            <w:vAlign w:val="center"/>
          </w:tcPr>
          <w:p w14:paraId="117AEBD2">
            <w:pPr>
              <w:jc w:val="center"/>
              <w:rPr>
                <w:rFonts w:hint="eastAsia" w:ascii="宋体" w:hAnsi="宋体" w:eastAsia="宋体" w:cs="宋体"/>
              </w:rPr>
            </w:pPr>
            <w:r>
              <w:rPr>
                <w:rFonts w:hint="eastAsia" w:ascii="宋体" w:hAnsi="宋体" w:eastAsia="宋体" w:cs="宋体"/>
              </w:rPr>
              <w:t>评审内容</w:t>
            </w:r>
          </w:p>
        </w:tc>
        <w:tc>
          <w:tcPr>
            <w:tcW w:w="6835" w:type="dxa"/>
            <w:vAlign w:val="center"/>
          </w:tcPr>
          <w:p w14:paraId="771C6CF6">
            <w:pPr>
              <w:jc w:val="center"/>
              <w:rPr>
                <w:rFonts w:hint="eastAsia" w:ascii="宋体" w:hAnsi="宋体" w:eastAsia="宋体" w:cs="宋体"/>
              </w:rPr>
            </w:pPr>
            <w:r>
              <w:rPr>
                <w:rFonts w:hint="eastAsia" w:ascii="宋体" w:hAnsi="宋体" w:eastAsia="宋体" w:cs="宋体"/>
              </w:rPr>
              <w:t>合格标准</w:t>
            </w:r>
          </w:p>
        </w:tc>
        <w:tc>
          <w:tcPr>
            <w:tcW w:w="915" w:type="dxa"/>
            <w:vAlign w:val="center"/>
          </w:tcPr>
          <w:p w14:paraId="007BFB09">
            <w:pPr>
              <w:snapToGrid w:val="0"/>
              <w:spacing w:line="360" w:lineRule="exact"/>
              <w:jc w:val="center"/>
              <w:rPr>
                <w:rFonts w:hint="eastAsia" w:ascii="宋体" w:hAnsi="宋体" w:eastAsia="宋体" w:cs="宋体"/>
                <w:b/>
                <w:sz w:val="24"/>
                <w:szCs w:val="24"/>
              </w:rPr>
            </w:pPr>
            <w:r>
              <w:rPr>
                <w:rFonts w:hint="eastAsia" w:ascii="宋体" w:hAnsi="宋体" w:eastAsia="宋体" w:cs="宋体"/>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rFonts w:hint="eastAsia" w:ascii="宋体" w:hAnsi="宋体" w:eastAsia="宋体" w:cs="宋体"/>
              </w:rPr>
            </w:pPr>
            <w:r>
              <w:rPr>
                <w:rFonts w:hint="eastAsia" w:ascii="宋体" w:hAnsi="宋体" w:eastAsia="宋体" w:cs="宋体"/>
              </w:rPr>
              <w:t>1</w:t>
            </w:r>
          </w:p>
        </w:tc>
        <w:tc>
          <w:tcPr>
            <w:tcW w:w="386" w:type="dxa"/>
            <w:vAlign w:val="center"/>
          </w:tcPr>
          <w:p w14:paraId="6AE49AD4">
            <w:pPr>
              <w:spacing w:line="400" w:lineRule="exact"/>
              <w:jc w:val="center"/>
              <w:rPr>
                <w:rFonts w:hint="eastAsia" w:ascii="宋体" w:hAnsi="宋体" w:eastAsia="宋体" w:cs="宋体"/>
                <w:color w:val="FF0000"/>
              </w:rPr>
            </w:pPr>
            <w:r>
              <w:rPr>
                <w:rFonts w:hint="eastAsia" w:ascii="宋体" w:hAnsi="宋体" w:eastAsia="宋体" w:cs="宋体"/>
                <w:color w:val="FF0000"/>
              </w:rPr>
              <w:t>身份证明材料</w:t>
            </w:r>
          </w:p>
        </w:tc>
        <w:tc>
          <w:tcPr>
            <w:tcW w:w="6835" w:type="dxa"/>
            <w:vAlign w:val="center"/>
          </w:tcPr>
          <w:p w14:paraId="4EE9E78A">
            <w:pPr>
              <w:spacing w:line="400" w:lineRule="exact"/>
              <w:rPr>
                <w:rFonts w:hint="eastAsia" w:ascii="宋体" w:hAnsi="宋体" w:eastAsia="宋体" w:cs="宋体"/>
              </w:rPr>
            </w:pPr>
            <w:r>
              <w:rPr>
                <w:rFonts w:hint="eastAsia" w:ascii="宋体" w:hAnsi="宋体" w:eastAsia="宋体" w:cs="宋体"/>
                <w:color w:val="FF0000"/>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jc w:val="center"/>
              <w:rPr>
                <w:rFonts w:hint="eastAsia" w:ascii="宋体" w:hAnsi="宋体" w:eastAsia="宋体" w:cs="宋体"/>
                <w:b/>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rFonts w:hint="eastAsia" w:ascii="宋体" w:hAnsi="宋体" w:eastAsia="宋体" w:cs="宋体"/>
              </w:rPr>
            </w:pPr>
            <w:r>
              <w:rPr>
                <w:rFonts w:hint="eastAsia" w:ascii="宋体" w:hAnsi="宋体" w:eastAsia="宋体" w:cs="宋体"/>
              </w:rPr>
              <w:t>2</w:t>
            </w:r>
          </w:p>
        </w:tc>
        <w:tc>
          <w:tcPr>
            <w:tcW w:w="386" w:type="dxa"/>
            <w:vAlign w:val="center"/>
          </w:tcPr>
          <w:p w14:paraId="34960FC7">
            <w:pPr>
              <w:spacing w:line="400" w:lineRule="exact"/>
              <w:jc w:val="center"/>
              <w:rPr>
                <w:rFonts w:hint="eastAsia" w:ascii="宋体" w:hAnsi="宋体" w:eastAsia="宋体" w:cs="宋体"/>
                <w:color w:val="FF0000"/>
              </w:rPr>
            </w:pPr>
            <w:r>
              <w:rPr>
                <w:rFonts w:hint="eastAsia" w:ascii="宋体" w:hAnsi="宋体" w:eastAsia="宋体" w:cs="宋体"/>
                <w:color w:val="FF0000"/>
              </w:rPr>
              <w:t>比选申请人资格</w:t>
            </w:r>
          </w:p>
        </w:tc>
        <w:tc>
          <w:tcPr>
            <w:tcW w:w="6835" w:type="dxa"/>
            <w:vAlign w:val="center"/>
          </w:tcPr>
          <w:p w14:paraId="0055051A">
            <w:pPr>
              <w:rPr>
                <w:rFonts w:hint="eastAsia" w:ascii="宋体" w:hAnsi="宋体" w:eastAsia="宋体" w:cs="宋体"/>
                <w:sz w:val="24"/>
                <w:szCs w:val="24"/>
              </w:rPr>
            </w:pPr>
            <w:r>
              <w:rPr>
                <w:rFonts w:hint="eastAsia" w:ascii="宋体" w:hAnsi="宋体" w:eastAsia="宋体" w:cs="宋体"/>
                <w:color w:val="FF0000"/>
              </w:rPr>
              <w:t>提供以下证照复印件加盖公章：</w:t>
            </w:r>
          </w:p>
          <w:p w14:paraId="4980A175">
            <w:pPr>
              <w:autoSpaceDE/>
              <w:spacing w:line="240" w:lineRule="auto"/>
              <w:rPr>
                <w:rFonts w:hint="eastAsia" w:ascii="宋体" w:hAnsi="宋体" w:eastAsia="宋体" w:cs="宋体"/>
                <w:color w:val="FF0000"/>
              </w:rPr>
            </w:pPr>
            <w:r>
              <w:rPr>
                <w:rFonts w:hint="eastAsia" w:ascii="宋体" w:hAnsi="宋体" w:eastAsia="宋体" w:cs="宋体"/>
                <w:color w:val="FF0000"/>
              </w:rPr>
              <w:t>1、营业执照</w:t>
            </w:r>
            <w:r>
              <w:rPr>
                <w:rFonts w:hint="eastAsia" w:ascii="宋体" w:hAnsi="宋体" w:eastAsia="宋体" w:cs="宋体"/>
                <w:color w:val="FF0000"/>
                <w:u w:val="none"/>
              </w:rPr>
              <w:t>。</w:t>
            </w:r>
          </w:p>
          <w:p w14:paraId="3C4A1DC4">
            <w:pPr>
              <w:spacing w:line="240" w:lineRule="auto"/>
              <w:jc w:val="left"/>
              <w:rPr>
                <w:rFonts w:hint="eastAsia" w:ascii="宋体" w:hAnsi="宋体" w:eastAsia="宋体" w:cs="宋体"/>
                <w:color w:val="FF0000"/>
                <w:sz w:val="21"/>
                <w:szCs w:val="22"/>
                <w:lang w:eastAsia="zh-CN"/>
              </w:rPr>
            </w:pPr>
            <w:r>
              <w:rPr>
                <w:rFonts w:hint="eastAsia" w:ascii="宋体" w:hAnsi="宋体" w:eastAsia="宋体" w:cs="宋体"/>
                <w:color w:val="FF0000"/>
                <w:sz w:val="21"/>
                <w:szCs w:val="22"/>
                <w:lang w:val="en-US" w:eastAsia="zh-CN"/>
              </w:rPr>
              <w:t>2、</w:t>
            </w:r>
            <w:r>
              <w:rPr>
                <w:rFonts w:hint="eastAsia" w:ascii="宋体" w:hAnsi="宋体" w:eastAsia="宋体" w:cs="宋体"/>
                <w:color w:val="FF0000"/>
                <w:sz w:val="21"/>
                <w:szCs w:val="22"/>
              </w:rPr>
              <w:t>信用信息报告(信用中国网址:https://wnww.creditchina.gov.cn/</w:t>
            </w:r>
            <w:r>
              <w:rPr>
                <w:rFonts w:hint="eastAsia" w:ascii="宋体" w:hAnsi="宋体" w:eastAsia="宋体" w:cs="宋体"/>
                <w:color w:val="FF0000"/>
                <w:sz w:val="21"/>
                <w:szCs w:val="22"/>
                <w:lang w:eastAsia="zh-CN"/>
              </w:rPr>
              <w:t>）</w:t>
            </w:r>
          </w:p>
          <w:p w14:paraId="21A0F499">
            <w:pPr>
              <w:spacing w:line="240" w:lineRule="auto"/>
              <w:jc w:val="left"/>
              <w:rPr>
                <w:rFonts w:hint="eastAsia" w:ascii="宋体" w:hAnsi="宋体" w:eastAsia="宋体" w:cs="宋体"/>
                <w:color w:val="FF0000"/>
                <w:lang w:val="en-US" w:eastAsia="zh-CN"/>
              </w:rPr>
            </w:pPr>
            <w:r>
              <w:rPr>
                <w:rFonts w:hint="eastAsia" w:ascii="宋体" w:hAnsi="宋体" w:eastAsia="宋体" w:cs="宋体"/>
                <w:color w:val="FF0000"/>
                <w:sz w:val="21"/>
                <w:szCs w:val="22"/>
                <w:lang w:val="en-US" w:eastAsia="zh-CN"/>
              </w:rPr>
              <w:t>3、</w:t>
            </w:r>
            <w:r>
              <w:rPr>
                <w:rFonts w:hint="eastAsia" w:ascii="宋体" w:hAnsi="宋体" w:eastAsia="宋体" w:cs="宋体"/>
                <w:color w:val="FF0000"/>
                <w:sz w:val="21"/>
                <w:szCs w:val="22"/>
              </w:rPr>
              <w:t>财务报表或银行资信证明（2022年 1 月 1 日至比选申请截止日期任意一年第三方出具的财务报表净利润为正值，或由基本户开户银行开具的无超期、未标注欠息、诉讼等不良记录、账户未休眠的资信证明）</w:t>
            </w:r>
            <w:r>
              <w:rPr>
                <w:rFonts w:hint="eastAsia" w:ascii="宋体" w:hAnsi="宋体" w:eastAsia="宋体" w:cs="宋体"/>
                <w:color w:val="FF0000"/>
                <w:lang w:val="en-US" w:eastAsia="zh-CN"/>
              </w:rPr>
              <w:t xml:space="preserve"> </w:t>
            </w:r>
          </w:p>
          <w:p w14:paraId="14A5681A">
            <w:pPr>
              <w:spacing w:line="400" w:lineRule="exact"/>
              <w:rPr>
                <w:rFonts w:hint="eastAsia" w:ascii="宋体" w:hAnsi="宋体" w:eastAsia="宋体" w:cs="宋体"/>
                <w:color w:val="FF0000"/>
              </w:rPr>
            </w:pPr>
            <w:r>
              <w:rPr>
                <w:rFonts w:hint="eastAsia" w:ascii="宋体" w:hAnsi="宋体" w:eastAsia="宋体" w:cs="宋体"/>
                <w:color w:val="FF0000"/>
                <w:lang w:val="en-US" w:eastAsia="zh-CN"/>
              </w:rPr>
              <w:t>4、</w:t>
            </w:r>
            <w:r>
              <w:rPr>
                <w:rFonts w:hint="eastAsia" w:ascii="宋体" w:hAnsi="宋体" w:eastAsia="宋体" w:cs="宋体"/>
                <w:color w:val="FF0000"/>
                <w:u w:val="none"/>
              </w:rPr>
              <w:t>提供1个自 2022 年1月1日至比选申请截止日期至内完成过或承接过的单项合同金额达 2</w:t>
            </w:r>
            <w:r>
              <w:rPr>
                <w:rFonts w:hint="eastAsia" w:ascii="宋体" w:hAnsi="宋体" w:eastAsia="宋体" w:cs="宋体"/>
                <w:color w:val="FF0000"/>
                <w:u w:val="none"/>
                <w:lang w:val="en-US" w:eastAsia="zh-CN"/>
              </w:rPr>
              <w:t>0</w:t>
            </w:r>
            <w:r>
              <w:rPr>
                <w:rFonts w:hint="eastAsia" w:ascii="宋体" w:hAnsi="宋体" w:eastAsia="宋体" w:cs="宋体"/>
                <w:color w:val="FF0000"/>
                <w:u w:val="none"/>
              </w:rPr>
              <w:t>万元及以上的</w:t>
            </w:r>
            <w:r>
              <w:rPr>
                <w:rFonts w:hint="eastAsia" w:ascii="宋体" w:hAnsi="宋体" w:eastAsia="宋体" w:cs="宋体"/>
                <w:color w:val="FF0000"/>
                <w:u w:val="none"/>
                <w:lang w:val="en-US" w:eastAsia="zh-CN"/>
              </w:rPr>
              <w:t>建设工程</w:t>
            </w:r>
            <w:r>
              <w:rPr>
                <w:rFonts w:hint="eastAsia" w:ascii="宋体" w:hAnsi="宋体" w:eastAsia="宋体" w:cs="宋体"/>
                <w:color w:val="FF0000"/>
                <w:u w:val="none"/>
              </w:rPr>
              <w:t>类零星材料供应的业绩合同。</w:t>
            </w:r>
            <w:r>
              <w:rPr>
                <w:rFonts w:hint="eastAsia" w:ascii="宋体" w:hAnsi="宋体" w:eastAsia="宋体" w:cs="宋体"/>
                <w:color w:val="FF0000"/>
              </w:rPr>
              <w:t>提供下述材料之一即可：①合同文件；②中标通知书。</w:t>
            </w:r>
          </w:p>
          <w:p w14:paraId="0DB5C268">
            <w:pPr>
              <w:spacing w:line="400" w:lineRule="exact"/>
              <w:rPr>
                <w:rFonts w:hint="eastAsia" w:ascii="宋体" w:hAnsi="宋体" w:eastAsia="宋体" w:cs="宋体"/>
                <w:color w:val="FF0000"/>
              </w:rPr>
            </w:pPr>
            <w:r>
              <w:rPr>
                <w:rFonts w:hint="eastAsia" w:ascii="宋体" w:hAnsi="宋体" w:eastAsia="宋体" w:cs="宋体"/>
                <w:color w:val="FF0000"/>
              </w:rPr>
              <w:t>合同内容需体现具体工程内容、合同总价、签约日期。</w:t>
            </w:r>
          </w:p>
          <w:p w14:paraId="223C446A">
            <w:pPr>
              <w:spacing w:line="480" w:lineRule="exact"/>
              <w:jc w:val="left"/>
              <w:rPr>
                <w:rFonts w:hint="eastAsia" w:ascii="宋体" w:hAnsi="宋体" w:eastAsia="宋体" w:cs="宋体"/>
                <w:color w:val="FF0000"/>
                <w:lang w:val="en-US" w:eastAsia="zh-CN"/>
              </w:rPr>
            </w:pPr>
            <w:r>
              <w:rPr>
                <w:rFonts w:hint="eastAsia" w:ascii="宋体" w:hAnsi="宋体" w:eastAsia="宋体" w:cs="宋体"/>
                <w:color w:val="FF0000"/>
              </w:rPr>
              <w:t>所提供的材料须能明确反映类似项目特征，复印件加盖公章。</w:t>
            </w:r>
          </w:p>
        </w:tc>
        <w:tc>
          <w:tcPr>
            <w:tcW w:w="915" w:type="dxa"/>
            <w:vAlign w:val="center"/>
          </w:tcPr>
          <w:p w14:paraId="01C5EEBB">
            <w:pPr>
              <w:snapToGrid w:val="0"/>
              <w:spacing w:line="400" w:lineRule="exact"/>
              <w:ind w:right="240"/>
              <w:jc w:val="center"/>
              <w:rPr>
                <w:rFonts w:hint="eastAsia" w:ascii="宋体" w:hAnsi="宋体" w:eastAsia="宋体" w:cs="宋体"/>
                <w:b/>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3</w:t>
            </w:r>
          </w:p>
        </w:tc>
        <w:tc>
          <w:tcPr>
            <w:tcW w:w="386" w:type="dxa"/>
            <w:vAlign w:val="center"/>
          </w:tcPr>
          <w:p w14:paraId="390A2F81">
            <w:pPr>
              <w:spacing w:line="400" w:lineRule="exact"/>
              <w:jc w:val="center"/>
              <w:rPr>
                <w:rFonts w:hint="eastAsia" w:ascii="宋体" w:hAnsi="宋体" w:eastAsia="宋体" w:cs="宋体"/>
                <w:color w:val="FF0000"/>
              </w:rPr>
            </w:pPr>
            <w:r>
              <w:rPr>
                <w:rFonts w:hint="eastAsia" w:ascii="宋体" w:hAnsi="宋体" w:eastAsia="宋体" w:cs="宋体"/>
                <w:color w:val="FF0000"/>
              </w:rPr>
              <w:t>承诺书</w:t>
            </w:r>
          </w:p>
        </w:tc>
        <w:tc>
          <w:tcPr>
            <w:tcW w:w="6835" w:type="dxa"/>
            <w:vAlign w:val="center"/>
          </w:tcPr>
          <w:p w14:paraId="07CCE322">
            <w:pPr>
              <w:spacing w:line="400" w:lineRule="exact"/>
              <w:rPr>
                <w:rFonts w:hint="eastAsia" w:ascii="宋体" w:hAnsi="宋体" w:eastAsia="宋体" w:cs="宋体"/>
              </w:rPr>
            </w:pPr>
            <w:r>
              <w:rPr>
                <w:rFonts w:hint="eastAsia" w:ascii="宋体" w:hAnsi="宋体" w:eastAsia="宋体" w:cs="宋体"/>
                <w:color w:val="FF0000"/>
              </w:rPr>
              <w:t>承诺书原件，按规定格式提供承诺书。</w:t>
            </w:r>
          </w:p>
        </w:tc>
        <w:tc>
          <w:tcPr>
            <w:tcW w:w="915" w:type="dxa"/>
            <w:vAlign w:val="center"/>
          </w:tcPr>
          <w:p w14:paraId="21379AD5">
            <w:pPr>
              <w:snapToGrid w:val="0"/>
              <w:spacing w:line="400" w:lineRule="exact"/>
              <w:ind w:right="240"/>
              <w:jc w:val="center"/>
              <w:rPr>
                <w:rFonts w:hint="eastAsia" w:ascii="宋体" w:hAnsi="宋体" w:eastAsia="宋体" w:cs="宋体"/>
                <w:b/>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4</w:t>
            </w:r>
          </w:p>
        </w:tc>
        <w:tc>
          <w:tcPr>
            <w:tcW w:w="386" w:type="dxa"/>
            <w:vAlign w:val="center"/>
          </w:tcPr>
          <w:p w14:paraId="536564DD">
            <w:pPr>
              <w:spacing w:line="400" w:lineRule="exact"/>
              <w:jc w:val="center"/>
              <w:rPr>
                <w:rFonts w:hint="eastAsia" w:ascii="宋体" w:hAnsi="宋体" w:eastAsia="宋体" w:cs="宋体"/>
                <w:color w:val="FF0000"/>
              </w:rPr>
            </w:pPr>
            <w:r>
              <w:rPr>
                <w:rFonts w:hint="eastAsia" w:ascii="宋体" w:hAnsi="宋体" w:eastAsia="宋体" w:cs="宋体"/>
                <w:color w:val="FF0000"/>
              </w:rPr>
              <w:t>现场交底</w:t>
            </w:r>
          </w:p>
        </w:tc>
        <w:tc>
          <w:tcPr>
            <w:tcW w:w="6835" w:type="dxa"/>
            <w:vAlign w:val="center"/>
          </w:tcPr>
          <w:p w14:paraId="7498887F">
            <w:pPr>
              <w:spacing w:line="400" w:lineRule="exact"/>
              <w:rPr>
                <w:rFonts w:hint="eastAsia" w:ascii="宋体" w:hAnsi="宋体" w:eastAsia="宋体" w:cs="宋体"/>
                <w:color w:val="FF0000"/>
                <w:lang w:val="en-US" w:eastAsia="zh-CN"/>
              </w:rPr>
            </w:pPr>
            <w:r>
              <w:rPr>
                <w:rFonts w:hint="eastAsia" w:ascii="宋体" w:hAnsi="宋体" w:eastAsia="宋体" w:cs="宋体"/>
                <w:color w:val="FF0000"/>
                <w:lang w:val="en-US" w:eastAsia="zh-CN"/>
              </w:rPr>
              <w:t>/</w:t>
            </w:r>
            <w:r>
              <w:rPr>
                <w:rFonts w:hint="eastAsia" w:ascii="宋体" w:hAnsi="宋体" w:eastAsia="宋体" w:cs="宋体"/>
                <w:color w:val="FF0000"/>
              </w:rPr>
              <w:t>。</w:t>
            </w:r>
          </w:p>
        </w:tc>
        <w:tc>
          <w:tcPr>
            <w:tcW w:w="915" w:type="dxa"/>
            <w:vAlign w:val="center"/>
          </w:tcPr>
          <w:p w14:paraId="559B5EE9">
            <w:pPr>
              <w:snapToGrid w:val="0"/>
              <w:spacing w:line="400" w:lineRule="exact"/>
              <w:ind w:right="240"/>
              <w:jc w:val="center"/>
              <w:rPr>
                <w:rFonts w:hint="eastAsia" w:ascii="宋体" w:hAnsi="宋体" w:eastAsia="宋体" w:cs="宋体"/>
                <w:b/>
                <w:sz w:val="24"/>
                <w:szCs w:val="24"/>
              </w:rPr>
            </w:pPr>
          </w:p>
        </w:tc>
      </w:tr>
    </w:tbl>
    <w:p w14:paraId="67187498">
      <w:pPr>
        <w:rPr>
          <w:b/>
          <w:bCs/>
        </w:rPr>
      </w:pPr>
      <w:r>
        <w:br w:type="page"/>
      </w:r>
    </w:p>
    <w:p w14:paraId="4F8095A1">
      <w:pPr>
        <w:rPr>
          <w:b/>
          <w:bCs/>
        </w:rPr>
      </w:pPr>
      <w:r>
        <w:rPr>
          <w:rFonts w:hint="eastAsia"/>
          <w:b/>
          <w:bCs/>
        </w:rPr>
        <w:t>附表</w:t>
      </w:r>
      <w:r>
        <w:rPr>
          <w:rFonts w:hint="eastAsia"/>
          <w:b/>
          <w:bCs/>
          <w:lang w:val="en-US" w:eastAsia="zh-CN"/>
        </w:rPr>
        <w:t>二</w:t>
      </w:r>
      <w:r>
        <w:rPr>
          <w:rFonts w:hint="eastAsia"/>
          <w:b/>
          <w:bCs/>
        </w:rPr>
        <w:t>《价格文件评分表》</w:t>
      </w:r>
    </w:p>
    <w:p w14:paraId="11C58C48">
      <w:pPr>
        <w:jc w:val="center"/>
        <w:rPr>
          <w:b/>
          <w:bCs/>
        </w:rPr>
      </w:pPr>
      <w:r>
        <w:rPr>
          <w:rFonts w:hint="eastAsia"/>
          <w:b/>
          <w:bCs/>
        </w:rPr>
        <w:t>价格文件评分表</w:t>
      </w:r>
    </w:p>
    <w:tbl>
      <w:tblPr>
        <w:tblStyle w:val="18"/>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6295"/>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FF0000"/>
              </w:rPr>
            </w:pPr>
            <w:r>
              <w:rPr>
                <w:rFonts w:hint="eastAsia"/>
                <w:color w:val="FF0000"/>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FF0000"/>
              </w:rPr>
            </w:pPr>
            <w:r>
              <w:rPr>
                <w:rFonts w:hint="eastAsia"/>
                <w:color w:val="FF0000"/>
              </w:rPr>
              <w:t>评审内容</w:t>
            </w:r>
          </w:p>
        </w:tc>
        <w:tc>
          <w:tcPr>
            <w:tcW w:w="6295" w:type="dxa"/>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FF0000"/>
              </w:rPr>
            </w:pPr>
            <w:r>
              <w:rPr>
                <w:rFonts w:hint="eastAsia"/>
                <w:color w:val="FF0000"/>
              </w:rPr>
              <w:t>评价指标</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FF0000"/>
              </w:rPr>
            </w:pPr>
            <w:r>
              <w:rPr>
                <w:rFonts w:hint="eastAsia"/>
                <w:b/>
                <w:color w:val="FF0000"/>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FF0000"/>
              </w:rPr>
            </w:pPr>
            <w:r>
              <w:rPr>
                <w:rFonts w:hint="eastAsia" w:ascii="宋体" w:hAnsi="宋体"/>
                <w:color w:val="FF0000"/>
              </w:rPr>
              <w:t>报价</w:t>
            </w:r>
          </w:p>
        </w:tc>
        <w:tc>
          <w:tcPr>
            <w:tcW w:w="6295" w:type="dxa"/>
            <w:tcBorders>
              <w:top w:val="single" w:color="auto" w:sz="4" w:space="0"/>
              <w:left w:val="single" w:color="000000" w:sz="4" w:space="0"/>
              <w:bottom w:val="single" w:color="auto" w:sz="4" w:space="0"/>
              <w:right w:val="single" w:color="auto" w:sz="4" w:space="0"/>
            </w:tcBorders>
            <w:vAlign w:val="center"/>
          </w:tcPr>
          <w:p w14:paraId="7D211FB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（1）当资格审查合格的比选申请人</w:t>
            </w:r>
            <w:r>
              <w:rPr>
                <w:rFonts w:hint="eastAsia"/>
                <w:color w:val="FF0000"/>
                <w:highlight w:val="none"/>
                <w:lang w:val="en-US" w:eastAsia="zh-CN"/>
              </w:rPr>
              <w:t>不含税</w:t>
            </w:r>
            <w:r>
              <w:rPr>
                <w:rFonts w:hint="eastAsia"/>
                <w:color w:val="FF0000"/>
                <w:highlight w:val="none"/>
              </w:rPr>
              <w:t>总报价小于或者等于上控价时，比选申请人</w:t>
            </w:r>
            <w:r>
              <w:rPr>
                <w:rFonts w:hint="eastAsia"/>
                <w:color w:val="FF0000"/>
                <w:highlight w:val="none"/>
                <w:lang w:val="en-US" w:eastAsia="zh-CN"/>
              </w:rPr>
              <w:t>不含税</w:t>
            </w:r>
            <w:r>
              <w:rPr>
                <w:rFonts w:hint="eastAsia"/>
                <w:color w:val="FF0000"/>
                <w:highlight w:val="none"/>
              </w:rPr>
              <w:t>总报价为有效报价。</w:t>
            </w:r>
          </w:p>
          <w:p w14:paraId="39BC5451">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比选申请人</w:t>
            </w:r>
            <w:r>
              <w:rPr>
                <w:rFonts w:hint="eastAsia"/>
                <w:color w:val="FF0000"/>
                <w:highlight w:val="none"/>
                <w:lang w:val="en-US" w:eastAsia="zh-CN"/>
              </w:rPr>
              <w:t>不含税</w:t>
            </w:r>
            <w:r>
              <w:rPr>
                <w:rFonts w:hint="eastAsia"/>
                <w:color w:val="FF0000"/>
                <w:highlight w:val="none"/>
              </w:rPr>
              <w:t>总报价大于上控价时比选申请文件作无效处理。</w:t>
            </w:r>
          </w:p>
          <w:p w14:paraId="42DFBA12">
            <w:pPr>
              <w:pStyle w:val="7"/>
              <w:spacing w:before="0" w:after="0" w:afterAutospacing="0" w:line="440" w:lineRule="exact"/>
              <w:ind w:left="0" w:right="0" w:firstLine="0"/>
              <w:jc w:val="left"/>
              <w:textAlignment w:val="center"/>
              <w:rPr>
                <w:rFonts w:hint="eastAsia" w:eastAsia="宋体"/>
                <w:color w:val="FF0000"/>
                <w:highlight w:val="none"/>
                <w:lang w:eastAsia="zh-CN"/>
              </w:rPr>
            </w:pPr>
            <w:r>
              <w:rPr>
                <w:rFonts w:hint="eastAsia"/>
                <w:color w:val="FF0000"/>
                <w:highlight w:val="none"/>
              </w:rPr>
              <w:t>（2）评审的</w:t>
            </w:r>
            <w:r>
              <w:rPr>
                <w:rFonts w:hint="eastAsia"/>
                <w:color w:val="FF0000"/>
                <w:highlight w:val="none"/>
                <w:lang w:val="en-US" w:eastAsia="zh-CN"/>
              </w:rPr>
              <w:t>标准</w:t>
            </w:r>
          </w:p>
          <w:p w14:paraId="79B3A6E2">
            <w:pPr>
              <w:pStyle w:val="12"/>
              <w:spacing w:before="0" w:after="0" w:afterAutospacing="0" w:line="440" w:lineRule="exact"/>
              <w:ind w:left="0" w:right="0" w:firstLine="0"/>
              <w:jc w:val="left"/>
              <w:textAlignment w:val="center"/>
              <w:rPr>
                <w:color w:val="FF0000"/>
                <w:highlight w:val="none"/>
              </w:rPr>
            </w:pPr>
            <w:r>
              <w:rPr>
                <w:rFonts w:hint="eastAsia"/>
                <w:color w:val="FF0000"/>
                <w:highlight w:val="none"/>
              </w:rPr>
              <w:t>有效报价的</w:t>
            </w:r>
            <w:r>
              <w:rPr>
                <w:rFonts w:hint="eastAsia"/>
                <w:b/>
                <w:bCs/>
                <w:color w:val="FF0000"/>
                <w:highlight w:val="none"/>
              </w:rPr>
              <w:t>不含税总报价的最低价</w:t>
            </w:r>
            <w:r>
              <w:rPr>
                <w:rFonts w:hint="eastAsia"/>
                <w:color w:val="FF0000"/>
                <w:highlight w:val="none"/>
              </w:rPr>
              <w:t>为</w:t>
            </w:r>
            <w:r>
              <w:rPr>
                <w:rFonts w:hint="eastAsia"/>
                <w:color w:val="FF0000"/>
                <w:highlight w:val="none"/>
                <w:lang w:val="en-US" w:eastAsia="zh-CN"/>
              </w:rPr>
              <w:t>第一名，以此类推</w:t>
            </w:r>
            <w:r>
              <w:rPr>
                <w:rFonts w:hint="eastAsia"/>
                <w:color w:val="FF0000"/>
                <w:highlight w:val="none"/>
              </w:rPr>
              <w:t>。</w:t>
            </w:r>
          </w:p>
        </w:tc>
      </w:tr>
    </w:tbl>
    <w:p w14:paraId="7D3D6469">
      <w:pPr>
        <w:pStyle w:val="12"/>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8"/>
        <w:tblW w:w="93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32"/>
        <w:gridCol w:w="2343"/>
        <w:gridCol w:w="2763"/>
        <w:gridCol w:w="2501"/>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343"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763"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501"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right w:val="single" w:color="auto" w:sz="4" w:space="0"/>
            </w:tcBorders>
            <w:vAlign w:val="center"/>
          </w:tcPr>
          <w:p w14:paraId="7262332F">
            <w:pPr>
              <w:jc w:val="center"/>
              <w:rPr>
                <w:rFonts w:ascii="宋体" w:hAnsi="宋体"/>
                <w:szCs w:val="21"/>
              </w:rPr>
            </w:pPr>
          </w:p>
        </w:tc>
        <w:tc>
          <w:tcPr>
            <w:tcW w:w="2343" w:type="dxa"/>
            <w:tcBorders>
              <w:left w:val="single" w:color="auto" w:sz="4" w:space="0"/>
              <w:right w:val="single" w:color="auto" w:sz="4" w:space="0"/>
            </w:tcBorders>
            <w:vAlign w:val="center"/>
          </w:tcPr>
          <w:p w14:paraId="0A41B035">
            <w:pPr>
              <w:jc w:val="center"/>
              <w:rPr>
                <w:rFonts w:ascii="宋体" w:hAnsi="宋体"/>
                <w:szCs w:val="21"/>
              </w:rPr>
            </w:pPr>
          </w:p>
        </w:tc>
        <w:tc>
          <w:tcPr>
            <w:tcW w:w="2763" w:type="dxa"/>
            <w:tcBorders>
              <w:left w:val="single" w:color="auto" w:sz="4" w:space="0"/>
              <w:right w:val="single" w:color="auto" w:sz="4" w:space="0"/>
            </w:tcBorders>
            <w:vAlign w:val="center"/>
          </w:tcPr>
          <w:p w14:paraId="69542821">
            <w:pPr>
              <w:jc w:val="center"/>
              <w:rPr>
                <w:rFonts w:ascii="宋体" w:hAnsi="宋体"/>
                <w:szCs w:val="21"/>
              </w:rPr>
            </w:pPr>
          </w:p>
        </w:tc>
        <w:tc>
          <w:tcPr>
            <w:tcW w:w="2501"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right w:val="single" w:color="auto" w:sz="4" w:space="0"/>
            </w:tcBorders>
            <w:vAlign w:val="center"/>
          </w:tcPr>
          <w:p w14:paraId="1B09C78B">
            <w:pPr>
              <w:jc w:val="center"/>
              <w:rPr>
                <w:rFonts w:ascii="宋体" w:hAnsi="宋体"/>
                <w:szCs w:val="21"/>
              </w:rPr>
            </w:pPr>
          </w:p>
        </w:tc>
        <w:tc>
          <w:tcPr>
            <w:tcW w:w="2343" w:type="dxa"/>
            <w:tcBorders>
              <w:left w:val="single" w:color="auto" w:sz="4" w:space="0"/>
              <w:right w:val="single" w:color="auto" w:sz="4" w:space="0"/>
            </w:tcBorders>
            <w:vAlign w:val="center"/>
          </w:tcPr>
          <w:p w14:paraId="58D8EB76">
            <w:pPr>
              <w:jc w:val="center"/>
              <w:rPr>
                <w:rFonts w:ascii="宋体" w:hAnsi="宋体"/>
                <w:szCs w:val="21"/>
              </w:rPr>
            </w:pPr>
          </w:p>
        </w:tc>
        <w:tc>
          <w:tcPr>
            <w:tcW w:w="2763" w:type="dxa"/>
            <w:tcBorders>
              <w:left w:val="single" w:color="auto" w:sz="4" w:space="0"/>
              <w:right w:val="single" w:color="auto" w:sz="4" w:space="0"/>
            </w:tcBorders>
            <w:vAlign w:val="center"/>
          </w:tcPr>
          <w:p w14:paraId="745DF4A1">
            <w:pPr>
              <w:jc w:val="center"/>
              <w:rPr>
                <w:rFonts w:ascii="宋体" w:hAnsi="宋体"/>
                <w:szCs w:val="21"/>
              </w:rPr>
            </w:pPr>
          </w:p>
        </w:tc>
        <w:tc>
          <w:tcPr>
            <w:tcW w:w="2501"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732"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7607"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732"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7607"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7607"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732"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7607"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szCs w:val="21"/>
              </w:rPr>
              <w:t>）本</w:t>
            </w:r>
            <w:r>
              <w:rPr>
                <w:rFonts w:hint="eastAsia" w:ascii="宋体" w:hAnsi="宋体"/>
                <w:b/>
                <w:color w:val="FF0000"/>
                <w:szCs w:val="21"/>
              </w:rPr>
              <w:t>评审办法的详细评审条款的</w:t>
            </w:r>
            <w:r>
              <w:rPr>
                <w:rFonts w:hint="eastAsia" w:ascii="宋体" w:hAnsi="宋体"/>
                <w:b/>
                <w:szCs w:val="21"/>
              </w:rPr>
              <w:t>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8" w:hRule="atLeast"/>
          <w:jc w:val="center"/>
        </w:trPr>
        <w:tc>
          <w:tcPr>
            <w:tcW w:w="1732"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7607"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07424ED1">
      <w:pPr>
        <w:widowControl/>
        <w:jc w:val="left"/>
        <w:rPr>
          <w:rFonts w:ascii="宋体" w:hAnsi="宋体" w:eastAsia="宋体"/>
          <w:b/>
          <w:bCs/>
          <w:sz w:val="36"/>
          <w:szCs w:val="36"/>
        </w:rPr>
      </w:pPr>
      <w:r>
        <w:rPr>
          <w:b/>
          <w:bCs/>
        </w:rPr>
        <w:br w:type="page"/>
      </w:r>
    </w:p>
    <w:p w14:paraId="48DC744C">
      <w:pPr>
        <w:jc w:val="center"/>
        <w:rPr>
          <w:rFonts w:ascii="宋体" w:hAnsi="宋体" w:eastAsia="宋体"/>
          <w:b/>
          <w:bCs/>
          <w:sz w:val="36"/>
          <w:szCs w:val="36"/>
        </w:rPr>
      </w:pPr>
    </w:p>
    <w:p w14:paraId="77D1F107">
      <w:pPr>
        <w:widowControl/>
        <w:jc w:val="center"/>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0AAEEA5B">
      <w:pPr>
        <w:jc w:val="center"/>
        <w:rPr>
          <w:rFonts w:ascii="宋体" w:hAnsi="宋体" w:eastAsia="宋体"/>
          <w:sz w:val="36"/>
          <w:szCs w:val="36"/>
        </w:rPr>
      </w:pPr>
      <w:r>
        <w:rPr>
          <w:rFonts w:hint="eastAsia" w:ascii="宋体" w:hAnsi="宋体" w:eastAsia="宋体"/>
          <w:sz w:val="36"/>
          <w:szCs w:val="36"/>
        </w:rPr>
        <w:t>2025年-2026年南宁轨道地产建筑工程有限责任公司零星材料集中采购（重）</w:t>
      </w: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68A03CD8">
      <w:pPr>
        <w:rPr>
          <w:rFonts w:ascii="宋体" w:hAnsi="宋体" w:eastAsia="宋体"/>
          <w:b/>
          <w:bCs/>
          <w:sz w:val="30"/>
          <w:szCs w:val="30"/>
        </w:rPr>
      </w:pPr>
      <w:r>
        <w:rPr>
          <w:rFonts w:hint="eastAsia" w:ascii="宋体" w:hAnsi="宋体" w:eastAsia="宋体"/>
          <w:b/>
          <w:bCs/>
          <w:sz w:val="30"/>
          <w:szCs w:val="30"/>
        </w:rPr>
        <w:t>第</w:t>
      </w:r>
      <w:r>
        <w:rPr>
          <w:rFonts w:hint="eastAsia" w:ascii="宋体" w:hAnsi="宋体" w:eastAsia="宋体"/>
          <w:b/>
          <w:bCs/>
          <w:sz w:val="30"/>
          <w:szCs w:val="30"/>
          <w:lang w:val="en-US" w:eastAsia="zh-CN"/>
        </w:rPr>
        <w:t>二</w:t>
      </w:r>
      <w:r>
        <w:rPr>
          <w:rFonts w:hint="eastAsia" w:ascii="宋体" w:hAnsi="宋体" w:eastAsia="宋体"/>
          <w:b/>
          <w:bCs/>
          <w:sz w:val="30"/>
          <w:szCs w:val="30"/>
        </w:rPr>
        <w:t>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7"/>
      </w:pPr>
    </w:p>
    <w:p w14:paraId="3629D7C4">
      <w:pPr>
        <w:rPr>
          <w:rFonts w:ascii="宋体" w:hAnsi="宋体" w:eastAsia="宋体"/>
          <w:b/>
          <w:bCs/>
          <w:sz w:val="36"/>
          <w:szCs w:val="36"/>
        </w:rPr>
      </w:pPr>
    </w:p>
    <w:p w14:paraId="75057931">
      <w:pPr>
        <w:jc w:val="center"/>
        <w:outlineLvl w:val="0"/>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1BCE7CE5">
      <w:pPr>
        <w:pStyle w:val="29"/>
        <w:numPr>
          <w:ilvl w:val="0"/>
          <w:numId w:val="2"/>
        </w:numPr>
        <w:ind w:left="720" w:leftChars="0" w:hanging="720" w:firstLineChars="0"/>
        <w:jc w:val="left"/>
        <w:outlineLvl w:val="0"/>
        <w:rPr>
          <w:rFonts w:ascii="宋体" w:hAnsi="宋体" w:eastAsia="宋体" w:cs="宋体"/>
          <w:b/>
          <w:bCs/>
          <w:sz w:val="32"/>
          <w:szCs w:val="32"/>
        </w:rPr>
      </w:pPr>
      <w:r>
        <w:rPr>
          <w:rFonts w:hint="eastAsia" w:ascii="宋体" w:hAnsi="宋体" w:eastAsia="宋体" w:cs="宋体"/>
          <w:b/>
          <w:bCs/>
          <w:sz w:val="32"/>
          <w:szCs w:val="32"/>
        </w:rPr>
        <w:t>身份证明</w:t>
      </w:r>
    </w:p>
    <w:p w14:paraId="01E54516">
      <w:pPr>
        <w:pStyle w:val="29"/>
        <w:spacing w:line="700" w:lineRule="exact"/>
        <w:ind w:left="720" w:leftChars="0" w:firstLine="0" w:firstLineChars="0"/>
        <w:jc w:val="center"/>
        <w:outlineLvl w:val="1"/>
        <w:rPr>
          <w:rFonts w:ascii="宋体" w:hAnsi="宋体" w:eastAsia="宋体" w:cs="宋体"/>
          <w:b/>
          <w:sz w:val="28"/>
          <w:szCs w:val="28"/>
        </w:rPr>
      </w:pPr>
      <w:r>
        <w:rPr>
          <w:rFonts w:hint="eastAsia" w:ascii="宋体" w:hAnsi="宋体" w:eastAsia="宋体" w:cs="宋体"/>
          <w:b/>
          <w:sz w:val="28"/>
          <w:szCs w:val="28"/>
        </w:rPr>
        <w:t>1、授权委托书</w:t>
      </w:r>
    </w:p>
    <w:p w14:paraId="7CFED884">
      <w:pPr>
        <w:spacing w:line="700" w:lineRule="exact"/>
        <w:ind w:firstLine="612"/>
        <w:rPr>
          <w:rFonts w:ascii="宋体" w:hAnsi="宋体" w:eastAsia="宋体" w:cs="宋体"/>
          <w:sz w:val="24"/>
          <w:szCs w:val="24"/>
        </w:rPr>
      </w:pPr>
      <w:bookmarkStart w:id="817"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eastAsia" w:ascii="宋体" w:hAnsi="宋体" w:eastAsia="宋体" w:cs="宋体"/>
          <w:b/>
          <w:bCs/>
          <w:sz w:val="24"/>
          <w:szCs w:val="24"/>
          <w:u w:val="single"/>
        </w:rPr>
        <w:t>2025年-2026年南宁轨道地产建筑工程有限责任公司零星材料集中采购（重）</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7"/>
    </w:p>
    <w:p w14:paraId="43CF343A">
      <w:pPr>
        <w:spacing w:line="700" w:lineRule="exact"/>
        <w:ind w:firstLine="480" w:firstLineChars="200"/>
        <w:rPr>
          <w:rFonts w:ascii="宋体" w:hAnsi="宋体" w:eastAsia="宋体" w:cs="宋体"/>
          <w:sz w:val="24"/>
          <w:szCs w:val="24"/>
        </w:rPr>
      </w:pPr>
      <w:bookmarkStart w:id="818" w:name="_Toc251051978"/>
      <w:r>
        <w:rPr>
          <w:rFonts w:hint="eastAsia" w:ascii="宋体" w:hAnsi="宋体" w:eastAsia="宋体" w:cs="宋体"/>
          <w:sz w:val="24"/>
          <w:szCs w:val="24"/>
        </w:rPr>
        <w:t>代理人无转委托权，特此委托。</w:t>
      </w:r>
      <w:bookmarkEnd w:id="818"/>
    </w:p>
    <w:p w14:paraId="6B10E64F">
      <w:pPr>
        <w:spacing w:line="700" w:lineRule="exact"/>
        <w:rPr>
          <w:rFonts w:ascii="宋体" w:hAnsi="宋体" w:eastAsia="宋体" w:cs="宋体"/>
          <w:sz w:val="24"/>
          <w:szCs w:val="24"/>
        </w:rPr>
      </w:pPr>
      <w:bookmarkStart w:id="819" w:name="_Toc251051981"/>
    </w:p>
    <w:p w14:paraId="5179FCBC">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9"/>
    </w:p>
    <w:p w14:paraId="539145DE">
      <w:pPr>
        <w:spacing w:line="700" w:lineRule="exact"/>
        <w:rPr>
          <w:rFonts w:ascii="宋体" w:hAnsi="宋体" w:eastAsia="宋体" w:cs="宋体"/>
          <w:sz w:val="24"/>
          <w:szCs w:val="24"/>
        </w:rPr>
      </w:pPr>
      <w:bookmarkStart w:id="820" w:name="_Toc251051979"/>
      <w:bookmarkStart w:id="821"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69AA9F93">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20"/>
      <w:bookmarkStart w:id="822"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1"/>
    <w:bookmarkEnd w:id="822"/>
    <w:p w14:paraId="29D59ECD">
      <w:pPr>
        <w:spacing w:line="700" w:lineRule="exact"/>
        <w:rPr>
          <w:rFonts w:ascii="宋体" w:hAnsi="宋体" w:eastAsia="宋体" w:cs="宋体"/>
          <w:sz w:val="24"/>
          <w:szCs w:val="24"/>
        </w:rPr>
      </w:pPr>
      <w:bookmarkStart w:id="823"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3"/>
    </w:p>
    <w:p w14:paraId="36D5F9B7">
      <w:pPr>
        <w:spacing w:line="700" w:lineRule="exact"/>
        <w:rPr>
          <w:rFonts w:ascii="宋体" w:hAnsi="宋体" w:eastAsia="宋体" w:cs="宋体"/>
          <w:sz w:val="24"/>
          <w:szCs w:val="24"/>
        </w:rPr>
      </w:pPr>
    </w:p>
    <w:p w14:paraId="4EFA2010">
      <w:pPr>
        <w:spacing w:line="700" w:lineRule="exact"/>
        <w:rPr>
          <w:rFonts w:ascii="宋体" w:hAnsi="宋体" w:eastAsia="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none"/>
        </w:rPr>
        <w:t>如无</w:t>
      </w:r>
      <w:r>
        <w:rPr>
          <w:rFonts w:ascii="宋体" w:hAnsi="宋体" w:eastAsia="宋体" w:cs="宋体"/>
          <w:sz w:val="24"/>
          <w:szCs w:val="24"/>
          <w:highlight w:val="none"/>
        </w:rPr>
        <w:t>授权</w:t>
      </w:r>
      <w:r>
        <w:rPr>
          <w:rFonts w:hint="eastAsia" w:ascii="宋体" w:hAnsi="宋体" w:eastAsia="宋体" w:cs="宋体"/>
          <w:sz w:val="24"/>
          <w:szCs w:val="24"/>
          <w:highlight w:val="none"/>
        </w:rPr>
        <w:t>时</w:t>
      </w:r>
      <w:r>
        <w:rPr>
          <w:rFonts w:hint="eastAsia" w:ascii="宋体" w:hAnsi="宋体" w:eastAsia="宋体" w:cs="宋体"/>
          <w:sz w:val="24"/>
          <w:szCs w:val="24"/>
        </w:rPr>
        <w:t>，无需提供授权委托书，只需提供法定代表人资格证明、法定代表人身份证、营业执照复印件加盖公章）。</w:t>
      </w:r>
    </w:p>
    <w:p w14:paraId="05A5BD8B">
      <w:pPr>
        <w:jc w:val="center"/>
        <w:rPr>
          <w:rFonts w:ascii="宋体" w:hAnsi="宋体" w:eastAsia="宋体" w:cs="宋体"/>
          <w:b/>
          <w:bCs/>
          <w:sz w:val="36"/>
          <w:szCs w:val="36"/>
        </w:rPr>
      </w:pPr>
    </w:p>
    <w:p w14:paraId="3D79AFAD">
      <w:pPr>
        <w:rPr>
          <w:rFonts w:ascii="宋体" w:hAnsi="宋体" w:eastAsia="宋体" w:cs="宋体"/>
          <w:b/>
          <w:bCs/>
          <w:sz w:val="36"/>
          <w:szCs w:val="36"/>
        </w:rPr>
      </w:pPr>
      <w:r>
        <w:rPr>
          <w:rFonts w:hint="eastAsia" w:ascii="宋体" w:hAnsi="宋体" w:eastAsia="宋体" w:cs="宋体"/>
          <w:b/>
          <w:bCs/>
          <w:sz w:val="36"/>
          <w:szCs w:val="36"/>
        </w:rPr>
        <w:br w:type="page"/>
      </w:r>
    </w:p>
    <w:p w14:paraId="3854FE50">
      <w:pPr>
        <w:pStyle w:val="29"/>
        <w:ind w:left="720" w:leftChars="0" w:firstLine="0" w:firstLineChars="0"/>
        <w:jc w:val="center"/>
        <w:outlineLvl w:val="1"/>
        <w:rPr>
          <w:rFonts w:ascii="宋体" w:hAnsi="宋体" w:eastAsia="宋体" w:cs="宋体"/>
          <w:b/>
          <w:sz w:val="28"/>
          <w:szCs w:val="28"/>
        </w:rPr>
      </w:pPr>
      <w:r>
        <w:rPr>
          <w:rFonts w:hint="eastAsia" w:ascii="宋体" w:hAnsi="宋体" w:eastAsia="宋体" w:cs="宋体"/>
          <w:b/>
          <w:sz w:val="28"/>
          <w:szCs w:val="28"/>
        </w:rPr>
        <w:t>2、法定代表人资格证明</w:t>
      </w:r>
    </w:p>
    <w:p w14:paraId="74C979DB">
      <w:pPr>
        <w:spacing w:line="800" w:lineRule="exact"/>
        <w:rPr>
          <w:rFonts w:ascii="宋体" w:hAnsi="宋体" w:eastAsia="宋体" w:cs="宋体"/>
          <w:kern w:val="0"/>
          <w:sz w:val="28"/>
          <w:szCs w:val="28"/>
        </w:rPr>
      </w:pPr>
    </w:p>
    <w:p w14:paraId="007091B1">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42041169">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766ADB14">
      <w:pPr>
        <w:spacing w:line="800" w:lineRule="exact"/>
        <w:rPr>
          <w:rFonts w:ascii="宋体" w:hAnsi="宋体" w:eastAsia="宋体" w:cs="宋体"/>
          <w:sz w:val="28"/>
          <w:szCs w:val="28"/>
        </w:rPr>
      </w:pPr>
    </w:p>
    <w:p w14:paraId="145CD10E">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110AF452">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6BD896B7">
      <w:pPr>
        <w:jc w:val="center"/>
        <w:rPr>
          <w:rFonts w:ascii="宋体" w:hAnsi="宋体" w:eastAsia="宋体" w:cs="宋体"/>
          <w:b/>
          <w:bCs/>
          <w:sz w:val="36"/>
          <w:szCs w:val="36"/>
        </w:rPr>
      </w:pP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29"/>
        <w:ind w:firstLine="0" w:firstLineChars="0"/>
        <w:jc w:val="left"/>
        <w:outlineLvl w:val="0"/>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74B7DDFC">
      <w:pPr>
        <w:spacing w:line="480" w:lineRule="exact"/>
        <w:jc w:val="left"/>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为中华人民共和国境内依法设立的法人或其他组织，营业执照。</w:t>
      </w:r>
    </w:p>
    <w:p w14:paraId="11853148">
      <w:pPr>
        <w:spacing w:line="480" w:lineRule="exact"/>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信用信息报告(信用中国</w:t>
      </w:r>
      <w:r>
        <w:rPr>
          <w:rFonts w:hint="eastAsia" w:ascii="宋体" w:hAnsi="宋体" w:eastAsia="宋体" w:cs="宋体"/>
          <w:sz w:val="28"/>
          <w:szCs w:val="28"/>
          <w:lang w:val="en-US" w:eastAsia="zh-CN"/>
        </w:rPr>
        <w:t>网址</w:t>
      </w:r>
      <w:r>
        <w:rPr>
          <w:rFonts w:hint="eastAsia" w:ascii="宋体" w:hAnsi="宋体" w:eastAsia="宋体" w:cs="宋体"/>
          <w:sz w:val="28"/>
          <w:szCs w:val="28"/>
        </w:rPr>
        <w:t>:https://wnww.creditchina.gov.cn/</w:t>
      </w:r>
      <w:r>
        <w:rPr>
          <w:rFonts w:hint="eastAsia" w:ascii="宋体" w:hAnsi="宋体" w:eastAsia="宋体" w:cs="宋体"/>
          <w:sz w:val="28"/>
          <w:szCs w:val="28"/>
          <w:lang w:eastAsia="zh-CN"/>
        </w:rPr>
        <w:t>）</w:t>
      </w:r>
    </w:p>
    <w:p w14:paraId="0E625C9D">
      <w:pPr>
        <w:spacing w:line="480" w:lineRule="exact"/>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财务报表或银行资信证明(2022年1月1 日至比选申请截止日期任意一年第三方出具的财务报表净利润为正值，或由基本户开户银行开具的无超期、未标注欠息、诉讼等不良记录、账户未休眠的资信证明)</w:t>
      </w:r>
      <w:r>
        <w:rPr>
          <w:rFonts w:hint="eastAsia" w:ascii="宋体" w:hAnsi="宋体" w:eastAsia="宋体" w:cs="宋体"/>
          <w:sz w:val="28"/>
          <w:szCs w:val="28"/>
          <w:lang w:eastAsia="zh-CN"/>
        </w:rPr>
        <w:t>。</w:t>
      </w:r>
    </w:p>
    <w:p w14:paraId="4DFE3C47">
      <w:pPr>
        <w:spacing w:line="480" w:lineRule="exact"/>
        <w:jc w:val="left"/>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提供1个自 2022年1月1日至比选申请截止日期至内完成过或承接过的单项合同金额达 2</w:t>
      </w:r>
      <w:r>
        <w:rPr>
          <w:rFonts w:hint="eastAsia" w:ascii="宋体" w:hAnsi="宋体" w:eastAsia="宋体" w:cs="宋体"/>
          <w:sz w:val="28"/>
          <w:szCs w:val="28"/>
          <w:lang w:val="en-US" w:eastAsia="zh-CN"/>
        </w:rPr>
        <w:t>0</w:t>
      </w:r>
      <w:r>
        <w:rPr>
          <w:rFonts w:hint="eastAsia" w:ascii="宋体" w:hAnsi="宋体" w:eastAsia="宋体" w:cs="宋体"/>
          <w:sz w:val="28"/>
          <w:szCs w:val="28"/>
        </w:rPr>
        <w:t>万元及以上的</w:t>
      </w:r>
      <w:r>
        <w:rPr>
          <w:rFonts w:hint="eastAsia" w:ascii="宋体" w:hAnsi="宋体" w:eastAsia="宋体" w:cs="宋体"/>
          <w:sz w:val="28"/>
          <w:szCs w:val="28"/>
          <w:lang w:val="en-US" w:eastAsia="zh-CN"/>
        </w:rPr>
        <w:t>建设工程</w:t>
      </w:r>
      <w:r>
        <w:rPr>
          <w:rFonts w:hint="eastAsia" w:ascii="宋体" w:hAnsi="宋体" w:eastAsia="宋体" w:cs="宋体"/>
          <w:sz w:val="28"/>
          <w:szCs w:val="28"/>
        </w:rPr>
        <w:t>类零星材料供应的业绩合同。</w:t>
      </w:r>
    </w:p>
    <w:p w14:paraId="1185CD6C">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3A587E33">
      <w:pPr>
        <w:spacing w:line="240" w:lineRule="auto"/>
        <w:jc w:val="left"/>
        <w:rPr>
          <w:rFonts w:ascii="宋体" w:hAnsi="宋体" w:eastAsia="宋体" w:cs="宋体"/>
          <w:sz w:val="24"/>
          <w:szCs w:val="24"/>
        </w:rPr>
      </w:pPr>
    </w:p>
    <w:p w14:paraId="6F1A8F56">
      <w:pPr>
        <w:outlineLvl w:val="0"/>
        <w:rPr>
          <w:rFonts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、承诺书</w:t>
      </w:r>
    </w:p>
    <w:p w14:paraId="21246220">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1、比选申请人承诺书一</w:t>
      </w:r>
    </w:p>
    <w:p w14:paraId="1AD52FD3">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4BBE7F30">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eastAsia" w:ascii="宋体" w:hAnsi="宋体" w:eastAsia="宋体" w:cs="宋体"/>
          <w:b/>
          <w:bCs/>
          <w:u w:val="single"/>
          <w:lang w:eastAsia="zh-CN"/>
        </w:rPr>
        <w:t>2025年-2026年南宁轨道地产建筑工程有限责任公司零星材料集中采购（重）</w:t>
      </w:r>
      <w:r>
        <w:rPr>
          <w:rFonts w:hint="eastAsia" w:ascii="宋体" w:hAnsi="宋体" w:eastAsia="宋体" w:cs="宋体"/>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251F874F">
      <w:pPr>
        <w:spacing w:line="440" w:lineRule="exact"/>
        <w:ind w:firstLine="200"/>
        <w:rPr>
          <w:rFonts w:ascii="宋体" w:hAnsi="宋体" w:eastAsia="宋体" w:cs="宋体"/>
        </w:rPr>
      </w:pPr>
    </w:p>
    <w:p w14:paraId="5F89D419">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160CF710">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7B5FE0D7">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E2A574A">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2、比选申请人承诺书二</w:t>
      </w:r>
    </w:p>
    <w:p w14:paraId="57D62272">
      <w:pPr>
        <w:spacing w:line="600" w:lineRule="exact"/>
        <w:ind w:firstLine="560" w:firstLineChars="200"/>
        <w:jc w:val="center"/>
        <w:rPr>
          <w:rFonts w:ascii="宋体" w:hAnsi="宋体" w:eastAsia="宋体" w:cs="宋体"/>
          <w:sz w:val="28"/>
          <w:szCs w:val="28"/>
        </w:rPr>
      </w:pPr>
    </w:p>
    <w:p w14:paraId="0F0175E1">
      <w:pPr>
        <w:spacing w:line="600" w:lineRule="exact"/>
        <w:jc w:val="left"/>
        <w:rPr>
          <w:rFonts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南宁轨道地产建筑工程有限责任公司</w:t>
      </w:r>
    </w:p>
    <w:p w14:paraId="46CEDA33">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我公司已经详细审核了</w:t>
      </w:r>
      <w:r>
        <w:rPr>
          <w:rFonts w:hint="eastAsia" w:ascii="宋体" w:hAnsi="宋体" w:eastAsia="宋体" w:cs="宋体"/>
          <w:b/>
          <w:bCs/>
          <w:sz w:val="21"/>
          <w:szCs w:val="21"/>
          <w:u w:val="single"/>
          <w:lang w:eastAsia="zh-CN"/>
        </w:rPr>
        <w:t>2025年-2026年南宁轨道地产建筑工程有限责任公司零星材料集中采购（重）</w:t>
      </w:r>
      <w:r>
        <w:rPr>
          <w:rFonts w:hint="eastAsia" w:ascii="宋体" w:hAnsi="宋体" w:eastAsia="宋体" w:cs="宋体"/>
          <w:sz w:val="21"/>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公司承诺按照比选文件中的条款和要求，提供并按照</w:t>
      </w:r>
      <w:r>
        <w:rPr>
          <w:rFonts w:hint="eastAsia" w:ascii="宋体" w:hAnsi="宋体" w:eastAsia="宋体" w:cs="宋体"/>
          <w:sz w:val="21"/>
          <w:szCs w:val="21"/>
          <w:lang w:val="en-US" w:eastAsia="zh-CN"/>
        </w:rPr>
        <w:t>合同</w:t>
      </w:r>
      <w:r>
        <w:rPr>
          <w:rFonts w:hint="eastAsia" w:ascii="宋体" w:hAnsi="宋体" w:eastAsia="宋体" w:cs="宋体"/>
          <w:sz w:val="21"/>
          <w:szCs w:val="21"/>
        </w:rPr>
        <w:t>标准和要求等完成本项目</w:t>
      </w:r>
      <w:r>
        <w:rPr>
          <w:rFonts w:hint="eastAsia" w:ascii="宋体" w:hAnsi="宋体" w:eastAsia="宋体" w:cs="宋体"/>
          <w:sz w:val="21"/>
          <w:szCs w:val="21"/>
          <w:lang w:val="en-US" w:eastAsia="zh-CN"/>
        </w:rPr>
        <w:t>供货</w:t>
      </w:r>
      <w:r>
        <w:rPr>
          <w:rFonts w:hint="eastAsia" w:ascii="宋体" w:hAnsi="宋体" w:eastAsia="宋体" w:cs="宋体"/>
          <w:sz w:val="21"/>
          <w:szCs w:val="21"/>
        </w:rPr>
        <w:t>。</w:t>
      </w:r>
    </w:p>
    <w:p w14:paraId="19294787">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sz w:val="21"/>
          <w:szCs w:val="21"/>
        </w:rPr>
      </w:pPr>
    </w:p>
    <w:p w14:paraId="3D2CDF76">
      <w:pPr>
        <w:spacing w:line="600" w:lineRule="exact"/>
        <w:ind w:firstLine="200"/>
        <w:rPr>
          <w:rFonts w:ascii="宋体" w:hAnsi="宋体" w:eastAsia="宋体" w:cs="宋体"/>
          <w:sz w:val="21"/>
          <w:szCs w:val="21"/>
        </w:rPr>
      </w:pPr>
      <w:r>
        <w:rPr>
          <w:rFonts w:hint="eastAsia" w:ascii="宋体" w:hAnsi="宋体" w:eastAsia="宋体" w:cs="宋体"/>
          <w:sz w:val="21"/>
          <w:szCs w:val="21"/>
        </w:rPr>
        <w:t>比选申请人</w:t>
      </w:r>
      <w:r>
        <w:rPr>
          <w:rFonts w:hint="eastAsia" w:ascii="宋体" w:hAnsi="宋体" w:eastAsia="宋体" w:cs="宋体"/>
          <w:sz w:val="21"/>
          <w:szCs w:val="21"/>
          <w:u w:val="single"/>
        </w:rPr>
        <w:t>：             (盖公章)</w:t>
      </w:r>
    </w:p>
    <w:p w14:paraId="0B00AE94">
      <w:pPr>
        <w:spacing w:line="600" w:lineRule="exact"/>
        <w:ind w:firstLine="200"/>
        <w:rPr>
          <w:rFonts w:ascii="宋体" w:hAnsi="宋体" w:eastAsia="宋体" w:cs="宋体"/>
          <w:sz w:val="21"/>
          <w:szCs w:val="21"/>
          <w:u w:val="single"/>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(签字或盖章)</w:t>
      </w:r>
    </w:p>
    <w:p w14:paraId="09AA913F">
      <w:pPr>
        <w:spacing w:line="600" w:lineRule="exact"/>
        <w:ind w:firstLine="2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43D8FFE9">
      <w:pPr>
        <w:pStyle w:val="7"/>
        <w:rPr>
          <w:rFonts w:ascii="宋体" w:hAnsi="宋体" w:cs="宋体"/>
          <w:sz w:val="24"/>
          <w:szCs w:val="24"/>
        </w:rPr>
      </w:pPr>
    </w:p>
    <w:p w14:paraId="7D731907">
      <w:pPr>
        <w:rPr>
          <w:rFonts w:ascii="宋体" w:hAnsi="宋体" w:eastAsia="宋体" w:cs="宋体"/>
          <w:sz w:val="24"/>
          <w:szCs w:val="24"/>
        </w:rPr>
      </w:pPr>
    </w:p>
    <w:p w14:paraId="16BA6978">
      <w:pPr>
        <w:pStyle w:val="7"/>
        <w:rPr>
          <w:rFonts w:ascii="宋体" w:hAnsi="宋体" w:cs="宋体"/>
          <w:sz w:val="24"/>
          <w:szCs w:val="24"/>
        </w:rPr>
      </w:pPr>
    </w:p>
    <w:p w14:paraId="514FD3BE">
      <w:pPr>
        <w:rPr>
          <w:rFonts w:ascii="宋体" w:hAnsi="宋体" w:cs="宋体"/>
          <w:sz w:val="24"/>
          <w:szCs w:val="24"/>
        </w:rPr>
      </w:pPr>
    </w:p>
    <w:p w14:paraId="44D4C825">
      <w:pPr>
        <w:pStyle w:val="7"/>
      </w:pPr>
    </w:p>
    <w:p w14:paraId="2112B439">
      <w:pPr>
        <w:pStyle w:val="7"/>
      </w:pPr>
    </w:p>
    <w:p w14:paraId="2C111BD7">
      <w:pPr>
        <w:rPr>
          <w:rFonts w:ascii="宋体" w:hAnsi="宋体" w:eastAsia="宋体" w:cs="宋体"/>
          <w:sz w:val="24"/>
          <w:szCs w:val="24"/>
        </w:rPr>
      </w:pPr>
    </w:p>
    <w:p w14:paraId="7ECBF2E1">
      <w:pPr>
        <w:rPr>
          <w:rFonts w:hint="eastAsia" w:ascii="宋体" w:hAnsi="宋体" w:eastAsia="宋体" w:cs="宋体"/>
          <w:b/>
          <w:sz w:val="28"/>
          <w:szCs w:val="28"/>
        </w:rPr>
      </w:pPr>
      <w:r>
        <w:rPr>
          <w:rFonts w:hint="eastAsia" w:ascii="宋体" w:hAnsi="宋体" w:eastAsia="宋体" w:cs="宋体"/>
          <w:b/>
          <w:sz w:val="28"/>
          <w:szCs w:val="28"/>
        </w:rPr>
        <w:br w:type="page"/>
      </w:r>
    </w:p>
    <w:p w14:paraId="3DF0CA44">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3、</w:t>
      </w:r>
      <w:r>
        <w:rPr>
          <w:rFonts w:hint="eastAsia" w:ascii="宋体" w:hAnsi="宋体" w:eastAsia="宋体"/>
          <w:b/>
          <w:sz w:val="28"/>
          <w:szCs w:val="28"/>
        </w:rPr>
        <w:t>货物供应承诺书</w:t>
      </w:r>
    </w:p>
    <w:p w14:paraId="11013453">
      <w:pPr>
        <w:spacing w:line="600" w:lineRule="exact"/>
        <w:ind w:firstLine="560" w:firstLineChars="200"/>
        <w:jc w:val="center"/>
        <w:rPr>
          <w:rFonts w:ascii="宋体" w:hAnsi="宋体" w:eastAsia="宋体" w:cs="宋体"/>
          <w:sz w:val="28"/>
          <w:szCs w:val="28"/>
        </w:rPr>
      </w:pPr>
    </w:p>
    <w:p w14:paraId="2EDB97B5">
      <w:pPr>
        <w:autoSpaceDE w:val="0"/>
        <w:spacing w:line="500" w:lineRule="exact"/>
        <w:jc w:val="left"/>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南宁轨道地产建筑工程有限责任公司</w:t>
      </w:r>
    </w:p>
    <w:p w14:paraId="56A0C03A">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我公司承诺按贵公司对</w:t>
      </w:r>
      <w:r>
        <w:rPr>
          <w:rFonts w:hint="eastAsia" w:ascii="宋体" w:hAnsi="宋体" w:eastAsia="宋体"/>
          <w:b/>
          <w:bCs/>
          <w:sz w:val="21"/>
          <w:szCs w:val="21"/>
          <w:u w:val="single"/>
        </w:rPr>
        <w:t>2025年-2026年南宁轨道地产建筑工程有限责任公司零星材料集中采购（重）</w:t>
      </w:r>
      <w:r>
        <w:rPr>
          <w:rFonts w:hint="eastAsia" w:ascii="宋体" w:hAnsi="宋体" w:eastAsia="宋体"/>
          <w:sz w:val="21"/>
          <w:szCs w:val="21"/>
        </w:rPr>
        <w:t>的供货时间要求。</w:t>
      </w:r>
    </w:p>
    <w:p w14:paraId="2D475C75">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我公司承诺为贵公司的上述项目提供符合国家、地方的规范、标准以及强条等质量的物资（每批次进场都要提供出厂检验报告、合格证和生产厂家资质），提供的</w:t>
      </w:r>
      <w:r>
        <w:rPr>
          <w:rFonts w:hint="eastAsia" w:ascii="宋体" w:hAnsi="宋体" w:eastAsia="宋体"/>
          <w:sz w:val="21"/>
          <w:szCs w:val="21"/>
          <w:lang w:val="en-US" w:eastAsia="zh-CN"/>
        </w:rPr>
        <w:t>货物</w:t>
      </w:r>
      <w:r>
        <w:rPr>
          <w:rFonts w:hint="eastAsia" w:ascii="宋体" w:hAnsi="宋体" w:eastAsia="宋体"/>
          <w:sz w:val="21"/>
          <w:szCs w:val="21"/>
        </w:rPr>
        <w:t>符合</w:t>
      </w:r>
      <w:r>
        <w:rPr>
          <w:rFonts w:hint="eastAsia" w:ascii="宋体" w:hAnsi="宋体" w:eastAsia="宋体"/>
          <w:sz w:val="21"/>
          <w:szCs w:val="21"/>
          <w:lang w:val="en-US" w:eastAsia="zh-CN"/>
        </w:rPr>
        <w:t>合同</w:t>
      </w:r>
      <w:r>
        <w:rPr>
          <w:rFonts w:hint="eastAsia" w:ascii="宋体" w:hAnsi="宋体" w:eastAsia="宋体"/>
          <w:sz w:val="21"/>
          <w:szCs w:val="21"/>
        </w:rPr>
        <w:t xml:space="preserve">要求，并保证满足贵司对数量的要求。 </w:t>
      </w:r>
    </w:p>
    <w:p w14:paraId="41182724">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我公司承诺将按照贵公司上述项目要求</w:t>
      </w:r>
      <w:r>
        <w:rPr>
          <w:rFonts w:hint="eastAsia" w:ascii="宋体" w:hAnsi="宋体" w:eastAsia="宋体"/>
          <w:b/>
          <w:bCs/>
          <w:sz w:val="21"/>
          <w:szCs w:val="21"/>
        </w:rPr>
        <w:t>按批次进行供货、卸货，但不增加额外费用</w:t>
      </w:r>
      <w:r>
        <w:rPr>
          <w:rFonts w:hint="eastAsia" w:ascii="宋体" w:hAnsi="宋体" w:eastAsia="宋体"/>
          <w:sz w:val="21"/>
          <w:szCs w:val="21"/>
        </w:rPr>
        <w:t>。</w:t>
      </w:r>
    </w:p>
    <w:p w14:paraId="5AA74A2D">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firstLine="560"/>
        <w:rPr>
          <w:rFonts w:ascii="宋体" w:hAnsi="宋体" w:eastAsia="宋体"/>
          <w:sz w:val="21"/>
          <w:szCs w:val="21"/>
        </w:rPr>
      </w:pPr>
      <w:r>
        <w:rPr>
          <w:rFonts w:hint="eastAsia" w:ascii="宋体" w:hAnsi="宋体" w:eastAsia="宋体"/>
          <w:sz w:val="21"/>
          <w:szCs w:val="21"/>
        </w:rPr>
        <w:t>我公司承诺本次响应上述项目的货物的供货周期为</w:t>
      </w:r>
      <w:r>
        <w:rPr>
          <w:rFonts w:hint="eastAsia" w:ascii="宋体" w:hAnsi="宋体" w:eastAsia="宋体"/>
          <w:sz w:val="21"/>
          <w:szCs w:val="21"/>
          <w:u w:val="single"/>
          <w:lang w:val="en-US" w:eastAsia="zh-CN"/>
        </w:rPr>
        <w:t>1</w:t>
      </w:r>
      <w:r>
        <w:rPr>
          <w:rFonts w:hint="eastAsia" w:ascii="宋体" w:hAnsi="宋体" w:eastAsia="宋体"/>
          <w:sz w:val="21"/>
          <w:szCs w:val="21"/>
        </w:rPr>
        <w:t>天。接到贵公司供货通知后，将所需货物及对应资料（厂检验报告、合格证和生产厂家资质）按我司响应的供货周期</w:t>
      </w:r>
      <w:r>
        <w:rPr>
          <w:rFonts w:hint="eastAsia" w:ascii="宋体" w:hAnsi="宋体" w:eastAsia="宋体"/>
          <w:sz w:val="21"/>
          <w:szCs w:val="21"/>
          <w:u w:val="single"/>
          <w:lang w:val="en-US" w:eastAsia="zh-CN"/>
        </w:rPr>
        <w:t>1</w:t>
      </w:r>
      <w:r>
        <w:rPr>
          <w:rFonts w:hint="eastAsia" w:ascii="宋体" w:hAnsi="宋体" w:eastAsia="宋体"/>
          <w:sz w:val="21"/>
          <w:szCs w:val="21"/>
        </w:rPr>
        <w:t>天运达需方指定地点，并在产品装运发车当日将发货情况向需方报告。</w:t>
      </w:r>
    </w:p>
    <w:p w14:paraId="00C44437">
      <w:pPr>
        <w:autoSpaceDE w:val="0"/>
        <w:spacing w:line="500" w:lineRule="exact"/>
        <w:ind w:firstLine="200"/>
        <w:rPr>
          <w:rFonts w:ascii="宋体" w:hAnsi="宋体" w:eastAsia="宋体"/>
          <w:sz w:val="21"/>
          <w:szCs w:val="21"/>
        </w:rPr>
      </w:pPr>
      <w:r>
        <w:rPr>
          <w:rFonts w:hint="eastAsia" w:ascii="宋体" w:hAnsi="宋体" w:eastAsia="宋体"/>
          <w:sz w:val="21"/>
          <w:szCs w:val="21"/>
        </w:rPr>
        <w:t xml:space="preserve"> </w:t>
      </w:r>
    </w:p>
    <w:p w14:paraId="342F4210">
      <w:pPr>
        <w:autoSpaceDE w:val="0"/>
        <w:spacing w:line="500" w:lineRule="exact"/>
        <w:ind w:firstLine="200"/>
        <w:rPr>
          <w:rFonts w:ascii="宋体" w:hAnsi="宋体" w:eastAsia="宋体"/>
          <w:sz w:val="21"/>
          <w:szCs w:val="21"/>
        </w:rPr>
      </w:pPr>
      <w:r>
        <w:rPr>
          <w:rFonts w:hint="eastAsia" w:ascii="宋体" w:hAnsi="宋体" w:eastAsia="宋体"/>
          <w:sz w:val="21"/>
          <w:szCs w:val="21"/>
        </w:rPr>
        <w:t>比选申请人</w:t>
      </w:r>
      <w:r>
        <w:rPr>
          <w:rFonts w:hint="eastAsia" w:ascii="宋体" w:hAnsi="宋体" w:eastAsia="宋体"/>
          <w:sz w:val="21"/>
          <w:szCs w:val="21"/>
          <w:u w:val="single"/>
        </w:rPr>
        <w:t>：(盖单位公章)</w:t>
      </w:r>
    </w:p>
    <w:p w14:paraId="4D614433">
      <w:pPr>
        <w:autoSpaceDE w:val="0"/>
        <w:spacing w:line="500" w:lineRule="exact"/>
        <w:ind w:firstLine="200"/>
        <w:rPr>
          <w:rFonts w:ascii="宋体" w:hAnsi="宋体" w:eastAsia="宋体"/>
          <w:sz w:val="21"/>
          <w:szCs w:val="21"/>
          <w:u w:val="single"/>
        </w:rPr>
      </w:pPr>
      <w:r>
        <w:rPr>
          <w:rFonts w:hint="eastAsia" w:ascii="宋体" w:hAnsi="宋体" w:eastAsia="宋体"/>
          <w:sz w:val="21"/>
          <w:szCs w:val="21"/>
        </w:rPr>
        <w:t>法定代表人（或委托代理人）：</w:t>
      </w:r>
      <w:r>
        <w:rPr>
          <w:rFonts w:hint="eastAsia" w:ascii="宋体" w:hAnsi="宋体" w:eastAsia="宋体"/>
          <w:sz w:val="21"/>
          <w:szCs w:val="21"/>
          <w:u w:val="single"/>
        </w:rPr>
        <w:t xml:space="preserve">                    (签字或盖章)</w:t>
      </w:r>
    </w:p>
    <w:p w14:paraId="64887EA6">
      <w:pPr>
        <w:autoSpaceDE w:val="0"/>
        <w:spacing w:line="500" w:lineRule="exact"/>
        <w:ind w:firstLine="200"/>
        <w:rPr>
          <w:rFonts w:ascii="宋体" w:hAnsi="宋体" w:eastAsia="宋体"/>
          <w:sz w:val="21"/>
          <w:szCs w:val="21"/>
        </w:rPr>
      </w:pPr>
      <w:r>
        <w:rPr>
          <w:rFonts w:hint="eastAsia" w:ascii="宋体" w:hAnsi="宋体" w:eastAsia="宋体"/>
          <w:sz w:val="21"/>
          <w:szCs w:val="21"/>
        </w:rPr>
        <w:t>日期：</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2335E91">
      <w:pPr>
        <w:ind w:firstLine="600" w:firstLineChars="200"/>
        <w:jc w:val="left"/>
        <w:rPr>
          <w:rFonts w:ascii="宋体" w:hAnsi="宋体" w:eastAsia="宋体" w:cs="宋体"/>
          <w:sz w:val="30"/>
          <w:szCs w:val="30"/>
        </w:rPr>
      </w:pPr>
    </w:p>
    <w:p w14:paraId="53A40B95">
      <w:pPr>
        <w:pStyle w:val="7"/>
        <w:rPr>
          <w:rFonts w:ascii="宋体" w:hAnsi="宋体" w:cs="宋体"/>
          <w:sz w:val="30"/>
          <w:szCs w:val="30"/>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0C6221F7">
      <w:pPr>
        <w:spacing w:line="480" w:lineRule="exact"/>
        <w:jc w:val="center"/>
        <w:rPr>
          <w:rFonts w:ascii="宋体" w:hAnsi="宋体" w:eastAsia="宋体" w:cs="宋体"/>
          <w:b/>
          <w:bCs/>
          <w:sz w:val="36"/>
          <w:szCs w:val="36"/>
        </w:rPr>
      </w:pPr>
      <w:r>
        <w:rPr>
          <w:rFonts w:hint="eastAsia" w:ascii="宋体" w:hAnsi="宋体" w:eastAsia="宋体" w:cs="宋体"/>
          <w:b/>
          <w:bCs/>
          <w:sz w:val="36"/>
          <w:szCs w:val="36"/>
        </w:rPr>
        <w:t>第二部分 报价文件</w:t>
      </w:r>
    </w:p>
    <w:p w14:paraId="7DF329B0">
      <w:pPr>
        <w:pStyle w:val="8"/>
        <w:ind w:left="0" w:leftChars="0" w:firstLine="0" w:firstLineChars="0"/>
        <w:rPr>
          <w:rFonts w:ascii="宋体" w:hAnsi="宋体" w:eastAsia="宋体" w:cs="宋体"/>
          <w:b/>
          <w:bCs/>
          <w:sz w:val="28"/>
          <w:szCs w:val="28"/>
        </w:rPr>
      </w:pPr>
    </w:p>
    <w:p w14:paraId="4504A247">
      <w:pPr>
        <w:pStyle w:val="8"/>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8"/>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8"/>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2A184DC3">
      <w:pPr>
        <w:pStyle w:val="7"/>
        <w:rPr>
          <w:rFonts w:hint="eastAsia" w:ascii="宋体" w:hAnsi="宋体" w:eastAsia="宋体" w:cs="宋体"/>
          <w:b/>
          <w:bCs/>
          <w:sz w:val="32"/>
          <w:szCs w:val="32"/>
        </w:rPr>
      </w:pPr>
    </w:p>
    <w:p w14:paraId="140B3C0E">
      <w:pPr>
        <w:pStyle w:val="7"/>
        <w:rPr>
          <w:rFonts w:hint="eastAsia" w:ascii="宋体" w:hAnsi="宋体" w:eastAsia="宋体" w:cs="宋体"/>
          <w:b/>
          <w:bCs/>
          <w:sz w:val="32"/>
          <w:szCs w:val="32"/>
        </w:rPr>
      </w:pPr>
    </w:p>
    <w:p w14:paraId="21A742DC">
      <w:pPr>
        <w:rPr>
          <w:rFonts w:hint="eastAsia" w:ascii="宋体" w:hAnsi="宋体" w:eastAsia="宋体" w:cs="宋体"/>
          <w:b/>
          <w:bCs/>
          <w:sz w:val="32"/>
          <w:szCs w:val="32"/>
        </w:rPr>
      </w:pPr>
    </w:p>
    <w:p w14:paraId="2E765DDF">
      <w:pPr>
        <w:pStyle w:val="7"/>
      </w:pPr>
    </w:p>
    <w:p w14:paraId="79698C9E">
      <w:pPr>
        <w:widowControl/>
        <w:jc w:val="left"/>
        <w:rPr>
          <w:rFonts w:ascii="宋体" w:hAnsi="宋体" w:eastAsia="宋体" w:cs="宋体"/>
          <w:b/>
          <w:bCs/>
          <w:sz w:val="36"/>
          <w:szCs w:val="36"/>
        </w:rPr>
      </w:pPr>
    </w:p>
    <w:p w14:paraId="6EDF9001">
      <w:pPr>
        <w:pStyle w:val="7"/>
        <w:rPr>
          <w:rFonts w:ascii="宋体" w:hAnsi="宋体" w:cs="宋体"/>
          <w:b/>
          <w:bCs/>
          <w:sz w:val="36"/>
          <w:szCs w:val="36"/>
        </w:rPr>
      </w:pPr>
    </w:p>
    <w:p w14:paraId="054CA2E0">
      <w:pPr>
        <w:rPr>
          <w:rFonts w:ascii="宋体" w:hAnsi="宋体" w:eastAsia="宋体" w:cs="宋体"/>
        </w:rPr>
      </w:pPr>
    </w:p>
    <w:p w14:paraId="568985DB">
      <w:pPr>
        <w:jc w:val="center"/>
        <w:rPr>
          <w:rFonts w:ascii="宋体" w:hAnsi="宋体" w:eastAsia="宋体" w:cs="宋体"/>
          <w:b/>
          <w:bCs/>
          <w:sz w:val="36"/>
          <w:szCs w:val="36"/>
        </w:rPr>
      </w:pPr>
    </w:p>
    <w:p w14:paraId="15702AAD">
      <w:pPr>
        <w:widowControl/>
        <w:jc w:val="left"/>
        <w:rPr>
          <w:rFonts w:ascii="宋体" w:hAnsi="宋体" w:eastAsia="宋体" w:cs="宋体"/>
          <w:b/>
          <w:bCs/>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DB92DB1-6547-473B-AD70-5FD77987BE8D}"/>
  </w:font>
  <w:font w:name="等线">
    <w:panose1 w:val="02010600030101010101"/>
    <w:charset w:val="86"/>
    <w:family w:val="auto"/>
    <w:pitch w:val="default"/>
    <w:sig w:usb0="A00002BF" w:usb1="38CF7CFA" w:usb2="00000016" w:usb3="00000000" w:csb0="0004000F" w:csb1="00000000"/>
    <w:embedRegular r:id="rId2" w:fontKey="{E6671C92-A21E-433C-97D1-3010C169783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859C6EF6-CA56-4ECB-9531-861A2281FC19}"/>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A0B26">
    <w:pPr>
      <w:pStyle w:val="1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BAFD09">
                          <w:pPr>
                            <w:pStyle w:val="14"/>
                            <w:jc w:val="center"/>
                            <w:rPr>
                              <w:rFonts w:hint="default" w:eastAsiaTheme="minorEastAsia"/>
                              <w:lang w:val="en-US" w:eastAsia="zh-CN"/>
                            </w:rP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w:t>
                          </w:r>
                          <w:r>
                            <w:rPr>
                              <w:rFonts w:hint="eastAsia"/>
                              <w:lang w:val="en-US" w:eastAsia="zh-CN"/>
                            </w:rPr>
                            <w:t>49</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EBAFD09">
                    <w:pPr>
                      <w:pStyle w:val="14"/>
                      <w:jc w:val="center"/>
                      <w:rPr>
                        <w:rFonts w:hint="default" w:eastAsiaTheme="minorEastAsia"/>
                        <w:lang w:val="en-US" w:eastAsia="zh-CN"/>
                      </w:rP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w:t>
                    </w:r>
                    <w:r>
                      <w:rPr>
                        <w:rFonts w:hint="eastAsia"/>
                        <w:lang w:val="en-US" w:eastAsia="zh-CN"/>
                      </w:rPr>
                      <w:t>49</w:t>
                    </w:r>
                  </w:p>
                </w:txbxContent>
              </v:textbox>
            </v:shape>
          </w:pict>
        </mc:Fallback>
      </mc:AlternateContent>
    </w:r>
  </w:p>
  <w:p w14:paraId="33EDB6A1">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2412A4"/>
    <w:rsid w:val="0F3479B4"/>
    <w:rsid w:val="0F5D63CD"/>
    <w:rsid w:val="0F7A0D2D"/>
    <w:rsid w:val="0F8D1B79"/>
    <w:rsid w:val="0FD51400"/>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6F6921"/>
    <w:rsid w:val="139E0753"/>
    <w:rsid w:val="13B86493"/>
    <w:rsid w:val="14250B1D"/>
    <w:rsid w:val="146D732C"/>
    <w:rsid w:val="147E12BF"/>
    <w:rsid w:val="148D32B1"/>
    <w:rsid w:val="14922675"/>
    <w:rsid w:val="14D0319D"/>
    <w:rsid w:val="15A22D8C"/>
    <w:rsid w:val="162A064B"/>
    <w:rsid w:val="165E4F6A"/>
    <w:rsid w:val="16D2774D"/>
    <w:rsid w:val="16FE49B0"/>
    <w:rsid w:val="1700420E"/>
    <w:rsid w:val="17060160"/>
    <w:rsid w:val="172F4AF3"/>
    <w:rsid w:val="17742506"/>
    <w:rsid w:val="17887D5F"/>
    <w:rsid w:val="179D0D76"/>
    <w:rsid w:val="179E0C70"/>
    <w:rsid w:val="17C35302"/>
    <w:rsid w:val="17F04282"/>
    <w:rsid w:val="18370023"/>
    <w:rsid w:val="18371EB1"/>
    <w:rsid w:val="183A3CE1"/>
    <w:rsid w:val="1844733F"/>
    <w:rsid w:val="18AF5EEB"/>
    <w:rsid w:val="18C35823"/>
    <w:rsid w:val="18D45952"/>
    <w:rsid w:val="1945415A"/>
    <w:rsid w:val="194C4AC8"/>
    <w:rsid w:val="19983BCC"/>
    <w:rsid w:val="19A86DB6"/>
    <w:rsid w:val="19F33CB9"/>
    <w:rsid w:val="19FB3199"/>
    <w:rsid w:val="1AC14671"/>
    <w:rsid w:val="1AC75042"/>
    <w:rsid w:val="1AD13776"/>
    <w:rsid w:val="1AE31E7C"/>
    <w:rsid w:val="1B3E7BBA"/>
    <w:rsid w:val="1B440441"/>
    <w:rsid w:val="1B722614"/>
    <w:rsid w:val="1B7828A4"/>
    <w:rsid w:val="1B801CC8"/>
    <w:rsid w:val="1B88172B"/>
    <w:rsid w:val="1B9A62B3"/>
    <w:rsid w:val="1BAB226E"/>
    <w:rsid w:val="1C093368"/>
    <w:rsid w:val="1C20736E"/>
    <w:rsid w:val="1C3F5943"/>
    <w:rsid w:val="1C5D0211"/>
    <w:rsid w:val="1C642CF5"/>
    <w:rsid w:val="1C8D752E"/>
    <w:rsid w:val="1CC46C32"/>
    <w:rsid w:val="1D0D1432"/>
    <w:rsid w:val="1D0E1A25"/>
    <w:rsid w:val="1D3D2FA4"/>
    <w:rsid w:val="1D807E56"/>
    <w:rsid w:val="1D8E6A35"/>
    <w:rsid w:val="1D903E12"/>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925E82"/>
    <w:rsid w:val="24D34D10"/>
    <w:rsid w:val="251834B6"/>
    <w:rsid w:val="25E66CC5"/>
    <w:rsid w:val="25E87C00"/>
    <w:rsid w:val="25F80F5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4877C3"/>
    <w:rsid w:val="28610884"/>
    <w:rsid w:val="288B2282"/>
    <w:rsid w:val="28AB49E9"/>
    <w:rsid w:val="28F113D4"/>
    <w:rsid w:val="291B0A33"/>
    <w:rsid w:val="293935AF"/>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5A4537"/>
    <w:rsid w:val="305F48F9"/>
    <w:rsid w:val="30790154"/>
    <w:rsid w:val="30AE4883"/>
    <w:rsid w:val="30D20571"/>
    <w:rsid w:val="31251541"/>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796F56"/>
    <w:rsid w:val="34831B82"/>
    <w:rsid w:val="34AE06E2"/>
    <w:rsid w:val="34C72965"/>
    <w:rsid w:val="34D01715"/>
    <w:rsid w:val="34D85FC1"/>
    <w:rsid w:val="34E07AAC"/>
    <w:rsid w:val="35216B3A"/>
    <w:rsid w:val="355D23D3"/>
    <w:rsid w:val="358D4A67"/>
    <w:rsid w:val="35B73253"/>
    <w:rsid w:val="35C75553"/>
    <w:rsid w:val="35D501BC"/>
    <w:rsid w:val="35EF127D"/>
    <w:rsid w:val="35FA6EBB"/>
    <w:rsid w:val="364770C9"/>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EA0701"/>
    <w:rsid w:val="3C36556B"/>
    <w:rsid w:val="3C4B742A"/>
    <w:rsid w:val="3C53008C"/>
    <w:rsid w:val="3C554F79"/>
    <w:rsid w:val="3C6B7ACC"/>
    <w:rsid w:val="3C97266F"/>
    <w:rsid w:val="3D2A34E3"/>
    <w:rsid w:val="3D566086"/>
    <w:rsid w:val="3D621EB8"/>
    <w:rsid w:val="3E2D53F7"/>
    <w:rsid w:val="3E320C4C"/>
    <w:rsid w:val="3E721CCA"/>
    <w:rsid w:val="3E7B6F01"/>
    <w:rsid w:val="3E8135D7"/>
    <w:rsid w:val="3E9618C5"/>
    <w:rsid w:val="3EAF1EF2"/>
    <w:rsid w:val="3EBD7ADC"/>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596145"/>
    <w:rsid w:val="415E04EE"/>
    <w:rsid w:val="41F3318B"/>
    <w:rsid w:val="428E5E9A"/>
    <w:rsid w:val="43064811"/>
    <w:rsid w:val="434D7F2B"/>
    <w:rsid w:val="43525542"/>
    <w:rsid w:val="43A044FF"/>
    <w:rsid w:val="43D67301"/>
    <w:rsid w:val="43E048FB"/>
    <w:rsid w:val="43EC14F2"/>
    <w:rsid w:val="440F6F8F"/>
    <w:rsid w:val="442567B2"/>
    <w:rsid w:val="4430585A"/>
    <w:rsid w:val="44620AE1"/>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1269E"/>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B23D2"/>
    <w:rsid w:val="4E4168DE"/>
    <w:rsid w:val="4E50267E"/>
    <w:rsid w:val="4F1279A4"/>
    <w:rsid w:val="4F1638C7"/>
    <w:rsid w:val="4F1F4003"/>
    <w:rsid w:val="4F35568B"/>
    <w:rsid w:val="4F3D7235"/>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20C2D5F"/>
    <w:rsid w:val="523A5B1F"/>
    <w:rsid w:val="523B6EAF"/>
    <w:rsid w:val="52670DFD"/>
    <w:rsid w:val="52762A77"/>
    <w:rsid w:val="528D5C4E"/>
    <w:rsid w:val="52E53CDC"/>
    <w:rsid w:val="53996FC4"/>
    <w:rsid w:val="53F824DC"/>
    <w:rsid w:val="548D7640"/>
    <w:rsid w:val="55061B79"/>
    <w:rsid w:val="55366A71"/>
    <w:rsid w:val="557F199D"/>
    <w:rsid w:val="55CF743F"/>
    <w:rsid w:val="55ED46B3"/>
    <w:rsid w:val="560721BC"/>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881EC7"/>
    <w:rsid w:val="5DA463E6"/>
    <w:rsid w:val="5E465A3C"/>
    <w:rsid w:val="5E5802C6"/>
    <w:rsid w:val="5E6511F0"/>
    <w:rsid w:val="5E76464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F27EFF"/>
    <w:rsid w:val="642108EC"/>
    <w:rsid w:val="64744EC0"/>
    <w:rsid w:val="647924D6"/>
    <w:rsid w:val="647A7108"/>
    <w:rsid w:val="65586590"/>
    <w:rsid w:val="656007BB"/>
    <w:rsid w:val="65755781"/>
    <w:rsid w:val="65D34FAF"/>
    <w:rsid w:val="65E676F8"/>
    <w:rsid w:val="66061B48"/>
    <w:rsid w:val="661A3845"/>
    <w:rsid w:val="66482160"/>
    <w:rsid w:val="668F5FE1"/>
    <w:rsid w:val="66B141AA"/>
    <w:rsid w:val="66BC06A7"/>
    <w:rsid w:val="674F751F"/>
    <w:rsid w:val="67801DCE"/>
    <w:rsid w:val="679327D7"/>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131586"/>
    <w:rsid w:val="6A141367"/>
    <w:rsid w:val="6A615EE7"/>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AE5A41"/>
    <w:rsid w:val="72E10A70"/>
    <w:rsid w:val="72E826C1"/>
    <w:rsid w:val="72F06E48"/>
    <w:rsid w:val="72F5541E"/>
    <w:rsid w:val="73233E20"/>
    <w:rsid w:val="73667C95"/>
    <w:rsid w:val="73AC4413"/>
    <w:rsid w:val="73C96FD0"/>
    <w:rsid w:val="743C0E2B"/>
    <w:rsid w:val="74A0760B"/>
    <w:rsid w:val="74B27425"/>
    <w:rsid w:val="74E67714"/>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D7109D"/>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Intense Quote"/>
    <w:basedOn w:val="24"/>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Char"/>
    <w:basedOn w:val="20"/>
    <w:link w:val="15"/>
    <w:autoRedefine/>
    <w:qFormat/>
    <w:uiPriority w:val="99"/>
    <w:rPr>
      <w:sz w:val="18"/>
      <w:szCs w:val="18"/>
    </w:rPr>
  </w:style>
  <w:style w:type="character" w:customStyle="1" w:styleId="27">
    <w:name w:val="页脚 Char"/>
    <w:basedOn w:val="20"/>
    <w:link w:val="14"/>
    <w:autoRedefine/>
    <w:qFormat/>
    <w:uiPriority w:val="99"/>
    <w:rPr>
      <w:sz w:val="18"/>
      <w:szCs w:val="18"/>
    </w:rPr>
  </w:style>
  <w:style w:type="character" w:customStyle="1" w:styleId="28">
    <w:name w:val="批注框文本 Char"/>
    <w:basedOn w:val="20"/>
    <w:link w:val="13"/>
    <w:autoRedefine/>
    <w:semiHidden/>
    <w:qFormat/>
    <w:uiPriority w:val="99"/>
    <w:rPr>
      <w:sz w:val="18"/>
      <w:szCs w:val="18"/>
    </w:rPr>
  </w:style>
  <w:style w:type="paragraph" w:styleId="29">
    <w:name w:val="List Paragraph"/>
    <w:basedOn w:val="1"/>
    <w:autoRedefine/>
    <w:qFormat/>
    <w:uiPriority w:val="99"/>
    <w:pPr>
      <w:ind w:firstLine="420" w:firstLineChars="200"/>
    </w:pPr>
  </w:style>
  <w:style w:type="character" w:customStyle="1" w:styleId="30">
    <w:name w:val="批注文字 Char"/>
    <w:basedOn w:val="20"/>
    <w:link w:val="6"/>
    <w:autoRedefine/>
    <w:semiHidden/>
    <w:qFormat/>
    <w:uiPriority w:val="99"/>
  </w:style>
  <w:style w:type="character" w:customStyle="1" w:styleId="31">
    <w:name w:val="批注主题 Char"/>
    <w:basedOn w:val="30"/>
    <w:link w:val="17"/>
    <w:autoRedefine/>
    <w:semiHidden/>
    <w:qFormat/>
    <w:uiPriority w:val="99"/>
    <w:rPr>
      <w:b/>
      <w:bCs/>
    </w:rPr>
  </w:style>
  <w:style w:type="character" w:customStyle="1" w:styleId="32">
    <w:name w:val="标题 3 Char"/>
    <w:basedOn w:val="20"/>
    <w:link w:val="4"/>
    <w:autoRedefine/>
    <w:qFormat/>
    <w:uiPriority w:val="9"/>
    <w:rPr>
      <w:rFonts w:ascii="Times New Roman" w:hAnsi="Times New Roman" w:eastAsia="宋体" w:cs="Times New Roman"/>
      <w:b/>
      <w:kern w:val="0"/>
      <w:sz w:val="24"/>
      <w:szCs w:val="24"/>
    </w:rPr>
  </w:style>
  <w:style w:type="character" w:customStyle="1" w:styleId="33">
    <w:name w:val="标题 2 Char"/>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Char"/>
    <w:basedOn w:val="20"/>
    <w:link w:val="12"/>
    <w:autoRedefine/>
    <w:qFormat/>
    <w:uiPriority w:val="99"/>
    <w:rPr>
      <w:rFonts w:ascii="宋体" w:hAnsi="Courier New" w:eastAsia="宋体" w:cs="宋体"/>
      <w:kern w:val="0"/>
      <w:sz w:val="20"/>
      <w:szCs w:val="20"/>
    </w:rPr>
  </w:style>
  <w:style w:type="character" w:customStyle="1" w:styleId="35">
    <w:name w:val="标题 1 Char"/>
    <w:basedOn w:val="20"/>
    <w:link w:val="2"/>
    <w:autoRedefine/>
    <w:qFormat/>
    <w:uiPriority w:val="9"/>
    <w:rPr>
      <w:b/>
      <w:bCs/>
      <w:kern w:val="44"/>
      <w:sz w:val="44"/>
      <w:szCs w:val="44"/>
    </w:rPr>
  </w:style>
  <w:style w:type="character" w:customStyle="1" w:styleId="36">
    <w:name w:val="正文文本 Char"/>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04380-2339-4832-A3B7-0EAB2FA85471}">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1443</Words>
  <Characters>1661</Characters>
  <Lines>190</Lines>
  <Paragraphs>53</Paragraphs>
  <TotalTime>1</TotalTime>
  <ScaleCrop>false</ScaleCrop>
  <LinksUpToDate>false</LinksUpToDate>
  <CharactersWithSpaces>1702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123</cp:lastModifiedBy>
  <dcterms:modified xsi:type="dcterms:W3CDTF">2025-11-11T03:04:19Z</dcterms:modified>
  <cp:revision>1355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BB34266E698D465BAB34C30D9A6E546C_13</vt:lpwstr>
  </property>
  <property fmtid="{D5CDD505-2E9C-101B-9397-08002B2CF9AE}" pid="4" name="KSOTemplateDocerSaveRecord">
    <vt:lpwstr>eyJoZGlkIjoiMWY3ZWU2MmVlMDJmZTQxMzUyMmY3Y2UwYzVlNjY5MGQiLCJ1c2VySWQiOiI0MTc4OTgwOTgifQ==</vt:lpwstr>
  </property>
</Properties>
</file>