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jc w:val="center"/>
        <w:rPr>
          <w:rFonts w:ascii="宋体" w:hAnsi="宋体" w:eastAsia="宋体"/>
          <w:color w:val="auto"/>
          <w:sz w:val="48"/>
          <w:szCs w:val="48"/>
          <w:highlight w:val="none"/>
          <w:u w:val="single"/>
        </w:rPr>
      </w:pPr>
    </w:p>
    <w:p w14:paraId="79A02DF4">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广西泛铝件先进制造（迁江）基地一期A区工程市政工程专业分包</w:t>
      </w:r>
    </w:p>
    <w:p w14:paraId="43D3FCAC">
      <w:pPr>
        <w:jc w:val="center"/>
        <w:rPr>
          <w:rFonts w:ascii="宋体" w:hAnsi="宋体" w:eastAsia="宋体"/>
          <w:color w:val="auto"/>
          <w:sz w:val="36"/>
          <w:szCs w:val="36"/>
          <w:highlight w:val="none"/>
        </w:rPr>
      </w:pPr>
    </w:p>
    <w:p w14:paraId="64E8136E">
      <w:pPr>
        <w:jc w:val="center"/>
        <w:rPr>
          <w:rFonts w:ascii="宋体" w:hAnsi="宋体" w:eastAsia="宋体"/>
          <w:color w:val="auto"/>
          <w:sz w:val="36"/>
          <w:szCs w:val="36"/>
          <w:highlight w:val="none"/>
        </w:rPr>
      </w:pPr>
    </w:p>
    <w:p w14:paraId="649B08F6">
      <w:pPr>
        <w:jc w:val="center"/>
        <w:rPr>
          <w:rFonts w:ascii="宋体" w:hAnsi="宋体" w:eastAsia="宋体"/>
          <w:color w:val="auto"/>
          <w:sz w:val="36"/>
          <w:szCs w:val="36"/>
          <w:highlight w:val="none"/>
        </w:rPr>
      </w:pPr>
    </w:p>
    <w:p w14:paraId="001E7EC2">
      <w:pPr>
        <w:jc w:val="center"/>
        <w:rPr>
          <w:rFonts w:ascii="宋体" w:hAnsi="宋体" w:eastAsia="宋体"/>
          <w:color w:val="auto"/>
          <w:sz w:val="36"/>
          <w:szCs w:val="36"/>
          <w:highlight w:val="none"/>
        </w:rPr>
      </w:pPr>
    </w:p>
    <w:p w14:paraId="39BE3709">
      <w:pPr>
        <w:jc w:val="center"/>
        <w:rPr>
          <w:rFonts w:ascii="宋体" w:hAnsi="宋体" w:eastAsia="宋体"/>
          <w:color w:val="auto"/>
          <w:sz w:val="36"/>
          <w:szCs w:val="36"/>
          <w:highlight w:val="none"/>
        </w:rPr>
      </w:pPr>
    </w:p>
    <w:p w14:paraId="0F2E0431">
      <w:pPr>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5814B2F4">
      <w:pPr>
        <w:jc w:val="center"/>
        <w:rPr>
          <w:rFonts w:ascii="宋体" w:hAnsi="宋体" w:eastAsia="宋体"/>
          <w:color w:val="auto"/>
          <w:sz w:val="36"/>
          <w:szCs w:val="36"/>
          <w:highlight w:val="none"/>
        </w:rPr>
      </w:pPr>
    </w:p>
    <w:p w14:paraId="7C0092F9">
      <w:pPr>
        <w:jc w:val="center"/>
        <w:rPr>
          <w:rFonts w:ascii="宋体" w:hAnsi="宋体" w:eastAsia="宋体"/>
          <w:color w:val="auto"/>
          <w:sz w:val="36"/>
          <w:szCs w:val="36"/>
          <w:highlight w:val="none"/>
        </w:rPr>
      </w:pPr>
    </w:p>
    <w:p w14:paraId="0E3716A7">
      <w:pPr>
        <w:jc w:val="center"/>
        <w:rPr>
          <w:rFonts w:ascii="宋体" w:hAnsi="宋体" w:eastAsia="宋体"/>
          <w:color w:val="auto"/>
          <w:sz w:val="36"/>
          <w:szCs w:val="36"/>
          <w:highlight w:val="none"/>
        </w:rPr>
      </w:pPr>
    </w:p>
    <w:p w14:paraId="4D42D352">
      <w:pPr>
        <w:jc w:val="center"/>
        <w:rPr>
          <w:rFonts w:ascii="宋体" w:hAnsi="宋体" w:eastAsia="宋体"/>
          <w:color w:val="auto"/>
          <w:sz w:val="36"/>
          <w:szCs w:val="36"/>
          <w:highlight w:val="none"/>
        </w:rPr>
      </w:pPr>
    </w:p>
    <w:p w14:paraId="33D06A9B">
      <w:pPr>
        <w:jc w:val="center"/>
        <w:rPr>
          <w:rFonts w:ascii="宋体" w:hAnsi="宋体" w:eastAsia="宋体"/>
          <w:color w:val="auto"/>
          <w:sz w:val="36"/>
          <w:szCs w:val="36"/>
          <w:highlight w:val="none"/>
        </w:rPr>
      </w:pPr>
    </w:p>
    <w:p w14:paraId="5DF0B93C">
      <w:pPr>
        <w:jc w:val="center"/>
        <w:rPr>
          <w:rFonts w:ascii="宋体" w:hAnsi="宋体" w:eastAsia="宋体"/>
          <w:color w:val="auto"/>
          <w:sz w:val="36"/>
          <w:szCs w:val="36"/>
          <w:highlight w:val="none"/>
        </w:rPr>
      </w:pPr>
    </w:p>
    <w:p w14:paraId="4AD1A570">
      <w:pPr>
        <w:jc w:val="center"/>
        <w:rPr>
          <w:rFonts w:ascii="宋体" w:hAnsi="宋体" w:eastAsia="宋体"/>
          <w:color w:val="auto"/>
          <w:sz w:val="36"/>
          <w:szCs w:val="36"/>
          <w:highlight w:val="none"/>
        </w:rPr>
      </w:pPr>
    </w:p>
    <w:p w14:paraId="355BAA5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2025年9月</w:t>
      </w:r>
    </w:p>
    <w:p w14:paraId="6614330F">
      <w:pPr>
        <w:jc w:val="center"/>
        <w:rPr>
          <w:rFonts w:ascii="宋体" w:hAnsi="宋体" w:eastAsia="宋体"/>
          <w:color w:val="auto"/>
          <w:sz w:val="36"/>
          <w:szCs w:val="36"/>
          <w:highlight w:val="none"/>
        </w:rPr>
      </w:pPr>
    </w:p>
    <w:p w14:paraId="6DD8481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eastAsia="zh-CN"/>
        </w:rPr>
        <w:t>邀请函</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68241E1">
      <w:pPr>
        <w:jc w:val="center"/>
        <w:rPr>
          <w:rFonts w:ascii="宋体" w:hAnsi="宋体" w:eastAsia="宋体"/>
          <w:color w:val="auto"/>
          <w:sz w:val="36"/>
          <w:szCs w:val="36"/>
          <w:highlight w:val="none"/>
        </w:rPr>
      </w:pPr>
    </w:p>
    <w:p w14:paraId="4F379D9E">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2A686583">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广西泛铝件先进制造（迁江）基地一期A区工程市政工程专业分包</w:t>
      </w: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比选公告</w:t>
      </w:r>
    </w:p>
    <w:p w14:paraId="187A62D2">
      <w:pPr>
        <w:pStyle w:val="3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广西泛铝件先进制造（迁江）基地一期A区工程市政工程专业分包</w:t>
      </w:r>
    </w:p>
    <w:p w14:paraId="70D60000">
      <w:pPr>
        <w:pStyle w:val="3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w:t>
      </w:r>
      <w:r>
        <w:rPr>
          <w:rFonts w:hint="eastAsia" w:ascii="宋体" w:hAnsi="宋体" w:eastAsia="宋体"/>
          <w:color w:val="auto"/>
          <w:sz w:val="24"/>
          <w:szCs w:val="24"/>
          <w:highlight w:val="none"/>
          <w:u w:val="single"/>
          <w:lang w:val="en-US" w:eastAsia="zh-CN"/>
        </w:rPr>
        <w:t>大写：肆佰柒拾肆万壹仟伍佰贰拾捌元柒角肆分，小写：￥4741528.74</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DD5E69F">
      <w:pPr>
        <w:pStyle w:val="36"/>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宋体" w:hAnsi="宋体" w:eastAsia="宋体"/>
          <w:color w:val="auto"/>
          <w:sz w:val="24"/>
          <w:szCs w:val="24"/>
          <w:highlight w:val="none"/>
          <w:u w:val="single"/>
          <w:lang w:val="en-US" w:eastAsia="zh-CN"/>
        </w:rPr>
        <w:t>248日历天</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暂定工期2025年10月15日至2026年6月20日，实际</w:t>
      </w:r>
      <w:r>
        <w:rPr>
          <w:rFonts w:hint="eastAsia" w:ascii="宋体" w:hAnsi="宋体" w:eastAsia="宋体"/>
          <w:color w:val="auto"/>
          <w:sz w:val="24"/>
          <w:szCs w:val="24"/>
          <w:highlight w:val="none"/>
        </w:rPr>
        <w:t>开工日期以比选人实际发出的开工令时间为准）；比选申请人的施工工期不能影响施工总进度工期；严格按比选人节点完成合同内容；如超期的，超期赔偿由比选申请人承担。</w:t>
      </w:r>
    </w:p>
    <w:p w14:paraId="2E2E2B2E">
      <w:pPr>
        <w:pStyle w:val="3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ascii="宋体" w:hAnsi="宋体" w:eastAsia="宋体"/>
          <w:color w:val="auto"/>
          <w:sz w:val="24"/>
          <w:szCs w:val="24"/>
          <w:highlight w:val="none"/>
          <w:u w:val="single"/>
          <w:lang w:val="en-US" w:eastAsia="zh-CN"/>
        </w:rPr>
        <w:t>来宾市迁江工业园。</w:t>
      </w:r>
    </w:p>
    <w:p w14:paraId="492B5EEA">
      <w:pPr>
        <w:pStyle w:val="3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6"/>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3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36"/>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6"/>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游然</w:t>
      </w:r>
    </w:p>
    <w:p w14:paraId="15379FB4">
      <w:pPr>
        <w:pStyle w:val="36"/>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74FB830D">
      <w:pPr>
        <w:pStyle w:val="36"/>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2118670933@qq.com</w:t>
      </w:r>
    </w:p>
    <w:p w14:paraId="4B719ECA">
      <w:pPr>
        <w:pStyle w:val="36"/>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36"/>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36"/>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 月 日</w:t>
      </w:r>
    </w:p>
    <w:p w14:paraId="2893BF57">
      <w:pPr>
        <w:pStyle w:val="36"/>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p>
    <w:p w14:paraId="723293DC">
      <w:pPr>
        <w:pStyle w:val="36"/>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3BC86B6">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27"/>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62E2A61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（1）为中华人民共和国境内依法设立的法人或其他组织,具备市政公用工程施工专业承包资质，以及有效的安全生产许可证。</w:t>
            </w:r>
          </w:p>
          <w:p w14:paraId="5D4E07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（2）拟配置项目管理机构要求：</w:t>
            </w:r>
          </w:p>
          <w:p w14:paraId="762083B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①拟配置项目负责人：具有市政工程专业二级或以上建造师注册证书及安全考核B证。</w:t>
            </w:r>
          </w:p>
          <w:p w14:paraId="5134020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②拟配置项目管理人员：技术负责人1人，具有中级或以上工程师职称；专职安全员1人，具有安全员证及安全考核C证（广西以外若无岗位证书的必须提供安全考核C证）</w:t>
            </w:r>
          </w:p>
          <w:p w14:paraId="2A5DA3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（3）信用信息报告（信用中国网址：https://www.creditchina.gov.cn/）（列入失信被执行人、重大税收违法失信主体、政府采购严重违法失信行为记录名单的，将被拒绝参与本次采购活动。）</w:t>
            </w:r>
          </w:p>
          <w:p w14:paraId="57C4972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0CF35D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（5）提供一个自2022年1月1日至比选申请截止日期至内完成过或在建单项合同金额达240万元及以上市政工程类业绩合同</w:t>
            </w:r>
            <w:r>
              <w:rPr>
                <w:rFonts w:hint="eastAsia" w:ascii="宋体" w:hAnsi="宋体" w:eastAsia="宋体"/>
                <w:color w:val="auto"/>
                <w:sz w:val="24"/>
                <w:szCs w:val="24"/>
                <w:highlight w:val="none"/>
                <w:lang w:eastAsia="zh-CN"/>
              </w:rPr>
              <w:t>。</w:t>
            </w:r>
          </w:p>
          <w:p w14:paraId="719188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741939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70BE0E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472C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21127A2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33449D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484D0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6AB18E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需提交 履约担保。</w:t>
            </w:r>
          </w:p>
          <w:p w14:paraId="056CC7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承包人提供履约担保的形式、金额及期限的：承包人在收到中标通知书后，须在30 日内，以现金、银行保函、工程担保、电子保函或保证保险等形式向发包人提交本签约合同价扣除发包人材料设备价款、暂估专业工程、暂列金额后的2.5%的履约保证金，现金转账至如下银行账号：</w:t>
            </w:r>
          </w:p>
          <w:p w14:paraId="63D2BF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开户银行：中国建设银行股份有限公司南宁金湖北路支行</w:t>
            </w:r>
          </w:p>
          <w:p w14:paraId="7DDD71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开户名称：45001604264050702251  </w:t>
            </w:r>
          </w:p>
          <w:p w14:paraId="089B4B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账号：南宁轨道地产建筑工程有限责任公司</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4</w:t>
            </w:r>
          </w:p>
        </w:tc>
        <w:tc>
          <w:tcPr>
            <w:tcW w:w="1559" w:type="dxa"/>
            <w:vAlign w:val="center"/>
          </w:tcPr>
          <w:p w14:paraId="02E1040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5</w:t>
            </w:r>
          </w:p>
        </w:tc>
        <w:tc>
          <w:tcPr>
            <w:tcW w:w="1559" w:type="dxa"/>
            <w:vAlign w:val="center"/>
          </w:tcPr>
          <w:p w14:paraId="58D0F76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6</w:t>
            </w:r>
          </w:p>
        </w:tc>
        <w:tc>
          <w:tcPr>
            <w:tcW w:w="1559" w:type="dxa"/>
            <w:vAlign w:val="center"/>
          </w:tcPr>
          <w:p w14:paraId="3818F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6831C6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7</w:t>
            </w:r>
          </w:p>
        </w:tc>
        <w:tc>
          <w:tcPr>
            <w:tcW w:w="1559" w:type="dxa"/>
            <w:vAlign w:val="center"/>
          </w:tcPr>
          <w:p w14:paraId="173658E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8</w:t>
            </w:r>
          </w:p>
        </w:tc>
        <w:tc>
          <w:tcPr>
            <w:tcW w:w="1559" w:type="dxa"/>
            <w:vAlign w:val="center"/>
          </w:tcPr>
          <w:p w14:paraId="471BEE1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19</w:t>
            </w:r>
          </w:p>
        </w:tc>
        <w:tc>
          <w:tcPr>
            <w:tcW w:w="1559" w:type="dxa"/>
            <w:vAlign w:val="center"/>
          </w:tcPr>
          <w:p w14:paraId="27F05CA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73D9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20</w:t>
            </w:r>
          </w:p>
        </w:tc>
        <w:tc>
          <w:tcPr>
            <w:tcW w:w="1559" w:type="dxa"/>
            <w:vAlign w:val="center"/>
          </w:tcPr>
          <w:p w14:paraId="08D8CFD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1</w:t>
            </w:r>
          </w:p>
        </w:tc>
        <w:tc>
          <w:tcPr>
            <w:tcW w:w="1559" w:type="dxa"/>
            <w:vAlign w:val="center"/>
          </w:tcPr>
          <w:p w14:paraId="41BDAD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2</w:t>
            </w:r>
          </w:p>
        </w:tc>
        <w:tc>
          <w:tcPr>
            <w:tcW w:w="1559" w:type="dxa"/>
            <w:vAlign w:val="center"/>
          </w:tcPr>
          <w:p w14:paraId="5B1C03A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3</w:t>
            </w:r>
          </w:p>
        </w:tc>
        <w:tc>
          <w:tcPr>
            <w:tcW w:w="1559" w:type="dxa"/>
            <w:vAlign w:val="center"/>
          </w:tcPr>
          <w:p w14:paraId="6C38DC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4</w:t>
            </w:r>
          </w:p>
        </w:tc>
        <w:tc>
          <w:tcPr>
            <w:tcW w:w="1559" w:type="dxa"/>
            <w:vAlign w:val="center"/>
          </w:tcPr>
          <w:p w14:paraId="6FB735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704B0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20399299">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83891170"/>
      <w:bookmarkStart w:id="1" w:name="_Toc385427795"/>
      <w:bookmarkStart w:id="2" w:name="_Toc375039066"/>
      <w:bookmarkStart w:id="3" w:name="_Toc492478720"/>
      <w:bookmarkStart w:id="4" w:name="_Toc390098421"/>
      <w:bookmarkStart w:id="5" w:name="_Toc25786"/>
      <w:bookmarkStart w:id="6" w:name="_Toc22845"/>
      <w:bookmarkStart w:id="7" w:name="_Toc12940"/>
      <w:bookmarkStart w:id="8" w:name="_Toc10653"/>
      <w:bookmarkStart w:id="9" w:name="_Toc7797"/>
      <w:bookmarkStart w:id="10" w:name="_Toc30498"/>
      <w:bookmarkStart w:id="11" w:name="_Toc307"/>
      <w:bookmarkStart w:id="12" w:name="_Toc22115"/>
      <w:bookmarkStart w:id="13" w:name="_Toc24844"/>
      <w:bookmarkStart w:id="14" w:name="_Toc7306"/>
      <w:bookmarkStart w:id="15" w:name="_Toc114134610"/>
      <w:bookmarkStart w:id="16" w:name="_Toc25750593"/>
      <w:bookmarkStart w:id="17" w:name="_Toc12983507"/>
      <w:bookmarkStart w:id="18" w:name="_Toc29859"/>
      <w:bookmarkStart w:id="19" w:name="_Toc31477"/>
      <w:bookmarkStart w:id="20" w:name="_Toc8288"/>
      <w:bookmarkStart w:id="21" w:name="_Toc9929"/>
      <w:bookmarkStart w:id="22" w:name="_Toc17568"/>
      <w:bookmarkStart w:id="23" w:name="_Toc29401"/>
      <w:bookmarkStart w:id="24" w:name="_Toc17075"/>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26150"/>
      <w:bookmarkStart w:id="26" w:name="_Toc23794"/>
      <w:bookmarkStart w:id="27" w:name="_Toc383891177"/>
      <w:bookmarkStart w:id="28" w:name="_Toc4384"/>
      <w:bookmarkStart w:id="29" w:name="_Toc21673"/>
      <w:bookmarkStart w:id="30" w:name="_Toc375039073"/>
      <w:bookmarkStart w:id="31" w:name="_Toc1733"/>
      <w:bookmarkStart w:id="32" w:name="_Toc18350"/>
      <w:bookmarkStart w:id="33" w:name="_Toc11259"/>
      <w:bookmarkStart w:id="34" w:name="_Toc385427802"/>
      <w:bookmarkStart w:id="35" w:name="_Toc16435"/>
      <w:bookmarkStart w:id="36" w:name="_Toc114134617"/>
      <w:bookmarkStart w:id="37" w:name="_Toc13418"/>
      <w:bookmarkStart w:id="38" w:name="_Toc16186"/>
      <w:bookmarkStart w:id="39" w:name="_Toc2819"/>
      <w:bookmarkStart w:id="40" w:name="_Toc12456"/>
      <w:bookmarkStart w:id="41" w:name="_Toc390098428"/>
      <w:bookmarkStart w:id="42" w:name="_Toc12983514"/>
      <w:bookmarkStart w:id="43" w:name="_Toc26680"/>
      <w:bookmarkStart w:id="44" w:name="_Toc492478727"/>
      <w:bookmarkStart w:id="45" w:name="_Toc12074"/>
      <w:bookmarkStart w:id="46" w:name="_Toc25750600"/>
      <w:bookmarkStart w:id="47" w:name="_Toc9592"/>
      <w:bookmarkStart w:id="48" w:name="_Toc29862"/>
      <w:bookmarkStart w:id="49" w:name="_Toc20025"/>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5570"/>
      <w:bookmarkStart w:id="51" w:name="_Toc390098429"/>
      <w:bookmarkStart w:id="52" w:name="_Toc22026"/>
      <w:bookmarkStart w:id="53" w:name="_Toc24935"/>
      <w:bookmarkStart w:id="54" w:name="_Toc11161"/>
      <w:bookmarkStart w:id="55" w:name="_Toc3492"/>
      <w:bookmarkStart w:id="56" w:name="_Toc492478728"/>
      <w:bookmarkStart w:id="57" w:name="_Toc12983515"/>
      <w:bookmarkStart w:id="58" w:name="_Toc375039074"/>
      <w:bookmarkStart w:id="59" w:name="_Toc9887"/>
      <w:bookmarkStart w:id="60" w:name="_Toc114134618"/>
      <w:bookmarkStart w:id="61" w:name="_Toc6261"/>
      <w:bookmarkStart w:id="62" w:name="_Toc24857"/>
      <w:bookmarkStart w:id="63" w:name="_Toc26753"/>
      <w:bookmarkStart w:id="64" w:name="_Toc383891178"/>
      <w:bookmarkStart w:id="65" w:name="_Toc385427803"/>
      <w:bookmarkStart w:id="66" w:name="_Toc1047"/>
      <w:bookmarkStart w:id="67" w:name="_Toc28296"/>
      <w:bookmarkStart w:id="68" w:name="_Toc16237"/>
      <w:bookmarkStart w:id="69" w:name="_Toc25770"/>
      <w:bookmarkStart w:id="70" w:name="_Toc12207"/>
      <w:bookmarkStart w:id="71" w:name="_Toc11040"/>
      <w:bookmarkStart w:id="72" w:name="_Toc19885"/>
      <w:bookmarkStart w:id="73" w:name="_Toc28065"/>
      <w:bookmarkStart w:id="74" w:name="_Toc25750601"/>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19681"/>
      <w:bookmarkStart w:id="76" w:name="_Toc25750602"/>
      <w:bookmarkStart w:id="77" w:name="_Toc492478729"/>
      <w:bookmarkStart w:id="78" w:name="_Toc53"/>
      <w:bookmarkStart w:id="79" w:name="_Toc3411"/>
      <w:bookmarkStart w:id="80" w:name="_Toc16307"/>
      <w:bookmarkStart w:id="81" w:name="_Toc14323"/>
      <w:bookmarkStart w:id="82" w:name="_Toc23364"/>
      <w:bookmarkStart w:id="83" w:name="_Toc390098430"/>
      <w:bookmarkStart w:id="84" w:name="_Toc375039075"/>
      <w:bookmarkStart w:id="85" w:name="_Toc114134619"/>
      <w:bookmarkStart w:id="86" w:name="_Toc24760"/>
      <w:bookmarkStart w:id="87" w:name="_Toc12983516"/>
      <w:bookmarkStart w:id="88" w:name="_Toc28164"/>
      <w:bookmarkStart w:id="89" w:name="_Toc30991"/>
      <w:bookmarkStart w:id="90" w:name="_Toc30356"/>
      <w:bookmarkStart w:id="91" w:name="_Toc3464"/>
      <w:bookmarkStart w:id="92" w:name="_Toc15809"/>
      <w:bookmarkStart w:id="93" w:name="_Toc22476"/>
      <w:bookmarkStart w:id="94" w:name="_Toc3877"/>
      <w:bookmarkStart w:id="95" w:name="_Toc383891179"/>
      <w:bookmarkStart w:id="96" w:name="_Toc23229"/>
      <w:bookmarkStart w:id="97" w:name="_Toc385427804"/>
      <w:bookmarkStart w:id="98" w:name="_Toc18149"/>
      <w:bookmarkStart w:id="99" w:name="_Toc29881"/>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7194"/>
      <w:bookmarkStart w:id="101" w:name="_Toc21144"/>
      <w:bookmarkStart w:id="102" w:name="_Toc15448"/>
      <w:bookmarkStart w:id="103" w:name="_Toc20248"/>
      <w:bookmarkStart w:id="104" w:name="_Toc25750603"/>
      <w:bookmarkStart w:id="105" w:name="_Toc23002"/>
      <w:bookmarkStart w:id="106" w:name="_Toc20490"/>
      <w:bookmarkStart w:id="107" w:name="_Toc492478730"/>
      <w:bookmarkStart w:id="108" w:name="_Toc675"/>
      <w:bookmarkStart w:id="109" w:name="_Toc14630"/>
      <w:bookmarkStart w:id="110" w:name="_Toc2395"/>
      <w:bookmarkStart w:id="111" w:name="_Toc383891180"/>
      <w:bookmarkStart w:id="112" w:name="_Toc15919"/>
      <w:bookmarkStart w:id="113" w:name="_Toc114134620"/>
      <w:bookmarkStart w:id="114" w:name="_Toc3670"/>
      <w:bookmarkStart w:id="115" w:name="_Toc390098431"/>
      <w:bookmarkStart w:id="116" w:name="_Toc27019"/>
      <w:bookmarkStart w:id="117" w:name="_Toc7608"/>
      <w:bookmarkStart w:id="118" w:name="_Toc8151"/>
      <w:bookmarkStart w:id="119" w:name="_Toc16783"/>
      <w:bookmarkStart w:id="120" w:name="_Toc11211"/>
      <w:bookmarkStart w:id="121" w:name="_Toc14308"/>
      <w:bookmarkStart w:id="122" w:name="_Toc12983517"/>
      <w:bookmarkStart w:id="123" w:name="_Toc385427805"/>
      <w:bookmarkStart w:id="124" w:name="_Toc375039076"/>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85427806"/>
      <w:bookmarkStart w:id="126" w:name="_Toc3799"/>
      <w:bookmarkStart w:id="127" w:name="_Toc114134621"/>
      <w:bookmarkStart w:id="128" w:name="_Toc9416"/>
      <w:bookmarkStart w:id="129" w:name="_Toc7857"/>
      <w:bookmarkStart w:id="130" w:name="_Toc20685"/>
      <w:bookmarkStart w:id="131" w:name="_Toc3813"/>
      <w:bookmarkStart w:id="132" w:name="_Toc17526"/>
      <w:bookmarkStart w:id="133" w:name="_Toc21084"/>
      <w:bookmarkStart w:id="134" w:name="_Toc390098432"/>
      <w:bookmarkStart w:id="135" w:name="_Toc12983518"/>
      <w:bookmarkStart w:id="136" w:name="_Toc24264"/>
      <w:bookmarkStart w:id="137" w:name="_Toc492478731"/>
      <w:bookmarkStart w:id="138" w:name="_Toc26482"/>
      <w:bookmarkStart w:id="139" w:name="_Toc22295"/>
      <w:bookmarkStart w:id="140" w:name="_Toc16653"/>
      <w:bookmarkStart w:id="141" w:name="_Toc17338"/>
      <w:bookmarkStart w:id="142" w:name="_Toc25750604"/>
      <w:bookmarkStart w:id="143" w:name="_Toc26974"/>
      <w:bookmarkStart w:id="144" w:name="_Toc17379"/>
      <w:bookmarkStart w:id="145" w:name="_Toc383891181"/>
      <w:bookmarkStart w:id="146" w:name="_Toc375039077"/>
      <w:bookmarkStart w:id="147" w:name="_Toc6671"/>
      <w:bookmarkStart w:id="148" w:name="_Toc14123"/>
      <w:bookmarkStart w:id="149" w:name="_Toc31743"/>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385427807"/>
      <w:bookmarkStart w:id="151" w:name="_Toc12947"/>
      <w:bookmarkStart w:id="152" w:name="_Toc390098433"/>
      <w:bookmarkStart w:id="153" w:name="_Toc18875"/>
      <w:bookmarkStart w:id="154" w:name="_Toc375039078"/>
      <w:bookmarkStart w:id="155" w:name="_Toc2710"/>
      <w:bookmarkStart w:id="156" w:name="_Toc21430"/>
      <w:bookmarkStart w:id="157" w:name="_Toc25750605"/>
      <w:bookmarkStart w:id="158" w:name="_Toc21706"/>
      <w:bookmarkStart w:id="159" w:name="_Toc28880"/>
      <w:bookmarkStart w:id="160" w:name="_Toc25459"/>
      <w:bookmarkStart w:id="161" w:name="_Toc12983519"/>
      <w:bookmarkStart w:id="162" w:name="_Toc15940"/>
      <w:bookmarkStart w:id="163" w:name="_Toc492478732"/>
      <w:bookmarkStart w:id="164" w:name="_Toc10220"/>
      <w:bookmarkStart w:id="165" w:name="_Toc28476"/>
      <w:bookmarkStart w:id="166" w:name="_Toc114134622"/>
      <w:bookmarkStart w:id="167" w:name="_Toc26064"/>
      <w:bookmarkStart w:id="168" w:name="_Toc1664"/>
      <w:bookmarkStart w:id="169" w:name="_Toc20156"/>
      <w:bookmarkStart w:id="170" w:name="_Toc383891182"/>
      <w:bookmarkStart w:id="171" w:name="_Toc5836"/>
      <w:bookmarkStart w:id="172" w:name="_Toc12762"/>
      <w:bookmarkStart w:id="173" w:name="_Toc7428"/>
      <w:bookmarkStart w:id="174" w:name="_Toc21448"/>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383891186"/>
      <w:bookmarkStart w:id="176" w:name="_Toc24656"/>
      <w:bookmarkStart w:id="177" w:name="_Toc492478736"/>
      <w:bookmarkStart w:id="178" w:name="_Toc28555"/>
      <w:bookmarkStart w:id="179" w:name="_Toc9117"/>
      <w:bookmarkStart w:id="180" w:name="_Toc2268"/>
      <w:bookmarkStart w:id="181" w:name="_Toc28997"/>
      <w:bookmarkStart w:id="182" w:name="_Toc25750607"/>
      <w:bookmarkStart w:id="183" w:name="_Toc390098437"/>
      <w:bookmarkStart w:id="184" w:name="_Toc385427811"/>
      <w:bookmarkStart w:id="185" w:name="_Toc845"/>
      <w:bookmarkStart w:id="186" w:name="_Toc20493"/>
      <w:bookmarkStart w:id="187" w:name="_Toc7808"/>
      <w:bookmarkStart w:id="188" w:name="_Toc12983521"/>
      <w:bookmarkStart w:id="189" w:name="_Toc691"/>
      <w:bookmarkStart w:id="190" w:name="_Toc20070"/>
      <w:bookmarkStart w:id="191" w:name="_Toc114134624"/>
      <w:bookmarkStart w:id="192" w:name="_Toc1604"/>
      <w:bookmarkStart w:id="193" w:name="_Toc10918"/>
      <w:bookmarkStart w:id="194" w:name="_Toc4433"/>
      <w:bookmarkStart w:id="195" w:name="_Toc30499"/>
      <w:bookmarkStart w:id="196" w:name="_Toc23114"/>
      <w:bookmarkStart w:id="197" w:name="_Toc375039082"/>
      <w:bookmarkStart w:id="198" w:name="_Toc20643"/>
      <w:bookmarkStart w:id="199" w:name="_Toc569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19044"/>
      <w:bookmarkStart w:id="201" w:name="_Toc492478737"/>
      <w:bookmarkStart w:id="202" w:name="_Toc14672"/>
      <w:bookmarkStart w:id="203" w:name="_Toc383891187"/>
      <w:bookmarkStart w:id="204" w:name="_Toc8100"/>
      <w:bookmarkStart w:id="205" w:name="_Toc6065"/>
      <w:bookmarkStart w:id="206" w:name="_Toc301"/>
      <w:bookmarkStart w:id="207" w:name="_Toc12435"/>
      <w:bookmarkStart w:id="208" w:name="_Toc12506"/>
      <w:bookmarkStart w:id="209" w:name="_Toc29108"/>
      <w:bookmarkStart w:id="210" w:name="_Toc32525"/>
      <w:bookmarkStart w:id="211" w:name="_Toc19603"/>
      <w:bookmarkStart w:id="212" w:name="_Toc375039083"/>
      <w:bookmarkStart w:id="213" w:name="_Toc12983522"/>
      <w:bookmarkStart w:id="214" w:name="_Toc390098438"/>
      <w:bookmarkStart w:id="215" w:name="_Toc27730"/>
      <w:bookmarkStart w:id="216" w:name="_Toc32020"/>
      <w:bookmarkStart w:id="217" w:name="_Toc24922"/>
      <w:bookmarkStart w:id="218" w:name="_Toc3414"/>
      <w:bookmarkStart w:id="219" w:name="_Toc4216"/>
      <w:bookmarkStart w:id="220" w:name="_Toc25468"/>
      <w:bookmarkStart w:id="221" w:name="_Toc385427812"/>
      <w:bookmarkStart w:id="222" w:name="_Toc25684"/>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75039084"/>
      <w:bookmarkStart w:id="224" w:name="_Toc390098439"/>
      <w:bookmarkStart w:id="225" w:name="_Toc383891188"/>
      <w:bookmarkStart w:id="226" w:name="_Toc385427813"/>
      <w:bookmarkStart w:id="227" w:name="_Toc492478738"/>
      <w:bookmarkStart w:id="228" w:name="_Toc26776"/>
      <w:bookmarkStart w:id="229" w:name="_Toc26551"/>
      <w:bookmarkStart w:id="230" w:name="_Toc1952"/>
      <w:bookmarkStart w:id="231" w:name="_Toc2975"/>
      <w:bookmarkStart w:id="232" w:name="_Toc32054"/>
      <w:bookmarkStart w:id="233" w:name="_Toc15116"/>
      <w:bookmarkStart w:id="234" w:name="_Toc1315"/>
      <w:bookmarkStart w:id="235" w:name="_Toc23177"/>
      <w:bookmarkStart w:id="236" w:name="_Toc30962"/>
      <w:bookmarkStart w:id="237" w:name="_Toc16409"/>
      <w:bookmarkStart w:id="238" w:name="_Toc18322"/>
      <w:bookmarkStart w:id="239" w:name="_Toc6101"/>
      <w:bookmarkStart w:id="240" w:name="_Toc114134625"/>
      <w:bookmarkStart w:id="241" w:name="_Toc2113"/>
      <w:bookmarkStart w:id="242" w:name="_Toc10234"/>
      <w:bookmarkStart w:id="243" w:name="_Toc30452"/>
      <w:bookmarkStart w:id="244" w:name="_Toc759"/>
      <w:bookmarkStart w:id="245" w:name="_Toc12983523"/>
      <w:bookmarkStart w:id="246" w:name="_Toc30187"/>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390098440"/>
      <w:bookmarkStart w:id="248" w:name="_Toc24648"/>
      <w:bookmarkStart w:id="249" w:name="_Toc17200"/>
      <w:bookmarkStart w:id="250" w:name="_Toc385427814"/>
      <w:bookmarkStart w:id="251" w:name="_Toc19495"/>
      <w:bookmarkStart w:id="252" w:name="_Toc15735"/>
      <w:bookmarkStart w:id="253" w:name="_Toc13829"/>
      <w:bookmarkStart w:id="254" w:name="_Toc12117"/>
      <w:bookmarkStart w:id="255" w:name="_Toc13875"/>
      <w:bookmarkStart w:id="256" w:name="_Toc5922"/>
      <w:bookmarkStart w:id="257" w:name="_Toc383891189"/>
      <w:bookmarkStart w:id="258" w:name="_Toc15650"/>
      <w:bookmarkStart w:id="259" w:name="_Toc30196"/>
      <w:bookmarkStart w:id="260" w:name="_Toc12329"/>
      <w:bookmarkStart w:id="261" w:name="_Toc25750609"/>
      <w:bookmarkStart w:id="262" w:name="_Toc492478739"/>
      <w:bookmarkStart w:id="263" w:name="_Toc15071"/>
      <w:bookmarkStart w:id="264" w:name="_Toc12983524"/>
      <w:bookmarkStart w:id="265" w:name="_Toc375039085"/>
      <w:bookmarkStart w:id="266" w:name="_Toc13621"/>
      <w:bookmarkStart w:id="267" w:name="_Toc18616"/>
      <w:bookmarkStart w:id="268" w:name="_Toc15663"/>
      <w:bookmarkStart w:id="269" w:name="_Toc9307"/>
      <w:bookmarkStart w:id="270" w:name="_Toc26249"/>
      <w:bookmarkStart w:id="271" w:name="_Toc114134626"/>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75039086"/>
      <w:bookmarkStart w:id="274" w:name="_Toc383891190"/>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5750610"/>
      <w:bookmarkStart w:id="277" w:name="_Toc13883"/>
      <w:bookmarkStart w:id="278" w:name="_Toc11039"/>
      <w:bookmarkStart w:id="279" w:name="_Toc6339"/>
      <w:bookmarkStart w:id="280" w:name="_Toc22445"/>
      <w:bookmarkStart w:id="281" w:name="_Toc114134627"/>
      <w:bookmarkStart w:id="282" w:name="_Toc4735"/>
      <w:bookmarkStart w:id="283" w:name="_Toc492478740"/>
      <w:bookmarkStart w:id="284" w:name="_Toc16266"/>
      <w:bookmarkStart w:id="285" w:name="_Toc28071"/>
      <w:bookmarkStart w:id="286" w:name="_Toc11096"/>
      <w:bookmarkStart w:id="287" w:name="_Toc23859"/>
      <w:bookmarkStart w:id="288" w:name="_Toc11255"/>
      <w:bookmarkStart w:id="289" w:name="_Toc16755"/>
      <w:bookmarkStart w:id="290" w:name="_Toc12983525"/>
      <w:bookmarkStart w:id="291" w:name="_Toc642"/>
      <w:bookmarkStart w:id="292" w:name="_Toc16818"/>
      <w:bookmarkStart w:id="293" w:name="_Toc32760"/>
      <w:bookmarkStart w:id="294" w:name="_Toc22180"/>
      <w:bookmarkStart w:id="295" w:name="_Toc6482"/>
      <w:bookmarkStart w:id="296" w:name="_Toc2337"/>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14239"/>
      <w:bookmarkStart w:id="298" w:name="_Toc26431"/>
      <w:bookmarkStart w:id="299" w:name="_Toc10818"/>
      <w:bookmarkStart w:id="300" w:name="_Toc114134628"/>
      <w:bookmarkStart w:id="301" w:name="_Toc32621"/>
      <w:bookmarkStart w:id="302" w:name="_Toc492478741"/>
      <w:bookmarkStart w:id="303" w:name="_Toc29473"/>
      <w:bookmarkStart w:id="304" w:name="_Toc383891191"/>
      <w:bookmarkStart w:id="305" w:name="_Toc13581"/>
      <w:bookmarkStart w:id="306" w:name="_Toc25750611"/>
      <w:bookmarkStart w:id="307" w:name="_Toc29066"/>
      <w:bookmarkStart w:id="308" w:name="_Toc21960"/>
      <w:bookmarkStart w:id="309" w:name="_Toc12983526"/>
      <w:bookmarkStart w:id="310" w:name="_Toc3597"/>
      <w:bookmarkStart w:id="311" w:name="_Toc32252"/>
      <w:bookmarkStart w:id="312" w:name="_Toc390098442"/>
      <w:bookmarkStart w:id="313" w:name="_Toc385427816"/>
      <w:bookmarkStart w:id="314" w:name="_Toc11373"/>
      <w:bookmarkStart w:id="315" w:name="_Toc375039087"/>
      <w:bookmarkStart w:id="316" w:name="_Toc324"/>
      <w:bookmarkStart w:id="317" w:name="_Toc15252"/>
      <w:bookmarkStart w:id="318" w:name="_Toc9522"/>
      <w:bookmarkStart w:id="319" w:name="_Toc23404"/>
      <w:bookmarkStart w:id="320" w:name="_Toc22945"/>
      <w:bookmarkStart w:id="321" w:name="_Toc2226"/>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492478742"/>
      <w:bookmarkStart w:id="323" w:name="_Toc17797"/>
      <w:bookmarkStart w:id="324" w:name="_Toc375039088"/>
      <w:bookmarkStart w:id="325" w:name="_Toc21796"/>
      <w:bookmarkStart w:id="326" w:name="_Toc12682"/>
      <w:bookmarkStart w:id="327" w:name="_Toc114134629"/>
      <w:bookmarkStart w:id="328" w:name="_Toc26282"/>
      <w:bookmarkStart w:id="329" w:name="_Toc9706"/>
      <w:bookmarkStart w:id="330" w:name="_Toc385427817"/>
      <w:bookmarkStart w:id="331" w:name="_Toc23449"/>
      <w:bookmarkStart w:id="332" w:name="_Toc12983527"/>
      <w:bookmarkStart w:id="333" w:name="_Toc28452"/>
      <w:bookmarkStart w:id="334" w:name="_Toc25427"/>
      <w:bookmarkStart w:id="335" w:name="_Toc4605"/>
      <w:bookmarkStart w:id="336" w:name="_Toc29208"/>
      <w:bookmarkStart w:id="337" w:name="_Toc243"/>
      <w:bookmarkStart w:id="338" w:name="_Toc14522"/>
      <w:bookmarkStart w:id="339" w:name="_Toc24030"/>
      <w:bookmarkStart w:id="340" w:name="_Toc14411"/>
      <w:bookmarkStart w:id="341" w:name="_Toc31033"/>
      <w:bookmarkStart w:id="342" w:name="_Toc390098443"/>
      <w:bookmarkStart w:id="343" w:name="_Toc383891192"/>
      <w:bookmarkStart w:id="344" w:name="_Toc27195"/>
      <w:bookmarkStart w:id="345" w:name="_Toc8636"/>
      <w:bookmarkStart w:id="346" w:name="_Toc2575061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5592"/>
      <w:bookmarkStart w:id="348" w:name="_Toc28694"/>
      <w:bookmarkStart w:id="349" w:name="_Toc29264"/>
      <w:bookmarkStart w:id="350" w:name="_Toc18076"/>
      <w:bookmarkStart w:id="351" w:name="_Toc22587"/>
      <w:bookmarkStart w:id="352" w:name="_Toc10325"/>
      <w:bookmarkStart w:id="353" w:name="_Toc390098444"/>
      <w:bookmarkStart w:id="354" w:name="_Toc12983528"/>
      <w:bookmarkStart w:id="355" w:name="_Toc383891193"/>
      <w:bookmarkStart w:id="356" w:name="_Toc24485"/>
      <w:bookmarkStart w:id="357" w:name="_Toc4291"/>
      <w:bookmarkStart w:id="358" w:name="_Toc385427818"/>
      <w:bookmarkStart w:id="359" w:name="_Toc25433"/>
      <w:bookmarkStart w:id="360" w:name="_Toc12182"/>
      <w:bookmarkStart w:id="361" w:name="_Toc3006"/>
      <w:bookmarkStart w:id="362" w:name="_Toc492478743"/>
      <w:bookmarkStart w:id="363" w:name="_Toc9549"/>
      <w:bookmarkStart w:id="364" w:name="_Toc16856"/>
      <w:bookmarkStart w:id="365" w:name="_Toc2306"/>
      <w:bookmarkStart w:id="366" w:name="_Toc11529"/>
      <w:bookmarkStart w:id="367" w:name="_Toc375039089"/>
      <w:bookmarkStart w:id="368" w:name="_Toc9728"/>
      <w:bookmarkStart w:id="369" w:name="_Toc31978"/>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365"/>
      <w:bookmarkStart w:id="372" w:name="_Toc6377"/>
      <w:bookmarkStart w:id="373" w:name="_Toc5182"/>
      <w:bookmarkStart w:id="374" w:name="_Toc375039090"/>
      <w:bookmarkStart w:id="375" w:name="_Toc10292"/>
      <w:bookmarkStart w:id="376" w:name="_Toc24196"/>
      <w:bookmarkStart w:id="377" w:name="_Toc492478744"/>
      <w:bookmarkStart w:id="378" w:name="_Toc6974"/>
      <w:bookmarkStart w:id="379" w:name="_Toc385427819"/>
      <w:bookmarkStart w:id="380" w:name="_Toc383891194"/>
      <w:bookmarkStart w:id="381" w:name="_Toc18919"/>
      <w:bookmarkStart w:id="382" w:name="_Toc10883"/>
      <w:bookmarkStart w:id="383" w:name="_Toc23705"/>
      <w:bookmarkStart w:id="384" w:name="_Toc25116"/>
      <w:bookmarkStart w:id="385" w:name="_Toc6839"/>
      <w:bookmarkStart w:id="386" w:name="_Toc895"/>
      <w:bookmarkStart w:id="387" w:name="_Toc4638"/>
      <w:bookmarkStart w:id="388" w:name="_Toc9309"/>
      <w:bookmarkStart w:id="389" w:name="_Toc4674"/>
      <w:bookmarkStart w:id="390" w:name="_Toc390098445"/>
      <w:bookmarkStart w:id="391" w:name="_Toc4825"/>
      <w:bookmarkStart w:id="392" w:name="_Toc9264"/>
      <w:bookmarkStart w:id="393" w:name="_Toc12983529"/>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5427820"/>
      <w:bookmarkStart w:id="398" w:name="_Toc383891195"/>
      <w:bookmarkStart w:id="399" w:name="_Toc390098446"/>
      <w:bookmarkStart w:id="400" w:name="_Toc1920"/>
      <w:bookmarkStart w:id="401" w:name="_Toc23699"/>
      <w:bookmarkStart w:id="402" w:name="_Toc16068"/>
      <w:bookmarkStart w:id="403" w:name="_Toc114134632"/>
      <w:bookmarkStart w:id="404" w:name="_Toc21819"/>
      <w:bookmarkStart w:id="405" w:name="_Toc9391"/>
      <w:bookmarkStart w:id="406" w:name="_Toc13202"/>
      <w:bookmarkStart w:id="407" w:name="_Toc15466"/>
      <w:bookmarkStart w:id="408" w:name="_Toc12983530"/>
      <w:bookmarkStart w:id="409" w:name="_Toc11013"/>
      <w:bookmarkStart w:id="410" w:name="_Toc17785"/>
      <w:bookmarkStart w:id="411" w:name="_Toc24687"/>
      <w:bookmarkStart w:id="412" w:name="_Toc16601"/>
      <w:bookmarkStart w:id="413" w:name="_Toc11263"/>
      <w:bookmarkStart w:id="414" w:name="_Toc30671"/>
      <w:bookmarkStart w:id="415" w:name="_Toc5267"/>
      <w:bookmarkStart w:id="416" w:name="_Toc492478745"/>
      <w:bookmarkStart w:id="417" w:name="_Toc25750615"/>
      <w:bookmarkStart w:id="418" w:name="_Toc27636"/>
      <w:bookmarkStart w:id="419" w:name="_Toc25270"/>
      <w:bookmarkStart w:id="420" w:name="_Toc24630"/>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4719"/>
      <w:bookmarkStart w:id="423" w:name="_Toc833"/>
      <w:bookmarkStart w:id="424" w:name="_Toc27570"/>
      <w:bookmarkStart w:id="425" w:name="_Toc385427821"/>
      <w:bookmarkStart w:id="426" w:name="_Toc1456"/>
      <w:bookmarkStart w:id="427" w:name="_Toc29929"/>
      <w:bookmarkStart w:id="428" w:name="_Toc25750616"/>
      <w:bookmarkStart w:id="429" w:name="_Toc16072"/>
      <w:bookmarkStart w:id="430" w:name="_Toc383891196"/>
      <w:bookmarkStart w:id="431" w:name="_Toc15"/>
      <w:bookmarkStart w:id="432" w:name="_Toc375039093"/>
      <w:bookmarkStart w:id="433" w:name="_Toc492478746"/>
      <w:bookmarkStart w:id="434" w:name="_Toc5386"/>
      <w:bookmarkStart w:id="435" w:name="_Toc13421"/>
      <w:bookmarkStart w:id="436" w:name="_Toc18063"/>
      <w:bookmarkStart w:id="437" w:name="_Toc390098447"/>
      <w:bookmarkStart w:id="438" w:name="_Toc26137"/>
      <w:bookmarkStart w:id="439" w:name="_Toc114134633"/>
      <w:bookmarkStart w:id="440" w:name="_Toc11716"/>
      <w:bookmarkStart w:id="441" w:name="_Toc25047"/>
      <w:bookmarkStart w:id="442" w:name="_Toc8295"/>
      <w:bookmarkStart w:id="443" w:name="_Toc24755"/>
      <w:bookmarkStart w:id="444" w:name="_Toc18803"/>
      <w:bookmarkStart w:id="445" w:name="_Toc17980"/>
      <w:bookmarkStart w:id="446" w:name="_Toc12983531"/>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21167"/>
      <w:bookmarkStart w:id="448" w:name="_Toc9602"/>
      <w:bookmarkStart w:id="449" w:name="_Toc20523"/>
      <w:bookmarkStart w:id="450" w:name="_Toc12671"/>
      <w:bookmarkStart w:id="451" w:name="_Toc25750617"/>
      <w:bookmarkStart w:id="452" w:name="_Toc12960"/>
      <w:bookmarkStart w:id="453" w:name="_Toc385427822"/>
      <w:bookmarkStart w:id="454" w:name="_Toc12983532"/>
      <w:bookmarkStart w:id="455" w:name="_Toc390098448"/>
      <w:bookmarkStart w:id="456" w:name="_Toc25734"/>
      <w:bookmarkStart w:id="457" w:name="_Toc15988"/>
      <w:bookmarkStart w:id="458" w:name="_Toc19810"/>
      <w:bookmarkStart w:id="459" w:name="_Toc18515"/>
      <w:bookmarkStart w:id="460" w:name="_Toc654"/>
      <w:bookmarkStart w:id="461" w:name="_Toc30207"/>
      <w:bookmarkStart w:id="462" w:name="_Toc29504"/>
      <w:bookmarkStart w:id="463" w:name="_Toc16963"/>
      <w:bookmarkStart w:id="464" w:name="_Toc12555"/>
      <w:bookmarkStart w:id="465" w:name="_Toc492478747"/>
      <w:bookmarkStart w:id="466" w:name="_Toc9941"/>
      <w:bookmarkStart w:id="467" w:name="_Toc383891197"/>
      <w:bookmarkStart w:id="468" w:name="_Toc7858"/>
      <w:bookmarkStart w:id="469" w:name="_Toc114134634"/>
      <w:bookmarkStart w:id="470" w:name="_Toc12909"/>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6624"/>
      <w:bookmarkStart w:id="475" w:name="_Toc14799"/>
      <w:bookmarkStart w:id="476" w:name="_Toc28701"/>
      <w:bookmarkStart w:id="477" w:name="_Toc13768"/>
      <w:bookmarkStart w:id="478" w:name="_Toc25750618"/>
      <w:bookmarkStart w:id="479" w:name="_Toc8827"/>
      <w:bookmarkStart w:id="480" w:name="_Toc385427823"/>
      <w:bookmarkStart w:id="481" w:name="_Toc30429"/>
      <w:bookmarkStart w:id="482" w:name="_Toc14860"/>
      <w:bookmarkStart w:id="483" w:name="_Toc5983"/>
      <w:bookmarkStart w:id="484" w:name="_Toc24327"/>
      <w:bookmarkStart w:id="485" w:name="_Toc22510"/>
      <w:bookmarkStart w:id="486" w:name="_Toc27670"/>
      <w:bookmarkStart w:id="487" w:name="_Toc28843"/>
      <w:bookmarkStart w:id="488" w:name="_Toc12983533"/>
      <w:bookmarkStart w:id="489" w:name="_Toc390098449"/>
      <w:bookmarkStart w:id="490" w:name="_Toc383891198"/>
      <w:bookmarkStart w:id="491" w:name="_Toc11077"/>
      <w:bookmarkStart w:id="492" w:name="_Toc28898"/>
      <w:bookmarkStart w:id="493" w:name="_Toc13743"/>
      <w:bookmarkStart w:id="494" w:name="_Toc23267"/>
      <w:bookmarkStart w:id="495" w:name="_Toc1983"/>
      <w:bookmarkStart w:id="496" w:name="_Toc114134635"/>
      <w:bookmarkStart w:id="497" w:name="_Toc49247874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28992"/>
      <w:bookmarkStart w:id="499" w:name="_Toc12795"/>
      <w:bookmarkStart w:id="500" w:name="_Toc1915"/>
      <w:bookmarkStart w:id="501" w:name="_Toc29146"/>
      <w:bookmarkStart w:id="502" w:name="_Toc16884"/>
      <w:bookmarkStart w:id="503" w:name="_Toc22681"/>
      <w:bookmarkStart w:id="504" w:name="_Toc12983534"/>
      <w:bookmarkStart w:id="505" w:name="_Toc383891199"/>
      <w:bookmarkStart w:id="506" w:name="_Toc30017"/>
      <w:bookmarkStart w:id="507" w:name="_Toc9040"/>
      <w:bookmarkStart w:id="508" w:name="_Toc26070"/>
      <w:bookmarkStart w:id="509" w:name="_Toc5437"/>
      <w:bookmarkStart w:id="510" w:name="_Toc385427824"/>
      <w:bookmarkStart w:id="511" w:name="_Toc6908"/>
      <w:bookmarkStart w:id="512" w:name="_Toc5926"/>
      <w:bookmarkStart w:id="513" w:name="_Toc4397"/>
      <w:bookmarkStart w:id="514" w:name="_Toc18093"/>
      <w:bookmarkStart w:id="515" w:name="_Toc390098450"/>
      <w:bookmarkStart w:id="516" w:name="_Toc492478749"/>
      <w:bookmarkStart w:id="517" w:name="_Toc20519"/>
      <w:bookmarkStart w:id="518" w:name="_Toc114134636"/>
      <w:bookmarkStart w:id="519" w:name="_Toc25750619"/>
      <w:bookmarkStart w:id="520" w:name="_Toc5607"/>
      <w:bookmarkStart w:id="521" w:name="_Toc26318"/>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0874"/>
      <w:bookmarkStart w:id="523" w:name="_Toc12983535"/>
      <w:bookmarkStart w:id="524" w:name="_Toc23808"/>
      <w:bookmarkStart w:id="525" w:name="_Toc20912"/>
      <w:bookmarkStart w:id="526" w:name="_Toc22146"/>
      <w:bookmarkStart w:id="527" w:name="_Toc1027"/>
      <w:bookmarkStart w:id="528" w:name="_Toc492478750"/>
      <w:bookmarkStart w:id="529" w:name="_Toc19477"/>
      <w:bookmarkStart w:id="530" w:name="_Toc23999"/>
      <w:bookmarkStart w:id="531" w:name="_Toc383891200"/>
      <w:bookmarkStart w:id="532" w:name="_Toc390098451"/>
      <w:bookmarkStart w:id="533" w:name="_Toc17236"/>
      <w:bookmarkStart w:id="534" w:name="_Toc114134637"/>
      <w:bookmarkStart w:id="535" w:name="_Toc22063"/>
      <w:bookmarkStart w:id="536" w:name="_Toc15051"/>
      <w:bookmarkStart w:id="537" w:name="_Toc31646"/>
      <w:bookmarkStart w:id="538" w:name="_Toc23956"/>
      <w:bookmarkStart w:id="539" w:name="_Toc20810"/>
      <w:bookmarkStart w:id="540" w:name="_Toc25750620"/>
      <w:bookmarkStart w:id="541" w:name="_Toc29398"/>
      <w:bookmarkStart w:id="542" w:name="_Toc12167"/>
      <w:bookmarkStart w:id="543" w:name="_Toc26239"/>
      <w:bookmarkStart w:id="544" w:name="_Toc21468"/>
      <w:bookmarkStart w:id="545" w:name="_Toc385427825"/>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16418"/>
      <w:bookmarkStart w:id="547" w:name="_Toc5319"/>
      <w:bookmarkStart w:id="548" w:name="_Toc23907"/>
      <w:bookmarkStart w:id="549" w:name="_Toc4958"/>
      <w:bookmarkStart w:id="550" w:name="_Toc25750621"/>
      <w:bookmarkStart w:id="551" w:name="_Toc29276"/>
      <w:bookmarkStart w:id="552" w:name="_Toc8959"/>
      <w:bookmarkStart w:id="553" w:name="_Toc383891201"/>
      <w:bookmarkStart w:id="554" w:name="_Toc492478751"/>
      <w:bookmarkStart w:id="555" w:name="_Toc20881"/>
      <w:bookmarkStart w:id="556" w:name="_Toc9737"/>
      <w:bookmarkStart w:id="557" w:name="_Toc27112"/>
      <w:bookmarkStart w:id="558" w:name="_Toc22994"/>
      <w:bookmarkStart w:id="559" w:name="_Toc20854"/>
      <w:bookmarkStart w:id="560" w:name="_Toc24176"/>
      <w:bookmarkStart w:id="561" w:name="_Toc1004"/>
      <w:bookmarkStart w:id="562" w:name="_Toc3258"/>
      <w:bookmarkStart w:id="563" w:name="_Toc20444"/>
      <w:bookmarkStart w:id="564" w:name="_Toc385427826"/>
      <w:bookmarkStart w:id="565" w:name="_Toc12983536"/>
      <w:bookmarkStart w:id="566" w:name="_Toc19936"/>
      <w:bookmarkStart w:id="567" w:name="_Toc390098452"/>
      <w:bookmarkStart w:id="568" w:name="_Toc9812"/>
      <w:bookmarkStart w:id="569" w:name="_Toc114134638"/>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450"/>
      <w:bookmarkStart w:id="571" w:name="_Toc383891202"/>
      <w:bookmarkStart w:id="572" w:name="_Toc492478752"/>
      <w:bookmarkStart w:id="573" w:name="_Toc32344"/>
      <w:bookmarkStart w:id="574" w:name="_Toc8845"/>
      <w:bookmarkStart w:id="575" w:name="_Toc17460"/>
      <w:bookmarkStart w:id="576" w:name="_Toc8074"/>
      <w:bookmarkStart w:id="577" w:name="_Toc22500"/>
      <w:bookmarkStart w:id="578" w:name="_Toc3358"/>
      <w:bookmarkStart w:id="579" w:name="_Toc507"/>
      <w:bookmarkStart w:id="580" w:name="_Toc25750622"/>
      <w:bookmarkStart w:id="581" w:name="_Toc27803"/>
      <w:bookmarkStart w:id="582" w:name="_Toc15146"/>
      <w:bookmarkStart w:id="583" w:name="_Toc11657"/>
      <w:bookmarkStart w:id="584" w:name="_Toc11010"/>
      <w:bookmarkStart w:id="585" w:name="_Toc28489"/>
      <w:bookmarkStart w:id="586" w:name="_Toc27289"/>
      <w:bookmarkStart w:id="587" w:name="_Toc12983537"/>
      <w:bookmarkStart w:id="588" w:name="_Toc114134639"/>
      <w:bookmarkStart w:id="589" w:name="_Toc385427827"/>
      <w:bookmarkStart w:id="590" w:name="_Toc31774"/>
      <w:bookmarkStart w:id="591" w:name="_Toc14300"/>
      <w:bookmarkStart w:id="592" w:name="_Toc390098453"/>
      <w:bookmarkStart w:id="593" w:name="_Toc19322"/>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383891203"/>
      <w:bookmarkStart w:id="595" w:name="_Toc22182"/>
      <w:bookmarkStart w:id="596" w:name="_Toc26470"/>
      <w:bookmarkStart w:id="597" w:name="_Toc492478753"/>
      <w:bookmarkStart w:id="598" w:name="_Toc5172"/>
      <w:bookmarkStart w:id="599" w:name="_Toc1215"/>
      <w:bookmarkStart w:id="600" w:name="_Toc37"/>
      <w:bookmarkStart w:id="601" w:name="_Toc17823"/>
      <w:bookmarkStart w:id="602" w:name="_Toc21947"/>
      <w:bookmarkStart w:id="603" w:name="_Toc390098454"/>
      <w:bookmarkStart w:id="604" w:name="_Toc385427828"/>
      <w:bookmarkStart w:id="605" w:name="_Toc3761"/>
      <w:bookmarkStart w:id="606" w:name="_Toc18192"/>
      <w:bookmarkStart w:id="607" w:name="_Toc13986"/>
      <w:bookmarkStart w:id="608" w:name="_Toc21142"/>
      <w:bookmarkStart w:id="609" w:name="_Toc15932"/>
      <w:bookmarkStart w:id="610" w:name="_Toc27664"/>
      <w:bookmarkStart w:id="611" w:name="_Toc12983538"/>
      <w:bookmarkStart w:id="612" w:name="_Toc5257"/>
      <w:bookmarkStart w:id="613" w:name="_Toc16732"/>
      <w:bookmarkStart w:id="614" w:name="_Toc375039095"/>
      <w:bookmarkStart w:id="615" w:name="_Toc14042"/>
      <w:bookmarkStart w:id="616" w:name="_Toc19634"/>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116"/>
      <w:bookmarkStart w:id="620" w:name="_Toc1945"/>
      <w:bookmarkStart w:id="621" w:name="_Toc385427829"/>
      <w:bookmarkStart w:id="622" w:name="_Toc383891204"/>
      <w:bookmarkStart w:id="623" w:name="_Toc14235"/>
      <w:bookmarkStart w:id="624" w:name="_Toc6886"/>
      <w:bookmarkStart w:id="625" w:name="_Toc2422"/>
      <w:bookmarkStart w:id="626" w:name="_Toc26954"/>
      <w:bookmarkStart w:id="627" w:name="_Toc25257"/>
      <w:bookmarkStart w:id="628" w:name="_Toc390098455"/>
      <w:bookmarkStart w:id="629" w:name="_Toc5959"/>
      <w:bookmarkStart w:id="630" w:name="_Toc14454"/>
      <w:bookmarkStart w:id="631" w:name="_Toc375039096"/>
      <w:bookmarkStart w:id="632" w:name="_Toc17042"/>
      <w:bookmarkStart w:id="633" w:name="_Toc10962"/>
      <w:bookmarkStart w:id="634" w:name="_Toc492478754"/>
      <w:bookmarkStart w:id="635" w:name="_Toc26919"/>
      <w:bookmarkStart w:id="636" w:name="_Toc12983539"/>
      <w:bookmarkStart w:id="637" w:name="_Toc3769"/>
      <w:bookmarkStart w:id="638" w:name="_Toc20979"/>
      <w:bookmarkStart w:id="639" w:name="_Toc31757"/>
      <w:bookmarkStart w:id="640" w:name="_Toc11126"/>
      <w:bookmarkStart w:id="641" w:name="_Toc12031"/>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114134642"/>
      <w:bookmarkStart w:id="645" w:name="_Toc390098456"/>
      <w:bookmarkStart w:id="646" w:name="_Toc24681"/>
      <w:bookmarkStart w:id="647" w:name="_Toc8834"/>
      <w:bookmarkStart w:id="648" w:name="_Toc2326"/>
      <w:bookmarkStart w:id="649" w:name="_Toc30278"/>
      <w:bookmarkStart w:id="650" w:name="_Toc385427830"/>
      <w:bookmarkStart w:id="651" w:name="_Toc9113"/>
      <w:bookmarkStart w:id="652" w:name="_Toc12421"/>
      <w:bookmarkStart w:id="653" w:name="_Toc26653"/>
      <w:bookmarkStart w:id="654" w:name="_Toc18800"/>
      <w:bookmarkStart w:id="655" w:name="_Toc492478755"/>
      <w:bookmarkStart w:id="656" w:name="_Toc27839"/>
      <w:bookmarkStart w:id="657" w:name="_Toc22975"/>
      <w:bookmarkStart w:id="658" w:name="_Toc25431"/>
      <w:bookmarkStart w:id="659" w:name="_Toc383891205"/>
      <w:bookmarkStart w:id="660" w:name="_Toc19952"/>
      <w:bookmarkStart w:id="661" w:name="_Toc6000"/>
      <w:bookmarkStart w:id="662" w:name="_Toc21516"/>
      <w:bookmarkStart w:id="663" w:name="_Toc375039097"/>
      <w:bookmarkStart w:id="664" w:name="_Toc4743"/>
      <w:bookmarkStart w:id="665" w:name="_Toc12983540"/>
      <w:bookmarkStart w:id="666" w:name="_Toc31958"/>
      <w:bookmarkStart w:id="667" w:name="_Toc2458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8938"/>
      <w:bookmarkStart w:id="669" w:name="_Toc25750626"/>
      <w:bookmarkStart w:id="670" w:name="_Toc12983541"/>
      <w:bookmarkStart w:id="671" w:name="_Toc26525"/>
      <w:bookmarkStart w:id="672" w:name="_Toc20642"/>
      <w:bookmarkStart w:id="673" w:name="_Toc22688"/>
      <w:bookmarkStart w:id="674" w:name="_Toc390098457"/>
      <w:bookmarkStart w:id="675" w:name="_Toc11795"/>
      <w:bookmarkStart w:id="676" w:name="_Toc31011"/>
      <w:bookmarkStart w:id="677" w:name="_Toc114134643"/>
      <w:bookmarkStart w:id="678" w:name="_Toc383891206"/>
      <w:bookmarkStart w:id="679" w:name="_Toc13914"/>
      <w:bookmarkStart w:id="680" w:name="_Toc10522"/>
      <w:bookmarkStart w:id="681" w:name="_Toc28661"/>
      <w:bookmarkStart w:id="682" w:name="_Toc1269"/>
      <w:bookmarkStart w:id="683" w:name="_Toc21975"/>
      <w:bookmarkStart w:id="684" w:name="_Toc385427831"/>
      <w:bookmarkStart w:id="685" w:name="_Toc30026"/>
      <w:bookmarkStart w:id="686" w:name="_Toc492478756"/>
      <w:bookmarkStart w:id="687" w:name="_Toc22323"/>
      <w:bookmarkStart w:id="688" w:name="_Toc21728"/>
      <w:bookmarkStart w:id="689" w:name="_Toc375039098"/>
      <w:bookmarkStart w:id="690" w:name="_Toc18878"/>
      <w:bookmarkStart w:id="691" w:name="_Toc26143"/>
      <w:bookmarkStart w:id="692" w:name="_Toc30743"/>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7818"/>
      <w:bookmarkStart w:id="694" w:name="_Toc12983542"/>
      <w:bookmarkStart w:id="695" w:name="_Toc390098458"/>
      <w:bookmarkStart w:id="696" w:name="_Toc492478757"/>
      <w:bookmarkStart w:id="697" w:name="_Toc14301"/>
      <w:bookmarkStart w:id="698" w:name="_Toc385427832"/>
      <w:bookmarkStart w:id="699" w:name="_Toc375039099"/>
      <w:bookmarkStart w:id="700" w:name="_Toc14832"/>
      <w:bookmarkStart w:id="701" w:name="_Toc19774"/>
      <w:bookmarkStart w:id="702" w:name="_Toc19128"/>
      <w:bookmarkStart w:id="703" w:name="_Toc17153"/>
      <w:bookmarkStart w:id="704" w:name="_Toc14325"/>
      <w:bookmarkStart w:id="705" w:name="_Toc24183"/>
      <w:bookmarkStart w:id="706" w:name="_Toc377"/>
      <w:bookmarkStart w:id="707" w:name="_Toc18977"/>
      <w:bookmarkStart w:id="708" w:name="_Toc13417"/>
      <w:bookmarkStart w:id="709" w:name="_Toc16111"/>
      <w:bookmarkStart w:id="710" w:name="_Toc23649"/>
      <w:bookmarkStart w:id="711" w:name="_Toc25750627"/>
      <w:bookmarkStart w:id="712" w:name="_Toc383891207"/>
      <w:bookmarkStart w:id="713" w:name="_Toc25797"/>
      <w:bookmarkStart w:id="714" w:name="_Toc114134644"/>
      <w:bookmarkStart w:id="715" w:name="_Toc31336"/>
      <w:bookmarkStart w:id="716" w:name="_Toc11913"/>
      <w:bookmarkStart w:id="717" w:name="_Toc187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0348"/>
      <w:bookmarkStart w:id="719" w:name="_Toc21798"/>
      <w:bookmarkStart w:id="720" w:name="_Toc114134645"/>
      <w:bookmarkStart w:id="721" w:name="_Toc22657"/>
      <w:bookmarkStart w:id="722" w:name="_Toc17953"/>
      <w:bookmarkStart w:id="723" w:name="_Toc383891208"/>
      <w:bookmarkStart w:id="724" w:name="_Toc32424"/>
      <w:bookmarkStart w:id="725" w:name="_Toc673"/>
      <w:bookmarkStart w:id="726" w:name="_Toc921"/>
      <w:bookmarkStart w:id="727" w:name="_Toc12065"/>
      <w:bookmarkStart w:id="728" w:name="_Toc19943"/>
      <w:bookmarkStart w:id="729" w:name="_Toc390098459"/>
      <w:bookmarkStart w:id="730" w:name="_Toc5061"/>
      <w:bookmarkStart w:id="731" w:name="_Toc385427833"/>
      <w:bookmarkStart w:id="732" w:name="_Toc2061"/>
      <w:bookmarkStart w:id="733" w:name="_Toc375039100"/>
      <w:bookmarkStart w:id="734" w:name="_Toc12983543"/>
      <w:bookmarkStart w:id="735" w:name="_Toc20680"/>
      <w:bookmarkStart w:id="736" w:name="_Toc27683"/>
      <w:bookmarkStart w:id="737" w:name="_Toc492478758"/>
      <w:bookmarkStart w:id="738" w:name="_Toc13596"/>
      <w:bookmarkStart w:id="739" w:name="_Toc9636"/>
      <w:bookmarkStart w:id="740" w:name="_Toc19556"/>
      <w:bookmarkStart w:id="741" w:name="_Toc13605"/>
      <w:bookmarkStart w:id="742" w:name="_Toc25750628"/>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1570"/>
      <w:bookmarkStart w:id="744" w:name="_Toc375039101"/>
      <w:bookmarkStart w:id="745" w:name="_Toc24240"/>
      <w:bookmarkStart w:id="746" w:name="_Toc29993"/>
      <w:bookmarkStart w:id="747" w:name="_Toc25208"/>
      <w:bookmarkStart w:id="748" w:name="_Toc21217"/>
      <w:bookmarkStart w:id="749" w:name="_Toc5767"/>
      <w:bookmarkStart w:id="750" w:name="_Toc8628"/>
      <w:bookmarkStart w:id="751" w:name="_Toc24885"/>
      <w:bookmarkStart w:id="752" w:name="_Toc15048"/>
      <w:bookmarkStart w:id="753" w:name="_Toc383891209"/>
      <w:bookmarkStart w:id="754" w:name="_Toc30862"/>
      <w:bookmarkStart w:id="755" w:name="_Toc492478759"/>
      <w:bookmarkStart w:id="756" w:name="_Toc385427834"/>
      <w:bookmarkStart w:id="757" w:name="_Toc1862"/>
      <w:bookmarkStart w:id="758" w:name="_Toc5617"/>
      <w:bookmarkStart w:id="759" w:name="_Toc390098460"/>
      <w:bookmarkStart w:id="760" w:name="_Toc4190"/>
      <w:bookmarkStart w:id="761" w:name="_Toc12983544"/>
      <w:bookmarkStart w:id="762" w:name="_Toc22442"/>
      <w:bookmarkStart w:id="763" w:name="_Toc18694"/>
      <w:bookmarkStart w:id="764" w:name="_Toc25750629"/>
      <w:bookmarkStart w:id="765" w:name="_Toc28815"/>
      <w:bookmarkStart w:id="766" w:name="_Toc1780"/>
      <w:bookmarkStart w:id="767" w:name="_Toc114134646"/>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9981"/>
      <w:bookmarkStart w:id="769" w:name="_Toc12983545"/>
      <w:bookmarkStart w:id="770" w:name="_Toc11412"/>
      <w:bookmarkStart w:id="771" w:name="_Toc383891210"/>
      <w:bookmarkStart w:id="772" w:name="_Toc375039102"/>
      <w:bookmarkStart w:id="773" w:name="_Toc25632"/>
      <w:bookmarkStart w:id="774" w:name="_Toc492478760"/>
      <w:bookmarkStart w:id="775" w:name="_Toc24750"/>
      <w:bookmarkStart w:id="776" w:name="_Toc20178"/>
      <w:bookmarkStart w:id="777" w:name="_Toc390098461"/>
      <w:bookmarkStart w:id="778" w:name="_Toc114134647"/>
      <w:bookmarkStart w:id="779" w:name="_Toc23817"/>
      <w:bookmarkStart w:id="780" w:name="_Toc17281"/>
      <w:bookmarkStart w:id="781" w:name="_Toc31814"/>
      <w:bookmarkStart w:id="782" w:name="_Toc16371"/>
      <w:bookmarkStart w:id="783" w:name="_Toc6599"/>
      <w:bookmarkStart w:id="784" w:name="_Toc5576"/>
      <w:bookmarkStart w:id="785" w:name="_Toc16589"/>
      <w:bookmarkStart w:id="786" w:name="_Toc8104"/>
      <w:bookmarkStart w:id="787" w:name="_Toc385427835"/>
      <w:bookmarkStart w:id="788" w:name="_Toc25483"/>
      <w:bookmarkStart w:id="789" w:name="_Toc29857"/>
      <w:bookmarkStart w:id="790" w:name="_Toc25750630"/>
      <w:bookmarkStart w:id="791" w:name="_Toc11079"/>
      <w:bookmarkStart w:id="792" w:name="_Toc9433"/>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2CFDD4CF">
      <w:pPr>
        <w:shd w:val="clear"/>
        <w:tabs>
          <w:tab w:val="left" w:pos="388"/>
        </w:tabs>
        <w:spacing w:line="360" w:lineRule="auto"/>
        <w:jc w:val="left"/>
        <w:rPr>
          <w:rFonts w:hint="eastAsia" w:ascii="仿宋" w:hAnsi="仿宋" w:eastAsia="仿宋" w:cs="仿宋"/>
          <w:b/>
          <w:color w:val="auto"/>
          <w:sz w:val="24"/>
          <w:highlight w:val="none"/>
        </w:rPr>
      </w:pPr>
    </w:p>
    <w:p w14:paraId="0C15B740">
      <w:pPr>
        <w:spacing w:line="360" w:lineRule="auto"/>
        <w:jc w:val="left"/>
        <w:rPr>
          <w:rFonts w:ascii="Times New Roman" w:hAnsi="Times New Roman" w:eastAsia="华文中宋"/>
          <w:b/>
          <w:color w:val="000000"/>
          <w:sz w:val="48"/>
          <w:szCs w:val="48"/>
          <w:highlight w:val="none"/>
          <w:u w:val="single"/>
        </w:rPr>
      </w:pPr>
      <w:r>
        <w:rPr>
          <w:rFonts w:hint="eastAsia" w:ascii="Times New Roman" w:hAnsi="Times New Roman" w:eastAsia="仿宋_GB2312"/>
          <w:bCs/>
          <w:color w:val="000000"/>
          <w:sz w:val="28"/>
          <w:szCs w:val="28"/>
          <w:highlight w:val="none"/>
        </w:rPr>
        <w:t>合同编号：</w:t>
      </w:r>
      <w:r>
        <w:rPr>
          <w:rFonts w:hint="eastAsia" w:ascii="Times New Roman" w:hAnsi="Times New Roman" w:eastAsia="仿宋_GB2312"/>
          <w:bCs/>
          <w:color w:val="000000"/>
          <w:sz w:val="28"/>
          <w:szCs w:val="28"/>
          <w:highlight w:val="none"/>
          <w:u w:val="single"/>
        </w:rPr>
        <w:t xml:space="preserve">                    </w:t>
      </w:r>
    </w:p>
    <w:p w14:paraId="61EA17B3">
      <w:pPr>
        <w:spacing w:line="360" w:lineRule="auto"/>
        <w:jc w:val="center"/>
        <w:rPr>
          <w:rFonts w:ascii="Times New Roman" w:hAnsi="Times New Roman" w:eastAsia="华文中宋"/>
          <w:b/>
          <w:color w:val="000000"/>
          <w:sz w:val="48"/>
          <w:szCs w:val="48"/>
          <w:highlight w:val="none"/>
        </w:rPr>
      </w:pPr>
    </w:p>
    <w:p w14:paraId="21373D9E">
      <w:pPr>
        <w:spacing w:line="360" w:lineRule="auto"/>
        <w:jc w:val="center"/>
        <w:rPr>
          <w:rFonts w:ascii="Times New Roman" w:hAnsi="Times New Roman" w:eastAsia="华文中宋"/>
          <w:b/>
          <w:color w:val="000000"/>
          <w:sz w:val="48"/>
          <w:szCs w:val="48"/>
          <w:highlight w:val="none"/>
        </w:rPr>
      </w:pPr>
    </w:p>
    <w:p w14:paraId="0DFCF808">
      <w:pPr>
        <w:spacing w:line="360" w:lineRule="auto"/>
        <w:jc w:val="center"/>
        <w:rPr>
          <w:rFonts w:ascii="Times New Roman" w:hAnsi="Times New Roman" w:eastAsia="华文中宋"/>
          <w:b/>
          <w:color w:val="000000"/>
          <w:sz w:val="48"/>
          <w:szCs w:val="48"/>
          <w:highlight w:val="none"/>
        </w:rPr>
      </w:pPr>
    </w:p>
    <w:p w14:paraId="61AAAEE9">
      <w:pPr>
        <w:spacing w:line="240" w:lineRule="auto"/>
        <w:jc w:val="center"/>
        <w:rPr>
          <w:rFonts w:ascii="Times New Roman" w:hAnsi="Times New Roman" w:eastAsia="华文中宋"/>
          <w:b/>
          <w:color w:val="000000"/>
          <w:sz w:val="48"/>
          <w:szCs w:val="48"/>
          <w:highlight w:val="none"/>
        </w:rPr>
      </w:pPr>
      <w:r>
        <w:rPr>
          <w:rFonts w:hint="eastAsia" w:ascii="Times New Roman" w:hAnsi="Times New Roman" w:eastAsia="华文中宋"/>
          <w:b/>
          <w:color w:val="000000"/>
          <w:sz w:val="56"/>
          <w:szCs w:val="56"/>
          <w:highlight w:val="none"/>
          <w:lang w:eastAsia="zh-CN"/>
        </w:rPr>
        <w:t>广西泛铝件先进制造（迁江）基地一期A区工程市政工程专业分包</w:t>
      </w:r>
      <w:r>
        <w:rPr>
          <w:rFonts w:ascii="Times New Roman" w:hAnsi="Times New Roman" w:eastAsia="华文中宋"/>
          <w:b/>
          <w:color w:val="000000"/>
          <w:sz w:val="56"/>
          <w:szCs w:val="56"/>
          <w:highlight w:val="none"/>
        </w:rPr>
        <w:t>合同</w:t>
      </w:r>
      <w:r>
        <w:rPr>
          <w:rFonts w:ascii="Times New Roman" w:hAnsi="Times New Roman" w:eastAsia="华文中宋"/>
          <w:b/>
          <w:color w:val="000000"/>
          <w:sz w:val="56"/>
          <w:szCs w:val="56"/>
          <w:highlight w:val="none"/>
        </w:rPr>
        <w:br w:type="textWrapping"/>
      </w:r>
    </w:p>
    <w:p w14:paraId="193DE952">
      <w:pPr>
        <w:spacing w:line="360" w:lineRule="auto"/>
        <w:jc w:val="center"/>
        <w:rPr>
          <w:rFonts w:ascii="Times New Roman" w:hAnsi="Times New Roman" w:eastAsia="华文中宋"/>
          <w:b/>
          <w:color w:val="000000"/>
          <w:sz w:val="48"/>
          <w:szCs w:val="48"/>
          <w:highlight w:val="none"/>
        </w:rPr>
      </w:pPr>
    </w:p>
    <w:p w14:paraId="2ECF6264">
      <w:pPr>
        <w:spacing w:line="360" w:lineRule="auto"/>
        <w:jc w:val="center"/>
        <w:rPr>
          <w:rFonts w:ascii="Times New Roman" w:hAnsi="Times New Roman" w:eastAsia="黑体"/>
          <w:b/>
          <w:color w:val="000000"/>
          <w:sz w:val="56"/>
          <w:szCs w:val="56"/>
          <w:highlight w:val="none"/>
        </w:rPr>
      </w:pPr>
    </w:p>
    <w:p w14:paraId="3969E9CE">
      <w:pPr>
        <w:spacing w:line="360" w:lineRule="auto"/>
        <w:jc w:val="center"/>
        <w:rPr>
          <w:rFonts w:ascii="Times New Roman" w:hAnsi="Times New Roman" w:eastAsia="楷体_GB2312"/>
          <w:b/>
          <w:color w:val="000000"/>
          <w:sz w:val="56"/>
          <w:szCs w:val="56"/>
          <w:highlight w:val="none"/>
        </w:rPr>
      </w:pPr>
    </w:p>
    <w:p w14:paraId="2ECB4D2B">
      <w:pPr>
        <w:spacing w:line="360" w:lineRule="auto"/>
        <w:jc w:val="center"/>
        <w:rPr>
          <w:rFonts w:ascii="Times New Roman" w:hAnsi="Times New Roman" w:eastAsia="黑体"/>
          <w:b/>
          <w:color w:val="000000"/>
          <w:sz w:val="48"/>
          <w:szCs w:val="48"/>
          <w:highlight w:val="none"/>
        </w:rPr>
      </w:pPr>
    </w:p>
    <w:p w14:paraId="10CBB591">
      <w:pPr>
        <w:spacing w:line="360" w:lineRule="auto"/>
        <w:jc w:val="center"/>
        <w:rPr>
          <w:rFonts w:ascii="Times New Roman" w:hAnsi="Times New Roman" w:eastAsia="华文中宋"/>
          <w:b/>
          <w:color w:val="000000"/>
          <w:sz w:val="48"/>
          <w:szCs w:val="48"/>
          <w:highlight w:val="none"/>
        </w:rPr>
      </w:pPr>
    </w:p>
    <w:p w14:paraId="163E8392">
      <w:pPr>
        <w:spacing w:line="360" w:lineRule="auto"/>
        <w:rPr>
          <w:rFonts w:hint="eastAsia" w:ascii="仿宋_GB2312" w:hAnsi="仿宋_GB2312" w:eastAsia="仿宋_GB2312" w:cs="仿宋_GB2312"/>
          <w:b/>
          <w:bCs/>
          <w:sz w:val="28"/>
          <w:szCs w:val="28"/>
          <w:highlight w:val="none"/>
        </w:rPr>
      </w:pPr>
    </w:p>
    <w:p w14:paraId="1A1C9997">
      <w:pPr>
        <w:spacing w:line="360" w:lineRule="auto"/>
        <w:ind w:firstLine="562" w:firstLineChars="200"/>
        <w:rPr>
          <w:rFonts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rPr>
        <w:t>工程名称：</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eastAsia="zh-CN"/>
        </w:rPr>
        <w:t>广西泛铝件先进制造（迁江）基地一期A区工程市政工程专业分包</w:t>
      </w:r>
      <w:r>
        <w:rPr>
          <w:rFonts w:hint="eastAsia" w:ascii="仿宋_GB2312" w:hAnsi="仿宋_GB2312" w:eastAsia="仿宋_GB2312" w:cs="仿宋_GB2312"/>
          <w:b/>
          <w:color w:val="000000"/>
          <w:sz w:val="28"/>
          <w:szCs w:val="28"/>
          <w:highlight w:val="none"/>
        </w:rPr>
        <w:t>】</w:t>
      </w:r>
    </w:p>
    <w:p w14:paraId="1131FCBF">
      <w:pPr>
        <w:spacing w:line="360" w:lineRule="auto"/>
        <w:ind w:firstLine="562" w:firstLineChars="200"/>
        <w:rPr>
          <w:rFonts w:ascii="仿宋_GB2312" w:hAnsi="仿宋_GB2312" w:eastAsia="仿宋_GB2312" w:cs="仿宋_GB2312"/>
          <w:b/>
          <w:color w:val="000000"/>
          <w:sz w:val="28"/>
          <w:szCs w:val="28"/>
          <w:highlight w:val="none"/>
        </w:rPr>
      </w:pPr>
      <w:r>
        <w:rPr>
          <w:rFonts w:hint="eastAsia" w:ascii="仿宋_GB2312" w:hAnsi="仿宋_GB2312" w:eastAsia="仿宋_GB2312" w:cs="仿宋_GB2312"/>
          <w:b/>
          <w:bCs/>
          <w:sz w:val="28"/>
          <w:szCs w:val="28"/>
          <w:highlight w:val="none"/>
        </w:rPr>
        <w:t>甲    方：</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val="en-US" w:eastAsia="zh-CN"/>
        </w:rPr>
        <w:t xml:space="preserve">                                  </w:t>
      </w:r>
      <w:r>
        <w:rPr>
          <w:rFonts w:hint="eastAsia" w:ascii="仿宋_GB2312" w:hAnsi="仿宋_GB2312" w:eastAsia="仿宋_GB2312" w:cs="仿宋_GB2312"/>
          <w:b/>
          <w:color w:val="000000"/>
          <w:sz w:val="28"/>
          <w:szCs w:val="28"/>
          <w:highlight w:val="none"/>
        </w:rPr>
        <w:t>】</w:t>
      </w:r>
    </w:p>
    <w:p w14:paraId="331601AF">
      <w:pPr>
        <w:spacing w:line="360" w:lineRule="auto"/>
        <w:ind w:firstLine="562" w:firstLineChars="200"/>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bCs/>
          <w:sz w:val="28"/>
          <w:szCs w:val="28"/>
          <w:highlight w:val="none"/>
        </w:rPr>
        <w:t>乙    方：</w:t>
      </w:r>
      <w:r>
        <w:rPr>
          <w:rFonts w:hint="eastAsia" w:ascii="仿宋_GB2312" w:hAnsi="仿宋_GB2312" w:eastAsia="仿宋_GB2312" w:cs="仿宋_GB2312"/>
          <w:b/>
          <w:color w:val="000000"/>
          <w:sz w:val="28"/>
          <w:szCs w:val="28"/>
          <w:highlight w:val="none"/>
        </w:rPr>
        <w:t>【                                  】</w:t>
      </w:r>
    </w:p>
    <w:p w14:paraId="3A7489D2">
      <w:pPr>
        <w:spacing w:line="360" w:lineRule="auto"/>
        <w:ind w:firstLine="562"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8"/>
          <w:szCs w:val="28"/>
          <w:highlight w:val="none"/>
        </w:rPr>
        <w:t>签订时间：</w:t>
      </w:r>
      <w:r>
        <w:rPr>
          <w:rFonts w:hint="eastAsia" w:ascii="仿宋_GB2312" w:hAnsi="仿宋_GB2312" w:eastAsia="仿宋_GB2312" w:cs="仿宋_GB2312"/>
          <w:b/>
          <w:color w:val="000000"/>
          <w:sz w:val="28"/>
          <w:szCs w:val="28"/>
          <w:highlight w:val="none"/>
        </w:rPr>
        <w:t>【                                  】</w:t>
      </w:r>
    </w:p>
    <w:p w14:paraId="7ABCDCAD">
      <w:pPr>
        <w:spacing w:line="360" w:lineRule="auto"/>
        <w:ind w:firstLine="562" w:firstLineChars="200"/>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bCs/>
          <w:sz w:val="28"/>
          <w:szCs w:val="28"/>
          <w:highlight w:val="none"/>
        </w:rPr>
        <w:t>签订地点：</w:t>
      </w:r>
      <w:r>
        <w:rPr>
          <w:rFonts w:hint="eastAsia" w:ascii="仿宋_GB2312" w:hAnsi="仿宋_GB2312" w:eastAsia="仿宋_GB2312" w:cs="仿宋_GB2312"/>
          <w:b/>
          <w:color w:val="000000"/>
          <w:sz w:val="28"/>
          <w:szCs w:val="28"/>
          <w:highlight w:val="none"/>
        </w:rPr>
        <w:t>【                                  】</w:t>
      </w:r>
    </w:p>
    <w:p w14:paraId="5358CA74">
      <w:pPr>
        <w:pStyle w:val="51"/>
        <w:spacing w:before="0" w:after="0" w:line="360" w:lineRule="auto"/>
        <w:jc w:val="center"/>
        <w:rPr>
          <w:rFonts w:ascii="Times New Roman" w:hAnsi="Times New Roman" w:eastAsia="华文中宋"/>
          <w:sz w:val="40"/>
          <w:szCs w:val="40"/>
          <w:highlight w:val="none"/>
          <w:lang w:val="zh-CN"/>
        </w:rPr>
      </w:pPr>
    </w:p>
    <w:p w14:paraId="31F2CA0B">
      <w:pPr>
        <w:pStyle w:val="51"/>
        <w:spacing w:before="0" w:after="0" w:line="360" w:lineRule="auto"/>
        <w:jc w:val="center"/>
        <w:rPr>
          <w:rFonts w:ascii="Times New Roman" w:hAnsi="Times New Roman" w:eastAsia="华文中宋"/>
          <w:sz w:val="40"/>
          <w:szCs w:val="40"/>
          <w:highlight w:val="none"/>
        </w:rPr>
      </w:pPr>
      <w:r>
        <w:rPr>
          <w:rFonts w:ascii="Times New Roman" w:hAnsi="Times New Roman" w:eastAsia="华文中宋"/>
          <w:sz w:val="40"/>
          <w:szCs w:val="40"/>
          <w:highlight w:val="none"/>
          <w:lang w:val="zh-CN"/>
        </w:rPr>
        <w:t>目</w:t>
      </w:r>
      <w:r>
        <w:rPr>
          <w:rFonts w:hint="eastAsia" w:ascii="Times New Roman" w:hAnsi="Times New Roman" w:eastAsia="华文中宋"/>
          <w:sz w:val="40"/>
          <w:szCs w:val="40"/>
          <w:highlight w:val="none"/>
          <w:lang w:val="zh-CN"/>
        </w:rPr>
        <w:t xml:space="preserve">  </w:t>
      </w:r>
      <w:r>
        <w:rPr>
          <w:rFonts w:ascii="Times New Roman" w:hAnsi="Times New Roman" w:eastAsia="华文中宋"/>
          <w:sz w:val="40"/>
          <w:szCs w:val="40"/>
          <w:highlight w:val="none"/>
          <w:lang w:val="zh-CN"/>
        </w:rPr>
        <w:t>录</w:t>
      </w:r>
    </w:p>
    <w:p w14:paraId="56D06A49">
      <w:pPr>
        <w:pStyle w:val="11"/>
        <w:tabs>
          <w:tab w:val="right" w:leader="dot" w:pos="8306"/>
        </w:tabs>
      </w:pPr>
      <w:r>
        <w:rPr>
          <w:highlight w:val="none"/>
        </w:rPr>
        <w:fldChar w:fldCharType="begin"/>
      </w:r>
      <w:r>
        <w:rPr>
          <w:highlight w:val="none"/>
        </w:rPr>
        <w:instrText xml:space="preserve">TOC \o "1-4" \h \z \u</w:instrText>
      </w:r>
      <w:r>
        <w:rPr>
          <w:rFonts w:ascii="Times New Roman" w:hAnsi="Times New Roman" w:eastAsia="仿宋_GB2312" w:cs="Times New Roman"/>
          <w:highlight w:val="none"/>
        </w:rPr>
        <w:fldChar w:fldCharType="separate"/>
      </w: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_Toc13688 </w:instrText>
      </w:r>
      <w:r>
        <w:rPr>
          <w:rFonts w:ascii="Times New Roman" w:hAnsi="Times New Roman" w:eastAsia="仿宋_GB2312" w:cs="Times New Roman"/>
          <w:highlight w:val="none"/>
        </w:rPr>
        <w:fldChar w:fldCharType="separate"/>
      </w:r>
      <w:r>
        <w:rPr>
          <w:rFonts w:ascii="华文中宋" w:hAnsi="华文中宋" w:eastAsia="华文中宋"/>
          <w:szCs w:val="40"/>
          <w:highlight w:val="none"/>
        </w:rPr>
        <w:t xml:space="preserve">第一部分 </w:t>
      </w:r>
      <w:r>
        <w:rPr>
          <w:rFonts w:hint="eastAsia" w:ascii="华文中宋" w:hAnsi="华文中宋" w:eastAsia="华文中宋"/>
          <w:szCs w:val="40"/>
          <w:highlight w:val="none"/>
        </w:rPr>
        <w:t xml:space="preserve"> </w:t>
      </w:r>
      <w:r>
        <w:rPr>
          <w:rFonts w:ascii="华文中宋" w:hAnsi="华文中宋" w:eastAsia="华文中宋"/>
          <w:szCs w:val="40"/>
          <w:highlight w:val="none"/>
        </w:rPr>
        <w:t>合同协议书</w:t>
      </w:r>
      <w:r>
        <w:tab/>
      </w:r>
      <w:r>
        <w:fldChar w:fldCharType="begin"/>
      </w:r>
      <w:r>
        <w:instrText xml:space="preserve"> PAGEREF _Toc13688 \h </w:instrText>
      </w:r>
      <w:r>
        <w:fldChar w:fldCharType="separate"/>
      </w:r>
      <w:r>
        <w:t>5</w:t>
      </w:r>
      <w:r>
        <w:fldChar w:fldCharType="end"/>
      </w:r>
      <w:r>
        <w:rPr>
          <w:rFonts w:ascii="Times New Roman" w:hAnsi="Times New Roman" w:eastAsia="仿宋_GB2312" w:cs="Times New Roman"/>
          <w:highlight w:val="none"/>
        </w:rPr>
        <w:fldChar w:fldCharType="end"/>
      </w:r>
    </w:p>
    <w:p w14:paraId="02BC0E72">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_Toc27460 </w:instrText>
      </w:r>
      <w:r>
        <w:rPr>
          <w:rFonts w:ascii="Times New Roman" w:hAnsi="Times New Roman" w:eastAsia="仿宋_GB2312" w:cs="Times New Roman"/>
          <w:highlight w:val="none"/>
        </w:rPr>
        <w:fldChar w:fldCharType="separate"/>
      </w:r>
      <w:r>
        <w:rPr>
          <w:bCs w:val="0"/>
          <w:highlight w:val="none"/>
        </w:rPr>
        <w:t>一、工程概况</w:t>
      </w:r>
      <w:r>
        <w:tab/>
      </w:r>
      <w:r>
        <w:fldChar w:fldCharType="begin"/>
      </w:r>
      <w:r>
        <w:instrText xml:space="preserve"> PAGEREF _Toc27460 \h </w:instrText>
      </w:r>
      <w:r>
        <w:fldChar w:fldCharType="separate"/>
      </w:r>
      <w:r>
        <w:t>5</w:t>
      </w:r>
      <w:r>
        <w:fldChar w:fldCharType="end"/>
      </w:r>
      <w:r>
        <w:rPr>
          <w:rFonts w:ascii="Times New Roman" w:hAnsi="Times New Roman" w:eastAsia="仿宋_GB2312" w:cs="Times New Roman"/>
          <w:highlight w:val="none"/>
        </w:rPr>
        <w:fldChar w:fldCharType="end"/>
      </w:r>
    </w:p>
    <w:p w14:paraId="5EB99CF8">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_Toc30439 </w:instrText>
      </w:r>
      <w:r>
        <w:rPr>
          <w:rFonts w:ascii="Times New Roman" w:hAnsi="Times New Roman" w:eastAsia="仿宋_GB2312" w:cs="Times New Roman"/>
          <w:highlight w:val="none"/>
        </w:rPr>
        <w:fldChar w:fldCharType="separate"/>
      </w:r>
      <w:r>
        <w:rPr>
          <w:bCs w:val="0"/>
          <w:highlight w:val="none"/>
        </w:rPr>
        <w:t>二、</w:t>
      </w:r>
      <w:r>
        <w:rPr>
          <w:rFonts w:hint="eastAsia"/>
          <w:bCs w:val="0"/>
          <w:highlight w:val="none"/>
        </w:rPr>
        <w:t>分包</w:t>
      </w:r>
      <w:r>
        <w:rPr>
          <w:bCs w:val="0"/>
          <w:highlight w:val="none"/>
        </w:rPr>
        <w:t>合同工期</w:t>
      </w:r>
      <w:r>
        <w:tab/>
      </w:r>
      <w:r>
        <w:fldChar w:fldCharType="begin"/>
      </w:r>
      <w:r>
        <w:instrText xml:space="preserve"> PAGEREF _Toc30439 \h </w:instrText>
      </w:r>
      <w:r>
        <w:fldChar w:fldCharType="separate"/>
      </w:r>
      <w:r>
        <w:t>6</w:t>
      </w:r>
      <w:r>
        <w:fldChar w:fldCharType="end"/>
      </w:r>
      <w:r>
        <w:rPr>
          <w:rFonts w:ascii="Times New Roman" w:hAnsi="Times New Roman" w:eastAsia="仿宋_GB2312" w:cs="Times New Roman"/>
          <w:highlight w:val="none"/>
        </w:rPr>
        <w:fldChar w:fldCharType="end"/>
      </w:r>
    </w:p>
    <w:p w14:paraId="5593BD73">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_Toc1112 </w:instrText>
      </w:r>
      <w:r>
        <w:rPr>
          <w:rFonts w:ascii="Times New Roman" w:hAnsi="Times New Roman" w:eastAsia="仿宋_GB2312" w:cs="Times New Roman"/>
          <w:highlight w:val="none"/>
        </w:rPr>
        <w:fldChar w:fldCharType="separate"/>
      </w:r>
      <w:r>
        <w:rPr>
          <w:bCs w:val="0"/>
          <w:highlight w:val="none"/>
        </w:rPr>
        <w:t>三、质量</w:t>
      </w:r>
      <w:r>
        <w:rPr>
          <w:rFonts w:hint="eastAsia"/>
          <w:bCs w:val="0"/>
          <w:highlight w:val="none"/>
        </w:rPr>
        <w:t>、安全文明施工</w:t>
      </w:r>
      <w:r>
        <w:rPr>
          <w:bCs w:val="0"/>
          <w:highlight w:val="none"/>
        </w:rPr>
        <w:t>标准</w:t>
      </w:r>
      <w:r>
        <w:rPr>
          <w:rFonts w:hint="eastAsia"/>
          <w:bCs w:val="0"/>
          <w:highlight w:val="none"/>
        </w:rPr>
        <w:t>及创优目标</w:t>
      </w:r>
      <w:r>
        <w:tab/>
      </w:r>
      <w:r>
        <w:fldChar w:fldCharType="begin"/>
      </w:r>
      <w:r>
        <w:instrText xml:space="preserve"> PAGEREF _Toc1112 \h </w:instrText>
      </w:r>
      <w:r>
        <w:fldChar w:fldCharType="separate"/>
      </w:r>
      <w:r>
        <w:t>6</w:t>
      </w:r>
      <w:r>
        <w:fldChar w:fldCharType="end"/>
      </w:r>
      <w:r>
        <w:rPr>
          <w:rFonts w:ascii="Times New Roman" w:hAnsi="Times New Roman" w:eastAsia="仿宋_GB2312" w:cs="Times New Roman"/>
          <w:highlight w:val="none"/>
        </w:rPr>
        <w:fldChar w:fldCharType="end"/>
      </w:r>
    </w:p>
    <w:p w14:paraId="412B06FE">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_Toc25764 </w:instrText>
      </w:r>
      <w:r>
        <w:rPr>
          <w:rFonts w:ascii="Times New Roman" w:hAnsi="Times New Roman" w:eastAsia="仿宋_GB2312" w:cs="Times New Roman"/>
          <w:highlight w:val="none"/>
        </w:rPr>
        <w:fldChar w:fldCharType="separate"/>
      </w:r>
      <w:r>
        <w:rPr>
          <w:bCs w:val="0"/>
          <w:highlight w:val="none"/>
        </w:rPr>
        <w:t>四、签约合同价与合同价格形</w:t>
      </w:r>
      <w:r>
        <w:rPr>
          <w:rFonts w:hint="eastAsia"/>
          <w:bCs w:val="0"/>
          <w:highlight w:val="none"/>
        </w:rPr>
        <w:t>式</w:t>
      </w:r>
      <w:r>
        <w:tab/>
      </w:r>
      <w:r>
        <w:fldChar w:fldCharType="begin"/>
      </w:r>
      <w:r>
        <w:instrText xml:space="preserve"> PAGEREF _Toc25764 \h </w:instrText>
      </w:r>
      <w:r>
        <w:fldChar w:fldCharType="separate"/>
      </w:r>
      <w:r>
        <w:t>7</w:t>
      </w:r>
      <w:r>
        <w:fldChar w:fldCharType="end"/>
      </w:r>
      <w:r>
        <w:rPr>
          <w:rFonts w:ascii="Times New Roman" w:hAnsi="Times New Roman" w:eastAsia="仿宋_GB2312" w:cs="Times New Roman"/>
          <w:highlight w:val="none"/>
        </w:rPr>
        <w:fldChar w:fldCharType="end"/>
      </w:r>
    </w:p>
    <w:p w14:paraId="3D5E7D97">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_Toc7376 </w:instrText>
      </w:r>
      <w:r>
        <w:rPr>
          <w:rFonts w:ascii="Times New Roman" w:hAnsi="Times New Roman" w:eastAsia="仿宋_GB2312" w:cs="Times New Roman"/>
          <w:highlight w:val="none"/>
        </w:rPr>
        <w:fldChar w:fldCharType="separate"/>
      </w:r>
      <w:r>
        <w:rPr>
          <w:rFonts w:hint="eastAsia"/>
          <w:bCs w:val="0"/>
          <w:highlight w:val="none"/>
          <w:lang w:val="en-US" w:eastAsia="zh-CN"/>
        </w:rPr>
        <w:t>五</w:t>
      </w:r>
      <w:r>
        <w:rPr>
          <w:rFonts w:hint="eastAsia"/>
          <w:bCs w:val="0"/>
          <w:highlight w:val="none"/>
          <w:lang w:eastAsia="zh-CN"/>
        </w:rPr>
        <w:t>、</w:t>
      </w:r>
      <w:r>
        <w:rPr>
          <w:rFonts w:hint="eastAsia"/>
          <w:bCs w:val="0"/>
          <w:highlight w:val="none"/>
        </w:rPr>
        <w:t xml:space="preserve"> 工程款支付</w:t>
      </w:r>
      <w:r>
        <w:tab/>
      </w:r>
      <w:r>
        <w:fldChar w:fldCharType="begin"/>
      </w:r>
      <w:r>
        <w:instrText xml:space="preserve"> PAGEREF _Toc7376 \h </w:instrText>
      </w:r>
      <w:r>
        <w:fldChar w:fldCharType="separate"/>
      </w:r>
      <w:r>
        <w:t>9</w:t>
      </w:r>
      <w:r>
        <w:fldChar w:fldCharType="end"/>
      </w:r>
      <w:r>
        <w:rPr>
          <w:rFonts w:ascii="Times New Roman" w:hAnsi="Times New Roman" w:eastAsia="仿宋_GB2312" w:cs="Times New Roman"/>
          <w:highlight w:val="none"/>
        </w:rPr>
        <w:fldChar w:fldCharType="end"/>
      </w:r>
    </w:p>
    <w:p w14:paraId="549F1717">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_Toc20557 </w:instrText>
      </w:r>
      <w:r>
        <w:rPr>
          <w:rFonts w:ascii="Times New Roman" w:hAnsi="Times New Roman" w:eastAsia="仿宋_GB2312" w:cs="Times New Roman"/>
          <w:highlight w:val="none"/>
        </w:rPr>
        <w:fldChar w:fldCharType="separate"/>
      </w:r>
      <w:r>
        <w:rPr>
          <w:rFonts w:hint="eastAsia"/>
          <w:bCs w:val="0"/>
          <w:highlight w:val="none"/>
        </w:rPr>
        <w:t>六、增值税条款</w:t>
      </w:r>
      <w:r>
        <w:tab/>
      </w:r>
      <w:r>
        <w:fldChar w:fldCharType="begin"/>
      </w:r>
      <w:r>
        <w:instrText xml:space="preserve"> PAGEREF _Toc20557 \h </w:instrText>
      </w:r>
      <w:r>
        <w:fldChar w:fldCharType="separate"/>
      </w:r>
      <w:r>
        <w:t>11</w:t>
      </w:r>
      <w:r>
        <w:fldChar w:fldCharType="end"/>
      </w:r>
      <w:r>
        <w:rPr>
          <w:rFonts w:ascii="Times New Roman" w:hAnsi="Times New Roman" w:eastAsia="仿宋_GB2312" w:cs="Times New Roman"/>
          <w:highlight w:val="none"/>
        </w:rPr>
        <w:fldChar w:fldCharType="end"/>
      </w:r>
    </w:p>
    <w:p w14:paraId="291F2135">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_Toc11336 </w:instrText>
      </w:r>
      <w:r>
        <w:rPr>
          <w:rFonts w:ascii="Times New Roman" w:hAnsi="Times New Roman" w:eastAsia="仿宋_GB2312" w:cs="Times New Roman"/>
          <w:highlight w:val="none"/>
        </w:rPr>
        <w:fldChar w:fldCharType="separate"/>
      </w:r>
      <w:r>
        <w:rPr>
          <w:rFonts w:hint="eastAsia"/>
          <w:bCs w:val="0"/>
          <w:highlight w:val="none"/>
        </w:rPr>
        <w:t>七、材料供应</w:t>
      </w:r>
      <w:r>
        <w:tab/>
      </w:r>
      <w:r>
        <w:fldChar w:fldCharType="begin"/>
      </w:r>
      <w:r>
        <w:instrText xml:space="preserve"> PAGEREF _Toc11336 \h </w:instrText>
      </w:r>
      <w:r>
        <w:fldChar w:fldCharType="separate"/>
      </w:r>
      <w:r>
        <w:t>15</w:t>
      </w:r>
      <w:r>
        <w:fldChar w:fldCharType="end"/>
      </w:r>
      <w:r>
        <w:rPr>
          <w:rFonts w:ascii="Times New Roman" w:hAnsi="Times New Roman" w:eastAsia="仿宋_GB2312" w:cs="Times New Roman"/>
          <w:highlight w:val="none"/>
        </w:rPr>
        <w:fldChar w:fldCharType="end"/>
      </w:r>
    </w:p>
    <w:p w14:paraId="75CA6D87">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_Toc21939 </w:instrText>
      </w:r>
      <w:r>
        <w:rPr>
          <w:rFonts w:ascii="Times New Roman" w:hAnsi="Times New Roman" w:eastAsia="仿宋_GB2312" w:cs="Times New Roman"/>
          <w:highlight w:val="none"/>
        </w:rPr>
        <w:fldChar w:fldCharType="separate"/>
      </w:r>
      <w:r>
        <w:rPr>
          <w:rFonts w:hint="eastAsia"/>
          <w:bCs w:val="0"/>
          <w:highlight w:val="none"/>
        </w:rPr>
        <w:t>八、各类机械及安全防护用品供应</w:t>
      </w:r>
      <w:r>
        <w:tab/>
      </w:r>
      <w:r>
        <w:fldChar w:fldCharType="begin"/>
      </w:r>
      <w:r>
        <w:instrText xml:space="preserve"> PAGEREF _Toc21939 \h </w:instrText>
      </w:r>
      <w:r>
        <w:fldChar w:fldCharType="separate"/>
      </w:r>
      <w:r>
        <w:t>15</w:t>
      </w:r>
      <w:r>
        <w:fldChar w:fldCharType="end"/>
      </w:r>
      <w:r>
        <w:rPr>
          <w:rFonts w:ascii="Times New Roman" w:hAnsi="Times New Roman" w:eastAsia="仿宋_GB2312" w:cs="Times New Roman"/>
          <w:highlight w:val="none"/>
        </w:rPr>
        <w:fldChar w:fldCharType="end"/>
      </w:r>
    </w:p>
    <w:p w14:paraId="49E4DC71">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_Toc32582 </w:instrText>
      </w:r>
      <w:r>
        <w:rPr>
          <w:rFonts w:ascii="Times New Roman" w:hAnsi="Times New Roman" w:eastAsia="仿宋_GB2312" w:cs="Times New Roman"/>
          <w:highlight w:val="none"/>
        </w:rPr>
        <w:fldChar w:fldCharType="separate"/>
      </w:r>
      <w:r>
        <w:rPr>
          <w:rFonts w:hint="eastAsia"/>
          <w:bCs w:val="0"/>
          <w:highlight w:val="none"/>
        </w:rPr>
        <w:t>九、甲乙方代表</w:t>
      </w:r>
      <w:r>
        <w:tab/>
      </w:r>
      <w:r>
        <w:fldChar w:fldCharType="begin"/>
      </w:r>
      <w:r>
        <w:instrText xml:space="preserve"> PAGEREF _Toc32582 \h </w:instrText>
      </w:r>
      <w:r>
        <w:fldChar w:fldCharType="separate"/>
      </w:r>
      <w:r>
        <w:t>16</w:t>
      </w:r>
      <w:r>
        <w:fldChar w:fldCharType="end"/>
      </w:r>
      <w:r>
        <w:rPr>
          <w:rFonts w:ascii="Times New Roman" w:hAnsi="Times New Roman" w:eastAsia="仿宋_GB2312" w:cs="Times New Roman"/>
          <w:highlight w:val="none"/>
        </w:rPr>
        <w:fldChar w:fldCharType="end"/>
      </w:r>
    </w:p>
    <w:p w14:paraId="498E62DB">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_Toc14146 </w:instrText>
      </w:r>
      <w:r>
        <w:rPr>
          <w:rFonts w:ascii="Times New Roman" w:hAnsi="Times New Roman" w:eastAsia="仿宋_GB2312" w:cs="Times New Roman"/>
          <w:highlight w:val="none"/>
        </w:rPr>
        <w:fldChar w:fldCharType="separate"/>
      </w:r>
      <w:r>
        <w:rPr>
          <w:rFonts w:hint="eastAsia"/>
          <w:bCs w:val="0"/>
          <w:highlight w:val="none"/>
        </w:rPr>
        <w:t>十、合同文件构成及解释顺序</w:t>
      </w:r>
      <w:r>
        <w:tab/>
      </w:r>
      <w:r>
        <w:fldChar w:fldCharType="begin"/>
      </w:r>
      <w:r>
        <w:instrText xml:space="preserve"> PAGEREF _Toc14146 \h </w:instrText>
      </w:r>
      <w:r>
        <w:fldChar w:fldCharType="separate"/>
      </w:r>
      <w:r>
        <w:t>17</w:t>
      </w:r>
      <w:r>
        <w:fldChar w:fldCharType="end"/>
      </w:r>
      <w:r>
        <w:rPr>
          <w:rFonts w:ascii="Times New Roman" w:hAnsi="Times New Roman" w:eastAsia="仿宋_GB2312" w:cs="Times New Roman"/>
          <w:highlight w:val="none"/>
        </w:rPr>
        <w:fldChar w:fldCharType="end"/>
      </w:r>
    </w:p>
    <w:p w14:paraId="0BA9B0E6">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_Toc16034 </w:instrText>
      </w:r>
      <w:r>
        <w:rPr>
          <w:rFonts w:ascii="Times New Roman" w:hAnsi="Times New Roman" w:eastAsia="仿宋_GB2312" w:cs="Times New Roman"/>
          <w:highlight w:val="none"/>
        </w:rPr>
        <w:fldChar w:fldCharType="separate"/>
      </w:r>
      <w:r>
        <w:rPr>
          <w:rFonts w:hint="eastAsia"/>
          <w:bCs w:val="0"/>
          <w:highlight w:val="none"/>
        </w:rPr>
        <w:t>十一、乙方承诺</w:t>
      </w:r>
      <w:r>
        <w:tab/>
      </w:r>
      <w:r>
        <w:fldChar w:fldCharType="begin"/>
      </w:r>
      <w:r>
        <w:instrText xml:space="preserve"> PAGEREF _Toc16034 \h </w:instrText>
      </w:r>
      <w:r>
        <w:fldChar w:fldCharType="separate"/>
      </w:r>
      <w:r>
        <w:t>18</w:t>
      </w:r>
      <w:r>
        <w:fldChar w:fldCharType="end"/>
      </w:r>
      <w:r>
        <w:rPr>
          <w:rFonts w:ascii="Times New Roman" w:hAnsi="Times New Roman" w:eastAsia="仿宋_GB2312" w:cs="Times New Roman"/>
          <w:highlight w:val="none"/>
        </w:rPr>
        <w:fldChar w:fldCharType="end"/>
      </w:r>
    </w:p>
    <w:p w14:paraId="5EF6367D">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_Toc29244 </w:instrText>
      </w:r>
      <w:r>
        <w:rPr>
          <w:rFonts w:ascii="Times New Roman" w:hAnsi="Times New Roman" w:eastAsia="仿宋_GB2312" w:cs="Times New Roman"/>
          <w:highlight w:val="none"/>
        </w:rPr>
        <w:fldChar w:fldCharType="separate"/>
      </w:r>
      <w:r>
        <w:rPr>
          <w:rFonts w:hint="eastAsia"/>
          <w:bCs w:val="0"/>
          <w:highlight w:val="none"/>
          <w:lang w:val="en-US" w:eastAsia="zh-CN"/>
        </w:rPr>
        <w:t>十二、工程保修缺陷责任</w:t>
      </w:r>
      <w:r>
        <w:tab/>
      </w:r>
      <w:r>
        <w:fldChar w:fldCharType="begin"/>
      </w:r>
      <w:r>
        <w:instrText xml:space="preserve"> PAGEREF _Toc29244 \h </w:instrText>
      </w:r>
      <w:r>
        <w:fldChar w:fldCharType="separate"/>
      </w:r>
      <w:r>
        <w:t>19</w:t>
      </w:r>
      <w:r>
        <w:fldChar w:fldCharType="end"/>
      </w:r>
      <w:r>
        <w:rPr>
          <w:rFonts w:ascii="Times New Roman" w:hAnsi="Times New Roman" w:eastAsia="仿宋_GB2312" w:cs="Times New Roman"/>
          <w:highlight w:val="none"/>
        </w:rPr>
        <w:fldChar w:fldCharType="end"/>
      </w:r>
    </w:p>
    <w:p w14:paraId="69265CC9">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_Toc13105 </w:instrText>
      </w:r>
      <w:r>
        <w:rPr>
          <w:rFonts w:ascii="Times New Roman" w:hAnsi="Times New Roman" w:eastAsia="仿宋_GB2312" w:cs="Times New Roman"/>
          <w:highlight w:val="none"/>
        </w:rPr>
        <w:fldChar w:fldCharType="separate"/>
      </w:r>
      <w:r>
        <w:rPr>
          <w:rFonts w:hint="eastAsia"/>
          <w:bCs w:val="0"/>
          <w:highlight w:val="none"/>
        </w:rPr>
        <w:t>十三、争议解决</w:t>
      </w:r>
      <w:r>
        <w:tab/>
      </w:r>
      <w:r>
        <w:fldChar w:fldCharType="begin"/>
      </w:r>
      <w:r>
        <w:instrText xml:space="preserve"> PAGEREF _Toc13105 \h </w:instrText>
      </w:r>
      <w:r>
        <w:fldChar w:fldCharType="separate"/>
      </w:r>
      <w:r>
        <w:t>19</w:t>
      </w:r>
      <w:r>
        <w:fldChar w:fldCharType="end"/>
      </w:r>
      <w:r>
        <w:rPr>
          <w:rFonts w:ascii="Times New Roman" w:hAnsi="Times New Roman" w:eastAsia="仿宋_GB2312" w:cs="Times New Roman"/>
          <w:highlight w:val="none"/>
        </w:rPr>
        <w:fldChar w:fldCharType="end"/>
      </w:r>
    </w:p>
    <w:p w14:paraId="5975A3CC">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_Toc29239 </w:instrText>
      </w:r>
      <w:r>
        <w:rPr>
          <w:rFonts w:ascii="Times New Roman" w:hAnsi="Times New Roman" w:eastAsia="仿宋_GB2312" w:cs="Times New Roman"/>
          <w:highlight w:val="none"/>
        </w:rPr>
        <w:fldChar w:fldCharType="separate"/>
      </w:r>
      <w:r>
        <w:rPr>
          <w:bCs w:val="0"/>
          <w:highlight w:val="none"/>
        </w:rPr>
        <w:t>十</w:t>
      </w:r>
      <w:r>
        <w:rPr>
          <w:rFonts w:hint="eastAsia"/>
          <w:bCs w:val="0"/>
          <w:highlight w:val="none"/>
        </w:rPr>
        <w:t>四、附则</w:t>
      </w:r>
      <w:r>
        <w:tab/>
      </w:r>
      <w:r>
        <w:fldChar w:fldCharType="begin"/>
      </w:r>
      <w:r>
        <w:instrText xml:space="preserve"> PAGEREF _Toc29239 \h </w:instrText>
      </w:r>
      <w:r>
        <w:fldChar w:fldCharType="separate"/>
      </w:r>
      <w:r>
        <w:t>19</w:t>
      </w:r>
      <w:r>
        <w:fldChar w:fldCharType="end"/>
      </w:r>
      <w:r>
        <w:rPr>
          <w:rFonts w:ascii="Times New Roman" w:hAnsi="Times New Roman" w:eastAsia="仿宋_GB2312" w:cs="Times New Roman"/>
          <w:highlight w:val="none"/>
        </w:rPr>
        <w:fldChar w:fldCharType="end"/>
      </w:r>
    </w:p>
    <w:p w14:paraId="08C72414">
      <w:pPr>
        <w:pStyle w:val="11"/>
        <w:tabs>
          <w:tab w:val="right" w:leader="dot" w:pos="830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_Toc12261 </w:instrText>
      </w:r>
      <w:r>
        <w:rPr>
          <w:rFonts w:ascii="Times New Roman" w:hAnsi="Times New Roman" w:eastAsia="仿宋_GB2312" w:cs="Times New Roman"/>
          <w:highlight w:val="none"/>
        </w:rPr>
        <w:fldChar w:fldCharType="separate"/>
      </w:r>
      <w:r>
        <w:rPr>
          <w:rFonts w:ascii="华文中宋" w:hAnsi="华文中宋" w:eastAsia="华文中宋"/>
          <w:szCs w:val="40"/>
          <w:highlight w:val="none"/>
        </w:rPr>
        <w:t>第二部分  合同条款</w:t>
      </w:r>
      <w:r>
        <w:tab/>
      </w:r>
      <w:r>
        <w:fldChar w:fldCharType="begin"/>
      </w:r>
      <w:r>
        <w:instrText xml:space="preserve"> PAGEREF _Toc12261 \h </w:instrText>
      </w:r>
      <w:r>
        <w:fldChar w:fldCharType="separate"/>
      </w:r>
      <w:r>
        <w:t>21</w:t>
      </w:r>
      <w:r>
        <w:fldChar w:fldCharType="end"/>
      </w:r>
      <w:r>
        <w:rPr>
          <w:rFonts w:ascii="Times New Roman" w:hAnsi="Times New Roman" w:eastAsia="仿宋_GB2312" w:cs="Times New Roman"/>
          <w:highlight w:val="none"/>
        </w:rPr>
        <w:fldChar w:fldCharType="end"/>
      </w:r>
    </w:p>
    <w:p w14:paraId="4F77BA1C">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_Toc17739 </w:instrText>
      </w:r>
      <w:r>
        <w:rPr>
          <w:rFonts w:ascii="Times New Roman" w:hAnsi="Times New Roman" w:eastAsia="仿宋_GB2312" w:cs="Times New Roman"/>
          <w:highlight w:val="none"/>
        </w:rPr>
        <w:fldChar w:fldCharType="separate"/>
      </w:r>
      <w:r>
        <w:rPr>
          <w:bCs w:val="0"/>
          <w:highlight w:val="none"/>
        </w:rPr>
        <w:t>1. 一般约定</w:t>
      </w:r>
      <w:r>
        <w:tab/>
      </w:r>
      <w:r>
        <w:fldChar w:fldCharType="begin"/>
      </w:r>
      <w:r>
        <w:instrText xml:space="preserve"> PAGEREF _Toc17739 \h </w:instrText>
      </w:r>
      <w:r>
        <w:fldChar w:fldCharType="separate"/>
      </w:r>
      <w:r>
        <w:t>21</w:t>
      </w:r>
      <w:r>
        <w:fldChar w:fldCharType="end"/>
      </w:r>
      <w:r>
        <w:rPr>
          <w:rFonts w:ascii="Times New Roman" w:hAnsi="Times New Roman" w:eastAsia="仿宋_GB2312" w:cs="Times New Roman"/>
          <w:highlight w:val="none"/>
        </w:rPr>
        <w:fldChar w:fldCharType="end"/>
      </w:r>
    </w:p>
    <w:p w14:paraId="3DFA8545">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_Toc7608 </w:instrText>
      </w:r>
      <w:r>
        <w:rPr>
          <w:rFonts w:ascii="Times New Roman" w:hAnsi="Times New Roman" w:eastAsia="仿宋_GB2312" w:cs="Times New Roman"/>
          <w:highlight w:val="none"/>
        </w:rPr>
        <w:fldChar w:fldCharType="separate"/>
      </w:r>
      <w:r>
        <w:rPr>
          <w:rFonts w:hint="eastAsia"/>
          <w:bCs w:val="0"/>
          <w:highlight w:val="none"/>
        </w:rPr>
        <w:t>2. 甲方</w:t>
      </w:r>
      <w:r>
        <w:tab/>
      </w:r>
      <w:r>
        <w:fldChar w:fldCharType="begin"/>
      </w:r>
      <w:r>
        <w:instrText xml:space="preserve"> PAGEREF _Toc7608 \h </w:instrText>
      </w:r>
      <w:r>
        <w:fldChar w:fldCharType="separate"/>
      </w:r>
      <w:r>
        <w:t>23</w:t>
      </w:r>
      <w:r>
        <w:fldChar w:fldCharType="end"/>
      </w:r>
      <w:r>
        <w:rPr>
          <w:rFonts w:ascii="Times New Roman" w:hAnsi="Times New Roman" w:eastAsia="仿宋_GB2312" w:cs="Times New Roman"/>
          <w:highlight w:val="none"/>
        </w:rPr>
        <w:fldChar w:fldCharType="end"/>
      </w:r>
    </w:p>
    <w:p w14:paraId="78A34535">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_Toc32452 </w:instrText>
      </w:r>
      <w:r>
        <w:rPr>
          <w:rFonts w:ascii="Times New Roman" w:hAnsi="Times New Roman" w:eastAsia="仿宋_GB2312" w:cs="Times New Roman"/>
          <w:highlight w:val="none"/>
        </w:rPr>
        <w:fldChar w:fldCharType="separate"/>
      </w:r>
      <w:r>
        <w:rPr>
          <w:rFonts w:hint="eastAsia"/>
          <w:bCs w:val="0"/>
          <w:highlight w:val="none"/>
        </w:rPr>
        <w:t>3. 乙方</w:t>
      </w:r>
      <w:r>
        <w:tab/>
      </w:r>
      <w:r>
        <w:fldChar w:fldCharType="begin"/>
      </w:r>
      <w:r>
        <w:instrText xml:space="preserve"> PAGEREF _Toc32452 \h </w:instrText>
      </w:r>
      <w:r>
        <w:fldChar w:fldCharType="separate"/>
      </w:r>
      <w:r>
        <w:t>25</w:t>
      </w:r>
      <w:r>
        <w:fldChar w:fldCharType="end"/>
      </w:r>
      <w:r>
        <w:rPr>
          <w:rFonts w:ascii="Times New Roman" w:hAnsi="Times New Roman" w:eastAsia="仿宋_GB2312" w:cs="Times New Roman"/>
          <w:highlight w:val="none"/>
        </w:rPr>
        <w:fldChar w:fldCharType="end"/>
      </w:r>
    </w:p>
    <w:p w14:paraId="2160AC7A">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_Toc16410 </w:instrText>
      </w:r>
      <w:r>
        <w:rPr>
          <w:rFonts w:ascii="Times New Roman" w:hAnsi="Times New Roman" w:eastAsia="仿宋_GB2312" w:cs="Times New Roman"/>
          <w:highlight w:val="none"/>
        </w:rPr>
        <w:fldChar w:fldCharType="separate"/>
      </w:r>
      <w:r>
        <w:rPr>
          <w:rFonts w:hint="eastAsia"/>
          <w:bCs w:val="0"/>
          <w:highlight w:val="none"/>
        </w:rPr>
        <w:t>4. 分包作业人员</w:t>
      </w:r>
      <w:r>
        <w:tab/>
      </w:r>
      <w:r>
        <w:fldChar w:fldCharType="begin"/>
      </w:r>
      <w:r>
        <w:instrText xml:space="preserve"> PAGEREF _Toc16410 \h </w:instrText>
      </w:r>
      <w:r>
        <w:fldChar w:fldCharType="separate"/>
      </w:r>
      <w:r>
        <w:t>31</w:t>
      </w:r>
      <w:r>
        <w:fldChar w:fldCharType="end"/>
      </w:r>
      <w:r>
        <w:rPr>
          <w:rFonts w:ascii="Times New Roman" w:hAnsi="Times New Roman" w:eastAsia="仿宋_GB2312" w:cs="Times New Roman"/>
          <w:highlight w:val="none"/>
        </w:rPr>
        <w:fldChar w:fldCharType="end"/>
      </w:r>
    </w:p>
    <w:p w14:paraId="57152CB5">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_Toc9305 </w:instrText>
      </w:r>
      <w:r>
        <w:rPr>
          <w:rFonts w:ascii="Times New Roman" w:hAnsi="Times New Roman" w:eastAsia="仿宋_GB2312" w:cs="Times New Roman"/>
          <w:highlight w:val="none"/>
        </w:rPr>
        <w:fldChar w:fldCharType="separate"/>
      </w:r>
      <w:r>
        <w:rPr>
          <w:rFonts w:hint="eastAsia"/>
          <w:bCs w:val="0"/>
          <w:highlight w:val="none"/>
        </w:rPr>
        <w:t>5. 作业安全与环境保护</w:t>
      </w:r>
      <w:r>
        <w:tab/>
      </w:r>
      <w:r>
        <w:fldChar w:fldCharType="begin"/>
      </w:r>
      <w:r>
        <w:instrText xml:space="preserve"> PAGEREF _Toc9305 \h </w:instrText>
      </w:r>
      <w:r>
        <w:fldChar w:fldCharType="separate"/>
      </w:r>
      <w:r>
        <w:t>33</w:t>
      </w:r>
      <w:r>
        <w:fldChar w:fldCharType="end"/>
      </w:r>
      <w:r>
        <w:rPr>
          <w:rFonts w:ascii="Times New Roman" w:hAnsi="Times New Roman" w:eastAsia="仿宋_GB2312" w:cs="Times New Roman"/>
          <w:highlight w:val="none"/>
        </w:rPr>
        <w:fldChar w:fldCharType="end"/>
      </w:r>
    </w:p>
    <w:p w14:paraId="6622A3DF">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_Toc15813 </w:instrText>
      </w:r>
      <w:r>
        <w:rPr>
          <w:rFonts w:ascii="Times New Roman" w:hAnsi="Times New Roman" w:eastAsia="仿宋_GB2312" w:cs="Times New Roman"/>
          <w:highlight w:val="none"/>
        </w:rPr>
        <w:fldChar w:fldCharType="separate"/>
      </w:r>
      <w:r>
        <w:rPr>
          <w:rFonts w:hint="eastAsia"/>
          <w:bCs w:val="0"/>
          <w:highlight w:val="none"/>
        </w:rPr>
        <w:t>6. 作业期限及进度</w:t>
      </w:r>
      <w:r>
        <w:tab/>
      </w:r>
      <w:r>
        <w:fldChar w:fldCharType="begin"/>
      </w:r>
      <w:r>
        <w:instrText xml:space="preserve"> PAGEREF _Toc15813 \h </w:instrText>
      </w:r>
      <w:r>
        <w:fldChar w:fldCharType="separate"/>
      </w:r>
      <w:r>
        <w:t>38</w:t>
      </w:r>
      <w:r>
        <w:fldChar w:fldCharType="end"/>
      </w:r>
      <w:r>
        <w:rPr>
          <w:rFonts w:ascii="Times New Roman" w:hAnsi="Times New Roman" w:eastAsia="仿宋_GB2312" w:cs="Times New Roman"/>
          <w:highlight w:val="none"/>
        </w:rPr>
        <w:fldChar w:fldCharType="end"/>
      </w:r>
    </w:p>
    <w:p w14:paraId="012D7AB5">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_Toc8764 </w:instrText>
      </w:r>
      <w:r>
        <w:rPr>
          <w:rFonts w:ascii="Times New Roman" w:hAnsi="Times New Roman" w:eastAsia="仿宋_GB2312" w:cs="Times New Roman"/>
          <w:highlight w:val="none"/>
        </w:rPr>
        <w:fldChar w:fldCharType="separate"/>
      </w:r>
      <w:r>
        <w:rPr>
          <w:rFonts w:hint="eastAsia"/>
          <w:bCs w:val="0"/>
          <w:highlight w:val="none"/>
        </w:rPr>
        <w:t>7. 机具、设备及材料供应</w:t>
      </w:r>
      <w:r>
        <w:tab/>
      </w:r>
      <w:r>
        <w:fldChar w:fldCharType="begin"/>
      </w:r>
      <w:r>
        <w:instrText xml:space="preserve"> PAGEREF _Toc8764 \h </w:instrText>
      </w:r>
      <w:r>
        <w:fldChar w:fldCharType="separate"/>
      </w:r>
      <w:r>
        <w:t>40</w:t>
      </w:r>
      <w:r>
        <w:fldChar w:fldCharType="end"/>
      </w:r>
      <w:r>
        <w:rPr>
          <w:rFonts w:ascii="Times New Roman" w:hAnsi="Times New Roman" w:eastAsia="仿宋_GB2312" w:cs="Times New Roman"/>
          <w:highlight w:val="none"/>
        </w:rPr>
        <w:fldChar w:fldCharType="end"/>
      </w:r>
    </w:p>
    <w:p w14:paraId="5E14A4D6">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_Toc6421 </w:instrText>
      </w:r>
      <w:r>
        <w:rPr>
          <w:rFonts w:ascii="Times New Roman" w:hAnsi="Times New Roman" w:eastAsia="仿宋_GB2312" w:cs="Times New Roman"/>
          <w:highlight w:val="none"/>
        </w:rPr>
        <w:fldChar w:fldCharType="separate"/>
      </w:r>
      <w:r>
        <w:rPr>
          <w:rFonts w:hint="eastAsia"/>
          <w:bCs w:val="0"/>
          <w:highlight w:val="none"/>
        </w:rPr>
        <w:t>8. 分包作业变化</w:t>
      </w:r>
      <w:r>
        <w:tab/>
      </w:r>
      <w:r>
        <w:fldChar w:fldCharType="begin"/>
      </w:r>
      <w:r>
        <w:instrText xml:space="preserve"> PAGEREF _Toc6421 \h </w:instrText>
      </w:r>
      <w:r>
        <w:fldChar w:fldCharType="separate"/>
      </w:r>
      <w:r>
        <w:t>42</w:t>
      </w:r>
      <w:r>
        <w:fldChar w:fldCharType="end"/>
      </w:r>
      <w:r>
        <w:rPr>
          <w:rFonts w:ascii="Times New Roman" w:hAnsi="Times New Roman" w:eastAsia="仿宋_GB2312" w:cs="Times New Roman"/>
          <w:highlight w:val="none"/>
        </w:rPr>
        <w:fldChar w:fldCharType="end"/>
      </w:r>
    </w:p>
    <w:p w14:paraId="2232E9CA">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_Toc25723 </w:instrText>
      </w:r>
      <w:r>
        <w:rPr>
          <w:rFonts w:ascii="Times New Roman" w:hAnsi="Times New Roman" w:eastAsia="仿宋_GB2312" w:cs="Times New Roman"/>
          <w:highlight w:val="none"/>
        </w:rPr>
        <w:fldChar w:fldCharType="separate"/>
      </w:r>
      <w:r>
        <w:rPr>
          <w:rFonts w:hint="eastAsia"/>
          <w:bCs w:val="0"/>
          <w:highlight w:val="none"/>
        </w:rPr>
        <w:t>9. 分包作业价格调整</w:t>
      </w:r>
      <w:r>
        <w:tab/>
      </w:r>
      <w:r>
        <w:fldChar w:fldCharType="begin"/>
      </w:r>
      <w:r>
        <w:instrText xml:space="preserve"> PAGEREF _Toc25723 \h </w:instrText>
      </w:r>
      <w:r>
        <w:fldChar w:fldCharType="separate"/>
      </w:r>
      <w:r>
        <w:t>44</w:t>
      </w:r>
      <w:r>
        <w:fldChar w:fldCharType="end"/>
      </w:r>
      <w:r>
        <w:rPr>
          <w:rFonts w:ascii="Times New Roman" w:hAnsi="Times New Roman" w:eastAsia="仿宋_GB2312" w:cs="Times New Roman"/>
          <w:highlight w:val="none"/>
        </w:rPr>
        <w:fldChar w:fldCharType="end"/>
      </w:r>
    </w:p>
    <w:p w14:paraId="77A72EA0">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_Toc23654 </w:instrText>
      </w:r>
      <w:r>
        <w:rPr>
          <w:rFonts w:ascii="Times New Roman" w:hAnsi="Times New Roman" w:eastAsia="仿宋_GB2312" w:cs="Times New Roman"/>
          <w:highlight w:val="none"/>
        </w:rPr>
        <w:fldChar w:fldCharType="separate"/>
      </w:r>
      <w:r>
        <w:rPr>
          <w:rFonts w:hint="eastAsia"/>
          <w:bCs w:val="0"/>
          <w:highlight w:val="none"/>
        </w:rPr>
        <w:t>10. 合同价格形式</w:t>
      </w:r>
      <w:r>
        <w:tab/>
      </w:r>
      <w:r>
        <w:fldChar w:fldCharType="begin"/>
      </w:r>
      <w:r>
        <w:instrText xml:space="preserve"> PAGEREF _Toc23654 \h </w:instrText>
      </w:r>
      <w:r>
        <w:fldChar w:fldCharType="separate"/>
      </w:r>
      <w:r>
        <w:t>44</w:t>
      </w:r>
      <w:r>
        <w:fldChar w:fldCharType="end"/>
      </w:r>
      <w:r>
        <w:rPr>
          <w:rFonts w:ascii="Times New Roman" w:hAnsi="Times New Roman" w:eastAsia="仿宋_GB2312" w:cs="Times New Roman"/>
          <w:highlight w:val="none"/>
        </w:rPr>
        <w:fldChar w:fldCharType="end"/>
      </w:r>
    </w:p>
    <w:p w14:paraId="5EF08B54">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_Toc26757 </w:instrText>
      </w:r>
      <w:r>
        <w:rPr>
          <w:rFonts w:ascii="Times New Roman" w:hAnsi="Times New Roman" w:eastAsia="仿宋_GB2312" w:cs="Times New Roman"/>
          <w:highlight w:val="none"/>
        </w:rPr>
        <w:fldChar w:fldCharType="separate"/>
      </w:r>
      <w:r>
        <w:rPr>
          <w:rFonts w:hint="eastAsia"/>
          <w:bCs w:val="0"/>
          <w:highlight w:val="none"/>
        </w:rPr>
        <w:t>11. 分包作业计量与支付</w:t>
      </w:r>
      <w:r>
        <w:tab/>
      </w:r>
      <w:r>
        <w:fldChar w:fldCharType="begin"/>
      </w:r>
      <w:r>
        <w:instrText xml:space="preserve"> PAGEREF _Toc26757 \h </w:instrText>
      </w:r>
      <w:r>
        <w:fldChar w:fldCharType="separate"/>
      </w:r>
      <w:r>
        <w:t>44</w:t>
      </w:r>
      <w:r>
        <w:fldChar w:fldCharType="end"/>
      </w:r>
      <w:r>
        <w:rPr>
          <w:rFonts w:ascii="Times New Roman" w:hAnsi="Times New Roman" w:eastAsia="仿宋_GB2312" w:cs="Times New Roman"/>
          <w:highlight w:val="none"/>
        </w:rPr>
        <w:fldChar w:fldCharType="end"/>
      </w:r>
    </w:p>
    <w:p w14:paraId="45D01195">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_Toc8697 </w:instrText>
      </w:r>
      <w:r>
        <w:rPr>
          <w:rFonts w:ascii="Times New Roman" w:hAnsi="Times New Roman" w:eastAsia="仿宋_GB2312" w:cs="Times New Roman"/>
          <w:highlight w:val="none"/>
        </w:rPr>
        <w:fldChar w:fldCharType="separate"/>
      </w:r>
      <w:r>
        <w:rPr>
          <w:rFonts w:hint="eastAsia"/>
          <w:bCs w:val="0"/>
          <w:highlight w:val="none"/>
        </w:rPr>
        <w:t>12. 验收与交付</w:t>
      </w:r>
      <w:r>
        <w:tab/>
      </w:r>
      <w:r>
        <w:fldChar w:fldCharType="begin"/>
      </w:r>
      <w:r>
        <w:instrText xml:space="preserve"> PAGEREF _Toc8697 \h </w:instrText>
      </w:r>
      <w:r>
        <w:fldChar w:fldCharType="separate"/>
      </w:r>
      <w:r>
        <w:t>45</w:t>
      </w:r>
      <w:r>
        <w:fldChar w:fldCharType="end"/>
      </w:r>
      <w:r>
        <w:rPr>
          <w:rFonts w:ascii="Times New Roman" w:hAnsi="Times New Roman" w:eastAsia="仿宋_GB2312" w:cs="Times New Roman"/>
          <w:highlight w:val="none"/>
        </w:rPr>
        <w:fldChar w:fldCharType="end"/>
      </w:r>
    </w:p>
    <w:p w14:paraId="2FB1B147">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_Toc28633 </w:instrText>
      </w:r>
      <w:r>
        <w:rPr>
          <w:rFonts w:ascii="Times New Roman" w:hAnsi="Times New Roman" w:eastAsia="仿宋_GB2312" w:cs="Times New Roman"/>
          <w:highlight w:val="none"/>
        </w:rPr>
        <w:fldChar w:fldCharType="separate"/>
      </w:r>
      <w:r>
        <w:rPr>
          <w:rFonts w:hint="eastAsia"/>
          <w:bCs w:val="0"/>
          <w:highlight w:val="none"/>
        </w:rPr>
        <w:t>13. 分包作业结算与支付</w:t>
      </w:r>
      <w:r>
        <w:tab/>
      </w:r>
      <w:r>
        <w:fldChar w:fldCharType="begin"/>
      </w:r>
      <w:r>
        <w:instrText xml:space="preserve"> PAGEREF _Toc28633 \h </w:instrText>
      </w:r>
      <w:r>
        <w:fldChar w:fldCharType="separate"/>
      </w:r>
      <w:r>
        <w:t>46</w:t>
      </w:r>
      <w:r>
        <w:fldChar w:fldCharType="end"/>
      </w:r>
      <w:r>
        <w:rPr>
          <w:rFonts w:ascii="Times New Roman" w:hAnsi="Times New Roman" w:eastAsia="仿宋_GB2312" w:cs="Times New Roman"/>
          <w:highlight w:val="none"/>
        </w:rPr>
        <w:fldChar w:fldCharType="end"/>
      </w:r>
    </w:p>
    <w:p w14:paraId="7DF78222">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_Toc7283 </w:instrText>
      </w:r>
      <w:r>
        <w:rPr>
          <w:rFonts w:ascii="Times New Roman" w:hAnsi="Times New Roman" w:eastAsia="仿宋_GB2312" w:cs="Times New Roman"/>
          <w:highlight w:val="none"/>
        </w:rPr>
        <w:fldChar w:fldCharType="separate"/>
      </w:r>
      <w:r>
        <w:rPr>
          <w:rFonts w:hint="eastAsia"/>
          <w:bCs w:val="0"/>
          <w:highlight w:val="none"/>
        </w:rPr>
        <w:t>14. 违约</w:t>
      </w:r>
      <w:r>
        <w:tab/>
      </w:r>
      <w:r>
        <w:fldChar w:fldCharType="begin"/>
      </w:r>
      <w:r>
        <w:instrText xml:space="preserve"> PAGEREF _Toc7283 \h </w:instrText>
      </w:r>
      <w:r>
        <w:fldChar w:fldCharType="separate"/>
      </w:r>
      <w:r>
        <w:t>49</w:t>
      </w:r>
      <w:r>
        <w:fldChar w:fldCharType="end"/>
      </w:r>
      <w:r>
        <w:rPr>
          <w:rFonts w:ascii="Times New Roman" w:hAnsi="Times New Roman" w:eastAsia="仿宋_GB2312" w:cs="Times New Roman"/>
          <w:highlight w:val="none"/>
        </w:rPr>
        <w:fldChar w:fldCharType="end"/>
      </w:r>
    </w:p>
    <w:p w14:paraId="7F671056">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_Toc1318 </w:instrText>
      </w:r>
      <w:r>
        <w:rPr>
          <w:rFonts w:ascii="Times New Roman" w:hAnsi="Times New Roman" w:eastAsia="仿宋_GB2312" w:cs="Times New Roman"/>
          <w:highlight w:val="none"/>
        </w:rPr>
        <w:fldChar w:fldCharType="separate"/>
      </w:r>
      <w:r>
        <w:rPr>
          <w:rFonts w:hint="eastAsia"/>
          <w:bCs w:val="0"/>
          <w:highlight w:val="none"/>
        </w:rPr>
        <w:t>1</w:t>
      </w:r>
      <w:r>
        <w:rPr>
          <w:bCs w:val="0"/>
          <w:highlight w:val="none"/>
        </w:rPr>
        <w:t xml:space="preserve">5. </w:t>
      </w:r>
      <w:r>
        <w:rPr>
          <w:rFonts w:hint="eastAsia"/>
          <w:bCs w:val="0"/>
          <w:highlight w:val="none"/>
        </w:rPr>
        <w:t>不可抗力</w:t>
      </w:r>
      <w:r>
        <w:tab/>
      </w:r>
      <w:r>
        <w:fldChar w:fldCharType="begin"/>
      </w:r>
      <w:r>
        <w:instrText xml:space="preserve"> PAGEREF _Toc1318 \h </w:instrText>
      </w:r>
      <w:r>
        <w:fldChar w:fldCharType="separate"/>
      </w:r>
      <w:r>
        <w:t>50</w:t>
      </w:r>
      <w:r>
        <w:fldChar w:fldCharType="end"/>
      </w:r>
      <w:r>
        <w:rPr>
          <w:rFonts w:ascii="Times New Roman" w:hAnsi="Times New Roman" w:eastAsia="仿宋_GB2312" w:cs="Times New Roman"/>
          <w:highlight w:val="none"/>
        </w:rPr>
        <w:fldChar w:fldCharType="end"/>
      </w:r>
    </w:p>
    <w:p w14:paraId="60C5FCAD">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_Toc11258 </w:instrText>
      </w:r>
      <w:r>
        <w:rPr>
          <w:rFonts w:ascii="Times New Roman" w:hAnsi="Times New Roman" w:eastAsia="仿宋_GB2312" w:cs="Times New Roman"/>
          <w:highlight w:val="none"/>
        </w:rPr>
        <w:fldChar w:fldCharType="separate"/>
      </w:r>
      <w:r>
        <w:rPr>
          <w:rFonts w:hint="eastAsia"/>
          <w:bCs w:val="0"/>
          <w:highlight w:val="none"/>
        </w:rPr>
        <w:t>1</w:t>
      </w:r>
      <w:r>
        <w:rPr>
          <w:bCs w:val="0"/>
          <w:highlight w:val="none"/>
        </w:rPr>
        <w:t xml:space="preserve">6. </w:t>
      </w:r>
      <w:r>
        <w:rPr>
          <w:rFonts w:hint="eastAsia"/>
          <w:bCs w:val="0"/>
          <w:highlight w:val="none"/>
        </w:rPr>
        <w:t>保险</w:t>
      </w:r>
      <w:r>
        <w:tab/>
      </w:r>
      <w:r>
        <w:fldChar w:fldCharType="begin"/>
      </w:r>
      <w:r>
        <w:instrText xml:space="preserve"> PAGEREF _Toc11258 \h </w:instrText>
      </w:r>
      <w:r>
        <w:fldChar w:fldCharType="separate"/>
      </w:r>
      <w:r>
        <w:t>51</w:t>
      </w:r>
      <w:r>
        <w:fldChar w:fldCharType="end"/>
      </w:r>
      <w:r>
        <w:rPr>
          <w:rFonts w:ascii="Times New Roman" w:hAnsi="Times New Roman" w:eastAsia="仿宋_GB2312" w:cs="Times New Roman"/>
          <w:highlight w:val="none"/>
        </w:rPr>
        <w:fldChar w:fldCharType="end"/>
      </w:r>
    </w:p>
    <w:p w14:paraId="0248EFA9">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_Toc20322 </w:instrText>
      </w:r>
      <w:r>
        <w:rPr>
          <w:rFonts w:ascii="Times New Roman" w:hAnsi="Times New Roman" w:eastAsia="仿宋_GB2312" w:cs="Times New Roman"/>
          <w:highlight w:val="none"/>
        </w:rPr>
        <w:fldChar w:fldCharType="separate"/>
      </w:r>
      <w:r>
        <w:rPr>
          <w:rFonts w:hint="eastAsia"/>
          <w:bCs w:val="0"/>
          <w:highlight w:val="none"/>
        </w:rPr>
        <w:t>17. 配合索赔</w:t>
      </w:r>
      <w:r>
        <w:tab/>
      </w:r>
      <w:r>
        <w:fldChar w:fldCharType="begin"/>
      </w:r>
      <w:r>
        <w:instrText xml:space="preserve"> PAGEREF _Toc20322 \h </w:instrText>
      </w:r>
      <w:r>
        <w:fldChar w:fldCharType="separate"/>
      </w:r>
      <w:r>
        <w:t>52</w:t>
      </w:r>
      <w:r>
        <w:fldChar w:fldCharType="end"/>
      </w:r>
      <w:r>
        <w:rPr>
          <w:rFonts w:ascii="Times New Roman" w:hAnsi="Times New Roman" w:eastAsia="仿宋_GB2312" w:cs="Times New Roman"/>
          <w:highlight w:val="none"/>
        </w:rPr>
        <w:fldChar w:fldCharType="end"/>
      </w:r>
    </w:p>
    <w:p w14:paraId="1A19A0A4">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_Toc11633 </w:instrText>
      </w:r>
      <w:r>
        <w:rPr>
          <w:rFonts w:ascii="Times New Roman" w:hAnsi="Times New Roman" w:eastAsia="仿宋_GB2312" w:cs="Times New Roman"/>
          <w:highlight w:val="none"/>
        </w:rPr>
        <w:fldChar w:fldCharType="separate"/>
      </w:r>
      <w:r>
        <w:rPr>
          <w:rFonts w:hint="eastAsia"/>
          <w:bCs w:val="0"/>
          <w:highlight w:val="none"/>
        </w:rPr>
        <w:t>1</w:t>
      </w:r>
      <w:r>
        <w:rPr>
          <w:bCs w:val="0"/>
          <w:highlight w:val="none"/>
        </w:rPr>
        <w:t xml:space="preserve">8. </w:t>
      </w:r>
      <w:r>
        <w:rPr>
          <w:rFonts w:hint="eastAsia"/>
          <w:bCs w:val="0"/>
          <w:highlight w:val="none"/>
        </w:rPr>
        <w:t>合同解除</w:t>
      </w:r>
      <w:r>
        <w:tab/>
      </w:r>
      <w:r>
        <w:fldChar w:fldCharType="begin"/>
      </w:r>
      <w:r>
        <w:instrText xml:space="preserve"> PAGEREF _Toc11633 \h </w:instrText>
      </w:r>
      <w:r>
        <w:fldChar w:fldCharType="separate"/>
      </w:r>
      <w:r>
        <w:t>52</w:t>
      </w:r>
      <w:r>
        <w:fldChar w:fldCharType="end"/>
      </w:r>
      <w:r>
        <w:rPr>
          <w:rFonts w:ascii="Times New Roman" w:hAnsi="Times New Roman" w:eastAsia="仿宋_GB2312" w:cs="Times New Roman"/>
          <w:highlight w:val="none"/>
        </w:rPr>
        <w:fldChar w:fldCharType="end"/>
      </w:r>
    </w:p>
    <w:p w14:paraId="41D0A66C">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_Toc19106 </w:instrText>
      </w:r>
      <w:r>
        <w:rPr>
          <w:rFonts w:ascii="Times New Roman" w:hAnsi="Times New Roman" w:eastAsia="仿宋_GB2312" w:cs="Times New Roman"/>
          <w:highlight w:val="none"/>
        </w:rPr>
        <w:fldChar w:fldCharType="separate"/>
      </w:r>
      <w:r>
        <w:rPr>
          <w:rFonts w:hint="eastAsia"/>
          <w:bCs w:val="0"/>
          <w:highlight w:val="none"/>
        </w:rPr>
        <w:t>1</w:t>
      </w:r>
      <w:r>
        <w:rPr>
          <w:bCs w:val="0"/>
          <w:highlight w:val="none"/>
        </w:rPr>
        <w:t xml:space="preserve">9. </w:t>
      </w:r>
      <w:r>
        <w:rPr>
          <w:rFonts w:hint="eastAsia"/>
          <w:bCs w:val="0"/>
          <w:highlight w:val="none"/>
        </w:rPr>
        <w:t>知识产权</w:t>
      </w:r>
      <w:r>
        <w:tab/>
      </w:r>
      <w:r>
        <w:fldChar w:fldCharType="begin"/>
      </w:r>
      <w:r>
        <w:instrText xml:space="preserve"> PAGEREF _Toc19106 \h </w:instrText>
      </w:r>
      <w:r>
        <w:fldChar w:fldCharType="separate"/>
      </w:r>
      <w:r>
        <w:t>54</w:t>
      </w:r>
      <w:r>
        <w:fldChar w:fldCharType="end"/>
      </w:r>
      <w:r>
        <w:rPr>
          <w:rFonts w:ascii="Times New Roman" w:hAnsi="Times New Roman" w:eastAsia="仿宋_GB2312" w:cs="Times New Roman"/>
          <w:highlight w:val="none"/>
        </w:rPr>
        <w:fldChar w:fldCharType="end"/>
      </w:r>
    </w:p>
    <w:p w14:paraId="664121FE">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_Toc23655 </w:instrText>
      </w:r>
      <w:r>
        <w:rPr>
          <w:rFonts w:ascii="Times New Roman" w:hAnsi="Times New Roman" w:eastAsia="仿宋_GB2312" w:cs="Times New Roman"/>
          <w:highlight w:val="none"/>
        </w:rPr>
        <w:fldChar w:fldCharType="separate"/>
      </w:r>
      <w:r>
        <w:rPr>
          <w:rFonts w:hint="eastAsia"/>
          <w:bCs w:val="0"/>
          <w:highlight w:val="none"/>
        </w:rPr>
        <w:t>20.</w:t>
      </w:r>
      <w:r>
        <w:rPr>
          <w:bCs w:val="0"/>
          <w:highlight w:val="none"/>
        </w:rPr>
        <w:t xml:space="preserve"> </w:t>
      </w:r>
      <w:r>
        <w:rPr>
          <w:rFonts w:hint="eastAsia"/>
          <w:bCs w:val="0"/>
          <w:highlight w:val="none"/>
        </w:rPr>
        <w:t>其他约定</w:t>
      </w:r>
      <w:r>
        <w:tab/>
      </w:r>
      <w:r>
        <w:fldChar w:fldCharType="begin"/>
      </w:r>
      <w:r>
        <w:instrText xml:space="preserve"> PAGEREF _Toc23655 \h </w:instrText>
      </w:r>
      <w:r>
        <w:fldChar w:fldCharType="separate"/>
      </w:r>
      <w:r>
        <w:t>55</w:t>
      </w:r>
      <w:r>
        <w:fldChar w:fldCharType="end"/>
      </w:r>
      <w:r>
        <w:rPr>
          <w:rFonts w:ascii="Times New Roman" w:hAnsi="Times New Roman" w:eastAsia="仿宋_GB2312" w:cs="Times New Roman"/>
          <w:highlight w:val="none"/>
        </w:rPr>
        <w:fldChar w:fldCharType="end"/>
      </w:r>
    </w:p>
    <w:p w14:paraId="1B030E69">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_Toc31934 </w:instrText>
      </w:r>
      <w:r>
        <w:rPr>
          <w:rFonts w:ascii="Times New Roman" w:hAnsi="Times New Roman" w:eastAsia="仿宋_GB2312" w:cs="Times New Roman"/>
          <w:highlight w:val="none"/>
        </w:rPr>
        <w:fldChar w:fldCharType="separate"/>
      </w:r>
      <w:r>
        <w:rPr>
          <w:rFonts w:hint="eastAsia"/>
          <w:bCs w:val="0"/>
          <w:highlight w:val="none"/>
        </w:rPr>
        <w:t>附件1</w:t>
      </w:r>
      <w:r>
        <w:tab/>
      </w:r>
      <w:r>
        <w:fldChar w:fldCharType="begin"/>
      </w:r>
      <w:r>
        <w:instrText xml:space="preserve"> PAGEREF _Toc31934 \h </w:instrText>
      </w:r>
      <w:r>
        <w:fldChar w:fldCharType="separate"/>
      </w:r>
      <w:r>
        <w:t>57</w:t>
      </w:r>
      <w:r>
        <w:fldChar w:fldCharType="end"/>
      </w:r>
      <w:r>
        <w:rPr>
          <w:rFonts w:ascii="Times New Roman" w:hAnsi="Times New Roman" w:eastAsia="仿宋_GB2312" w:cs="Times New Roman"/>
          <w:highlight w:val="none"/>
        </w:rPr>
        <w:fldChar w:fldCharType="end"/>
      </w:r>
    </w:p>
    <w:p w14:paraId="61340E49">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_Toc11269 </w:instrText>
      </w:r>
      <w:r>
        <w:rPr>
          <w:rFonts w:ascii="Times New Roman" w:hAnsi="Times New Roman" w:eastAsia="仿宋_GB2312" w:cs="Times New Roman"/>
          <w:highlight w:val="none"/>
        </w:rPr>
        <w:fldChar w:fldCharType="separate"/>
      </w:r>
      <w:r>
        <w:rPr>
          <w:rFonts w:hint="eastAsia"/>
          <w:bCs w:val="0"/>
          <w:highlight w:val="none"/>
        </w:rPr>
        <w:t>附件2</w:t>
      </w:r>
      <w:r>
        <w:tab/>
      </w:r>
      <w:r>
        <w:fldChar w:fldCharType="begin"/>
      </w:r>
      <w:r>
        <w:instrText xml:space="preserve"> PAGEREF _Toc11269 \h </w:instrText>
      </w:r>
      <w:r>
        <w:fldChar w:fldCharType="separate"/>
      </w:r>
      <w:r>
        <w:t>84</w:t>
      </w:r>
      <w:r>
        <w:fldChar w:fldCharType="end"/>
      </w:r>
      <w:r>
        <w:rPr>
          <w:rFonts w:ascii="Times New Roman" w:hAnsi="Times New Roman" w:eastAsia="仿宋_GB2312" w:cs="Times New Roman"/>
          <w:highlight w:val="none"/>
        </w:rPr>
        <w:fldChar w:fldCharType="end"/>
      </w:r>
    </w:p>
    <w:p w14:paraId="5D6E5CA3">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_Toc4228 </w:instrText>
      </w:r>
      <w:r>
        <w:rPr>
          <w:rFonts w:ascii="Times New Roman" w:hAnsi="Times New Roman" w:eastAsia="仿宋_GB2312" w:cs="Times New Roman"/>
          <w:highlight w:val="none"/>
        </w:rPr>
        <w:fldChar w:fldCharType="separate"/>
      </w:r>
      <w:r>
        <w:rPr>
          <w:rFonts w:hint="eastAsia"/>
          <w:bCs w:val="0"/>
          <w:highlight w:val="none"/>
        </w:rPr>
        <w:t>附件3</w:t>
      </w:r>
      <w:r>
        <w:tab/>
      </w:r>
      <w:r>
        <w:fldChar w:fldCharType="begin"/>
      </w:r>
      <w:r>
        <w:instrText xml:space="preserve"> PAGEREF _Toc4228 \h </w:instrText>
      </w:r>
      <w:r>
        <w:fldChar w:fldCharType="separate"/>
      </w:r>
      <w:r>
        <w:t>88</w:t>
      </w:r>
      <w:r>
        <w:fldChar w:fldCharType="end"/>
      </w:r>
      <w:r>
        <w:rPr>
          <w:rFonts w:ascii="Times New Roman" w:hAnsi="Times New Roman" w:eastAsia="仿宋_GB2312" w:cs="Times New Roman"/>
          <w:highlight w:val="none"/>
        </w:rPr>
        <w:fldChar w:fldCharType="end"/>
      </w:r>
    </w:p>
    <w:p w14:paraId="606FFD24">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_Toc31932 </w:instrText>
      </w:r>
      <w:r>
        <w:rPr>
          <w:rFonts w:ascii="Times New Roman" w:hAnsi="Times New Roman" w:eastAsia="仿宋_GB2312" w:cs="Times New Roman"/>
          <w:highlight w:val="none"/>
        </w:rPr>
        <w:fldChar w:fldCharType="separate"/>
      </w:r>
      <w:r>
        <w:rPr>
          <w:rFonts w:hint="eastAsia"/>
          <w:bCs w:val="0"/>
          <w:highlight w:val="none"/>
        </w:rPr>
        <w:t>附件4</w:t>
      </w:r>
      <w:r>
        <w:tab/>
      </w:r>
      <w:r>
        <w:fldChar w:fldCharType="begin"/>
      </w:r>
      <w:r>
        <w:instrText xml:space="preserve"> PAGEREF _Toc31932 \h </w:instrText>
      </w:r>
      <w:r>
        <w:fldChar w:fldCharType="separate"/>
      </w:r>
      <w:r>
        <w:t>89</w:t>
      </w:r>
      <w:r>
        <w:fldChar w:fldCharType="end"/>
      </w:r>
      <w:r>
        <w:rPr>
          <w:rFonts w:ascii="Times New Roman" w:hAnsi="Times New Roman" w:eastAsia="仿宋_GB2312" w:cs="Times New Roman"/>
          <w:highlight w:val="none"/>
        </w:rPr>
        <w:fldChar w:fldCharType="end"/>
      </w:r>
    </w:p>
    <w:p w14:paraId="680DD029">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_Toc8366 </w:instrText>
      </w:r>
      <w:r>
        <w:rPr>
          <w:rFonts w:ascii="Times New Roman" w:hAnsi="Times New Roman" w:eastAsia="仿宋_GB2312" w:cs="Times New Roman"/>
          <w:highlight w:val="none"/>
        </w:rPr>
        <w:fldChar w:fldCharType="separate"/>
      </w:r>
      <w:r>
        <w:rPr>
          <w:rFonts w:hint="eastAsia"/>
          <w:bCs w:val="0"/>
          <w:highlight w:val="none"/>
        </w:rPr>
        <w:t>附件5</w:t>
      </w:r>
      <w:r>
        <w:tab/>
      </w:r>
      <w:r>
        <w:fldChar w:fldCharType="begin"/>
      </w:r>
      <w:r>
        <w:instrText xml:space="preserve"> PAGEREF _Toc8366 \h </w:instrText>
      </w:r>
      <w:r>
        <w:fldChar w:fldCharType="separate"/>
      </w:r>
      <w:r>
        <w:t>90</w:t>
      </w:r>
      <w:r>
        <w:fldChar w:fldCharType="end"/>
      </w:r>
      <w:r>
        <w:rPr>
          <w:rFonts w:ascii="Times New Roman" w:hAnsi="Times New Roman" w:eastAsia="仿宋_GB2312" w:cs="Times New Roman"/>
          <w:highlight w:val="none"/>
        </w:rPr>
        <w:fldChar w:fldCharType="end"/>
      </w:r>
    </w:p>
    <w:p w14:paraId="58FFCA80">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_Toc25257 </w:instrText>
      </w:r>
      <w:r>
        <w:rPr>
          <w:rFonts w:ascii="Times New Roman" w:hAnsi="Times New Roman" w:eastAsia="仿宋_GB2312" w:cs="Times New Roman"/>
          <w:highlight w:val="none"/>
        </w:rPr>
        <w:fldChar w:fldCharType="separate"/>
      </w:r>
      <w:r>
        <w:rPr>
          <w:rFonts w:hint="eastAsia"/>
          <w:bCs w:val="0"/>
          <w:highlight w:val="none"/>
        </w:rPr>
        <w:t>附件6</w:t>
      </w:r>
      <w:r>
        <w:tab/>
      </w:r>
      <w:r>
        <w:fldChar w:fldCharType="begin"/>
      </w:r>
      <w:r>
        <w:instrText xml:space="preserve"> PAGEREF _Toc25257 \h </w:instrText>
      </w:r>
      <w:r>
        <w:fldChar w:fldCharType="separate"/>
      </w:r>
      <w:r>
        <w:t>91</w:t>
      </w:r>
      <w:r>
        <w:fldChar w:fldCharType="end"/>
      </w:r>
      <w:r>
        <w:rPr>
          <w:rFonts w:ascii="Times New Roman" w:hAnsi="Times New Roman" w:eastAsia="仿宋_GB2312" w:cs="Times New Roman"/>
          <w:highlight w:val="none"/>
        </w:rPr>
        <w:fldChar w:fldCharType="end"/>
      </w:r>
    </w:p>
    <w:p w14:paraId="15C66064">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_Toc25418 </w:instrText>
      </w:r>
      <w:r>
        <w:rPr>
          <w:rFonts w:ascii="Times New Roman" w:hAnsi="Times New Roman" w:eastAsia="仿宋_GB2312" w:cs="Times New Roman"/>
          <w:highlight w:val="none"/>
        </w:rPr>
        <w:fldChar w:fldCharType="separate"/>
      </w:r>
      <w:r>
        <w:rPr>
          <w:rFonts w:hint="eastAsia" w:ascii="黑体" w:hAnsi="黑体" w:eastAsia="黑体" w:cs="黑体"/>
        </w:rPr>
        <w:t>附件7</w:t>
      </w:r>
      <w:r>
        <w:tab/>
      </w:r>
      <w:r>
        <w:fldChar w:fldCharType="begin"/>
      </w:r>
      <w:r>
        <w:instrText xml:space="preserve"> PAGEREF _Toc25418 \h </w:instrText>
      </w:r>
      <w:r>
        <w:fldChar w:fldCharType="separate"/>
      </w:r>
      <w:r>
        <w:t>92</w:t>
      </w:r>
      <w:r>
        <w:fldChar w:fldCharType="end"/>
      </w:r>
      <w:r>
        <w:rPr>
          <w:rFonts w:ascii="Times New Roman" w:hAnsi="Times New Roman" w:eastAsia="仿宋_GB2312" w:cs="Times New Roman"/>
          <w:highlight w:val="none"/>
        </w:rPr>
        <w:fldChar w:fldCharType="end"/>
      </w:r>
    </w:p>
    <w:p w14:paraId="68A7F8A3">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_Toc11895 </w:instrText>
      </w:r>
      <w:r>
        <w:rPr>
          <w:rFonts w:ascii="Times New Roman" w:hAnsi="Times New Roman" w:eastAsia="仿宋_GB2312" w:cs="Times New Roman"/>
          <w:highlight w:val="none"/>
        </w:rPr>
        <w:fldChar w:fldCharType="separate"/>
      </w:r>
      <w:r>
        <w:rPr>
          <w:rFonts w:hint="eastAsia" w:ascii="黑体" w:hAnsi="黑体" w:eastAsia="黑体" w:cs="黑体"/>
        </w:rPr>
        <w:t>附件8</w:t>
      </w:r>
      <w:r>
        <w:tab/>
      </w:r>
      <w:r>
        <w:fldChar w:fldCharType="begin"/>
      </w:r>
      <w:r>
        <w:instrText xml:space="preserve"> PAGEREF _Toc11895 \h </w:instrText>
      </w:r>
      <w:r>
        <w:fldChar w:fldCharType="separate"/>
      </w:r>
      <w:r>
        <w:t>99</w:t>
      </w:r>
      <w:r>
        <w:fldChar w:fldCharType="end"/>
      </w:r>
      <w:r>
        <w:rPr>
          <w:rFonts w:ascii="Times New Roman" w:hAnsi="Times New Roman" w:eastAsia="仿宋_GB2312" w:cs="Times New Roman"/>
          <w:highlight w:val="none"/>
        </w:rPr>
        <w:fldChar w:fldCharType="end"/>
      </w:r>
    </w:p>
    <w:p w14:paraId="7CCE8A13">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_Toc5581 </w:instrText>
      </w:r>
      <w:r>
        <w:rPr>
          <w:rFonts w:ascii="Times New Roman" w:hAnsi="Times New Roman" w:eastAsia="仿宋_GB2312" w:cs="Times New Roman"/>
          <w:highlight w:val="none"/>
        </w:rPr>
        <w:fldChar w:fldCharType="separate"/>
      </w:r>
      <w:r>
        <w:rPr>
          <w:rFonts w:hint="eastAsia" w:ascii="黑体" w:hAnsi="黑体" w:eastAsia="黑体" w:cs="黑体"/>
        </w:rPr>
        <w:t>附件9</w:t>
      </w:r>
      <w:r>
        <w:tab/>
      </w:r>
      <w:r>
        <w:fldChar w:fldCharType="begin"/>
      </w:r>
      <w:r>
        <w:instrText xml:space="preserve"> PAGEREF _Toc5581 \h </w:instrText>
      </w:r>
      <w:r>
        <w:fldChar w:fldCharType="separate"/>
      </w:r>
      <w:r>
        <w:t>108</w:t>
      </w:r>
      <w:r>
        <w:fldChar w:fldCharType="end"/>
      </w:r>
      <w:r>
        <w:rPr>
          <w:rFonts w:ascii="Times New Roman" w:hAnsi="Times New Roman" w:eastAsia="仿宋_GB2312" w:cs="Times New Roman"/>
          <w:highlight w:val="none"/>
        </w:rPr>
        <w:fldChar w:fldCharType="end"/>
      </w:r>
    </w:p>
    <w:p w14:paraId="0CDB42AA">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_Toc15150 </w:instrText>
      </w:r>
      <w:r>
        <w:rPr>
          <w:rFonts w:ascii="Times New Roman" w:hAnsi="Times New Roman" w:eastAsia="仿宋_GB2312" w:cs="Times New Roman"/>
          <w:highlight w:val="none"/>
        </w:rPr>
        <w:fldChar w:fldCharType="separate"/>
      </w:r>
      <w:r>
        <w:rPr>
          <w:rFonts w:hint="eastAsia" w:ascii="黑体" w:hAnsi="黑体" w:eastAsia="黑体" w:cs="黑体"/>
        </w:rPr>
        <w:t>附件10</w:t>
      </w:r>
      <w:r>
        <w:tab/>
      </w:r>
      <w:r>
        <w:fldChar w:fldCharType="begin"/>
      </w:r>
      <w:r>
        <w:instrText xml:space="preserve"> PAGEREF _Toc15150 \h </w:instrText>
      </w:r>
      <w:r>
        <w:fldChar w:fldCharType="separate"/>
      </w:r>
      <w:r>
        <w:t>108</w:t>
      </w:r>
      <w:r>
        <w:fldChar w:fldCharType="end"/>
      </w:r>
      <w:r>
        <w:rPr>
          <w:rFonts w:ascii="Times New Roman" w:hAnsi="Times New Roman" w:eastAsia="仿宋_GB2312" w:cs="Times New Roman"/>
          <w:highlight w:val="none"/>
        </w:rPr>
        <w:fldChar w:fldCharType="end"/>
      </w:r>
    </w:p>
    <w:p w14:paraId="670B226A">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_Toc12153 </w:instrText>
      </w:r>
      <w:r>
        <w:rPr>
          <w:rFonts w:ascii="Times New Roman" w:hAnsi="Times New Roman" w:eastAsia="仿宋_GB2312" w:cs="Times New Roman"/>
          <w:highlight w:val="none"/>
        </w:rPr>
        <w:fldChar w:fldCharType="separate"/>
      </w:r>
      <w:r>
        <w:rPr>
          <w:rFonts w:hint="eastAsia" w:ascii="黑体" w:hAnsi="黑体" w:eastAsia="黑体" w:cs="黑体"/>
        </w:rPr>
        <w:t>附件11</w:t>
      </w:r>
      <w:r>
        <w:tab/>
      </w:r>
      <w:r>
        <w:fldChar w:fldCharType="begin"/>
      </w:r>
      <w:r>
        <w:instrText xml:space="preserve"> PAGEREF _Toc12153 \h </w:instrText>
      </w:r>
      <w:r>
        <w:fldChar w:fldCharType="separate"/>
      </w:r>
      <w:r>
        <w:t>112</w:t>
      </w:r>
      <w:r>
        <w:fldChar w:fldCharType="end"/>
      </w:r>
      <w:r>
        <w:rPr>
          <w:rFonts w:ascii="Times New Roman" w:hAnsi="Times New Roman" w:eastAsia="仿宋_GB2312" w:cs="Times New Roman"/>
          <w:highlight w:val="none"/>
        </w:rPr>
        <w:fldChar w:fldCharType="end"/>
      </w:r>
    </w:p>
    <w:p w14:paraId="7804264A">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_Toc14208 </w:instrText>
      </w:r>
      <w:r>
        <w:rPr>
          <w:rFonts w:ascii="Times New Roman" w:hAnsi="Times New Roman" w:eastAsia="仿宋_GB2312" w:cs="Times New Roman"/>
          <w:highlight w:val="none"/>
        </w:rPr>
        <w:fldChar w:fldCharType="separate"/>
      </w:r>
      <w:r>
        <w:rPr>
          <w:rFonts w:hint="eastAsia" w:ascii="黑体" w:hAnsi="黑体" w:eastAsia="黑体" w:cs="黑体"/>
        </w:rPr>
        <w:t>附件12</w:t>
      </w:r>
      <w:r>
        <w:tab/>
      </w:r>
      <w:r>
        <w:fldChar w:fldCharType="begin"/>
      </w:r>
      <w:r>
        <w:instrText xml:space="preserve"> PAGEREF _Toc14208 \h </w:instrText>
      </w:r>
      <w:r>
        <w:fldChar w:fldCharType="separate"/>
      </w:r>
      <w:r>
        <w:t>116</w:t>
      </w:r>
      <w:r>
        <w:fldChar w:fldCharType="end"/>
      </w:r>
      <w:r>
        <w:rPr>
          <w:rFonts w:ascii="Times New Roman" w:hAnsi="Times New Roman" w:eastAsia="仿宋_GB2312" w:cs="Times New Roman"/>
          <w:highlight w:val="none"/>
        </w:rPr>
        <w:fldChar w:fldCharType="end"/>
      </w:r>
    </w:p>
    <w:p w14:paraId="239EB5FC">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_Toc7931 </w:instrText>
      </w:r>
      <w:r>
        <w:rPr>
          <w:rFonts w:ascii="Times New Roman" w:hAnsi="Times New Roman" w:eastAsia="仿宋_GB2312" w:cs="Times New Roman"/>
          <w:highlight w:val="none"/>
        </w:rPr>
        <w:fldChar w:fldCharType="separate"/>
      </w:r>
      <w:r>
        <w:rPr>
          <w:rFonts w:hint="eastAsia" w:ascii="黑体" w:hAnsi="黑体" w:eastAsia="黑体" w:cs="黑体"/>
        </w:rPr>
        <w:t>附件13</w:t>
      </w:r>
      <w:r>
        <w:tab/>
      </w:r>
      <w:r>
        <w:fldChar w:fldCharType="begin"/>
      </w:r>
      <w:r>
        <w:instrText xml:space="preserve"> PAGEREF _Toc7931 \h </w:instrText>
      </w:r>
      <w:r>
        <w:fldChar w:fldCharType="separate"/>
      </w:r>
      <w:r>
        <w:t>120</w:t>
      </w:r>
      <w:r>
        <w:fldChar w:fldCharType="end"/>
      </w:r>
      <w:r>
        <w:rPr>
          <w:rFonts w:ascii="Times New Roman" w:hAnsi="Times New Roman" w:eastAsia="仿宋_GB2312" w:cs="Times New Roman"/>
          <w:highlight w:val="none"/>
        </w:rPr>
        <w:fldChar w:fldCharType="end"/>
      </w:r>
    </w:p>
    <w:p w14:paraId="5240E70E">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_Toc4533 </w:instrText>
      </w:r>
      <w:r>
        <w:rPr>
          <w:rFonts w:ascii="Times New Roman" w:hAnsi="Times New Roman" w:eastAsia="仿宋_GB2312" w:cs="Times New Roman"/>
          <w:highlight w:val="none"/>
        </w:rPr>
        <w:fldChar w:fldCharType="separate"/>
      </w:r>
      <w:r>
        <w:rPr>
          <w:rFonts w:hint="eastAsia" w:ascii="黑体" w:hAnsi="黑体" w:eastAsia="黑体" w:cs="黑体"/>
        </w:rPr>
        <w:t>附件14</w:t>
      </w:r>
      <w:r>
        <w:tab/>
      </w:r>
      <w:r>
        <w:fldChar w:fldCharType="begin"/>
      </w:r>
      <w:r>
        <w:instrText xml:space="preserve"> PAGEREF _Toc4533 \h </w:instrText>
      </w:r>
      <w:r>
        <w:fldChar w:fldCharType="separate"/>
      </w:r>
      <w:r>
        <w:t>122</w:t>
      </w:r>
      <w:r>
        <w:fldChar w:fldCharType="end"/>
      </w:r>
      <w:r>
        <w:rPr>
          <w:rFonts w:ascii="Times New Roman" w:hAnsi="Times New Roman" w:eastAsia="仿宋_GB2312" w:cs="Times New Roman"/>
          <w:highlight w:val="none"/>
        </w:rPr>
        <w:fldChar w:fldCharType="end"/>
      </w:r>
    </w:p>
    <w:p w14:paraId="389BB5FC">
      <w:pPr>
        <w:pStyle w:val="19"/>
        <w:tabs>
          <w:tab w:val="right" w:leader="dot" w:pos="8306"/>
          <w:tab w:val="clear" w:pos="1890"/>
          <w:tab w:val="clear" w:pos="8296"/>
        </w:tabs>
      </w:pPr>
      <w:r>
        <w:rPr>
          <w:rFonts w:ascii="Times New Roman" w:hAnsi="Times New Roman" w:eastAsia="仿宋_GB2312" w:cs="Times New Roman"/>
          <w:highlight w:val="none"/>
        </w:rPr>
        <w:fldChar w:fldCharType="begin"/>
      </w:r>
      <w:r>
        <w:rPr>
          <w:rFonts w:ascii="Times New Roman" w:hAnsi="Times New Roman" w:eastAsia="仿宋_GB2312" w:cs="Times New Roman"/>
          <w:highlight w:val="none"/>
        </w:rPr>
        <w:instrText xml:space="preserve"> HYPERLINK \l _Toc20308 </w:instrText>
      </w:r>
      <w:r>
        <w:rPr>
          <w:rFonts w:ascii="Times New Roman" w:hAnsi="Times New Roman" w:eastAsia="仿宋_GB2312" w:cs="Times New Roman"/>
          <w:highlight w:val="none"/>
        </w:rPr>
        <w:fldChar w:fldCharType="separate"/>
      </w:r>
      <w:r>
        <w:rPr>
          <w:rFonts w:hint="eastAsia"/>
          <w:lang w:val="en-US" w:eastAsia="zh-CN"/>
        </w:rPr>
        <w:t>附件15 材料品牌表</w:t>
      </w:r>
      <w:r>
        <w:tab/>
      </w:r>
      <w:r>
        <w:fldChar w:fldCharType="begin"/>
      </w:r>
      <w:r>
        <w:instrText xml:space="preserve"> PAGEREF _Toc20308 \h </w:instrText>
      </w:r>
      <w:r>
        <w:fldChar w:fldCharType="separate"/>
      </w:r>
      <w:r>
        <w:t>124</w:t>
      </w:r>
      <w:r>
        <w:fldChar w:fldCharType="end"/>
      </w:r>
      <w:r>
        <w:rPr>
          <w:rFonts w:ascii="Times New Roman" w:hAnsi="Times New Roman" w:eastAsia="仿宋_GB2312" w:cs="Times New Roman"/>
          <w:highlight w:val="none"/>
        </w:rPr>
        <w:fldChar w:fldCharType="end"/>
      </w:r>
    </w:p>
    <w:p w14:paraId="32742E81">
      <w:pPr>
        <w:pStyle w:val="19"/>
        <w:tabs>
          <w:tab w:val="clear" w:pos="1890"/>
        </w:tabs>
        <w:spacing w:line="480" w:lineRule="exact"/>
        <w:ind w:firstLine="480" w:firstLineChars="200"/>
        <w:rPr>
          <w:rFonts w:hint="eastAsia" w:ascii="仿宋_GB2312" w:hAnsi="仿宋_GB2312" w:eastAsia="仿宋_GB2312" w:cs="仿宋_GB2312"/>
          <w:highlight w:val="none"/>
        </w:rPr>
      </w:pPr>
      <w:r>
        <w:rPr>
          <w:rFonts w:ascii="Times New Roman" w:hAnsi="Times New Roman" w:eastAsia="仿宋_GB2312" w:cs="Times New Roman"/>
          <w:highlight w:val="none"/>
        </w:rPr>
        <w:fldChar w:fldCharType="end"/>
      </w:r>
    </w:p>
    <w:p w14:paraId="59011ED7">
      <w:pPr>
        <w:pStyle w:val="4"/>
        <w:spacing w:line="480" w:lineRule="exact"/>
        <w:jc w:val="center"/>
        <w:rPr>
          <w:rFonts w:hint="eastAsia" w:ascii="华文中宋" w:hAnsi="华文中宋" w:eastAsia="华文中宋"/>
          <w:sz w:val="40"/>
          <w:szCs w:val="40"/>
          <w:highlight w:val="none"/>
        </w:rPr>
        <w:sectPr>
          <w:headerReference r:id="rId4" w:type="first"/>
          <w:headerReference r:id="rId3" w:type="even"/>
          <w:pgSz w:w="11906" w:h="16838"/>
          <w:pgMar w:top="1440" w:right="1800" w:bottom="1440" w:left="1800" w:header="851" w:footer="992" w:gutter="0"/>
          <w:pgNumType w:start="1"/>
          <w:cols w:space="425" w:num="1"/>
          <w:docGrid w:type="lines" w:linePitch="312" w:charSpace="0"/>
        </w:sectPr>
      </w:pPr>
      <w:bookmarkStart w:id="793" w:name="_Toc132359799"/>
    </w:p>
    <w:p w14:paraId="77F283E3">
      <w:pPr>
        <w:pStyle w:val="4"/>
        <w:spacing w:line="480" w:lineRule="exact"/>
        <w:jc w:val="center"/>
        <w:rPr>
          <w:rFonts w:ascii="Times New Roman" w:hAnsi="Times New Roman" w:eastAsia="华文中宋"/>
          <w:b w:val="0"/>
          <w:color w:val="000000"/>
          <w:sz w:val="40"/>
          <w:szCs w:val="40"/>
          <w:highlight w:val="none"/>
        </w:rPr>
      </w:pPr>
      <w:bookmarkStart w:id="794" w:name="_Toc13688"/>
      <w:r>
        <w:rPr>
          <w:rFonts w:ascii="华文中宋" w:hAnsi="华文中宋" w:eastAsia="华文中宋"/>
          <w:sz w:val="40"/>
          <w:szCs w:val="40"/>
          <w:highlight w:val="none"/>
        </w:rPr>
        <w:t xml:space="preserve">第一部分 </w:t>
      </w:r>
      <w:r>
        <w:rPr>
          <w:rFonts w:hint="eastAsia" w:ascii="华文中宋" w:hAnsi="华文中宋" w:eastAsia="华文中宋"/>
          <w:sz w:val="40"/>
          <w:szCs w:val="40"/>
          <w:highlight w:val="none"/>
        </w:rPr>
        <w:t xml:space="preserve"> </w:t>
      </w:r>
      <w:r>
        <w:rPr>
          <w:rFonts w:ascii="华文中宋" w:hAnsi="华文中宋" w:eastAsia="华文中宋"/>
          <w:sz w:val="40"/>
          <w:szCs w:val="40"/>
          <w:highlight w:val="none"/>
        </w:rPr>
        <w:t>合同协议书</w:t>
      </w:r>
      <w:bookmarkEnd w:id="793"/>
      <w:bookmarkEnd w:id="794"/>
    </w:p>
    <w:p w14:paraId="18AEB672">
      <w:pPr>
        <w:spacing w:line="480" w:lineRule="exact"/>
        <w:ind w:firstLine="562" w:firstLineChars="200"/>
        <w:rPr>
          <w:rFonts w:ascii="仿宋_GB2312" w:hAnsi="仿宋_GB2312" w:eastAsia="仿宋_GB2312" w:cs="仿宋_GB2312"/>
          <w:b/>
          <w:color w:val="000000"/>
          <w:sz w:val="28"/>
          <w:szCs w:val="28"/>
          <w:highlight w:val="none"/>
          <w:u w:val="single"/>
        </w:rPr>
      </w:pPr>
      <w:bookmarkStart w:id="795" w:name="_Hlk132055371"/>
      <w:r>
        <w:rPr>
          <w:rFonts w:hint="eastAsia" w:ascii="仿宋_GB2312" w:hAnsi="仿宋_GB2312" w:eastAsia="仿宋_GB2312" w:cs="仿宋_GB2312"/>
          <w:b/>
          <w:color w:val="000000"/>
          <w:sz w:val="28"/>
          <w:szCs w:val="28"/>
          <w:highlight w:val="none"/>
        </w:rPr>
        <w:t>承包人（全称）：【</w:t>
      </w:r>
      <w:r>
        <w:rPr>
          <w:rFonts w:hint="eastAsia" w:ascii="仿宋_GB2312" w:hAnsi="仿宋_GB2312" w:eastAsia="仿宋_GB2312" w:cs="仿宋_GB2312"/>
          <w:b/>
          <w:color w:val="000000"/>
          <w:sz w:val="28"/>
          <w:szCs w:val="28"/>
          <w:highlight w:val="none"/>
          <w:lang w:eastAsia="zh-CN"/>
        </w:rPr>
        <w:t xml:space="preserve">        </w:t>
      </w:r>
      <w:r>
        <w:rPr>
          <w:rFonts w:hint="eastAsia" w:ascii="仿宋_GB2312" w:hAnsi="仿宋_GB2312" w:eastAsia="仿宋_GB2312" w:cs="仿宋_GB2312"/>
          <w:b/>
          <w:color w:val="000000"/>
          <w:sz w:val="28"/>
          <w:szCs w:val="28"/>
          <w:highlight w:val="none"/>
        </w:rPr>
        <w:t>】（以下简称甲方）</w:t>
      </w:r>
    </w:p>
    <w:p w14:paraId="51CDB76E">
      <w:pPr>
        <w:spacing w:line="480" w:lineRule="exact"/>
        <w:ind w:firstLine="562" w:firstLineChars="200"/>
        <w:rPr>
          <w:rFonts w:ascii="Times New Roman" w:hAnsi="Times New Roman" w:eastAsia="仿宋_GB2312"/>
          <w:color w:val="000000"/>
          <w:sz w:val="28"/>
          <w:szCs w:val="28"/>
          <w:highlight w:val="none"/>
        </w:rPr>
      </w:pPr>
      <w:r>
        <w:rPr>
          <w:rFonts w:hint="eastAsia" w:ascii="仿宋_GB2312" w:hAnsi="仿宋_GB2312" w:eastAsia="仿宋_GB2312" w:cs="仿宋_GB2312"/>
          <w:b/>
          <w:color w:val="000000"/>
          <w:sz w:val="28"/>
          <w:szCs w:val="28"/>
          <w:highlight w:val="none"/>
        </w:rPr>
        <w:t>分包人（全称）：【</w:t>
      </w:r>
      <w:r>
        <w:rPr>
          <w:rFonts w:hint="eastAsia" w:ascii="仿宋_GB2312" w:hAnsi="仿宋_GB2312" w:eastAsia="仿宋_GB2312" w:cs="仿宋_GB2312"/>
          <w:b/>
          <w:color w:val="000000"/>
          <w:sz w:val="28"/>
          <w:szCs w:val="28"/>
          <w:highlight w:val="none"/>
          <w:lang w:eastAsia="zh-CN"/>
        </w:rPr>
        <w:t xml:space="preserve">        </w:t>
      </w:r>
      <w:r>
        <w:rPr>
          <w:rFonts w:hint="eastAsia" w:ascii="仿宋_GB2312" w:hAnsi="仿宋_GB2312" w:eastAsia="仿宋_GB2312" w:cs="仿宋_GB2312"/>
          <w:b/>
          <w:color w:val="000000"/>
          <w:sz w:val="28"/>
          <w:szCs w:val="28"/>
          <w:highlight w:val="none"/>
        </w:rPr>
        <w:t>】（以下简称乙方）</w:t>
      </w:r>
      <w:bookmarkEnd w:id="795"/>
    </w:p>
    <w:p w14:paraId="552244D3">
      <w:pPr>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鉴于乙方已对【</w:t>
      </w:r>
      <w:r>
        <w:rPr>
          <w:rFonts w:hint="eastAsia" w:ascii="Times New Roman" w:hAnsi="Times New Roman" w:eastAsia="仿宋_GB2312"/>
          <w:color w:val="000000"/>
          <w:sz w:val="28"/>
          <w:szCs w:val="28"/>
          <w:highlight w:val="none"/>
          <w:lang w:eastAsia="zh-CN"/>
        </w:rPr>
        <w:t>广西泛铝件先进制造（迁江）基地一期A区工程市政工程专业分包</w:t>
      </w:r>
      <w:r>
        <w:rPr>
          <w:rFonts w:hint="eastAsia" w:ascii="Times New Roman" w:hAnsi="Times New Roman" w:eastAsia="仿宋_GB2312"/>
          <w:color w:val="000000"/>
          <w:sz w:val="28"/>
          <w:szCs w:val="28"/>
          <w:highlight w:val="none"/>
        </w:rPr>
        <w:t>】工程现场环境、地质条件及所有有关资料进行了全面细致勘查和研究，已对工程施工所有相关图纸进行了详细研究和计算，并已对甲方有关项目管理制度规定充分了解并认可，根据《中华人民共和国民法典》《中华人民共和国建筑法》《中华人民共和国招标投标法》及有关法律规定，遵循平等、自愿、公平和诚实信用的原则，双方就分包工程分包作业承包事项协商一致，达成如下协议，双方共同遵守。</w:t>
      </w:r>
    </w:p>
    <w:p w14:paraId="4686FD2E">
      <w:pPr>
        <w:pStyle w:val="5"/>
        <w:ind w:left="0" w:leftChars="0" w:firstLine="562" w:firstLineChars="200"/>
        <w:rPr>
          <w:b w:val="0"/>
          <w:color w:val="000000"/>
          <w:highlight w:val="none"/>
        </w:rPr>
      </w:pPr>
      <w:bookmarkStart w:id="796" w:name="_Toc27460"/>
      <w:r>
        <w:rPr>
          <w:bCs w:val="0"/>
          <w:color w:val="000000"/>
          <w:highlight w:val="none"/>
        </w:rPr>
        <w:t>一、工程概况</w:t>
      </w:r>
      <w:r>
        <w:rPr>
          <w:rFonts w:hint="eastAsia" w:ascii="仿宋_GB2312" w:eastAsia="仿宋_GB2312"/>
          <w:color w:val="C00000"/>
          <w:highlight w:val="none"/>
        </w:rPr>
        <w:t>（*核心条款）</w:t>
      </w:r>
      <w:bookmarkEnd w:id="796"/>
    </w:p>
    <w:p w14:paraId="78D167B0">
      <w:pPr>
        <w:spacing w:line="480" w:lineRule="exact"/>
        <w:ind w:firstLine="562" w:firstLineChars="200"/>
        <w:rPr>
          <w:rFonts w:ascii="仿宋_GB2312" w:hAnsi="仿宋_GB2312" w:eastAsia="仿宋_GB2312" w:cs="仿宋_GB2312"/>
          <w:color w:val="000000"/>
          <w:sz w:val="28"/>
          <w:szCs w:val="28"/>
          <w:highlight w:val="none"/>
          <w:u w:val="single"/>
        </w:rPr>
      </w:pPr>
      <w:r>
        <w:rPr>
          <w:rFonts w:hint="eastAsia" w:ascii="仿宋_GB2312" w:hAnsi="仿宋_GB2312" w:eastAsia="仿宋_GB2312" w:cs="仿宋_GB2312"/>
          <w:b/>
          <w:color w:val="000000"/>
          <w:sz w:val="28"/>
          <w:szCs w:val="28"/>
          <w:highlight w:val="none"/>
        </w:rPr>
        <w:t>1.</w:t>
      </w:r>
      <w:r>
        <w:rPr>
          <w:rFonts w:ascii="仿宋_GB2312" w:hAnsi="仿宋_GB2312" w:eastAsia="仿宋_GB2312" w:cs="仿宋_GB2312"/>
          <w:b/>
          <w:color w:val="000000"/>
          <w:sz w:val="28"/>
          <w:szCs w:val="28"/>
          <w:highlight w:val="none"/>
        </w:rPr>
        <w:t xml:space="preserve">1 </w:t>
      </w:r>
      <w:r>
        <w:rPr>
          <w:rFonts w:hint="eastAsia" w:ascii="仿宋_GB2312" w:hAnsi="仿宋_GB2312" w:eastAsia="仿宋_GB2312" w:cs="仿宋_GB2312"/>
          <w:b/>
          <w:color w:val="000000"/>
          <w:sz w:val="28"/>
          <w:szCs w:val="28"/>
          <w:highlight w:val="none"/>
        </w:rPr>
        <w:t>工程名称</w:t>
      </w:r>
      <w:r>
        <w:rPr>
          <w:rFonts w:hint="eastAsia" w:ascii="仿宋_GB2312" w:hAnsi="仿宋_GB2312" w:eastAsia="仿宋_GB2312" w:cs="仿宋_GB2312"/>
          <w:color w:val="000000"/>
          <w:sz w:val="28"/>
          <w:szCs w:val="28"/>
          <w:highlight w:val="none"/>
        </w:rPr>
        <w:t>：</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eastAsia="zh-CN"/>
        </w:rPr>
        <w:t>广西泛铝件先进制造（迁江）基地一期A区工程市政工程专业分包</w:t>
      </w:r>
      <w:r>
        <w:rPr>
          <w:rFonts w:hint="eastAsia" w:ascii="仿宋_GB2312" w:hAnsi="仿宋_GB2312" w:eastAsia="仿宋_GB2312" w:cs="仿宋_GB2312"/>
          <w:b/>
          <w:color w:val="000000"/>
          <w:sz w:val="28"/>
          <w:szCs w:val="28"/>
          <w:highlight w:val="none"/>
        </w:rPr>
        <w:t>】</w:t>
      </w:r>
    </w:p>
    <w:p w14:paraId="1591521F">
      <w:pPr>
        <w:spacing w:line="480" w:lineRule="exact"/>
        <w:ind w:firstLine="562" w:firstLineChars="200"/>
        <w:rPr>
          <w:rFonts w:ascii="仿宋_GB2312" w:hAnsi="仿宋_GB2312" w:eastAsia="仿宋_GB2312" w:cs="仿宋_GB2312"/>
          <w:bCs/>
          <w:color w:val="000000"/>
          <w:sz w:val="28"/>
          <w:szCs w:val="28"/>
          <w:highlight w:val="none"/>
        </w:rPr>
      </w:pPr>
      <w:r>
        <w:rPr>
          <w:rFonts w:ascii="仿宋_GB2312" w:hAnsi="仿宋_GB2312" w:eastAsia="仿宋_GB2312" w:cs="仿宋_GB2312"/>
          <w:b/>
          <w:color w:val="000000"/>
          <w:sz w:val="28"/>
          <w:szCs w:val="28"/>
          <w:highlight w:val="none"/>
        </w:rPr>
        <w:t xml:space="preserve">1.2 </w:t>
      </w:r>
      <w:r>
        <w:rPr>
          <w:rFonts w:hint="eastAsia" w:ascii="仿宋_GB2312" w:hAnsi="仿宋_GB2312" w:eastAsia="仿宋_GB2312" w:cs="仿宋_GB2312"/>
          <w:b/>
          <w:color w:val="000000"/>
          <w:sz w:val="28"/>
          <w:szCs w:val="28"/>
          <w:highlight w:val="none"/>
        </w:rPr>
        <w:t>工程地点</w:t>
      </w:r>
      <w:r>
        <w:rPr>
          <w:rFonts w:hint="eastAsia" w:ascii="仿宋_GB2312" w:hAnsi="仿宋_GB2312" w:eastAsia="仿宋_GB2312" w:cs="仿宋_GB2312"/>
          <w:bCs/>
          <w:color w:val="000000"/>
          <w:sz w:val="28"/>
          <w:szCs w:val="28"/>
          <w:highlight w:val="none"/>
        </w:rPr>
        <w:t>：</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val="en-US" w:eastAsia="zh-CN"/>
        </w:rPr>
        <w:t>来宾市迁江工业园</w:t>
      </w:r>
      <w:r>
        <w:rPr>
          <w:rFonts w:hint="eastAsia" w:ascii="仿宋_GB2312" w:hAnsi="仿宋_GB2312" w:eastAsia="仿宋_GB2312" w:cs="仿宋_GB2312"/>
          <w:b/>
          <w:color w:val="000000"/>
          <w:sz w:val="28"/>
          <w:szCs w:val="28"/>
          <w:highlight w:val="none"/>
        </w:rPr>
        <w:t>】</w:t>
      </w:r>
    </w:p>
    <w:p w14:paraId="44F7BC08">
      <w:pPr>
        <w:spacing w:line="480" w:lineRule="exact"/>
        <w:ind w:firstLine="562" w:firstLineChars="200"/>
        <w:rPr>
          <w:rFonts w:ascii="仿宋_GB2312" w:hAnsi="仿宋_GB2312" w:eastAsia="仿宋_GB2312" w:cs="仿宋_GB2312"/>
          <w:bCs/>
          <w:color w:val="000000"/>
          <w:sz w:val="28"/>
          <w:szCs w:val="28"/>
          <w:highlight w:val="none"/>
        </w:rPr>
      </w:pPr>
      <w:r>
        <w:rPr>
          <w:rFonts w:ascii="仿宋_GB2312" w:hAnsi="仿宋_GB2312" w:eastAsia="仿宋_GB2312" w:cs="仿宋_GB2312"/>
          <w:b/>
          <w:color w:val="000000"/>
          <w:sz w:val="28"/>
          <w:szCs w:val="28"/>
          <w:highlight w:val="none"/>
        </w:rPr>
        <w:t xml:space="preserve">1.3 </w:t>
      </w:r>
      <w:r>
        <w:rPr>
          <w:rFonts w:hint="eastAsia" w:ascii="仿宋_GB2312" w:hAnsi="仿宋_GB2312" w:eastAsia="仿宋_GB2312" w:cs="仿宋_GB2312"/>
          <w:b/>
          <w:color w:val="000000"/>
          <w:sz w:val="28"/>
          <w:szCs w:val="28"/>
          <w:highlight w:val="none"/>
        </w:rPr>
        <w:t>工程结构</w:t>
      </w:r>
      <w:r>
        <w:rPr>
          <w:rFonts w:hint="eastAsia" w:ascii="仿宋_GB2312" w:hAnsi="仿宋_GB2312" w:eastAsia="仿宋_GB2312" w:cs="仿宋_GB2312"/>
          <w:bCs/>
          <w:color w:val="000000"/>
          <w:sz w:val="28"/>
          <w:szCs w:val="28"/>
          <w:highlight w:val="none"/>
        </w:rPr>
        <w:t>：</w:t>
      </w:r>
      <w:r>
        <w:rPr>
          <w:rFonts w:hint="eastAsia" w:ascii="仿宋_GB2312" w:hAnsi="仿宋_GB2312" w:eastAsia="仿宋_GB2312" w:cs="仿宋_GB2312"/>
          <w:b/>
          <w:color w:val="000000"/>
          <w:sz w:val="28"/>
          <w:szCs w:val="28"/>
          <w:highlight w:val="none"/>
        </w:rPr>
        <w:t>【轻钢结构/框架结构】</w:t>
      </w:r>
    </w:p>
    <w:p w14:paraId="1840286E">
      <w:pPr>
        <w:spacing w:line="480" w:lineRule="exact"/>
        <w:ind w:firstLine="562" w:firstLineChars="200"/>
        <w:rPr>
          <w:rFonts w:hint="eastAsia" w:ascii="仿宋_GB2312" w:hAnsi="仿宋_GB2312" w:eastAsia="仿宋_GB2312" w:cs="仿宋_GB2312"/>
          <w:bCs/>
          <w:color w:val="FF0000"/>
          <w:sz w:val="28"/>
          <w:szCs w:val="28"/>
          <w:highlight w:val="none"/>
        </w:rPr>
      </w:pPr>
      <w:r>
        <w:rPr>
          <w:rFonts w:ascii="仿宋_GB2312" w:hAnsi="仿宋_GB2312" w:eastAsia="仿宋_GB2312" w:cs="仿宋_GB2312"/>
          <w:b/>
          <w:color w:val="000000"/>
          <w:sz w:val="28"/>
          <w:szCs w:val="28"/>
          <w:highlight w:val="none"/>
        </w:rPr>
        <w:t xml:space="preserve">1.4 </w:t>
      </w:r>
      <w:r>
        <w:rPr>
          <w:rFonts w:hint="eastAsia" w:ascii="仿宋_GB2312" w:hAnsi="仿宋_GB2312" w:eastAsia="仿宋_GB2312" w:cs="仿宋_GB2312"/>
          <w:b/>
          <w:color w:val="000000"/>
          <w:sz w:val="28"/>
          <w:szCs w:val="28"/>
          <w:highlight w:val="none"/>
        </w:rPr>
        <w:t>分包工程承包范围</w:t>
      </w:r>
      <w:r>
        <w:rPr>
          <w:rFonts w:hint="eastAsia" w:ascii="仿宋_GB2312" w:hAnsi="仿宋_GB2312" w:eastAsia="仿宋_GB2312" w:cs="仿宋_GB2312"/>
          <w:bCs/>
          <w:color w:val="000000"/>
          <w:sz w:val="28"/>
          <w:szCs w:val="28"/>
          <w:highlight w:val="none"/>
        </w:rPr>
        <w:t>：本工程范围内的【</w:t>
      </w:r>
      <w:r>
        <w:rPr>
          <w:rFonts w:hint="eastAsia" w:ascii="仿宋_GB2312" w:hAnsi="仿宋_GB2312" w:eastAsia="仿宋_GB2312" w:cs="仿宋_GB2312"/>
          <w:bCs/>
          <w:color w:val="000000"/>
          <w:sz w:val="28"/>
          <w:szCs w:val="28"/>
          <w:highlight w:val="none"/>
          <w:lang w:val="en-US" w:eastAsia="zh-CN"/>
        </w:rPr>
        <w:t>室外</w:t>
      </w:r>
      <w:r>
        <w:rPr>
          <w:rFonts w:hint="eastAsia" w:ascii="仿宋_GB2312" w:hAnsi="仿宋_GB2312" w:eastAsia="仿宋_GB2312" w:cs="仿宋_GB2312"/>
          <w:bCs/>
          <w:color w:val="000000"/>
          <w:sz w:val="28"/>
          <w:szCs w:val="28"/>
          <w:highlight w:val="none"/>
        </w:rPr>
        <w:t>工程专业分包】（以下简称本分包工程）。施工范围及数量为暂定，实际施工过程中有可能存在承包人根据实际施工情况增加或减少分包人的施工内容。</w:t>
      </w:r>
    </w:p>
    <w:p w14:paraId="7A5C14CC">
      <w:pPr>
        <w:spacing w:line="480" w:lineRule="exact"/>
        <w:ind w:firstLine="562" w:firstLineChars="200"/>
        <w:rPr>
          <w:rFonts w:hint="eastAsia" w:ascii="仿宋_GB2312" w:hAnsi="仿宋_GB2312" w:eastAsia="仿宋_GB2312" w:cs="仿宋_GB2312"/>
          <w:bCs/>
          <w:sz w:val="28"/>
          <w:szCs w:val="28"/>
          <w:highlight w:val="none"/>
        </w:rPr>
      </w:pPr>
      <w:r>
        <w:rPr>
          <w:rFonts w:ascii="仿宋_GB2312" w:hAnsi="仿宋_GB2312" w:eastAsia="仿宋_GB2312" w:cs="仿宋_GB2312"/>
          <w:b/>
          <w:sz w:val="28"/>
          <w:szCs w:val="28"/>
          <w:highlight w:val="none"/>
        </w:rPr>
        <w:t xml:space="preserve">1.5 </w:t>
      </w:r>
      <w:r>
        <w:rPr>
          <w:rFonts w:hint="eastAsia" w:ascii="仿宋_GB2312" w:hAnsi="仿宋_GB2312" w:eastAsia="仿宋_GB2312" w:cs="仿宋_GB2312"/>
          <w:b/>
          <w:sz w:val="28"/>
          <w:szCs w:val="28"/>
          <w:highlight w:val="none"/>
        </w:rPr>
        <w:t>分包模式</w:t>
      </w:r>
      <w:r>
        <w:rPr>
          <w:rFonts w:hint="eastAsia" w:ascii="仿宋_GB2312" w:hAnsi="仿宋_GB2312" w:eastAsia="仿宋_GB2312" w:cs="仿宋_GB2312"/>
          <w:bCs/>
          <w:sz w:val="28"/>
          <w:szCs w:val="28"/>
          <w:highlight w:val="none"/>
        </w:rPr>
        <w:t>：专业分包。</w:t>
      </w:r>
    </w:p>
    <w:p w14:paraId="60C8C201">
      <w:pPr>
        <w:spacing w:line="480" w:lineRule="exact"/>
        <w:ind w:firstLine="562" w:firstLineChars="200"/>
        <w:rPr>
          <w:rFonts w:hint="eastAsia" w:ascii="仿宋_GB2312" w:hAnsi="仿宋_GB2312" w:eastAsia="仿宋_GB2312" w:cs="仿宋_GB2312"/>
          <w:bCs/>
          <w:sz w:val="28"/>
          <w:szCs w:val="28"/>
          <w:highlight w:val="none"/>
        </w:rPr>
      </w:pPr>
      <w:r>
        <w:rPr>
          <w:rFonts w:ascii="仿宋_GB2312" w:hAnsi="仿宋_GB2312" w:eastAsia="仿宋_GB2312" w:cs="仿宋_GB2312"/>
          <w:b/>
          <w:sz w:val="28"/>
          <w:szCs w:val="28"/>
          <w:highlight w:val="none"/>
        </w:rPr>
        <w:t xml:space="preserve">1.6 </w:t>
      </w:r>
      <w:r>
        <w:rPr>
          <w:rFonts w:hint="eastAsia" w:ascii="仿宋_GB2312" w:hAnsi="仿宋_GB2312" w:eastAsia="仿宋_GB2312" w:cs="仿宋_GB2312"/>
          <w:b/>
          <w:sz w:val="28"/>
          <w:szCs w:val="28"/>
          <w:highlight w:val="none"/>
        </w:rPr>
        <w:t>分包工作内容</w:t>
      </w: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color w:val="000000"/>
          <w:sz w:val="28"/>
          <w:szCs w:val="28"/>
          <w:highlight w:val="none"/>
          <w:lang w:val="en-US" w:eastAsia="zh-CN"/>
        </w:rPr>
        <w:t>包括但不限于本工程范围内的室外工程专业分包，包括</w:t>
      </w:r>
      <w:r>
        <w:rPr>
          <w:rFonts w:hint="eastAsia" w:ascii="仿宋_GB2312" w:hAnsi="仿宋_GB2312" w:eastAsia="仿宋_GB2312" w:cs="仿宋_GB2312"/>
          <w:bCs/>
          <w:color w:val="000000"/>
          <w:sz w:val="28"/>
          <w:szCs w:val="28"/>
          <w:highlight w:val="yellow"/>
          <w:lang w:val="en-US" w:eastAsia="zh-CN"/>
        </w:rPr>
        <w:t>但不限于本工程施工图纸范围内挖基坑、沟槽土方及场内外运输、室外道路、围墙、园林园建、室外给排水等经双方书面确认或调整的其他工程</w:t>
      </w:r>
      <w:r>
        <w:rPr>
          <w:rFonts w:hint="eastAsia" w:ascii="仿宋_GB2312" w:hAnsi="仿宋_GB2312" w:eastAsia="仿宋_GB2312" w:cs="仿宋_GB2312"/>
          <w:bCs/>
          <w:color w:val="000000"/>
          <w:sz w:val="28"/>
          <w:szCs w:val="28"/>
          <w:highlight w:val="none"/>
          <w:lang w:val="en-US" w:eastAsia="zh-CN"/>
        </w:rPr>
        <w:t>，须满足设计规范要求标高及密实度要求。包括全部劳务工作人工、材料、中小型机械、管理费、利润、规费、税金等所有费用。</w:t>
      </w:r>
      <w:r>
        <w:rPr>
          <w:rFonts w:hint="eastAsia" w:ascii="仿宋_GB2312" w:hAnsi="仿宋_GB2312" w:eastAsia="仿宋_GB2312" w:cs="仿宋_GB2312"/>
          <w:bCs/>
          <w:sz w:val="28"/>
          <w:szCs w:val="28"/>
          <w:highlight w:val="none"/>
        </w:rPr>
        <w:t>】</w:t>
      </w:r>
    </w:p>
    <w:p w14:paraId="69EC8B33">
      <w:pPr>
        <w:spacing w:line="48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1.7 分包工程所需资质等级：</w:t>
      </w:r>
      <w:r>
        <w:rPr>
          <w:rFonts w:hint="eastAsia" w:ascii="仿宋_GB2312" w:hAnsi="仿宋_GB2312" w:eastAsia="仿宋_GB2312" w:cs="仿宋_GB2312"/>
          <w:sz w:val="28"/>
          <w:szCs w:val="28"/>
          <w:highlight w:val="none"/>
        </w:rPr>
        <w:t>【     】</w:t>
      </w:r>
      <w:r>
        <w:rPr>
          <w:rFonts w:hint="eastAsia" w:ascii="仿宋_GB2312" w:hAnsi="仿宋_GB2312" w:eastAsia="仿宋_GB2312" w:cs="仿宋_GB2312"/>
          <w:bCs/>
          <w:sz w:val="28"/>
          <w:szCs w:val="28"/>
          <w:highlight w:val="none"/>
        </w:rPr>
        <w:t>。</w:t>
      </w:r>
    </w:p>
    <w:p w14:paraId="6E6BE6BE">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bCs/>
          <w:sz w:val="28"/>
          <w:szCs w:val="28"/>
          <w:highlight w:val="none"/>
        </w:rPr>
        <w:t xml:space="preserve">1.8 </w:t>
      </w:r>
      <w:r>
        <w:rPr>
          <w:rFonts w:hint="eastAsia" w:ascii="仿宋_GB2312" w:hAnsi="仿宋_GB2312" w:eastAsia="仿宋_GB2312" w:cs="仿宋_GB2312"/>
          <w:bCs/>
          <w:sz w:val="28"/>
          <w:szCs w:val="28"/>
          <w:highlight w:val="none"/>
          <w:lang w:eastAsia="zh-CN"/>
        </w:rPr>
        <w:t>乙方</w:t>
      </w:r>
      <w:r>
        <w:rPr>
          <w:rFonts w:hint="eastAsia" w:ascii="仿宋_GB2312" w:hAnsi="仿宋_GB2312" w:eastAsia="仿宋_GB2312" w:cs="仿宋_GB2312"/>
          <w:bCs/>
          <w:sz w:val="28"/>
          <w:szCs w:val="28"/>
          <w:highlight w:val="none"/>
        </w:rPr>
        <w:t>资质等级：</w:t>
      </w:r>
      <w:r>
        <w:rPr>
          <w:rFonts w:hint="eastAsia" w:ascii="仿宋_GB2312" w:hAnsi="仿宋_GB2312" w:eastAsia="仿宋_GB2312" w:cs="仿宋_GB2312"/>
          <w:sz w:val="28"/>
          <w:szCs w:val="28"/>
          <w:highlight w:val="none"/>
        </w:rPr>
        <w:t>【     】。</w:t>
      </w:r>
    </w:p>
    <w:p w14:paraId="53733FCD">
      <w:pPr>
        <w:spacing w:line="480" w:lineRule="exact"/>
        <w:ind w:firstLine="1120" w:firstLineChars="4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有效期：</w:t>
      </w:r>
      <w:r>
        <w:rPr>
          <w:rFonts w:hint="eastAsia" w:ascii="仿宋_GB2312" w:hAnsi="仿宋_GB2312" w:eastAsia="仿宋_GB2312" w:cs="仿宋_GB2312"/>
          <w:sz w:val="28"/>
          <w:szCs w:val="28"/>
          <w:highlight w:val="none"/>
        </w:rPr>
        <w:t>【     】</w:t>
      </w:r>
      <w:r>
        <w:rPr>
          <w:rFonts w:hint="eastAsia" w:ascii="仿宋_GB2312" w:hAnsi="仿宋_GB2312" w:eastAsia="仿宋_GB2312" w:cs="仿宋_GB2312"/>
          <w:bCs/>
          <w:sz w:val="28"/>
          <w:szCs w:val="28"/>
          <w:highlight w:val="none"/>
        </w:rPr>
        <w:t>。</w:t>
      </w:r>
    </w:p>
    <w:p w14:paraId="59825950">
      <w:pPr>
        <w:spacing w:line="480" w:lineRule="exact"/>
        <w:ind w:firstLine="1120" w:firstLineChars="4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乙方承接本分包工程资质是否合规：合规</w:t>
      </w:r>
      <w:r>
        <w:rPr>
          <w:rFonts w:hint="eastAsia" w:ascii="仿宋_GB2312" w:hAnsi="仿宋_GB2312" w:eastAsia="仿宋_GB2312" w:cs="仿宋_GB2312"/>
          <w:bCs/>
          <w:sz w:val="28"/>
          <w:szCs w:val="28"/>
          <w:highlight w:val="none"/>
          <w:lang w:eastAsia="zh-CN"/>
        </w:rPr>
        <w:t>☑</w:t>
      </w:r>
      <w:r>
        <w:rPr>
          <w:rFonts w:hint="eastAsia" w:ascii="仿宋_GB2312" w:hAnsi="仿宋_GB2312" w:eastAsia="仿宋_GB2312" w:cs="仿宋_GB2312"/>
          <w:bCs/>
          <w:sz w:val="28"/>
          <w:szCs w:val="28"/>
          <w:highlight w:val="none"/>
        </w:rPr>
        <w:t xml:space="preserve"> 不合规□</w:t>
      </w:r>
    </w:p>
    <w:p w14:paraId="7457B45F">
      <w:pPr>
        <w:spacing w:line="48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1.9 </w:t>
      </w:r>
      <w:r>
        <w:rPr>
          <w:rFonts w:hint="eastAsia" w:ascii="仿宋_GB2312" w:hAnsi="仿宋_GB2312" w:eastAsia="仿宋_GB2312" w:cs="仿宋_GB2312"/>
          <w:bCs/>
          <w:sz w:val="28"/>
          <w:szCs w:val="28"/>
          <w:highlight w:val="none"/>
          <w:lang w:eastAsia="zh-CN"/>
        </w:rPr>
        <w:t>乙方</w:t>
      </w:r>
      <w:r>
        <w:rPr>
          <w:rFonts w:hint="eastAsia" w:ascii="仿宋_GB2312" w:hAnsi="仿宋_GB2312" w:eastAsia="仿宋_GB2312" w:cs="仿宋_GB2312"/>
          <w:bCs/>
          <w:sz w:val="28"/>
          <w:szCs w:val="28"/>
          <w:highlight w:val="none"/>
        </w:rPr>
        <w:t>的企业性质：大型□中型□小型□微型企业□</w:t>
      </w:r>
    </w:p>
    <w:p w14:paraId="1CA159CB">
      <w:pPr>
        <w:spacing w:line="48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以上企业性质由乙方根据（1）工信部官网：“中小企业规模类型测试网址</w:t>
      </w:r>
      <w:r>
        <w:fldChar w:fldCharType="begin"/>
      </w:r>
      <w:r>
        <w:instrText xml:space="preserve"> HYPERLINK "https://baosong.miit.gov.cn/ScaleTest" \t "https://law.wkinfo.com.cn/focus/detail/_blank" </w:instrText>
      </w:r>
      <w:r>
        <w:fldChar w:fldCharType="separate"/>
      </w:r>
      <w:r>
        <w:rPr>
          <w:rFonts w:hint="eastAsia" w:ascii="仿宋_GB2312" w:hAnsi="仿宋_GB2312" w:eastAsia="仿宋_GB2312" w:cs="仿宋_GB2312"/>
          <w:bCs/>
          <w:sz w:val="28"/>
          <w:szCs w:val="28"/>
          <w:highlight w:val="none"/>
        </w:rPr>
        <w:t>https://baosong.miit.gov.cn/ScaleTest</w:t>
      </w:r>
      <w:r>
        <w:rPr>
          <w:rFonts w:hint="eastAsia" w:ascii="仿宋_GB2312" w:hAnsi="仿宋_GB2312" w:eastAsia="仿宋_GB2312" w:cs="仿宋_GB2312"/>
          <w:bCs/>
          <w:sz w:val="28"/>
          <w:szCs w:val="28"/>
          <w:highlight w:val="none"/>
        </w:rPr>
        <w:fldChar w:fldCharType="end"/>
      </w:r>
      <w:r>
        <w:rPr>
          <w:rFonts w:hint="eastAsia" w:ascii="仿宋_GB2312" w:hAnsi="仿宋_GB2312" w:eastAsia="仿宋_GB2312" w:cs="仿宋_GB2312"/>
          <w:bCs/>
          <w:sz w:val="28"/>
          <w:szCs w:val="28"/>
          <w:highlight w:val="none"/>
        </w:rPr>
        <w:t>。（2）工信部微信小程序：“中小企业规模类型自测”两种渠道自测确定。</w:t>
      </w:r>
    </w:p>
    <w:p w14:paraId="3ED4BBDB">
      <w:pPr>
        <w:spacing w:line="480" w:lineRule="exact"/>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乙方应保证其企业规模的真实性。如乙方提供信息不实，经甲方查证后，将按照《中国建筑股份有限公司分供商资源管理办法》中的《不良行为分供商禁用处理标准》第19项对乙方严格实施禁用管理。</w:t>
      </w:r>
    </w:p>
    <w:p w14:paraId="216B13BB">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bCs/>
          <w:sz w:val="28"/>
          <w:szCs w:val="28"/>
          <w:highlight w:val="none"/>
        </w:rPr>
        <w:t xml:space="preserve">1.10 </w:t>
      </w:r>
      <w:r>
        <w:rPr>
          <w:rFonts w:hint="eastAsia" w:ascii="仿宋_GB2312" w:hAnsi="仿宋_GB2312" w:eastAsia="仿宋_GB2312" w:cs="仿宋_GB2312"/>
          <w:bCs/>
          <w:sz w:val="28"/>
          <w:szCs w:val="28"/>
          <w:highlight w:val="none"/>
          <w:lang w:eastAsia="zh-CN"/>
        </w:rPr>
        <w:t>乙方</w:t>
      </w:r>
      <w:r>
        <w:rPr>
          <w:rFonts w:hint="eastAsia" w:ascii="仿宋_GB2312" w:hAnsi="仿宋_GB2312" w:eastAsia="仿宋_GB2312" w:cs="仿宋_GB2312"/>
          <w:bCs/>
          <w:sz w:val="28"/>
          <w:szCs w:val="28"/>
          <w:highlight w:val="none"/>
        </w:rPr>
        <w:t>是否属于“专精特新”企业：是□ 否□</w:t>
      </w:r>
    </w:p>
    <w:p w14:paraId="388C0631">
      <w:pPr>
        <w:pStyle w:val="5"/>
        <w:ind w:left="0" w:leftChars="0" w:firstLine="562" w:firstLineChars="200"/>
        <w:rPr>
          <w:b w:val="0"/>
          <w:color w:val="000000"/>
          <w:highlight w:val="none"/>
        </w:rPr>
      </w:pPr>
      <w:bookmarkStart w:id="797" w:name="_Toc30439"/>
      <w:r>
        <w:rPr>
          <w:bCs w:val="0"/>
          <w:color w:val="000000"/>
          <w:highlight w:val="none"/>
        </w:rPr>
        <w:t>二、</w:t>
      </w:r>
      <w:r>
        <w:rPr>
          <w:rFonts w:hint="eastAsia"/>
          <w:bCs w:val="0"/>
          <w:color w:val="000000"/>
          <w:highlight w:val="none"/>
        </w:rPr>
        <w:t>分包</w:t>
      </w:r>
      <w:r>
        <w:rPr>
          <w:bCs w:val="0"/>
          <w:color w:val="000000"/>
          <w:highlight w:val="none"/>
        </w:rPr>
        <w:t>合同工期</w:t>
      </w:r>
      <w:r>
        <w:rPr>
          <w:rFonts w:hint="eastAsia" w:ascii="仿宋_GB2312" w:hAnsi="仿宋_GB2312" w:eastAsia="仿宋_GB2312" w:cs="仿宋_GB2312"/>
          <w:color w:val="C00000"/>
          <w:highlight w:val="none"/>
        </w:rPr>
        <w:t>（*核心条款）</w:t>
      </w:r>
      <w:bookmarkEnd w:id="797"/>
    </w:p>
    <w:p w14:paraId="604C9A67">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计划开工日期：</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val="en-US" w:eastAsia="zh-CN"/>
        </w:rPr>
        <w:t>2025</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color w:val="000000"/>
          <w:sz w:val="28"/>
          <w:szCs w:val="28"/>
          <w:highlight w:val="none"/>
        </w:rPr>
        <w:t>年</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val="en-US" w:eastAsia="zh-CN"/>
        </w:rPr>
        <w:t xml:space="preserve"> </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color w:val="000000"/>
          <w:sz w:val="28"/>
          <w:szCs w:val="28"/>
          <w:highlight w:val="none"/>
        </w:rPr>
        <w:t>月</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b/>
          <w:color w:val="000000"/>
          <w:sz w:val="28"/>
          <w:szCs w:val="28"/>
          <w:highlight w:val="none"/>
          <w:lang w:val="en-US" w:eastAsia="zh-CN"/>
        </w:rPr>
        <w:t xml:space="preserve"> </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color w:val="000000"/>
          <w:sz w:val="28"/>
          <w:szCs w:val="28"/>
          <w:highlight w:val="none"/>
        </w:rPr>
        <w:t>日（此为暂定时间，具体以甲方发出的进场通知单为准）。</w:t>
      </w:r>
    </w:p>
    <w:p w14:paraId="04D2394C">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计划完工日期：</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 xml:space="preserve">2026 </w:t>
      </w:r>
      <w:r>
        <w:rPr>
          <w:rFonts w:hint="eastAsia" w:ascii="仿宋_GB2312" w:hAnsi="仿宋_GB2312" w:eastAsia="仿宋_GB2312" w:cs="仿宋_GB2312"/>
          <w:sz w:val="28"/>
          <w:szCs w:val="28"/>
          <w:highlight w:val="none"/>
        </w:rPr>
        <w:t>】年【</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】日</w:t>
      </w:r>
      <w:r>
        <w:rPr>
          <w:rFonts w:hint="eastAsia" w:ascii="仿宋_GB2312" w:hAnsi="仿宋_GB2312" w:eastAsia="仿宋_GB2312" w:cs="仿宋_GB2312"/>
          <w:color w:val="000000"/>
          <w:sz w:val="28"/>
          <w:szCs w:val="28"/>
          <w:highlight w:val="none"/>
        </w:rPr>
        <w:t>（以本分包工程最终通过验收时间为准）。</w:t>
      </w:r>
    </w:p>
    <w:p w14:paraId="46FEB393">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合同工期总日历天数：</w:t>
      </w:r>
      <w:r>
        <w:rPr>
          <w:rFonts w:hint="eastAsia" w:ascii="仿宋_GB2312" w:hAnsi="仿宋_GB2312" w:eastAsia="仿宋_GB2312" w:cs="仿宋_GB2312"/>
          <w:b/>
          <w:color w:val="000000"/>
          <w:sz w:val="28"/>
          <w:szCs w:val="28"/>
          <w:highlight w:val="none"/>
        </w:rPr>
        <w:t>【24</w:t>
      </w:r>
      <w:r>
        <w:rPr>
          <w:rFonts w:hint="eastAsia" w:ascii="仿宋_GB2312" w:hAnsi="仿宋_GB2312" w:eastAsia="仿宋_GB2312" w:cs="仿宋_GB2312"/>
          <w:b/>
          <w:color w:val="000000"/>
          <w:sz w:val="28"/>
          <w:szCs w:val="28"/>
          <w:highlight w:val="none"/>
          <w:lang w:val="en-US" w:eastAsia="zh-CN"/>
        </w:rPr>
        <w:t>8</w:t>
      </w:r>
      <w:r>
        <w:rPr>
          <w:rFonts w:hint="eastAsia" w:ascii="仿宋_GB2312" w:hAnsi="仿宋_GB2312" w:eastAsia="仿宋_GB2312" w:cs="仿宋_GB2312"/>
          <w:b/>
          <w:color w:val="000000"/>
          <w:sz w:val="28"/>
          <w:szCs w:val="28"/>
          <w:highlight w:val="none"/>
        </w:rPr>
        <w:t>】</w:t>
      </w:r>
      <w:r>
        <w:rPr>
          <w:rFonts w:hint="eastAsia" w:ascii="仿宋_GB2312" w:hAnsi="仿宋_GB2312" w:eastAsia="仿宋_GB2312" w:cs="仿宋_GB2312"/>
          <w:color w:val="000000"/>
          <w:sz w:val="28"/>
          <w:szCs w:val="28"/>
          <w:highlight w:val="none"/>
        </w:rPr>
        <w:t>天。合同工期总日历天数与根据前述计划开工、完工日期计算的天数不一致的，以合同工期总日历天数为准。</w:t>
      </w:r>
    </w:p>
    <w:p w14:paraId="514D0D9A">
      <w:pPr>
        <w:spacing w:line="480" w:lineRule="exact"/>
        <w:ind w:firstLine="560" w:firstLineChars="200"/>
        <w:rPr>
          <w:rFonts w:hint="eastAsia" w:ascii="仿宋_GB2312" w:hAnsi="仿宋_GB2312" w:eastAsia="仿宋_GB2312" w:cs="仿宋_GB2312"/>
          <w:color w:val="FF0000"/>
          <w:sz w:val="28"/>
          <w:szCs w:val="28"/>
          <w:highlight w:val="none"/>
        </w:rPr>
      </w:pPr>
      <w:r>
        <w:rPr>
          <w:rFonts w:hint="eastAsia" w:ascii="仿宋_GB2312" w:hAnsi="仿宋_GB2312" w:eastAsia="仿宋_GB2312" w:cs="仿宋_GB2312"/>
          <w:color w:val="000000"/>
          <w:sz w:val="28"/>
          <w:szCs w:val="28"/>
          <w:highlight w:val="none"/>
        </w:rPr>
        <w:t>本分包合同工期已综合考虑法定节假日（特别是中秋、春节等重要节假日）、非极端不利天气、中高考、两会及其他政府会议、农忙、扰民与民扰、城管管制、甲方或建设方或政府部门领导检查、观摩、工地现状、空气污染预警、环保政策要求、交叉施工、配合施工的等待时间等对工期产生的影响，乙方承诺不因此类原因提出任何有关的工期和费用索赔。</w:t>
      </w:r>
    </w:p>
    <w:p w14:paraId="6DC81B74">
      <w:pPr>
        <w:pStyle w:val="5"/>
        <w:ind w:left="0" w:leftChars="0" w:firstLine="562" w:firstLineChars="200"/>
        <w:rPr>
          <w:b w:val="0"/>
          <w:color w:val="000000"/>
          <w:highlight w:val="none"/>
        </w:rPr>
      </w:pPr>
      <w:bookmarkStart w:id="798" w:name="_Toc1112"/>
      <w:r>
        <w:rPr>
          <w:bCs w:val="0"/>
          <w:color w:val="000000"/>
          <w:highlight w:val="none"/>
        </w:rPr>
        <w:t>三、质量</w:t>
      </w:r>
      <w:r>
        <w:rPr>
          <w:rFonts w:hint="eastAsia"/>
          <w:bCs w:val="0"/>
          <w:color w:val="000000"/>
          <w:highlight w:val="none"/>
        </w:rPr>
        <w:t>、安全文明施工</w:t>
      </w:r>
      <w:r>
        <w:rPr>
          <w:bCs w:val="0"/>
          <w:color w:val="000000"/>
          <w:highlight w:val="none"/>
        </w:rPr>
        <w:t>标准</w:t>
      </w:r>
      <w:r>
        <w:rPr>
          <w:rFonts w:hint="eastAsia"/>
          <w:bCs w:val="0"/>
          <w:color w:val="000000"/>
          <w:highlight w:val="none"/>
        </w:rPr>
        <w:t>及创优目标</w:t>
      </w:r>
      <w:r>
        <w:rPr>
          <w:rFonts w:hint="eastAsia" w:ascii="仿宋_GB2312" w:hAnsi="仿宋_GB2312" w:eastAsia="仿宋_GB2312" w:cs="仿宋_GB2312"/>
          <w:color w:val="C00000"/>
          <w:highlight w:val="none"/>
        </w:rPr>
        <w:t>（*核心条款）</w:t>
      </w:r>
      <w:bookmarkEnd w:id="798"/>
    </w:p>
    <w:p w14:paraId="0CA1A2F3">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3.1</w:t>
      </w:r>
      <w:r>
        <w:rPr>
          <w:rFonts w:hint="eastAsia" w:ascii="仿宋_GB2312" w:hAnsi="仿宋_GB2312" w:eastAsia="仿宋_GB2312" w:cs="仿宋_GB2312"/>
          <w:sz w:val="28"/>
          <w:szCs w:val="28"/>
          <w:highlight w:val="none"/>
          <w:lang w:val="en-US"/>
        </w:rPr>
        <w:t>质量标准：【</w:t>
      </w:r>
      <w:r>
        <w:rPr>
          <w:rFonts w:hint="eastAsia" w:ascii="仿宋_GB2312" w:hAnsi="仿宋_GB2312" w:eastAsia="仿宋_GB2312" w:cs="仿宋_GB2312"/>
          <w:sz w:val="28"/>
          <w:szCs w:val="28"/>
          <w:highlight w:val="none"/>
          <w:lang w:val="en-US" w:eastAsia="zh-CN"/>
        </w:rPr>
        <w:t>合格</w:t>
      </w:r>
      <w:r>
        <w:rPr>
          <w:rFonts w:hint="eastAsia" w:ascii="仿宋_GB2312" w:hAnsi="仿宋_GB2312" w:eastAsia="仿宋_GB2312" w:cs="仿宋_GB2312"/>
          <w:sz w:val="28"/>
          <w:szCs w:val="28"/>
          <w:highlight w:val="none"/>
          <w:lang w:val="en-US"/>
        </w:rPr>
        <w:t>】，创优要求：【</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rPr>
        <w:t xml:space="preserve">】，并符合【 </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rPr>
        <w:t xml:space="preserve"> 】标准。</w:t>
      </w:r>
      <w:r>
        <w:rPr>
          <w:rFonts w:hint="eastAsia" w:ascii="仿宋_GB2312" w:hAnsi="仿宋_GB2312" w:eastAsia="仿宋_GB2312" w:cs="仿宋_GB2312"/>
          <w:color w:val="000000"/>
          <w:sz w:val="28"/>
          <w:szCs w:val="28"/>
          <w:highlight w:val="none"/>
        </w:rPr>
        <w:t>因创优创奖所发生的费用均已包含在合同价款中，结算时不再另行调整。</w:t>
      </w:r>
    </w:p>
    <w:p w14:paraId="2C7C8D26">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3.2安全生产、文明施工达到《</w:t>
      </w:r>
      <w:r>
        <w:rPr>
          <w:rFonts w:ascii="仿宋_GB2312" w:hAnsi="仿宋_GB2312" w:eastAsia="仿宋_GB2312" w:cs="仿宋_GB2312"/>
          <w:color w:val="000000"/>
          <w:sz w:val="28"/>
          <w:szCs w:val="28"/>
          <w:highlight w:val="none"/>
        </w:rPr>
        <w:t>建筑施工安全检查标准</w:t>
      </w:r>
      <w:r>
        <w:rPr>
          <w:rFonts w:hint="eastAsia" w:ascii="仿宋_GB2312" w:hAnsi="仿宋_GB2312" w:eastAsia="仿宋_GB2312" w:cs="仿宋_GB2312"/>
          <w:color w:val="000000"/>
          <w:sz w:val="28"/>
          <w:szCs w:val="28"/>
          <w:highlight w:val="none"/>
        </w:rPr>
        <w:t>JGJ59-2011》合格要求。杜绝重伤死亡事故，控制轻伤事故，轻伤率【2】‰以内；杜绝机械设备事故、火灾事故和公共安全事故、防止职业病发生；创优目标：</w:t>
      </w:r>
      <w:r>
        <w:rPr>
          <w:rFonts w:hint="eastAsia" w:ascii="仿宋_GB2312" w:hAnsi="仿宋_GB2312" w:eastAsia="仿宋_GB2312" w:cs="仿宋_GB2312"/>
          <w:color w:val="000000"/>
          <w:sz w:val="28"/>
          <w:szCs w:val="28"/>
          <w:highlight w:val="yellow"/>
        </w:rPr>
        <w:t>【</w:t>
      </w:r>
      <w:r>
        <w:rPr>
          <w:rFonts w:hint="eastAsia" w:ascii="仿宋_GB2312" w:hAnsi="仿宋_GB2312" w:eastAsia="仿宋_GB2312" w:cs="仿宋_GB2312"/>
          <w:color w:val="000000"/>
          <w:sz w:val="28"/>
          <w:szCs w:val="28"/>
          <w:highlight w:val="yellow"/>
          <w:lang w:val="en-US" w:eastAsia="zh-CN"/>
        </w:rPr>
        <w:t>来宾市</w:t>
      </w:r>
      <w:r>
        <w:rPr>
          <w:rFonts w:hint="eastAsia" w:ascii="仿宋_GB2312" w:hAnsi="仿宋_GB2312" w:eastAsia="仿宋_GB2312" w:cs="仿宋_GB2312"/>
          <w:color w:val="000000"/>
          <w:sz w:val="28"/>
          <w:szCs w:val="28"/>
          <w:highlight w:val="yellow"/>
        </w:rPr>
        <w:t>安全文明标准化工地】</w:t>
      </w:r>
      <w:r>
        <w:rPr>
          <w:rFonts w:hint="eastAsia" w:ascii="仿宋_GB2312" w:hAnsi="仿宋_GB2312" w:eastAsia="仿宋_GB2312" w:cs="仿宋_GB2312"/>
          <w:color w:val="000000"/>
          <w:sz w:val="28"/>
          <w:szCs w:val="28"/>
          <w:highlight w:val="none"/>
        </w:rPr>
        <w:t xml:space="preserve"> </w:t>
      </w:r>
    </w:p>
    <w:p w14:paraId="4A864F7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3.3乙方须于每月5日前向甲方提交上月《月度安全工作报告》，内容包括：国家、省（区）、市及行业主管部门等近期安全检查重点内容的落实情况；当月项目安全风险辨识、评估及管控措施（附隐患排查台账、整改记录）；安全培训、应急演练及事故处置情况（附影像及签到记录）；次月安全工作计划及重点管控方向。</w:t>
      </w:r>
    </w:p>
    <w:p w14:paraId="67C202D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3.4甲方有权就安全质量提出合理管控要求，乙方应按要求落实执行。</w:t>
      </w:r>
    </w:p>
    <w:p w14:paraId="775B7373">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3.5甲方有权采取多种方式进行检查，乙方须配合检查并提供安全生产相关材料。</w:t>
      </w:r>
    </w:p>
    <w:p w14:paraId="61237BBD">
      <w:pPr>
        <w:pStyle w:val="5"/>
        <w:ind w:left="0" w:leftChars="0" w:firstLine="562" w:firstLineChars="200"/>
        <w:rPr>
          <w:rFonts w:hint="eastAsia" w:ascii="仿宋_GB2312" w:hAnsi="仿宋_GB2312" w:eastAsia="仿宋_GB2312" w:cs="仿宋_GB2312"/>
          <w:color w:val="C00000"/>
          <w:highlight w:val="none"/>
        </w:rPr>
      </w:pPr>
      <w:bookmarkStart w:id="799" w:name="_Toc25764"/>
      <w:r>
        <w:rPr>
          <w:bCs w:val="0"/>
          <w:color w:val="000000"/>
          <w:highlight w:val="none"/>
        </w:rPr>
        <w:t>四、签约合同价与合同价格形</w:t>
      </w:r>
      <w:r>
        <w:rPr>
          <w:rFonts w:hint="eastAsia"/>
          <w:bCs w:val="0"/>
          <w:color w:val="000000"/>
          <w:highlight w:val="none"/>
        </w:rPr>
        <w:t>式</w:t>
      </w:r>
      <w:bookmarkStart w:id="800" w:name="_Hlk132269406"/>
      <w:r>
        <w:rPr>
          <w:rFonts w:hint="eastAsia" w:ascii="仿宋_GB2312" w:hAnsi="仿宋_GB2312" w:eastAsia="仿宋_GB2312" w:cs="仿宋_GB2312"/>
          <w:color w:val="C00000"/>
          <w:highlight w:val="none"/>
        </w:rPr>
        <w:t>（*核心条款）</w:t>
      </w:r>
      <w:bookmarkEnd w:id="799"/>
      <w:bookmarkEnd w:id="800"/>
    </w:p>
    <w:p w14:paraId="35853ED2">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4</w:t>
      </w:r>
      <w:r>
        <w:rPr>
          <w:rFonts w:hint="eastAsia" w:ascii="仿宋_GB2312" w:hAnsi="仿宋_GB2312" w:eastAsia="仿宋_GB2312" w:cs="仿宋_GB2312"/>
          <w:color w:val="000000"/>
          <w:sz w:val="28"/>
          <w:szCs w:val="28"/>
          <w:highlight w:val="none"/>
        </w:rPr>
        <w:t>.</w:t>
      </w:r>
      <w:r>
        <w:rPr>
          <w:rFonts w:ascii="仿宋_GB2312" w:hAnsi="仿宋_GB2312" w:eastAsia="仿宋_GB2312" w:cs="仿宋_GB2312"/>
          <w:color w:val="000000"/>
          <w:sz w:val="28"/>
          <w:szCs w:val="28"/>
          <w:highlight w:val="none"/>
        </w:rPr>
        <w:t xml:space="preserve">1 </w:t>
      </w:r>
      <w:r>
        <w:rPr>
          <w:rFonts w:hint="eastAsia" w:ascii="仿宋_GB2312" w:hAnsi="仿宋_GB2312" w:eastAsia="仿宋_GB2312" w:cs="仿宋_GB2312"/>
          <w:color w:val="000000"/>
          <w:sz w:val="28"/>
          <w:szCs w:val="28"/>
          <w:highlight w:val="none"/>
        </w:rPr>
        <w:t>签约合同价（含增值税）为：暂定人民币（大写）</w:t>
      </w:r>
      <w:r>
        <w:rPr>
          <w:rFonts w:hint="eastAsia" w:ascii="仿宋_GB2312" w:hAnsi="仿宋_GB2312" w:eastAsia="仿宋_GB2312" w:cs="仿宋_GB2312"/>
          <w:b/>
          <w:color w:val="000000"/>
          <w:sz w:val="28"/>
          <w:szCs w:val="28"/>
          <w:highlight w:val="none"/>
        </w:rPr>
        <w:t>【     】</w:t>
      </w:r>
      <w:r>
        <w:rPr>
          <w:rFonts w:hint="eastAsia" w:ascii="仿宋_GB2312" w:hAnsi="仿宋_GB2312" w:eastAsia="仿宋_GB2312" w:cs="仿宋_GB2312"/>
          <w:color w:val="000000"/>
          <w:sz w:val="28"/>
          <w:szCs w:val="28"/>
          <w:highlight w:val="none"/>
        </w:rPr>
        <w:t>（</w:t>
      </w:r>
      <w:r>
        <w:rPr>
          <w:rFonts w:ascii="Calibri" w:hAnsi="Calibri" w:eastAsia="仿宋_GB2312" w:cs="Calibri"/>
          <w:color w:val="000000"/>
          <w:sz w:val="28"/>
          <w:szCs w:val="28"/>
          <w:highlight w:val="none"/>
        </w:rPr>
        <w:t>¥</w:t>
      </w:r>
      <w:r>
        <w:rPr>
          <w:rFonts w:hint="eastAsia" w:ascii="仿宋_GB2312" w:hAnsi="仿宋_GB2312" w:eastAsia="仿宋_GB2312" w:cs="仿宋_GB2312"/>
          <w:b/>
          <w:color w:val="000000"/>
          <w:sz w:val="28"/>
          <w:szCs w:val="28"/>
          <w:highlight w:val="none"/>
        </w:rPr>
        <w:t>【     】</w:t>
      </w:r>
      <w:r>
        <w:rPr>
          <w:rFonts w:hint="eastAsia" w:ascii="仿宋_GB2312" w:hAnsi="仿宋_GB2312" w:eastAsia="仿宋_GB2312" w:cs="仿宋_GB2312"/>
          <w:color w:val="000000"/>
          <w:sz w:val="28"/>
          <w:szCs w:val="28"/>
          <w:highlight w:val="none"/>
        </w:rPr>
        <w:t xml:space="preserve">）。此合同价为暂定价，最终以甲方确认的实际结算值为准。其中，不含增值税合同价款为人民币（大写）【 </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w:t>
      </w:r>
      <w:r>
        <w:rPr>
          <w:rFonts w:ascii="Calibri" w:hAnsi="Calibri" w:eastAsia="仿宋_GB2312" w:cs="Calibri"/>
          <w:color w:val="000000"/>
          <w:sz w:val="28"/>
          <w:szCs w:val="28"/>
          <w:highlight w:val="none"/>
        </w:rPr>
        <w:t>¥</w:t>
      </w:r>
      <w:r>
        <w:rPr>
          <w:rFonts w:hint="eastAsia" w:ascii="仿宋_GB2312" w:hAnsi="仿宋_GB2312" w:eastAsia="仿宋_GB2312" w:cs="仿宋_GB2312"/>
          <w:color w:val="000000"/>
          <w:sz w:val="28"/>
          <w:szCs w:val="28"/>
          <w:highlight w:val="none"/>
        </w:rPr>
        <w:t>【        】），增值税为人民币（大写）【      】（</w:t>
      </w:r>
      <w:r>
        <w:rPr>
          <w:rFonts w:ascii="Calibri" w:hAnsi="Calibri" w:eastAsia="仿宋_GB2312" w:cs="Calibri"/>
          <w:color w:val="000000"/>
          <w:sz w:val="28"/>
          <w:szCs w:val="28"/>
          <w:highlight w:val="none"/>
        </w:rPr>
        <w:t>¥</w:t>
      </w:r>
      <w:r>
        <w:rPr>
          <w:rFonts w:hint="eastAsia" w:ascii="仿宋_GB2312" w:hAnsi="仿宋_GB2312" w:eastAsia="仿宋_GB2312" w:cs="仿宋_GB2312"/>
          <w:color w:val="000000"/>
          <w:sz w:val="28"/>
          <w:szCs w:val="28"/>
          <w:highlight w:val="none"/>
        </w:rPr>
        <w:t>【        】），税率【</w:t>
      </w:r>
      <w:r>
        <w:rPr>
          <w:rFonts w:hint="eastAsia" w:ascii="仿宋_GB2312" w:hAnsi="仿宋_GB2312" w:eastAsia="仿宋_GB2312" w:cs="仿宋_GB2312"/>
          <w:color w:val="000000"/>
          <w:sz w:val="28"/>
          <w:szCs w:val="28"/>
          <w:highlight w:val="none"/>
          <w:lang w:val="en-US" w:eastAsia="zh-CN"/>
        </w:rPr>
        <w:t>9</w:t>
      </w:r>
      <w:r>
        <w:rPr>
          <w:rFonts w:hint="eastAsia" w:ascii="仿宋_GB2312" w:hAnsi="仿宋_GB2312" w:eastAsia="仿宋_GB2312" w:cs="仿宋_GB2312"/>
          <w:color w:val="000000"/>
          <w:sz w:val="28"/>
          <w:szCs w:val="28"/>
          <w:highlight w:val="none"/>
        </w:rPr>
        <w:t>】%。</w:t>
      </w:r>
    </w:p>
    <w:p w14:paraId="5044FC92">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本合同约定的不含税价格不因国家税率变化而变化，在合同履行期间，如遇国家的税率调整，则价税合计的价格相应调整，以开具发票时间为准。</w:t>
      </w:r>
    </w:p>
    <w:p w14:paraId="2C276911">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 xml:space="preserve">4.2 </w:t>
      </w:r>
      <w:r>
        <w:rPr>
          <w:rFonts w:hint="eastAsia" w:ascii="仿宋_GB2312" w:hAnsi="仿宋_GB2312" w:eastAsia="仿宋_GB2312" w:cs="仿宋_GB2312"/>
          <w:color w:val="000000"/>
          <w:sz w:val="28"/>
          <w:szCs w:val="28"/>
          <w:highlight w:val="none"/>
        </w:rPr>
        <w:t>合同价格形式：本合同采用【固定综合单价】，具体单价详见后附工程量清单与计价表（以下简称综合单价表）。</w:t>
      </w:r>
    </w:p>
    <w:p w14:paraId="03B05282">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综合单价表中不含税综合单价包含但不限于：</w:t>
      </w:r>
    </w:p>
    <w:p w14:paraId="50C7AC4C">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①人工费、材料费（甲供材除外</w:t>
      </w:r>
      <w:r>
        <w:rPr>
          <w:rFonts w:hint="eastAsia" w:ascii="仿宋_GB2312" w:hAnsi="仿宋_GB2312" w:eastAsia="仿宋_GB2312" w:cs="仿宋_GB2312"/>
          <w:color w:val="000000"/>
          <w:sz w:val="28"/>
          <w:szCs w:val="28"/>
          <w:highlight w:val="none"/>
          <w:lang w:eastAsia="zh-CN"/>
        </w:rPr>
        <w:t>，</w:t>
      </w:r>
      <w:r>
        <w:rPr>
          <w:rFonts w:hint="eastAsia" w:ascii="仿宋_GB2312" w:hAnsi="仿宋_GB2312" w:eastAsia="仿宋_GB2312" w:cs="仿宋_GB2312"/>
          <w:color w:val="000000"/>
          <w:sz w:val="28"/>
          <w:szCs w:val="28"/>
          <w:highlight w:val="yellow"/>
          <w:lang w:val="en-US" w:eastAsia="zh-CN"/>
        </w:rPr>
        <w:t>部分材料有品牌要求，详附件10材料品牌</w:t>
      </w:r>
      <w:r>
        <w:rPr>
          <w:rFonts w:hint="eastAsia" w:ascii="仿宋_GB2312" w:hAnsi="仿宋_GB2312" w:eastAsia="仿宋_GB2312" w:cs="仿宋_GB2312"/>
          <w:color w:val="000000"/>
          <w:sz w:val="28"/>
          <w:szCs w:val="28"/>
          <w:highlight w:val="none"/>
        </w:rPr>
        <w:t>）、小型机械费、管理费、利润、</w:t>
      </w:r>
      <w:r>
        <w:rPr>
          <w:rFonts w:hint="eastAsia" w:ascii="仿宋_GB2312" w:hAnsi="仿宋_GB2312" w:eastAsia="仿宋_GB2312" w:cs="仿宋_GB2312"/>
          <w:sz w:val="28"/>
          <w:szCs w:val="28"/>
          <w:highlight w:val="none"/>
        </w:rPr>
        <w:t>资金使用费、资金补偿费</w:t>
      </w:r>
      <w:r>
        <w:rPr>
          <w:rFonts w:hint="eastAsia" w:ascii="仿宋_GB2312" w:hAnsi="仿宋_GB2312" w:eastAsia="仿宋_GB2312" w:cs="仿宋_GB2312"/>
          <w:color w:val="000000"/>
          <w:sz w:val="28"/>
          <w:szCs w:val="28"/>
          <w:highlight w:val="none"/>
        </w:rPr>
        <w:t>除增值税外的其他全部税费（包括但不限于城市建设维护税、教育费附加及地方教育费附加、个人所得税、合同印花税、企业所得税、车船使用税以及国家和地方规定的所有税费）；</w:t>
      </w:r>
    </w:p>
    <w:p w14:paraId="282CF1A2">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②设备进退场及场外运输费用、材料和设备的场内水平运输及二次及多次倒运费用、二次进场费、专用工具费、缺陷修复费、成品保护费、水电费、措施费（如垃圾清运、现场二次及多次搭拆施工用架子及吊篮、后期服务等费用）、施工降效费、超高费、运输费（含运输保险费）、深化设计费；</w:t>
      </w:r>
    </w:p>
    <w:p w14:paraId="399819E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③外经证办理费用、进入工程所在地备案费用、意外人身保险等所有保险费、承包范围内的材料检测及检验试验配合费、第三方检测、验收配合费、安全监督费用、地下障碍物清除费用、交通费、保洁费、风险费用、协调及完成本分包工作内容的安全费用、技术费用、措施费用、乙方自有人员（包括管理人员及劳务工人）的养老保险、工伤保险、医疗保险、失业保险、生育保险、住房公积金、危险作业意外伤害保险及当地政府部门规定的其他险种等与完成本分包工程相关的全部费用；</w:t>
      </w:r>
    </w:p>
    <w:p w14:paraId="622CD834">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④因疫情常态化防控发生的各种防疫费用。</w:t>
      </w:r>
    </w:p>
    <w:p w14:paraId="7FC092F3">
      <w:pPr>
        <w:spacing w:line="480" w:lineRule="exact"/>
        <w:ind w:firstLine="560" w:firstLineChars="200"/>
        <w:rPr>
          <w:rFonts w:hint="eastAsia" w:ascii="仿宋_GB2312" w:hAnsi="仿宋_GB2312" w:eastAsia="仿宋_GB2312" w:cs="仿宋_GB2312"/>
          <w:color w:val="FF0000"/>
          <w:sz w:val="28"/>
          <w:szCs w:val="28"/>
          <w:highlight w:val="none"/>
        </w:rPr>
      </w:pPr>
      <w:r>
        <w:rPr>
          <w:rFonts w:hint="eastAsia" w:ascii="仿宋_GB2312" w:hAnsi="仿宋_GB2312" w:eastAsia="仿宋_GB2312" w:cs="仿宋_GB2312"/>
          <w:color w:val="C00000"/>
          <w:sz w:val="28"/>
          <w:szCs w:val="28"/>
          <w:highlight w:val="none"/>
        </w:rPr>
        <w:t>（条款说明：可根据项目实际情况修改合同价格形式）</w:t>
      </w:r>
    </w:p>
    <w:p w14:paraId="19D9A02D">
      <w:pPr>
        <w:spacing w:line="480" w:lineRule="exact"/>
        <w:ind w:firstLine="560" w:firstLineChars="200"/>
        <w:rPr>
          <w:rFonts w:hint="eastAsia" w:ascii="仿宋_GB2312" w:hAnsi="仿宋_GB2312" w:eastAsia="仿宋_GB2312" w:cs="仿宋_GB2312"/>
          <w:color w:val="FF0000"/>
          <w:sz w:val="28"/>
          <w:szCs w:val="28"/>
          <w:highlight w:val="none"/>
        </w:rPr>
      </w:pPr>
      <w:r>
        <w:rPr>
          <w:rFonts w:ascii="仿宋_GB2312" w:hAnsi="仿宋_GB2312" w:eastAsia="仿宋_GB2312" w:cs="仿宋_GB2312"/>
          <w:color w:val="000000"/>
          <w:sz w:val="28"/>
          <w:szCs w:val="28"/>
          <w:highlight w:val="none"/>
        </w:rPr>
        <w:t xml:space="preserve">4.3 </w:t>
      </w:r>
      <w:r>
        <w:rPr>
          <w:rFonts w:hint="eastAsia" w:ascii="仿宋_GB2312" w:hAnsi="仿宋_GB2312" w:eastAsia="仿宋_GB2312" w:cs="仿宋_GB2312"/>
          <w:sz w:val="28"/>
          <w:szCs w:val="28"/>
          <w:highlight w:val="none"/>
        </w:rPr>
        <w:t>工程量计算规则：【</w:t>
      </w:r>
      <w:r>
        <w:rPr>
          <w:rFonts w:hint="eastAsia" w:ascii="仿宋_GB2312" w:hAnsi="仿宋_GB2312" w:eastAsia="仿宋_GB2312" w:cs="仿宋_GB2312"/>
          <w:sz w:val="28"/>
          <w:szCs w:val="28"/>
          <w:highlight w:val="none"/>
          <w:lang w:val="en-US" w:eastAsia="zh-CN"/>
        </w:rPr>
        <w:t>详见招标清单</w:t>
      </w:r>
      <w:r>
        <w:rPr>
          <w:rFonts w:hint="eastAsia" w:ascii="仿宋_GB2312" w:hAnsi="仿宋_GB2312" w:eastAsia="仿宋_GB2312" w:cs="仿宋_GB2312"/>
          <w:sz w:val="28"/>
          <w:szCs w:val="28"/>
          <w:highlight w:val="none"/>
        </w:rPr>
        <w:t>】。</w:t>
      </w:r>
    </w:p>
    <w:p w14:paraId="7DE4F753">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 xml:space="preserve">4.4 </w:t>
      </w:r>
      <w:r>
        <w:rPr>
          <w:rFonts w:hint="eastAsia" w:ascii="仿宋_GB2312" w:hAnsi="仿宋_GB2312" w:eastAsia="仿宋_GB2312" w:cs="仿宋_GB2312"/>
          <w:color w:val="000000"/>
          <w:sz w:val="28"/>
          <w:szCs w:val="28"/>
          <w:highlight w:val="none"/>
        </w:rPr>
        <w:t>其他</w:t>
      </w:r>
    </w:p>
    <w:p w14:paraId="1D4B4970">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w:t>
      </w:r>
      <w:r>
        <w:rPr>
          <w:rFonts w:ascii="仿宋_GB2312" w:hAnsi="仿宋_GB2312" w:eastAsia="仿宋_GB2312" w:cs="仿宋_GB2312"/>
          <w:color w:val="000000"/>
          <w:sz w:val="28"/>
          <w:szCs w:val="28"/>
          <w:highlight w:val="none"/>
        </w:rPr>
        <w:t xml:space="preserve">.4.1 </w:t>
      </w:r>
      <w:r>
        <w:rPr>
          <w:rFonts w:hint="eastAsia" w:ascii="仿宋_GB2312" w:hAnsi="仿宋_GB2312" w:eastAsia="仿宋_GB2312" w:cs="仿宋_GB2312"/>
          <w:color w:val="000000"/>
          <w:sz w:val="28"/>
          <w:szCs w:val="28"/>
          <w:highlight w:val="none"/>
        </w:rPr>
        <w:t>所有应由乙方向行政管理部门交纳的费用、人员进出场费用和相关手续费用及其他费用</w:t>
      </w:r>
      <w:r>
        <w:rPr>
          <w:rFonts w:hint="eastAsia" w:ascii="仿宋_GB2312" w:hAnsi="仿宋_GB2312" w:eastAsia="仿宋_GB2312" w:cs="仿宋_GB2312"/>
          <w:sz w:val="28"/>
          <w:szCs w:val="28"/>
          <w:highlight w:val="none"/>
        </w:rPr>
        <w:t>已包含在合同价格中，</w:t>
      </w:r>
      <w:r>
        <w:rPr>
          <w:rFonts w:hint="eastAsia" w:ascii="仿宋_GB2312" w:hAnsi="仿宋_GB2312" w:eastAsia="仿宋_GB2312" w:cs="仿宋_GB2312"/>
          <w:color w:val="000000"/>
          <w:sz w:val="28"/>
          <w:szCs w:val="28"/>
          <w:highlight w:val="none"/>
        </w:rPr>
        <w:t>均由乙方承担并自行缴纳。本合同中的所有税费，由乙方按照国家相应规定自行缴纳。乙方人员（包括管理人员和劳务工人）的养老保险、工伤保险、医疗保险、失业保险、生育保险、住房公积金、危险作业意外伤害保险及政府部门规定的其他险种等全部费用</w:t>
      </w:r>
      <w:r>
        <w:rPr>
          <w:rFonts w:hint="eastAsia" w:ascii="仿宋_GB2312" w:hAnsi="仿宋_GB2312" w:eastAsia="仿宋_GB2312" w:cs="仿宋_GB2312"/>
          <w:sz w:val="28"/>
          <w:szCs w:val="28"/>
          <w:highlight w:val="none"/>
        </w:rPr>
        <w:t>已包含在合同价格中，</w:t>
      </w:r>
      <w:r>
        <w:rPr>
          <w:rFonts w:hint="eastAsia" w:ascii="仿宋_GB2312" w:hAnsi="仿宋_GB2312" w:eastAsia="仿宋_GB2312" w:cs="仿宋_GB2312"/>
          <w:color w:val="000000"/>
          <w:sz w:val="28"/>
          <w:szCs w:val="28"/>
          <w:highlight w:val="none"/>
        </w:rPr>
        <w:t>由乙方承担并自行缴纳。</w:t>
      </w:r>
    </w:p>
    <w:p w14:paraId="6747040C">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w:t>
      </w:r>
      <w:r>
        <w:rPr>
          <w:rFonts w:ascii="仿宋_GB2312" w:hAnsi="仿宋_GB2312" w:eastAsia="仿宋_GB2312" w:cs="仿宋_GB2312"/>
          <w:color w:val="000000"/>
          <w:sz w:val="28"/>
          <w:szCs w:val="28"/>
          <w:highlight w:val="none"/>
        </w:rPr>
        <w:t xml:space="preserve">.4.2 </w:t>
      </w:r>
      <w:r>
        <w:rPr>
          <w:rFonts w:hint="eastAsia" w:ascii="仿宋_GB2312" w:hAnsi="仿宋_GB2312" w:eastAsia="仿宋_GB2312" w:cs="仿宋_GB2312"/>
          <w:color w:val="000000"/>
          <w:sz w:val="28"/>
          <w:szCs w:val="28"/>
          <w:highlight w:val="none"/>
        </w:rPr>
        <w:t>水电费：乙方水电使用费用约定：</w:t>
      </w:r>
    </w:p>
    <w:p w14:paraId="198BC9AC">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【乙方进场前由甲方准备并安装水表、电表（必要的一级配电箱及二级配电箱配套），甲方电工负责监督管理，并抄表计数。水电使用费由乙方承担，以水费【</w:t>
      </w:r>
      <w:r>
        <w:rPr>
          <w:rFonts w:hint="eastAsia" w:ascii="仿宋_GB2312" w:hAnsi="仿宋_GB2312" w:eastAsia="仿宋_GB2312" w:cs="仿宋_GB2312"/>
          <w:color w:val="000000"/>
          <w:sz w:val="28"/>
          <w:szCs w:val="28"/>
          <w:highlight w:val="none"/>
          <w:lang w:val="en-US" w:eastAsia="zh-CN"/>
        </w:rPr>
        <w:t>7.5</w:t>
      </w:r>
      <w:r>
        <w:rPr>
          <w:rFonts w:hint="eastAsia" w:ascii="仿宋_GB2312" w:hAnsi="仿宋_GB2312" w:eastAsia="仿宋_GB2312" w:cs="仿宋_GB2312"/>
          <w:color w:val="000000"/>
          <w:sz w:val="28"/>
          <w:szCs w:val="28"/>
          <w:highlight w:val="none"/>
        </w:rPr>
        <w:t>】元/吨，电费【</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】元/度，于中期和最终结算额中扣除。</w:t>
      </w:r>
    </w:p>
    <w:p w14:paraId="36219C91">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如现场无法满足安装要求，根据中期计价和最终结算额的【</w:t>
      </w:r>
      <w:r>
        <w:rPr>
          <w:rFonts w:hint="eastAsia" w:ascii="仿宋_GB2312" w:hAnsi="仿宋_GB2312" w:eastAsia="仿宋_GB2312" w:cs="仿宋_GB2312"/>
          <w:color w:val="000000"/>
          <w:sz w:val="28"/>
          <w:szCs w:val="28"/>
          <w:highlight w:val="none"/>
          <w:lang w:val="en-US" w:eastAsia="zh-CN"/>
        </w:rPr>
        <w:t>1.5</w:t>
      </w:r>
      <w:r>
        <w:rPr>
          <w:rFonts w:hint="eastAsia" w:ascii="仿宋_GB2312" w:hAnsi="仿宋_GB2312" w:eastAsia="仿宋_GB2312" w:cs="仿宋_GB2312"/>
          <w:color w:val="000000"/>
          <w:sz w:val="28"/>
          <w:szCs w:val="28"/>
          <w:highlight w:val="none"/>
        </w:rPr>
        <w:t>】%计取并扣除。</w:t>
      </w:r>
    </w:p>
    <w:p w14:paraId="535F02EC">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yellow"/>
        </w:rPr>
        <w:t>工人宿舍为</w:t>
      </w:r>
      <w:r>
        <w:rPr>
          <w:rFonts w:hint="eastAsia" w:ascii="仿宋_GB2312" w:hAnsi="仿宋_GB2312" w:eastAsia="仿宋_GB2312" w:cs="仿宋_GB2312"/>
          <w:color w:val="000000"/>
          <w:sz w:val="28"/>
          <w:szCs w:val="28"/>
          <w:highlight w:val="yellow"/>
          <w:lang w:val="en-US" w:eastAsia="zh-CN"/>
        </w:rPr>
        <w:t>分包自行</w:t>
      </w:r>
      <w:r>
        <w:rPr>
          <w:rFonts w:hint="eastAsia" w:ascii="仿宋_GB2312" w:hAnsi="仿宋_GB2312" w:eastAsia="仿宋_GB2312" w:cs="仿宋_GB2312"/>
          <w:color w:val="000000"/>
          <w:sz w:val="28"/>
          <w:szCs w:val="28"/>
          <w:highlight w:val="yellow"/>
        </w:rPr>
        <w:t>租房，</w:t>
      </w:r>
      <w:r>
        <w:rPr>
          <w:rFonts w:hint="eastAsia" w:ascii="仿宋_GB2312" w:hAnsi="仿宋_GB2312" w:eastAsia="仿宋_GB2312" w:cs="仿宋_GB2312"/>
          <w:color w:val="000000"/>
          <w:sz w:val="28"/>
          <w:szCs w:val="28"/>
          <w:highlight w:val="yellow"/>
          <w:lang w:val="en-US" w:eastAsia="zh-CN"/>
        </w:rPr>
        <w:t>费用</w:t>
      </w:r>
      <w:r>
        <w:rPr>
          <w:rFonts w:hint="eastAsia" w:ascii="仿宋_GB2312" w:hAnsi="仿宋_GB2312" w:eastAsia="仿宋_GB2312" w:cs="仿宋_GB2312"/>
          <w:color w:val="000000"/>
          <w:sz w:val="28"/>
          <w:szCs w:val="28"/>
          <w:highlight w:val="yellow"/>
        </w:rPr>
        <w:t>由乙方自行解决，乙方按时交纳水电费并承担因房屋租赁引起的一切责任。</w:t>
      </w:r>
      <w:r>
        <w:rPr>
          <w:rFonts w:hint="eastAsia" w:ascii="仿宋_GB2312" w:hAnsi="仿宋_GB2312" w:eastAsia="仿宋_GB2312" w:cs="仿宋_GB2312"/>
          <w:color w:val="000000"/>
          <w:sz w:val="28"/>
          <w:szCs w:val="28"/>
          <w:highlight w:val="none"/>
        </w:rPr>
        <w:t>】</w:t>
      </w:r>
    </w:p>
    <w:p w14:paraId="42739236">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4.4.3</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合同备案时所需的一切费用已包含在综合单价中。本合同签订后乙方应负责办理本合同备案事宜，如因乙方合同备案不及时导致乙方无法提供发票或提供的发票无法抵扣甲方已经缴纳的税金、施工手续无法正常办理等问题，造成甲方损失的，乙方应承担给甲方造成的损失并支付【</w:t>
      </w:r>
      <w:r>
        <w:rPr>
          <w:rFonts w:hint="eastAsia" w:ascii="仿宋_GB2312" w:hAnsi="仿宋_GB2312" w:eastAsia="仿宋_GB2312" w:cs="仿宋_GB2312"/>
          <w:color w:val="000000"/>
          <w:sz w:val="28"/>
          <w:szCs w:val="28"/>
          <w:highlight w:val="none"/>
          <w:lang w:val="en-US" w:eastAsia="zh-CN"/>
        </w:rPr>
        <w:t>1000</w:t>
      </w:r>
      <w:r>
        <w:rPr>
          <w:rFonts w:hint="eastAsia" w:ascii="仿宋_GB2312" w:hAnsi="仿宋_GB2312" w:eastAsia="仿宋_GB2312" w:cs="仿宋_GB2312"/>
          <w:color w:val="000000"/>
          <w:sz w:val="28"/>
          <w:szCs w:val="28"/>
          <w:highlight w:val="none"/>
        </w:rPr>
        <w:t>】元惩罚性违约金。</w:t>
      </w:r>
    </w:p>
    <w:p w14:paraId="431E6AD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4.4.4</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安全生产费用已包含在签约合同价中。乙方相应安全生产费用投入：</w:t>
      </w:r>
      <w:r>
        <w:rPr>
          <w:rFonts w:hint="eastAsia" w:ascii="仿宋_GB2312" w:hAnsi="仿宋_GB2312" w:eastAsia="仿宋_GB2312" w:cs="仿宋_GB2312"/>
          <w:sz w:val="28"/>
          <w:szCs w:val="28"/>
          <w:highlight w:val="none"/>
        </w:rPr>
        <w:t>【②】。</w:t>
      </w:r>
    </w:p>
    <w:p w14:paraId="24CC46A9">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①铁路工程、城市轨道交通工程为3%；</w:t>
      </w:r>
    </w:p>
    <w:p w14:paraId="2A3EB806">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②房屋建筑工程、水利水电工程、电力工程、市政公用工程为2.5%；</w:t>
      </w:r>
    </w:p>
    <w:p w14:paraId="58B55EB9">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③冶炼工程、机电安装工程、化工石油工程、港口与航道工程、通信工程为2%；</w:t>
      </w:r>
    </w:p>
    <w:p w14:paraId="1E792B11">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④公路工程为1.5%。</w:t>
      </w:r>
    </w:p>
    <w:p w14:paraId="19A1D718">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若地方政府计提标准高于上述要求的，参照地方要求执行。乙方的安全文明施工费已经包含在合同总价中，甲方有权查验乙方安全文明施工费用的</w:t>
      </w:r>
      <w:r>
        <w:rPr>
          <w:rFonts w:hint="eastAsia" w:ascii="仿宋_GB2312" w:hAnsi="仿宋_GB2312" w:eastAsia="仿宋_GB2312" w:cs="仿宋_GB2312"/>
          <w:color w:val="000000"/>
          <w:sz w:val="28"/>
          <w:szCs w:val="28"/>
          <w:highlight w:val="none"/>
          <w:lang w:val="en-US" w:eastAsia="zh-CN"/>
        </w:rPr>
        <w:t>使</w:t>
      </w:r>
      <w:r>
        <w:rPr>
          <w:rFonts w:hint="eastAsia" w:ascii="仿宋_GB2312" w:hAnsi="仿宋_GB2312" w:eastAsia="仿宋_GB2312" w:cs="仿宋_GB2312"/>
          <w:color w:val="000000"/>
          <w:sz w:val="28"/>
          <w:szCs w:val="28"/>
          <w:highlight w:val="none"/>
        </w:rPr>
        <w:t>用情况，未足额投入的，乙方应当承担违约责任。竣工结算审核时，甲方发现乙方安全文明施工费未使用完毕的，有权扣除未使用部分。</w:t>
      </w:r>
    </w:p>
    <w:p w14:paraId="27C401DC">
      <w:pPr>
        <w:pStyle w:val="5"/>
        <w:ind w:left="0" w:leftChars="0" w:firstLine="562" w:firstLineChars="200"/>
        <w:rPr>
          <w:bCs w:val="0"/>
          <w:color w:val="000000"/>
          <w:highlight w:val="none"/>
        </w:rPr>
      </w:pPr>
      <w:bookmarkStart w:id="801" w:name="_Toc11872"/>
      <w:bookmarkStart w:id="802" w:name="_Toc7376"/>
      <w:r>
        <w:rPr>
          <w:rFonts w:hint="eastAsia"/>
          <w:bCs w:val="0"/>
          <w:color w:val="000000"/>
          <w:highlight w:val="none"/>
          <w:lang w:val="en-US" w:eastAsia="zh-CN"/>
        </w:rPr>
        <w:t>五</w:t>
      </w:r>
      <w:r>
        <w:rPr>
          <w:rFonts w:hint="eastAsia"/>
          <w:bCs w:val="0"/>
          <w:color w:val="000000"/>
          <w:highlight w:val="none"/>
          <w:lang w:eastAsia="zh-CN"/>
        </w:rPr>
        <w:t>、</w:t>
      </w:r>
      <w:r>
        <w:rPr>
          <w:rFonts w:hint="eastAsia"/>
          <w:bCs w:val="0"/>
          <w:color w:val="000000"/>
          <w:highlight w:val="none"/>
        </w:rPr>
        <w:t xml:space="preserve"> 工程款支付</w:t>
      </w:r>
      <w:bookmarkEnd w:id="801"/>
      <w:r>
        <w:rPr>
          <w:rFonts w:hint="eastAsia" w:ascii="仿宋_GB2312" w:hAnsi="仿宋_GB2312" w:eastAsia="仿宋_GB2312" w:cs="仿宋_GB2312"/>
          <w:color w:val="C00000"/>
          <w:highlight w:val="none"/>
        </w:rPr>
        <w:t>（*核心条款）</w:t>
      </w:r>
      <w:bookmarkEnd w:id="802"/>
    </w:p>
    <w:p w14:paraId="583918E2">
      <w:pPr>
        <w:spacing w:line="480" w:lineRule="exact"/>
        <w:ind w:firstLine="560" w:firstLineChars="200"/>
        <w:rPr>
          <w:rFonts w:hint="eastAsia" w:ascii="仿宋_GB2312" w:hAnsi="仿宋_GB2312" w:eastAsia="仿宋_GB2312" w:cs="仿宋_GB2312"/>
          <w:color w:val="000000"/>
          <w:sz w:val="28"/>
          <w:szCs w:val="28"/>
          <w:highlight w:val="yellow"/>
        </w:rPr>
      </w:pPr>
      <w:bookmarkStart w:id="803" w:name="_Hlk112660332"/>
      <w:bookmarkStart w:id="804" w:name="_Toc464502356"/>
      <w:bookmarkStart w:id="805" w:name="_Toc465085393"/>
      <w:bookmarkStart w:id="806" w:name="_Toc465088460"/>
      <w:r>
        <w:rPr>
          <w:rFonts w:hint="eastAsia" w:ascii="仿宋_GB2312" w:hAnsi="仿宋_GB2312" w:eastAsia="仿宋_GB2312" w:cs="仿宋_GB2312"/>
          <w:color w:val="000000"/>
          <w:sz w:val="28"/>
          <w:szCs w:val="28"/>
          <w:highlight w:val="yellow"/>
          <w:lang w:val="en-US" w:eastAsia="zh-CN"/>
        </w:rPr>
        <w:t>5.1 工程款中含10%资产抵债比例。资产包括：</w:t>
      </w:r>
      <w:r>
        <w:rPr>
          <w:rFonts w:hint="eastAsia" w:ascii="仿宋_GB2312" w:hAnsi="仿宋_GB2312" w:eastAsia="仿宋_GB2312" w:cs="仿宋_GB2312"/>
          <w:color w:val="000000"/>
          <w:kern w:val="2"/>
          <w:sz w:val="28"/>
          <w:szCs w:val="28"/>
          <w:highlight w:val="yellow"/>
          <w:lang w:val="en-US" w:eastAsia="zh-CN"/>
        </w:rPr>
        <w:t>贵港汉唐世家/玉林永利·印象/贺州碧桂园凯旋城房产及车位</w:t>
      </w:r>
      <w:r>
        <w:rPr>
          <w:rFonts w:hint="eastAsia" w:ascii="仿宋_GB2312" w:hAnsi="仿宋_GB2312" w:eastAsia="仿宋_GB2312" w:cs="仿宋_GB2312"/>
          <w:color w:val="000000"/>
          <w:sz w:val="28"/>
          <w:szCs w:val="28"/>
          <w:highlight w:val="yellow"/>
          <w:lang w:val="en-US" w:eastAsia="zh-CN"/>
        </w:rPr>
        <w:t>，具体房源或设备信息由甲方提供，先选先得；如乙方未主动选择，甲方有权指定房源或设备。资产抵债款项甲方可在乙方任意一笔应付款支付时抵扣。</w:t>
      </w:r>
    </w:p>
    <w:p w14:paraId="6A00A7A3">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 xml:space="preserve"> 进度款：</w:t>
      </w:r>
      <w:r>
        <w:rPr>
          <w:rFonts w:hint="eastAsia" w:ascii="仿宋_GB2312" w:hAnsi="仿宋_GB2312" w:eastAsia="仿宋_GB2312" w:cs="仿宋_GB2312"/>
          <w:spacing w:val="0"/>
          <w:sz w:val="28"/>
          <w:szCs w:val="28"/>
          <w:highlight w:val="none"/>
          <w:lang w:val="en-US" w:eastAsia="zh-CN"/>
        </w:rPr>
        <w:t>本工程预付款30%。</w:t>
      </w:r>
      <w:r>
        <w:rPr>
          <w:rFonts w:hint="eastAsia" w:ascii="仿宋_GB2312" w:hAnsi="仿宋_GB2312" w:eastAsia="仿宋_GB2312" w:cs="仿宋_GB2312"/>
          <w:sz w:val="28"/>
          <w:szCs w:val="28"/>
          <w:highlight w:val="none"/>
        </w:rPr>
        <w:t>本工程按【</w:t>
      </w:r>
      <w:r>
        <w:rPr>
          <w:rFonts w:hint="eastAsia" w:ascii="仿宋_GB2312" w:hAnsi="仿宋_GB2312" w:eastAsia="仿宋_GB2312" w:cs="仿宋_GB2312"/>
          <w:sz w:val="28"/>
          <w:szCs w:val="28"/>
          <w:highlight w:val="none"/>
          <w:lang w:val="en-US" w:eastAsia="zh-CN"/>
        </w:rPr>
        <w:t>月</w:t>
      </w:r>
      <w:r>
        <w:rPr>
          <w:rFonts w:hint="eastAsia" w:ascii="仿宋_GB2312" w:hAnsi="仿宋_GB2312" w:eastAsia="仿宋_GB2312" w:cs="仿宋_GB2312"/>
          <w:sz w:val="28"/>
          <w:szCs w:val="28"/>
          <w:highlight w:val="none"/>
        </w:rPr>
        <w:t>】支付工程进度款，支付比例为【</w:t>
      </w:r>
      <w:r>
        <w:rPr>
          <w:rFonts w:hint="eastAsia" w:ascii="仿宋_GB2312" w:hAnsi="仿宋_GB2312" w:eastAsia="仿宋_GB2312" w:cs="仿宋_GB2312"/>
          <w:sz w:val="28"/>
          <w:szCs w:val="28"/>
          <w:highlight w:val="none"/>
          <w:lang w:val="en-US" w:eastAsia="zh-CN"/>
        </w:rPr>
        <w:t>70%</w:t>
      </w:r>
      <w:r>
        <w:rPr>
          <w:rFonts w:hint="eastAsia" w:ascii="仿宋_GB2312" w:hAnsi="仿宋_GB2312" w:eastAsia="仿宋_GB2312" w:cs="仿宋_GB2312"/>
          <w:sz w:val="28"/>
          <w:szCs w:val="28"/>
          <w:highlight w:val="none"/>
        </w:rPr>
        <w:t>】 。根据建筑行业惯例和交易习惯，乙方应当在完成当期工作后【</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】日内，向甲方提交当期计量确权资料，甲方应当在收到完整资料后初步核实乙方资料完整性并一次性告知补充修改意见。乙方当期确权资料完整无误后，甲方应当在【7】日审核完毕后并通知乙方开具</w:t>
      </w:r>
      <w:r>
        <w:rPr>
          <w:rFonts w:hint="eastAsia" w:ascii="仿宋_GB2312" w:hAnsi="仿宋_GB2312" w:eastAsia="仿宋_GB2312" w:cs="仿宋_GB2312"/>
          <w:sz w:val="28"/>
          <w:szCs w:val="28"/>
          <w:highlight w:val="yellow"/>
        </w:rPr>
        <w:t>当期</w:t>
      </w:r>
      <w:r>
        <w:rPr>
          <w:rFonts w:hint="eastAsia" w:ascii="仿宋_GB2312" w:hAnsi="仿宋_GB2312" w:eastAsia="仿宋_GB2312" w:cs="仿宋_GB2312"/>
          <w:sz w:val="28"/>
          <w:szCs w:val="28"/>
          <w:highlight w:val="yellow"/>
          <w:lang w:val="en-US" w:eastAsia="zh-CN"/>
        </w:rPr>
        <w:t>产值（减罚扣款）</w:t>
      </w:r>
      <w:r>
        <w:rPr>
          <w:rFonts w:hint="eastAsia" w:ascii="仿宋_GB2312" w:hAnsi="仿宋_GB2312" w:eastAsia="仿宋_GB2312" w:cs="仿宋_GB2312"/>
          <w:sz w:val="28"/>
          <w:szCs w:val="28"/>
          <w:highlight w:val="yellow"/>
        </w:rPr>
        <w:t>金额</w:t>
      </w:r>
      <w:r>
        <w:rPr>
          <w:rFonts w:hint="eastAsia" w:ascii="仿宋_GB2312" w:hAnsi="仿宋_GB2312" w:eastAsia="仿宋_GB2312" w:cs="仿宋_GB2312"/>
          <w:sz w:val="28"/>
          <w:szCs w:val="28"/>
          <w:highlight w:val="none"/>
        </w:rPr>
        <w:t>对应的发票，甲方应当在乙方提供发票后【</w:t>
      </w:r>
      <w:r>
        <w:rPr>
          <w:rFonts w:hint="eastAsia" w:ascii="仿宋_GB2312" w:hAnsi="仿宋_GB2312" w:eastAsia="仿宋_GB2312" w:cs="仿宋_GB2312"/>
          <w:sz w:val="28"/>
          <w:szCs w:val="28"/>
          <w:highlight w:val="none"/>
          <w:lang w:val="en-US" w:eastAsia="zh-CN"/>
        </w:rPr>
        <w:t>60</w:t>
      </w:r>
      <w:r>
        <w:rPr>
          <w:rFonts w:hint="eastAsia" w:ascii="仿宋_GB2312" w:hAnsi="仿宋_GB2312" w:eastAsia="仿宋_GB2312" w:cs="仿宋_GB2312"/>
          <w:sz w:val="28"/>
          <w:szCs w:val="28"/>
          <w:highlight w:val="none"/>
        </w:rPr>
        <w:t>】 日内向乙方支付款项。</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应当在本款项下明确收款账户，</w:t>
      </w:r>
      <w:r>
        <w:rPr>
          <w:rFonts w:hint="eastAsia" w:ascii="仿宋_GB2312" w:hAnsi="仿宋_GB2312" w:eastAsia="仿宋_GB2312" w:cs="仿宋_GB2312"/>
          <w:sz w:val="28"/>
          <w:szCs w:val="28"/>
          <w:highlight w:val="none"/>
          <w:lang w:eastAsia="zh-CN"/>
        </w:rPr>
        <w:t>甲方</w:t>
      </w:r>
      <w:r>
        <w:rPr>
          <w:rFonts w:hint="eastAsia" w:ascii="仿宋_GB2312" w:hAnsi="仿宋_GB2312" w:eastAsia="仿宋_GB2312" w:cs="仿宋_GB2312"/>
          <w:sz w:val="28"/>
          <w:szCs w:val="28"/>
          <w:highlight w:val="none"/>
        </w:rPr>
        <w:t>向该账户的支付的款项均视为</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已经收到。乙方申领的进度款资料存在高估冒算、弄虚作假的，甲方应当先行就无争议部分进行审核，并按照前述约定，完成支付。</w:t>
      </w:r>
    </w:p>
    <w:p w14:paraId="4AA57975">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双方明确，甲方对乙方提交的申请进度款的资料审核不构成进度结算、定期结算。本分包工程结算流程和结算定案按合同相关约定执行。</w:t>
      </w:r>
    </w:p>
    <w:p w14:paraId="66FA1DBE">
      <w:pPr>
        <w:spacing w:line="480" w:lineRule="exact"/>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 xml:space="preserve"> 人工费由甲方代付的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支付方式为【农民工工资代发】</w:t>
      </w:r>
    </w:p>
    <w:p w14:paraId="3BF6DBDF">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结算款：本分包工程完工验收合格且分包结算经甲方项目部初审完成后，依照初审结算定案表，乙方开具合法有效发票后【</w:t>
      </w:r>
      <w:r>
        <w:rPr>
          <w:rFonts w:hint="eastAsia" w:ascii="仿宋_GB2312" w:hAnsi="仿宋_GB2312" w:eastAsia="仿宋_GB2312" w:cs="仿宋_GB2312"/>
          <w:sz w:val="28"/>
          <w:szCs w:val="28"/>
          <w:highlight w:val="none"/>
          <w:lang w:val="en-US" w:eastAsia="zh-CN"/>
        </w:rPr>
        <w:t>60</w:t>
      </w:r>
      <w:r>
        <w:rPr>
          <w:rFonts w:hint="eastAsia" w:ascii="仿宋_GB2312" w:hAnsi="仿宋_GB2312" w:eastAsia="仿宋_GB2312" w:cs="仿宋_GB2312"/>
          <w:sz w:val="28"/>
          <w:szCs w:val="28"/>
          <w:highlight w:val="none"/>
        </w:rPr>
        <w:t>】日内，甲方付至初审额的【</w:t>
      </w:r>
      <w:r>
        <w:rPr>
          <w:rFonts w:hint="eastAsia" w:ascii="仿宋_GB2312" w:hAnsi="仿宋_GB2312" w:eastAsia="仿宋_GB2312" w:cs="仿宋_GB2312"/>
          <w:sz w:val="28"/>
          <w:szCs w:val="28"/>
          <w:highlight w:val="none"/>
          <w:lang w:val="en-US" w:eastAsia="zh-CN"/>
        </w:rPr>
        <w:t>80</w:t>
      </w:r>
      <w:r>
        <w:rPr>
          <w:rFonts w:hint="eastAsia" w:ascii="仿宋_GB2312" w:hAnsi="仿宋_GB2312" w:eastAsia="仿宋_GB2312" w:cs="仿宋_GB2312"/>
          <w:sz w:val="28"/>
          <w:szCs w:val="28"/>
          <w:highlight w:val="none"/>
        </w:rPr>
        <w:t>】%。【分包工程】竣工验收合格后且分包结算经甲方公司【相关部门】终审定案后，乙方应提供结算值100%的增值税发票，甲方在【</w:t>
      </w:r>
      <w:r>
        <w:rPr>
          <w:rFonts w:hint="eastAsia" w:ascii="仿宋_GB2312" w:hAnsi="仿宋_GB2312" w:eastAsia="仿宋_GB2312" w:cs="仿宋_GB2312"/>
          <w:sz w:val="28"/>
          <w:szCs w:val="28"/>
          <w:highlight w:val="none"/>
          <w:lang w:val="en-US" w:eastAsia="zh-CN"/>
        </w:rPr>
        <w:t>60</w:t>
      </w:r>
      <w:r>
        <w:rPr>
          <w:rFonts w:hint="eastAsia" w:ascii="仿宋_GB2312" w:hAnsi="仿宋_GB2312" w:eastAsia="仿宋_GB2312" w:cs="仿宋_GB2312"/>
          <w:sz w:val="28"/>
          <w:szCs w:val="28"/>
          <w:highlight w:val="none"/>
        </w:rPr>
        <w:t>】日内付至结算额的【</w:t>
      </w:r>
      <w:r>
        <w:rPr>
          <w:rFonts w:hint="eastAsia" w:ascii="仿宋_GB2312" w:hAnsi="仿宋_GB2312" w:eastAsia="仿宋_GB2312" w:cs="仿宋_GB2312"/>
          <w:sz w:val="28"/>
          <w:szCs w:val="28"/>
          <w:highlight w:val="none"/>
          <w:lang w:val="en-US" w:eastAsia="zh-CN"/>
        </w:rPr>
        <w:t>97</w:t>
      </w:r>
      <w:r>
        <w:rPr>
          <w:rFonts w:hint="eastAsia" w:ascii="仿宋_GB2312" w:hAnsi="仿宋_GB2312" w:eastAsia="仿宋_GB2312" w:cs="仿宋_GB2312"/>
          <w:sz w:val="28"/>
          <w:szCs w:val="28"/>
          <w:highlight w:val="none"/>
        </w:rPr>
        <w:t>】%。</w:t>
      </w:r>
    </w:p>
    <w:p w14:paraId="6473E6CF">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 xml:space="preserve"> 质量保证金采用以下第【</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】种方式：</w:t>
      </w:r>
    </w:p>
    <w:p w14:paraId="5A0E7ACB">
      <w:pPr>
        <w:spacing w:line="48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（1）质量保证金保函，保证金额为【</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】，待乙方提供相应保函【</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】日内，甲方付至结算款的100%</w:t>
      </w:r>
      <w:r>
        <w:rPr>
          <w:rFonts w:hint="eastAsia" w:ascii="仿宋_GB2312" w:hAnsi="仿宋_GB2312" w:eastAsia="仿宋_GB2312" w:cs="仿宋_GB2312"/>
          <w:sz w:val="28"/>
          <w:szCs w:val="28"/>
          <w:highlight w:val="none"/>
          <w:lang w:eastAsia="zh-CN"/>
        </w:rPr>
        <w:t>。</w:t>
      </w:r>
    </w:p>
    <w:p w14:paraId="239952E1">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（2）剩余【3】%作为保修金，自本项目【整体工程】竣工验收合格满【</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年</w:t>
      </w:r>
      <w:r>
        <w:rPr>
          <w:rFonts w:hint="eastAsia" w:ascii="仿宋_GB2312" w:hAnsi="仿宋_GB2312" w:eastAsia="仿宋_GB2312" w:cs="仿宋_GB2312"/>
          <w:sz w:val="28"/>
          <w:szCs w:val="28"/>
          <w:highlight w:val="none"/>
        </w:rPr>
        <w:t>后付清。</w:t>
      </w:r>
    </w:p>
    <w:p w14:paraId="287F45F1">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（3）其他方式【</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 xml:space="preserve"> 】     </w:t>
      </w:r>
    </w:p>
    <w:p w14:paraId="2448A81A">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 xml:space="preserve"> 支付方式：</w:t>
      </w:r>
      <w:r>
        <w:rPr>
          <w:rFonts w:hint="eastAsia" w:ascii="仿宋_GB2312" w:hAnsi="仿宋_GB2312" w:eastAsia="仿宋_GB2312" w:cs="仿宋_GB2312"/>
          <w:sz w:val="28"/>
          <w:szCs w:val="28"/>
          <w:highlight w:val="none"/>
          <w:lang w:val="en-US" w:eastAsia="zh-CN"/>
        </w:rPr>
        <w:t>甲乙双方经协商一致</w:t>
      </w:r>
      <w:r>
        <w:rPr>
          <w:rFonts w:hint="eastAsia" w:ascii="仿宋_GB2312" w:hAnsi="仿宋_GB2312" w:eastAsia="仿宋_GB2312" w:cs="仿宋_GB2312"/>
          <w:sz w:val="28"/>
          <w:szCs w:val="28"/>
          <w:highlight w:val="none"/>
        </w:rPr>
        <w:t>同意甲方可选择【银行转账支票、网银转账、银行承兑汇票、商业承兑汇票、国内信用证、银行保理及其他】的支付方式。甲方采用前述方式支付乙方工程款的，相应的资金补偿费的费率为年利率【</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乙方已经在投标报价中充分考虑，且已将相应的成本计入合同价格中。结算支付时，无论甲方是否采用了非现支付，双方均不得据此约定要求对方调整合同单价/总价。付款过程中产生的贴息费用及手续费由【</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 xml:space="preserve"> 】承担。乙方委托专职收款人办理收款业务，收款人必须取得授权。</w:t>
      </w:r>
    </w:p>
    <w:p w14:paraId="55B1FCD4">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rPr>
        <w:t xml:space="preserve"> 关于乙方指定收款账户：乙方指定下列账户为收款账户，甲方采用转账方式付款时，应支付至下列帐户。如乙方变更收款帐户，应提前十五天以上书面通知甲方，否则造成资金的损失由乙方自行承担，与甲方无关。乙方指定收款帐户为：</w:t>
      </w:r>
    </w:p>
    <w:p w14:paraId="51932CB7">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账户名：【    】</w:t>
      </w:r>
    </w:p>
    <w:p w14:paraId="267F0C21">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开户行：【    】</w:t>
      </w:r>
    </w:p>
    <w:p w14:paraId="07F7F059">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账  号：【    】</w:t>
      </w:r>
    </w:p>
    <w:p w14:paraId="369D80C1">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确认，无论</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的法定代表人、项目经理及其他关联人员向</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发出的变更支付账户的通知、请求等，对</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均不发生效力。</w:t>
      </w:r>
    </w:p>
    <w:p w14:paraId="5B83A76B">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rPr>
        <w:t xml:space="preserve"> 每期报量经甲方审核确认后3日内，乙方按合同约定税率</w:t>
      </w:r>
      <w:r>
        <w:rPr>
          <w:rFonts w:hint="eastAsia" w:ascii="仿宋_GB2312" w:hAnsi="仿宋_GB2312" w:eastAsia="仿宋_GB2312" w:cs="仿宋_GB2312"/>
          <w:sz w:val="28"/>
          <w:szCs w:val="28"/>
          <w:highlight w:val="yellow"/>
        </w:rPr>
        <w:t>开具与当期</w:t>
      </w:r>
      <w:r>
        <w:rPr>
          <w:rFonts w:hint="eastAsia" w:ascii="仿宋_GB2312" w:hAnsi="仿宋_GB2312" w:eastAsia="仿宋_GB2312" w:cs="仿宋_GB2312"/>
          <w:sz w:val="28"/>
          <w:szCs w:val="28"/>
          <w:highlight w:val="yellow"/>
          <w:lang w:val="en-US" w:eastAsia="zh-CN"/>
        </w:rPr>
        <w:t>产值（减罚扣款）</w:t>
      </w:r>
      <w:r>
        <w:rPr>
          <w:rFonts w:hint="eastAsia" w:ascii="仿宋_GB2312" w:hAnsi="仿宋_GB2312" w:eastAsia="仿宋_GB2312" w:cs="仿宋_GB2312"/>
          <w:sz w:val="28"/>
          <w:szCs w:val="28"/>
          <w:highlight w:val="yellow"/>
        </w:rPr>
        <w:t>金额等额</w:t>
      </w:r>
      <w:r>
        <w:rPr>
          <w:rFonts w:hint="eastAsia" w:ascii="仿宋_GB2312" w:hAnsi="仿宋_GB2312" w:eastAsia="仿宋_GB2312" w:cs="仿宋_GB2312"/>
          <w:sz w:val="28"/>
          <w:szCs w:val="28"/>
          <w:highlight w:val="none"/>
        </w:rPr>
        <w:t>的合法有效且票面信息准确的增值税专用发票（包含税务机关代开），否则甲方有权拒绝付款且免于承担任何责任，乙方还应继续履行合同义务。甲方在收到乙方增值税专用发票且经验证合法有效后在前述约定期限内完成后付款。如因乙方未及时开具发票、未根据甲方要求更换合法有效发票，造成甲方发生进项转出等税务风险的，甲方可拒绝付款，并不承担任何责任。</w:t>
      </w:r>
    </w:p>
    <w:p w14:paraId="777935A8">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 xml:space="preserve"> 乙方负有就已开票据完整缴纳税金的义务。在甲方向乙方支付结算尾款前，乙方应向甲方提交税务机关出具的末次开票次月所属期《完税证明》和末次开票日后《无欠税证明》。否则，甲方有权拒绝支付结算尾款，且不视为违约行为，乙方不得以此为由消极或停止履行合同义务。</w:t>
      </w:r>
    </w:p>
    <w:p w14:paraId="669F5071">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 xml:space="preserve"> 未经甲方书面同意，乙方不得将本合同项下的任何权利义务（包含债权、债务）转让给第三人。乙方承诺在本合同有效期内向甲方发送的权利转让通知书对甲方不发生任何效力，并承担因其转让行为给甲方造成的一切经济损失。</w:t>
      </w:r>
    </w:p>
    <w:p w14:paraId="39CFF50B">
      <w:pPr>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乙方将本合同项下的任何权利义务（包含债权、债务）转让给第三人，乙方向甲方支付转让金额【 </w:t>
      </w:r>
      <w:r>
        <w:rPr>
          <w:rFonts w:hint="eastAsia" w:ascii="仿宋_GB2312" w:hAnsi="Times New Roman" w:eastAsia="仿宋_GB2312"/>
          <w:color w:val="000000"/>
          <w:sz w:val="28"/>
          <w:szCs w:val="28"/>
        </w:rPr>
        <w:t xml:space="preserve"> </w:t>
      </w:r>
      <w:r>
        <w:rPr>
          <w:rFonts w:hint="eastAsia" w:ascii="仿宋_GB2312" w:hAnsi="Times New Roman" w:eastAsia="仿宋_GB2312"/>
          <w:color w:val="000000"/>
          <w:sz w:val="28"/>
          <w:szCs w:val="28"/>
          <w:lang w:val="en-US" w:eastAsia="zh-CN"/>
        </w:rPr>
        <w:t>30</w:t>
      </w:r>
      <w:r>
        <w:rPr>
          <w:rFonts w:hint="eastAsia" w:ascii="仿宋_GB2312" w:hAnsi="Times New Roman" w:eastAsia="仿宋_GB2312"/>
          <w:color w:val="000000"/>
          <w:sz w:val="28"/>
          <w:szCs w:val="28"/>
        </w:rPr>
        <w:t xml:space="preserve"> </w:t>
      </w:r>
      <w:r>
        <w:rPr>
          <w:rFonts w:hint="eastAsia" w:ascii="仿宋_GB2312" w:hAnsi="仿宋_GB2312" w:eastAsia="仿宋_GB2312" w:cs="仿宋_GB2312"/>
          <w:sz w:val="28"/>
          <w:szCs w:val="28"/>
          <w:highlight w:val="none"/>
        </w:rPr>
        <w:t xml:space="preserve"> 】%的违约金。乙方拒绝支付违约金的，甲方有权从乙方的应收账款中直接扣除。</w:t>
      </w:r>
    </w:p>
    <w:p w14:paraId="274F1348">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sz w:val="28"/>
          <w:szCs w:val="28"/>
          <w:highlight w:val="none"/>
        </w:rPr>
        <w:t>5.11</w:t>
      </w:r>
      <w:r>
        <w:rPr>
          <w:rFonts w:hint="eastAsia" w:ascii="仿宋_GB2312" w:hAnsi="仿宋_GB2312" w:eastAsia="仿宋_GB2312" w:cs="仿宋_GB2312"/>
          <w:color w:val="000000"/>
          <w:sz w:val="28"/>
          <w:szCs w:val="28"/>
          <w:highlight w:val="none"/>
        </w:rPr>
        <w:t>甲方应按照合同约定及时向乙方支付合同价款，若因甲方资金不到位，乙方同意给予甲方【</w:t>
      </w:r>
      <w:r>
        <w:rPr>
          <w:rFonts w:hint="eastAsia" w:ascii="仿宋_GB2312" w:hAnsi="仿宋_GB2312" w:eastAsia="仿宋_GB2312" w:cs="仿宋_GB2312"/>
          <w:color w:val="000000"/>
          <w:sz w:val="28"/>
          <w:szCs w:val="28"/>
          <w:highlight w:val="none"/>
          <w:lang w:val="en-US" w:eastAsia="zh-CN"/>
        </w:rPr>
        <w:t>60</w:t>
      </w:r>
      <w:r>
        <w:rPr>
          <w:rFonts w:hint="eastAsia" w:ascii="仿宋_GB2312" w:hAnsi="仿宋_GB2312" w:eastAsia="仿宋_GB2312" w:cs="仿宋_GB2312"/>
          <w:color w:val="000000"/>
          <w:sz w:val="28"/>
          <w:szCs w:val="28"/>
          <w:highlight w:val="none"/>
        </w:rPr>
        <w:t>】日的宽限期，宽限期内不视为甲方违约。超过宽限期仍未支付的，乙方可向甲方主张自宽限期结束后的违约金；违约金以逾期支付的价款为基数，自宽限期结束之日起至甲方支付逾期价款之日止，按【同期全国银行间同业拆借中心公布的1年期贷款市场报价利率（LPR）】向乙方计付，逾期支付违约金的上限为逾期支付金额的【5】%。</w:t>
      </w:r>
    </w:p>
    <w:p w14:paraId="5C3F2A07">
      <w:pPr>
        <w:spacing w:line="480" w:lineRule="exact"/>
        <w:ind w:firstLine="560" w:firstLineChars="200"/>
        <w:rPr>
          <w:rFonts w:hint="eastAsia" w:ascii="仿宋_GB2312" w:hAnsi="仿宋_GB2312" w:eastAsia="仿宋_GB2312" w:cs="仿宋_GB2312"/>
          <w:color w:val="FF0000"/>
          <w:sz w:val="28"/>
          <w:szCs w:val="28"/>
          <w:highlight w:val="none"/>
        </w:rPr>
      </w:pPr>
      <w:r>
        <w:rPr>
          <w:rFonts w:hint="eastAsia" w:ascii="仿宋_GB2312" w:hAnsi="仿宋_GB2312" w:eastAsia="仿宋_GB2312" w:cs="仿宋_GB2312"/>
          <w:sz w:val="28"/>
          <w:szCs w:val="28"/>
          <w:highlight w:val="none"/>
        </w:rPr>
        <w:t xml:space="preserve">5.12 </w:t>
      </w:r>
      <w:r>
        <w:rPr>
          <w:rFonts w:hint="eastAsia" w:ascii="仿宋_GB2312" w:hAnsi="仿宋_GB2312" w:eastAsia="仿宋_GB2312" w:cs="仿宋_GB2312"/>
          <w:sz w:val="28"/>
          <w:szCs w:val="28"/>
          <w:highlight w:val="none"/>
          <w:lang w:val="en-US" w:eastAsia="zh-CN"/>
        </w:rPr>
        <w:t>对于因本合同产生的任何争议或投诉，乙方可通过【本合同有关投诉渠道条款】进行提交。甲方将在收到乙方的投诉后，对乙方的投诉进行初步审查，并尽快与乙方取得联系以进一步了解详情。因不可抗力或第三方原因导致无法按时处理投诉的情况，甲方将尽快通知乙方，并尽力协调解决问题。</w:t>
      </w:r>
    </w:p>
    <w:bookmarkEnd w:id="803"/>
    <w:bookmarkEnd w:id="804"/>
    <w:bookmarkEnd w:id="805"/>
    <w:bookmarkEnd w:id="806"/>
    <w:p w14:paraId="03313CD1">
      <w:pPr>
        <w:pStyle w:val="5"/>
        <w:ind w:left="0" w:leftChars="0" w:firstLine="562" w:firstLineChars="200"/>
        <w:rPr>
          <w:bCs w:val="0"/>
          <w:color w:val="000000"/>
          <w:highlight w:val="none"/>
        </w:rPr>
      </w:pPr>
      <w:bookmarkStart w:id="807" w:name="_Toc20557"/>
      <w:r>
        <w:rPr>
          <w:rFonts w:hint="eastAsia"/>
          <w:bCs w:val="0"/>
          <w:color w:val="000000"/>
          <w:highlight w:val="none"/>
        </w:rPr>
        <w:t>六、增值税条款</w:t>
      </w:r>
      <w:bookmarkEnd w:id="807"/>
    </w:p>
    <w:p w14:paraId="2A042261">
      <w:pPr>
        <w:ind w:firstLine="562" w:firstLineChars="200"/>
        <w:rPr>
          <w:rFonts w:ascii="Times New Roman" w:hAnsi="Times New Roman" w:eastAsia="黑体"/>
          <w:b/>
          <w:color w:val="000000"/>
          <w:sz w:val="28"/>
          <w:szCs w:val="28"/>
          <w:highlight w:val="none"/>
        </w:rPr>
      </w:pPr>
      <w:bookmarkStart w:id="808" w:name="_Toc465085394"/>
      <w:bookmarkStart w:id="809" w:name="_Toc464502357"/>
      <w:bookmarkStart w:id="810" w:name="_Toc465088461"/>
      <w:r>
        <w:rPr>
          <w:rFonts w:hint="eastAsia" w:ascii="Times New Roman" w:hAnsi="Times New Roman" w:eastAsia="黑体"/>
          <w:b/>
          <w:color w:val="000000"/>
          <w:sz w:val="28"/>
          <w:szCs w:val="28"/>
          <w:highlight w:val="none"/>
        </w:rPr>
        <w:t>6.1 双方基本信息</w:t>
      </w:r>
      <w:bookmarkEnd w:id="808"/>
      <w:bookmarkEnd w:id="809"/>
      <w:bookmarkEnd w:id="810"/>
    </w:p>
    <w:tbl>
      <w:tblPr>
        <w:tblStyle w:val="26"/>
        <w:tblW w:w="8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431"/>
        <w:gridCol w:w="5320"/>
      </w:tblGrid>
      <w:tr w14:paraId="3B0B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restart"/>
            <w:tcBorders>
              <w:top w:val="single" w:color="auto" w:sz="12" w:space="0"/>
              <w:left w:val="single" w:color="auto" w:sz="12" w:space="0"/>
            </w:tcBorders>
            <w:shd w:val="clear" w:color="auto" w:fill="auto"/>
            <w:vAlign w:val="center"/>
          </w:tcPr>
          <w:p w14:paraId="445B7347">
            <w:pPr>
              <w:spacing w:line="440" w:lineRule="exact"/>
              <w:contextualSpacing/>
              <w:jc w:val="center"/>
              <w:rPr>
                <w:rFonts w:hint="eastAsia" w:ascii="仿宋_GB2312" w:eastAsia="仿宋_GB2312" w:hAnsiTheme="minorEastAsia" w:cstheme="minorEastAsia"/>
                <w:b/>
                <w:szCs w:val="21"/>
                <w:highlight w:val="none"/>
              </w:rPr>
            </w:pPr>
            <w:r>
              <w:rPr>
                <w:rFonts w:hint="eastAsia" w:ascii="仿宋_GB2312" w:eastAsia="仿宋_GB2312" w:hAnsiTheme="minorEastAsia" w:cstheme="minorEastAsia"/>
                <w:b/>
                <w:szCs w:val="21"/>
                <w:highlight w:val="none"/>
              </w:rPr>
              <w:t>甲方</w:t>
            </w:r>
          </w:p>
        </w:tc>
        <w:tc>
          <w:tcPr>
            <w:tcW w:w="2431" w:type="dxa"/>
            <w:tcBorders>
              <w:top w:val="single" w:color="auto" w:sz="12" w:space="0"/>
            </w:tcBorders>
            <w:shd w:val="clear" w:color="auto" w:fill="auto"/>
            <w:vAlign w:val="top"/>
          </w:tcPr>
          <w:p w14:paraId="13A61F7D">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名        称</w:t>
            </w:r>
          </w:p>
        </w:tc>
        <w:tc>
          <w:tcPr>
            <w:tcW w:w="5320" w:type="dxa"/>
            <w:tcBorders>
              <w:top w:val="single" w:color="auto" w:sz="12" w:space="0"/>
              <w:right w:val="single" w:color="auto" w:sz="12" w:space="0"/>
            </w:tcBorders>
            <w:shd w:val="clear" w:color="auto" w:fill="auto"/>
            <w:vAlign w:val="top"/>
          </w:tcPr>
          <w:p w14:paraId="0E0DB7B1">
            <w:pPr>
              <w:spacing w:line="440" w:lineRule="exact"/>
              <w:contextualSpacing/>
              <w:jc w:val="center"/>
              <w:rPr>
                <w:rFonts w:hint="eastAsia" w:ascii="仿宋_GB2312" w:eastAsia="仿宋_GB2312" w:hAnsiTheme="minorEastAsia" w:cstheme="minorEastAsia"/>
                <w:szCs w:val="21"/>
                <w:highlight w:val="none"/>
                <w:lang w:eastAsia="zh-CN"/>
              </w:rPr>
            </w:pPr>
            <w:r>
              <w:rPr>
                <w:rFonts w:hint="eastAsia" w:ascii="仿宋_GB2312" w:eastAsia="仿宋_GB2312" w:hAnsiTheme="minorEastAsia" w:cstheme="minorEastAsia"/>
                <w:szCs w:val="21"/>
                <w:highlight w:val="none"/>
                <w:lang w:eastAsia="zh-CN"/>
              </w:rPr>
              <w:t xml:space="preserve">        </w:t>
            </w:r>
          </w:p>
        </w:tc>
      </w:tr>
      <w:tr w14:paraId="365A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center"/>
          </w:tcPr>
          <w:p w14:paraId="718A325D">
            <w:pPr>
              <w:spacing w:line="440" w:lineRule="exact"/>
              <w:contextualSpacing/>
              <w:jc w:val="center"/>
              <w:rPr>
                <w:rFonts w:hint="eastAsia" w:ascii="仿宋_GB2312" w:eastAsia="仿宋_GB2312" w:hAnsiTheme="minorEastAsia" w:cstheme="minorEastAsia"/>
                <w:b/>
                <w:szCs w:val="21"/>
                <w:highlight w:val="none"/>
              </w:rPr>
            </w:pPr>
          </w:p>
        </w:tc>
        <w:tc>
          <w:tcPr>
            <w:tcW w:w="2431" w:type="dxa"/>
            <w:shd w:val="clear" w:color="auto" w:fill="auto"/>
            <w:vAlign w:val="top"/>
          </w:tcPr>
          <w:p w14:paraId="5158854C">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纳税人身份</w:t>
            </w:r>
          </w:p>
        </w:tc>
        <w:tc>
          <w:tcPr>
            <w:tcW w:w="5320" w:type="dxa"/>
            <w:tcBorders>
              <w:right w:val="single" w:color="auto" w:sz="12" w:space="0"/>
            </w:tcBorders>
            <w:shd w:val="clear" w:color="auto" w:fill="auto"/>
            <w:vAlign w:val="top"/>
          </w:tcPr>
          <w:p w14:paraId="0B5D5A00">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lang w:eastAsia="zh-CN"/>
              </w:rPr>
              <w:t>□</w:t>
            </w:r>
            <w:r>
              <w:rPr>
                <w:rFonts w:hint="eastAsia" w:ascii="仿宋_GB2312" w:eastAsia="仿宋_GB2312" w:hAnsiTheme="minorEastAsia" w:cstheme="minorEastAsia"/>
                <w:szCs w:val="21"/>
                <w:highlight w:val="none"/>
              </w:rPr>
              <w:t>一般纳税人    □小规模纳税人（请勾选）</w:t>
            </w:r>
          </w:p>
        </w:tc>
      </w:tr>
      <w:tr w14:paraId="3FD6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center"/>
          </w:tcPr>
          <w:p w14:paraId="74A6838F">
            <w:pPr>
              <w:spacing w:line="440" w:lineRule="exact"/>
              <w:contextualSpacing/>
              <w:jc w:val="center"/>
              <w:rPr>
                <w:rFonts w:hint="eastAsia" w:ascii="仿宋_GB2312" w:eastAsia="仿宋_GB2312" w:hAnsiTheme="minorEastAsia" w:cstheme="minorEastAsia"/>
                <w:b/>
                <w:szCs w:val="21"/>
                <w:highlight w:val="none"/>
              </w:rPr>
            </w:pPr>
          </w:p>
        </w:tc>
        <w:tc>
          <w:tcPr>
            <w:tcW w:w="2431" w:type="dxa"/>
            <w:shd w:val="clear" w:color="auto" w:fill="auto"/>
            <w:vAlign w:val="top"/>
          </w:tcPr>
          <w:p w14:paraId="6A988807">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纳税人识别号</w:t>
            </w:r>
          </w:p>
        </w:tc>
        <w:tc>
          <w:tcPr>
            <w:tcW w:w="5320" w:type="dxa"/>
            <w:tcBorders>
              <w:right w:val="single" w:color="auto" w:sz="12" w:space="0"/>
            </w:tcBorders>
            <w:shd w:val="clear" w:color="auto" w:fill="auto"/>
            <w:vAlign w:val="top"/>
          </w:tcPr>
          <w:p w14:paraId="59270264">
            <w:pPr>
              <w:spacing w:line="440" w:lineRule="exact"/>
              <w:contextualSpacing/>
              <w:jc w:val="center"/>
              <w:rPr>
                <w:rFonts w:hint="eastAsia" w:ascii="仿宋_GB2312" w:eastAsia="仿宋_GB2312" w:hAnsiTheme="minorEastAsia" w:cstheme="minorEastAsia"/>
                <w:szCs w:val="21"/>
                <w:highlight w:val="none"/>
                <w:lang w:eastAsia="zh-CN"/>
              </w:rPr>
            </w:pPr>
            <w:r>
              <w:rPr>
                <w:rFonts w:hint="eastAsia" w:ascii="仿宋_GB2312" w:hAnsi="仿宋_GB2312" w:eastAsia="仿宋_GB2312" w:cs="仿宋_GB2312"/>
                <w:szCs w:val="21"/>
                <w:highlight w:val="none"/>
                <w:lang w:val="en-US" w:eastAsia="zh-CN"/>
              </w:rPr>
              <w:t xml:space="preserve"> </w:t>
            </w:r>
          </w:p>
        </w:tc>
      </w:tr>
      <w:tr w14:paraId="4013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center"/>
          </w:tcPr>
          <w:p w14:paraId="053D944E">
            <w:pPr>
              <w:spacing w:line="440" w:lineRule="exact"/>
              <w:contextualSpacing/>
              <w:jc w:val="center"/>
              <w:rPr>
                <w:rFonts w:hint="eastAsia" w:ascii="仿宋_GB2312" w:eastAsia="仿宋_GB2312" w:hAnsiTheme="minorEastAsia" w:cstheme="minorEastAsia"/>
                <w:b/>
                <w:szCs w:val="21"/>
                <w:highlight w:val="none"/>
              </w:rPr>
            </w:pPr>
          </w:p>
        </w:tc>
        <w:tc>
          <w:tcPr>
            <w:tcW w:w="2431" w:type="dxa"/>
            <w:shd w:val="clear" w:color="auto" w:fill="auto"/>
            <w:vAlign w:val="top"/>
          </w:tcPr>
          <w:p w14:paraId="7603B47C">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地 址、电 话</w:t>
            </w:r>
          </w:p>
        </w:tc>
        <w:tc>
          <w:tcPr>
            <w:tcW w:w="5320" w:type="dxa"/>
            <w:tcBorders>
              <w:right w:val="single" w:color="auto" w:sz="12" w:space="0"/>
            </w:tcBorders>
            <w:shd w:val="clear" w:color="auto" w:fill="auto"/>
            <w:vAlign w:val="top"/>
          </w:tcPr>
          <w:p w14:paraId="178C67F8">
            <w:pPr>
              <w:spacing w:line="440" w:lineRule="exact"/>
              <w:contextualSpacing/>
              <w:jc w:val="center"/>
              <w:rPr>
                <w:rFonts w:hint="eastAsia" w:ascii="仿宋_GB2312" w:eastAsia="仿宋_GB2312" w:hAnsiTheme="minorEastAsia" w:cstheme="minorEastAsia"/>
                <w:szCs w:val="21"/>
                <w:highlight w:val="none"/>
                <w:lang w:eastAsia="zh-CN"/>
              </w:rPr>
            </w:pPr>
            <w:r>
              <w:rPr>
                <w:rFonts w:hint="eastAsia" w:ascii="仿宋_GB2312" w:hAnsi="仿宋_GB2312" w:eastAsia="仿宋_GB2312" w:cs="仿宋_GB2312"/>
                <w:szCs w:val="21"/>
                <w:highlight w:val="none"/>
                <w:lang w:val="en-US" w:eastAsia="zh-CN"/>
              </w:rPr>
              <w:t xml:space="preserve"> </w:t>
            </w:r>
          </w:p>
        </w:tc>
      </w:tr>
      <w:tr w14:paraId="410B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bottom w:val="double" w:color="auto" w:sz="4" w:space="0"/>
            </w:tcBorders>
            <w:shd w:val="clear" w:color="auto" w:fill="auto"/>
            <w:vAlign w:val="center"/>
          </w:tcPr>
          <w:p w14:paraId="26237FEE">
            <w:pPr>
              <w:spacing w:line="440" w:lineRule="exact"/>
              <w:contextualSpacing/>
              <w:jc w:val="center"/>
              <w:rPr>
                <w:rFonts w:hint="eastAsia" w:ascii="仿宋_GB2312" w:eastAsia="仿宋_GB2312" w:hAnsiTheme="minorEastAsia" w:cstheme="minorEastAsia"/>
                <w:b/>
                <w:szCs w:val="21"/>
                <w:highlight w:val="none"/>
              </w:rPr>
            </w:pPr>
          </w:p>
        </w:tc>
        <w:tc>
          <w:tcPr>
            <w:tcW w:w="2431" w:type="dxa"/>
            <w:tcBorders>
              <w:bottom w:val="double" w:color="auto" w:sz="4" w:space="0"/>
            </w:tcBorders>
            <w:shd w:val="clear" w:color="auto" w:fill="auto"/>
            <w:vAlign w:val="top"/>
          </w:tcPr>
          <w:p w14:paraId="744333A0">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开户行（全称）及账号</w:t>
            </w:r>
          </w:p>
        </w:tc>
        <w:tc>
          <w:tcPr>
            <w:tcW w:w="5320" w:type="dxa"/>
            <w:tcBorders>
              <w:bottom w:val="double" w:color="auto" w:sz="4" w:space="0"/>
              <w:right w:val="single" w:color="auto" w:sz="12" w:space="0"/>
            </w:tcBorders>
            <w:shd w:val="clear" w:color="auto" w:fill="auto"/>
            <w:vAlign w:val="top"/>
          </w:tcPr>
          <w:p w14:paraId="0C92E9CA">
            <w:pPr>
              <w:spacing w:line="440" w:lineRule="exact"/>
              <w:contextualSpacing/>
              <w:jc w:val="center"/>
              <w:rPr>
                <w:rFonts w:hint="eastAsia" w:ascii="仿宋_GB2312" w:eastAsia="仿宋_GB2312" w:hAnsiTheme="minorEastAsia" w:cstheme="minorEastAsia"/>
                <w:szCs w:val="21"/>
                <w:highlight w:val="none"/>
                <w:lang w:eastAsia="zh-CN"/>
              </w:rPr>
            </w:pPr>
            <w:r>
              <w:rPr>
                <w:rFonts w:hint="eastAsia" w:ascii="仿宋_GB2312" w:hAnsi="仿宋_GB2312" w:eastAsia="仿宋_GB2312" w:cs="仿宋_GB2312"/>
                <w:szCs w:val="21"/>
                <w:highlight w:val="none"/>
                <w:lang w:val="en-US" w:eastAsia="zh-CN"/>
              </w:rPr>
              <w:t xml:space="preserve"> </w:t>
            </w:r>
          </w:p>
        </w:tc>
      </w:tr>
      <w:tr w14:paraId="52E9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restart"/>
            <w:tcBorders>
              <w:top w:val="double" w:color="auto" w:sz="4" w:space="0"/>
              <w:left w:val="single" w:color="auto" w:sz="12" w:space="0"/>
            </w:tcBorders>
            <w:shd w:val="clear" w:color="auto" w:fill="auto"/>
            <w:vAlign w:val="center"/>
          </w:tcPr>
          <w:p w14:paraId="3C176C80">
            <w:pPr>
              <w:spacing w:line="440" w:lineRule="exact"/>
              <w:contextualSpacing/>
              <w:jc w:val="center"/>
              <w:rPr>
                <w:rFonts w:hint="eastAsia" w:ascii="仿宋_GB2312" w:eastAsia="仿宋_GB2312" w:hAnsiTheme="minorEastAsia" w:cstheme="minorEastAsia"/>
                <w:b/>
                <w:szCs w:val="21"/>
                <w:highlight w:val="none"/>
              </w:rPr>
            </w:pPr>
            <w:r>
              <w:rPr>
                <w:rFonts w:hint="eastAsia" w:ascii="仿宋_GB2312" w:eastAsia="仿宋_GB2312" w:hAnsiTheme="minorEastAsia" w:cstheme="minorEastAsia"/>
                <w:b/>
                <w:szCs w:val="21"/>
                <w:highlight w:val="none"/>
              </w:rPr>
              <w:t>乙方</w:t>
            </w:r>
          </w:p>
        </w:tc>
        <w:tc>
          <w:tcPr>
            <w:tcW w:w="2431" w:type="dxa"/>
            <w:tcBorders>
              <w:top w:val="double" w:color="auto" w:sz="4" w:space="0"/>
            </w:tcBorders>
            <w:shd w:val="clear" w:color="auto" w:fill="auto"/>
            <w:vAlign w:val="top"/>
          </w:tcPr>
          <w:p w14:paraId="564773D2">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名        称</w:t>
            </w:r>
          </w:p>
        </w:tc>
        <w:tc>
          <w:tcPr>
            <w:tcW w:w="5320" w:type="dxa"/>
            <w:tcBorders>
              <w:top w:val="double" w:color="auto" w:sz="4" w:space="0"/>
              <w:right w:val="single" w:color="auto" w:sz="12" w:space="0"/>
            </w:tcBorders>
            <w:shd w:val="clear" w:color="auto" w:fill="auto"/>
            <w:vAlign w:val="top"/>
          </w:tcPr>
          <w:p w14:paraId="563DFFAF">
            <w:pPr>
              <w:spacing w:line="440" w:lineRule="exact"/>
              <w:contextualSpacing/>
              <w:jc w:val="center"/>
              <w:rPr>
                <w:rFonts w:hint="eastAsia" w:ascii="仿宋_GB2312" w:eastAsia="仿宋_GB2312" w:hAnsiTheme="minorEastAsia" w:cstheme="minorEastAsia"/>
                <w:szCs w:val="21"/>
                <w:highlight w:val="none"/>
              </w:rPr>
            </w:pPr>
          </w:p>
        </w:tc>
      </w:tr>
      <w:tr w14:paraId="24E1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top"/>
          </w:tcPr>
          <w:p w14:paraId="7B2C57D7">
            <w:pPr>
              <w:spacing w:line="440" w:lineRule="exact"/>
              <w:contextualSpacing/>
              <w:rPr>
                <w:rFonts w:hint="eastAsia" w:ascii="仿宋_GB2312" w:eastAsia="仿宋_GB2312" w:hAnsiTheme="minorEastAsia" w:cstheme="minorEastAsia"/>
                <w:szCs w:val="21"/>
                <w:highlight w:val="none"/>
              </w:rPr>
            </w:pPr>
          </w:p>
        </w:tc>
        <w:tc>
          <w:tcPr>
            <w:tcW w:w="2431" w:type="dxa"/>
            <w:shd w:val="clear" w:color="auto" w:fill="auto"/>
            <w:vAlign w:val="top"/>
          </w:tcPr>
          <w:p w14:paraId="2BBDFDD4">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纳税人身份</w:t>
            </w:r>
          </w:p>
        </w:tc>
        <w:tc>
          <w:tcPr>
            <w:tcW w:w="5320" w:type="dxa"/>
            <w:tcBorders>
              <w:right w:val="single" w:color="auto" w:sz="12" w:space="0"/>
            </w:tcBorders>
            <w:shd w:val="clear" w:color="auto" w:fill="auto"/>
            <w:vAlign w:val="top"/>
          </w:tcPr>
          <w:p w14:paraId="4E0EF35D">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□一般纳税人    □小规模纳税人（请勾选）</w:t>
            </w:r>
          </w:p>
        </w:tc>
      </w:tr>
      <w:tr w14:paraId="79E7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top"/>
          </w:tcPr>
          <w:p w14:paraId="53E8A5D2">
            <w:pPr>
              <w:spacing w:line="440" w:lineRule="exact"/>
              <w:contextualSpacing/>
              <w:rPr>
                <w:rFonts w:hint="eastAsia" w:ascii="仿宋_GB2312" w:eastAsia="仿宋_GB2312" w:hAnsiTheme="minorEastAsia" w:cstheme="minorEastAsia"/>
                <w:szCs w:val="21"/>
                <w:highlight w:val="none"/>
              </w:rPr>
            </w:pPr>
          </w:p>
        </w:tc>
        <w:tc>
          <w:tcPr>
            <w:tcW w:w="2431" w:type="dxa"/>
            <w:shd w:val="clear" w:color="auto" w:fill="auto"/>
            <w:vAlign w:val="top"/>
          </w:tcPr>
          <w:p w14:paraId="4160F7A0">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纳税人识别号</w:t>
            </w:r>
          </w:p>
        </w:tc>
        <w:tc>
          <w:tcPr>
            <w:tcW w:w="5320" w:type="dxa"/>
            <w:tcBorders>
              <w:right w:val="single" w:color="auto" w:sz="12" w:space="0"/>
            </w:tcBorders>
            <w:shd w:val="clear" w:color="auto" w:fill="auto"/>
            <w:vAlign w:val="top"/>
          </w:tcPr>
          <w:p w14:paraId="1AA3A455">
            <w:pPr>
              <w:spacing w:line="440" w:lineRule="exact"/>
              <w:contextualSpacing/>
              <w:jc w:val="center"/>
              <w:rPr>
                <w:rFonts w:hint="eastAsia" w:ascii="仿宋_GB2312" w:eastAsia="仿宋_GB2312" w:hAnsiTheme="minorEastAsia" w:cstheme="minorEastAsia"/>
                <w:szCs w:val="21"/>
                <w:highlight w:val="none"/>
              </w:rPr>
            </w:pPr>
          </w:p>
        </w:tc>
      </w:tr>
      <w:tr w14:paraId="6F7A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top"/>
          </w:tcPr>
          <w:p w14:paraId="33D0FFDC">
            <w:pPr>
              <w:spacing w:line="440" w:lineRule="exact"/>
              <w:contextualSpacing/>
              <w:rPr>
                <w:rFonts w:hint="eastAsia" w:ascii="仿宋_GB2312" w:eastAsia="仿宋_GB2312" w:hAnsiTheme="minorEastAsia" w:cstheme="minorEastAsia"/>
                <w:szCs w:val="21"/>
                <w:highlight w:val="none"/>
              </w:rPr>
            </w:pPr>
          </w:p>
        </w:tc>
        <w:tc>
          <w:tcPr>
            <w:tcW w:w="2431" w:type="dxa"/>
            <w:shd w:val="clear" w:color="auto" w:fill="auto"/>
            <w:vAlign w:val="top"/>
          </w:tcPr>
          <w:p w14:paraId="7259B7D0">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地 址、电 话</w:t>
            </w:r>
          </w:p>
        </w:tc>
        <w:tc>
          <w:tcPr>
            <w:tcW w:w="5320" w:type="dxa"/>
            <w:tcBorders>
              <w:right w:val="single" w:color="auto" w:sz="12" w:space="0"/>
            </w:tcBorders>
            <w:shd w:val="clear" w:color="auto" w:fill="auto"/>
            <w:vAlign w:val="top"/>
          </w:tcPr>
          <w:p w14:paraId="4BFE2D77">
            <w:pPr>
              <w:spacing w:line="440" w:lineRule="exact"/>
              <w:contextualSpacing/>
              <w:jc w:val="center"/>
              <w:rPr>
                <w:rFonts w:hint="eastAsia" w:ascii="仿宋_GB2312" w:eastAsia="仿宋_GB2312" w:hAnsiTheme="minorEastAsia" w:cstheme="minorEastAsia"/>
                <w:szCs w:val="21"/>
                <w:highlight w:val="none"/>
              </w:rPr>
            </w:pPr>
          </w:p>
        </w:tc>
      </w:tr>
      <w:tr w14:paraId="521D7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top"/>
          </w:tcPr>
          <w:p w14:paraId="79E19CC7">
            <w:pPr>
              <w:spacing w:line="440" w:lineRule="exact"/>
              <w:contextualSpacing/>
              <w:rPr>
                <w:rFonts w:hint="eastAsia" w:ascii="仿宋_GB2312" w:eastAsia="仿宋_GB2312" w:hAnsiTheme="minorEastAsia" w:cstheme="minorEastAsia"/>
                <w:szCs w:val="21"/>
                <w:highlight w:val="none"/>
              </w:rPr>
            </w:pPr>
          </w:p>
        </w:tc>
        <w:tc>
          <w:tcPr>
            <w:tcW w:w="2431" w:type="dxa"/>
            <w:shd w:val="clear" w:color="auto" w:fill="auto"/>
            <w:vAlign w:val="top"/>
          </w:tcPr>
          <w:p w14:paraId="24693142">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开户行（全称）及账号</w:t>
            </w:r>
          </w:p>
        </w:tc>
        <w:tc>
          <w:tcPr>
            <w:tcW w:w="5320" w:type="dxa"/>
            <w:tcBorders>
              <w:right w:val="single" w:color="auto" w:sz="12" w:space="0"/>
            </w:tcBorders>
            <w:shd w:val="clear" w:color="auto" w:fill="auto"/>
            <w:vAlign w:val="top"/>
          </w:tcPr>
          <w:p w14:paraId="0C3BFFE2">
            <w:pPr>
              <w:spacing w:line="440" w:lineRule="exact"/>
              <w:contextualSpacing/>
              <w:jc w:val="center"/>
              <w:rPr>
                <w:rFonts w:hint="eastAsia" w:ascii="仿宋_GB2312" w:eastAsia="仿宋_GB2312" w:hAnsiTheme="minorEastAsia" w:cstheme="minorEastAsia"/>
                <w:szCs w:val="21"/>
                <w:highlight w:val="none"/>
              </w:rPr>
            </w:pPr>
          </w:p>
        </w:tc>
      </w:tr>
      <w:tr w14:paraId="59CC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tcBorders>
            <w:shd w:val="clear" w:color="auto" w:fill="auto"/>
            <w:vAlign w:val="top"/>
          </w:tcPr>
          <w:p w14:paraId="448DCAE3">
            <w:pPr>
              <w:spacing w:line="440" w:lineRule="exact"/>
              <w:contextualSpacing/>
              <w:rPr>
                <w:rFonts w:hint="eastAsia" w:ascii="仿宋_GB2312" w:eastAsia="仿宋_GB2312" w:hAnsiTheme="minorEastAsia" w:cstheme="minorEastAsia"/>
                <w:szCs w:val="21"/>
                <w:highlight w:val="none"/>
              </w:rPr>
            </w:pPr>
          </w:p>
        </w:tc>
        <w:tc>
          <w:tcPr>
            <w:tcW w:w="2431" w:type="dxa"/>
            <w:shd w:val="clear" w:color="auto" w:fill="auto"/>
            <w:vAlign w:val="top"/>
          </w:tcPr>
          <w:p w14:paraId="4CDD52E2">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联行号</w:t>
            </w:r>
          </w:p>
        </w:tc>
        <w:tc>
          <w:tcPr>
            <w:tcW w:w="5320" w:type="dxa"/>
            <w:tcBorders>
              <w:right w:val="single" w:color="auto" w:sz="12" w:space="0"/>
            </w:tcBorders>
            <w:shd w:val="clear" w:color="auto" w:fill="auto"/>
            <w:vAlign w:val="top"/>
          </w:tcPr>
          <w:p w14:paraId="4B7368EE">
            <w:pPr>
              <w:spacing w:line="440" w:lineRule="exact"/>
              <w:contextualSpacing/>
              <w:jc w:val="center"/>
              <w:rPr>
                <w:rFonts w:hint="eastAsia" w:ascii="仿宋_GB2312" w:eastAsia="仿宋_GB2312" w:hAnsiTheme="minorEastAsia" w:cstheme="minorEastAsia"/>
                <w:szCs w:val="21"/>
                <w:highlight w:val="none"/>
              </w:rPr>
            </w:pPr>
          </w:p>
        </w:tc>
      </w:tr>
      <w:tr w14:paraId="77B1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Merge w:val="continue"/>
            <w:tcBorders>
              <w:left w:val="single" w:color="auto" w:sz="12" w:space="0"/>
              <w:bottom w:val="single" w:color="auto" w:sz="12" w:space="0"/>
            </w:tcBorders>
            <w:shd w:val="clear" w:color="auto" w:fill="auto"/>
            <w:vAlign w:val="top"/>
          </w:tcPr>
          <w:p w14:paraId="60805DF5">
            <w:pPr>
              <w:spacing w:line="440" w:lineRule="exact"/>
              <w:contextualSpacing/>
              <w:rPr>
                <w:rFonts w:hint="eastAsia" w:ascii="仿宋_GB2312" w:eastAsia="仿宋_GB2312" w:hAnsiTheme="minorEastAsia" w:cstheme="minorEastAsia"/>
                <w:szCs w:val="21"/>
                <w:highlight w:val="none"/>
              </w:rPr>
            </w:pPr>
          </w:p>
        </w:tc>
        <w:tc>
          <w:tcPr>
            <w:tcW w:w="2431" w:type="dxa"/>
            <w:tcBorders>
              <w:bottom w:val="single" w:color="auto" w:sz="12" w:space="0"/>
            </w:tcBorders>
            <w:shd w:val="clear" w:color="auto" w:fill="auto"/>
            <w:vAlign w:val="top"/>
          </w:tcPr>
          <w:p w14:paraId="3A0B9AA9">
            <w:pPr>
              <w:spacing w:line="440" w:lineRule="exact"/>
              <w:contextualSpacing/>
              <w:jc w:val="center"/>
              <w:rPr>
                <w:rFonts w:hint="eastAsia" w:ascii="仿宋_GB2312" w:eastAsia="仿宋_GB2312" w:hAnsiTheme="minorEastAsia" w:cstheme="minorEastAsia"/>
                <w:szCs w:val="21"/>
                <w:highlight w:val="none"/>
              </w:rPr>
            </w:pPr>
          </w:p>
        </w:tc>
        <w:tc>
          <w:tcPr>
            <w:tcW w:w="5320" w:type="dxa"/>
            <w:tcBorders>
              <w:bottom w:val="single" w:color="auto" w:sz="12" w:space="0"/>
              <w:right w:val="single" w:color="auto" w:sz="12" w:space="0"/>
            </w:tcBorders>
            <w:shd w:val="clear" w:color="auto" w:fill="auto"/>
            <w:vAlign w:val="top"/>
          </w:tcPr>
          <w:p w14:paraId="3B31BC71">
            <w:pPr>
              <w:spacing w:line="440" w:lineRule="exact"/>
              <w:contextualSpacing/>
              <w:jc w:val="center"/>
              <w:rPr>
                <w:rFonts w:hint="eastAsia" w:ascii="仿宋_GB2312" w:eastAsia="仿宋_GB2312" w:hAnsiTheme="minorEastAsia" w:cstheme="minorEastAsia"/>
                <w:szCs w:val="21"/>
                <w:highlight w:val="none"/>
              </w:rPr>
            </w:pPr>
            <w:r>
              <w:rPr>
                <w:rFonts w:hint="eastAsia" w:ascii="仿宋_GB2312" w:eastAsia="仿宋_GB2312" w:hAnsiTheme="minorEastAsia" w:cstheme="minorEastAsia"/>
                <w:szCs w:val="21"/>
                <w:highlight w:val="none"/>
              </w:rPr>
              <w:t>该开户行为乙方在税务局已备案的乙方单位账户。</w:t>
            </w:r>
          </w:p>
        </w:tc>
      </w:tr>
    </w:tbl>
    <w:p w14:paraId="1F189CB6">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6.1.1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任何一方如上述信息发生变更，应提前10日以书面方式通知另一方。乙方在开具发票前，需向甲方确认上述开票信息，否则，由于乙方未向甲方确认导致开票信息与实际不符，造成发票无法抵扣等问题，全部责任由乙方承担，并赔偿甲方相应损失。</w:t>
      </w:r>
    </w:p>
    <w:p w14:paraId="422F7F39">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6.1.2</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2459BE28">
      <w:pPr>
        <w:spacing w:line="480" w:lineRule="exact"/>
        <w:ind w:firstLine="562" w:firstLineChars="200"/>
        <w:rPr>
          <w:rFonts w:ascii="Times New Roman" w:hAnsi="Times New Roman" w:eastAsia="黑体"/>
          <w:b/>
          <w:color w:val="000000"/>
          <w:sz w:val="28"/>
          <w:szCs w:val="28"/>
          <w:highlight w:val="none"/>
        </w:rPr>
      </w:pPr>
      <w:bookmarkStart w:id="811" w:name="_Toc465085395"/>
      <w:bookmarkStart w:id="812" w:name="_Toc465088462"/>
      <w:bookmarkStart w:id="813" w:name="_Toc464502358"/>
      <w:r>
        <w:rPr>
          <w:rFonts w:hint="eastAsia" w:ascii="Times New Roman" w:hAnsi="Times New Roman" w:eastAsia="黑体"/>
          <w:b/>
          <w:color w:val="000000"/>
          <w:sz w:val="28"/>
          <w:szCs w:val="28"/>
          <w:highlight w:val="none"/>
        </w:rPr>
        <w:t>6.2 本合同所涉应税行为计税方法（请勾选）</w:t>
      </w:r>
      <w:bookmarkEnd w:id="811"/>
      <w:bookmarkEnd w:id="812"/>
      <w:bookmarkEnd w:id="813"/>
    </w:p>
    <w:p w14:paraId="35D56AD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lang w:eastAsia="zh-CN"/>
        </w:rPr>
        <w:t>☑</w:t>
      </w:r>
      <w:r>
        <w:rPr>
          <w:rFonts w:ascii="仿宋_GB2312" w:hAnsi="仿宋_GB2312" w:eastAsia="仿宋_GB2312" w:cs="仿宋_GB2312"/>
          <w:color w:val="000000"/>
          <w:sz w:val="28"/>
          <w:szCs w:val="28"/>
          <w:highlight w:val="none"/>
        </w:rPr>
        <w:t>一般计税方法   □简易计税方法</w:t>
      </w:r>
    </w:p>
    <w:p w14:paraId="7F872C00">
      <w:pPr>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6.3 发票及其他相关信息</w:t>
      </w:r>
    </w:p>
    <w:p w14:paraId="3057486C">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6.3.1</w:t>
      </w:r>
      <w:r>
        <w:rPr>
          <w:rFonts w:hint="eastAsia" w:ascii="仿宋_GB2312" w:hAnsi="仿宋_GB2312" w:eastAsia="仿宋_GB2312" w:cs="仿宋_GB2312"/>
          <w:color w:val="000000"/>
          <w:sz w:val="28"/>
          <w:szCs w:val="28"/>
          <w:highlight w:val="none"/>
        </w:rPr>
        <w:t xml:space="preserve"> 每次乙方在甲方付款前必须提供符合国家现行税法规定的合法有效等额增值税发票，甲乙双方一致确认提供发票为主合同义务而非附随义务，若乙方未按要求提供发票，甲方有权暂停付款。乙方应在开票之日起7天内将发票送达甲方指定人员【</w:t>
      </w:r>
      <w:r>
        <w:rPr>
          <w:rFonts w:hint="eastAsia" w:ascii="仿宋_GB2312" w:hAnsi="仿宋_GB2312" w:eastAsia="仿宋_GB2312" w:cs="仿宋_GB2312"/>
          <w:color w:val="000000"/>
          <w:sz w:val="28"/>
          <w:szCs w:val="28"/>
          <w:highlight w:val="none"/>
          <w:lang w:val="en-US" w:eastAsia="zh-CN"/>
        </w:rPr>
        <w:t>周宗文</w:t>
      </w:r>
      <w:r>
        <w:rPr>
          <w:rFonts w:hint="eastAsia" w:ascii="仿宋_GB2312" w:hAnsi="仿宋_GB2312" w:eastAsia="仿宋_GB2312" w:cs="仿宋_GB2312"/>
          <w:color w:val="000000"/>
          <w:sz w:val="28"/>
          <w:szCs w:val="28"/>
          <w:highlight w:val="none"/>
        </w:rPr>
        <w:t>】，甲方指定人员签收发票的日期为发票的送达日期。</w:t>
      </w:r>
    </w:p>
    <w:p w14:paraId="28A7C9B3">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6.3.2</w:t>
      </w:r>
      <w:r>
        <w:rPr>
          <w:rFonts w:hint="eastAsia" w:ascii="仿宋_GB2312" w:hAnsi="仿宋_GB2312" w:eastAsia="仿宋_GB2312" w:cs="仿宋_GB2312"/>
          <w:color w:val="000000"/>
          <w:sz w:val="28"/>
          <w:szCs w:val="28"/>
          <w:highlight w:val="none"/>
        </w:rPr>
        <w:t xml:space="preserve"> </w:t>
      </w:r>
      <w:r>
        <w:rPr>
          <w:rFonts w:ascii="仿宋_GB2312" w:hAnsi="仿宋_GB2312" w:eastAsia="仿宋_GB2312" w:cs="仿宋_GB2312"/>
          <w:color w:val="000000"/>
          <w:sz w:val="28"/>
          <w:szCs w:val="28"/>
          <w:highlight w:val="none"/>
        </w:rPr>
        <w:t>乙方在向甲方请款时，应根据甲方确认的</w:t>
      </w:r>
      <w:r>
        <w:rPr>
          <w:rFonts w:hint="eastAsia" w:ascii="仿宋_GB2312" w:hAnsi="仿宋_GB2312" w:eastAsia="仿宋_GB2312" w:cs="仿宋_GB2312"/>
          <w:color w:val="000000"/>
          <w:sz w:val="28"/>
          <w:szCs w:val="28"/>
          <w:highlight w:val="yellow"/>
          <w:lang w:val="en-US" w:eastAsia="zh-CN"/>
        </w:rPr>
        <w:t>当期产值（减罚扣款）</w:t>
      </w:r>
      <w:r>
        <w:rPr>
          <w:rFonts w:ascii="仿宋_GB2312" w:hAnsi="仿宋_GB2312" w:eastAsia="仿宋_GB2312" w:cs="仿宋_GB2312"/>
          <w:color w:val="000000"/>
          <w:sz w:val="28"/>
          <w:szCs w:val="28"/>
          <w:highlight w:val="yellow"/>
        </w:rPr>
        <w:t>数额</w:t>
      </w:r>
      <w:r>
        <w:rPr>
          <w:rFonts w:ascii="仿宋_GB2312" w:hAnsi="仿宋_GB2312" w:eastAsia="仿宋_GB2312" w:cs="仿宋_GB2312"/>
          <w:color w:val="000000"/>
          <w:sz w:val="28"/>
          <w:szCs w:val="28"/>
          <w:highlight w:val="none"/>
        </w:rPr>
        <w:t>开具合法、有效、完整、准确的增值税（请勾选：</w:t>
      </w:r>
      <w:r>
        <w:rPr>
          <w:rFonts w:hint="eastAsia" w:ascii="仿宋_GB2312" w:hAnsi="仿宋_GB2312" w:eastAsia="仿宋_GB2312" w:cs="仿宋_GB2312"/>
          <w:color w:val="000000"/>
          <w:sz w:val="28"/>
          <w:szCs w:val="28"/>
          <w:highlight w:val="none"/>
          <w:lang w:eastAsia="zh-CN"/>
        </w:rPr>
        <w:t>☑</w:t>
      </w:r>
      <w:r>
        <w:rPr>
          <w:rFonts w:ascii="仿宋_GB2312" w:hAnsi="仿宋_GB2312" w:eastAsia="仿宋_GB2312" w:cs="仿宋_GB2312"/>
          <w:color w:val="000000"/>
          <w:sz w:val="28"/>
          <w:szCs w:val="28"/>
          <w:highlight w:val="none"/>
        </w:rPr>
        <w:t>专用□普通）发票。全部联次一次打印，内容完全一致，发票抵扣联、发票联加盖发票专用章。</w:t>
      </w:r>
    </w:p>
    <w:p w14:paraId="33C168FC">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若乙方为小规模纳税人，且勾选增值税专用发票的，则乙方需提供由税务机关代开的增值税专用发票。</w:t>
      </w:r>
    </w:p>
    <w:p w14:paraId="6DC4EF47">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若乙方为一般纳税人的，应当在开具发票、请款之前向甲方提供一般纳税人认定表。</w:t>
      </w:r>
    </w:p>
    <w:p w14:paraId="24B6814D">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若汇总开具增值税专用发票的，则乙方需同时提供防伪税控系统开具的《销售货物或提供应税劳务清单》，并加盖发票专用章。</w:t>
      </w:r>
    </w:p>
    <w:p w14:paraId="2D96AEB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w:t>
      </w:r>
      <w:r>
        <w:rPr>
          <w:rFonts w:ascii="仿宋_GB2312" w:hAnsi="仿宋_GB2312" w:eastAsia="仿宋_GB2312" w:cs="仿宋_GB2312"/>
          <w:color w:val="000000"/>
          <w:sz w:val="28"/>
          <w:szCs w:val="28"/>
          <w:highlight w:val="none"/>
        </w:rPr>
        <w:t>6.3.3</w:t>
      </w:r>
      <w:r>
        <w:rPr>
          <w:rFonts w:hint="eastAsia" w:ascii="仿宋_GB2312" w:hAnsi="仿宋_GB2312" w:eastAsia="仿宋_GB2312" w:cs="仿宋_GB2312"/>
          <w:color w:val="000000"/>
          <w:sz w:val="28"/>
          <w:szCs w:val="28"/>
          <w:highlight w:val="none"/>
        </w:rPr>
        <w:t xml:space="preserve"> </w:t>
      </w:r>
      <w:r>
        <w:rPr>
          <w:rFonts w:ascii="仿宋_GB2312" w:hAnsi="仿宋_GB2312" w:eastAsia="仿宋_GB2312" w:cs="仿宋_GB2312"/>
          <w:color w:val="000000"/>
          <w:sz w:val="28"/>
          <w:szCs w:val="28"/>
          <w:highlight w:val="none"/>
        </w:rPr>
        <w:t>乙方提供发票不符合法律法规规范性文件规定或不符合合同约定开具、送达、认证、抵扣增值税发票的情形：</w:t>
      </w:r>
    </w:p>
    <w:p w14:paraId="41B6747C">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（1）开具虚假发票的（如：虚开增值税发票，开具伪造、变造的增值税发票）；</w:t>
      </w:r>
    </w:p>
    <w:p w14:paraId="4ABF7775">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（2）开具发票种类错误的（如：增值税专用发票开成增值税普通发票）；</w:t>
      </w:r>
    </w:p>
    <w:p w14:paraId="77091962">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（3）开具发票上记载的信息错误的（如：双方基本信息、发票号码、开票时间、金额、税率、税额等错误；字迹不清，压线、错格；项目</w:t>
      </w:r>
      <w:r>
        <w:rPr>
          <w:rFonts w:hint="eastAsia" w:ascii="仿宋_GB2312" w:hAnsi="仿宋_GB2312" w:eastAsia="仿宋_GB2312" w:cs="仿宋_GB2312"/>
          <w:color w:val="000000"/>
          <w:sz w:val="28"/>
          <w:szCs w:val="28"/>
          <w:highlight w:val="none"/>
        </w:rPr>
        <w:t>名称</w:t>
      </w:r>
      <w:r>
        <w:rPr>
          <w:rFonts w:ascii="仿宋_GB2312" w:hAnsi="仿宋_GB2312" w:eastAsia="仿宋_GB2312" w:cs="仿宋_GB2312"/>
          <w:color w:val="000000"/>
          <w:sz w:val="28"/>
          <w:szCs w:val="28"/>
          <w:highlight w:val="none"/>
        </w:rPr>
        <w:t>不齐全；缺少发票专用章；备注栏遗漏填写等）；</w:t>
      </w:r>
    </w:p>
    <w:p w14:paraId="383DC7A5">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（4）因迟延送达增值税专用发票导致甲方不能认证、抵扣的；</w:t>
      </w:r>
    </w:p>
    <w:p w14:paraId="09ACE014">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（5）因开具虚假增值税专用发票导致甲方不能认证、抵扣的；</w:t>
      </w:r>
    </w:p>
    <w:p w14:paraId="1A322C1A">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（6）因开具的增值税专用发票上记载的信息错误导致甲方不能认证、抵扣的；</w:t>
      </w:r>
    </w:p>
    <w:p w14:paraId="20745F62">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（7）汇总开具增值税专用发票时，未一并提供防伪税控系统开具的《销售货物或提供应税劳务清单》的，或提供的《销售货物或提供应税劳务清单》上未加盖发票专用章的；</w:t>
      </w:r>
    </w:p>
    <w:p w14:paraId="20AD836F">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（8）其他违反法律法规规范性文件规定或合同约定开具的增值税发票的。</w:t>
      </w:r>
    </w:p>
    <w:p w14:paraId="34D90DE3">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6.3.4 甲方若同时遗失增值税专用发票联和抵扣联，则乙方应为甲方提供加盖销售方发票专用章的相应发票记账联复印件作为增值税进项税的抵扣凭证或记账凭证。甲方若丢失抵扣联、发票联其中之一的，可用另外一联复印件，无需乙方提供记账联复印件。</w:t>
      </w:r>
    </w:p>
    <w:p w14:paraId="0AFE4A57">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6.3.5 甲方根据本合同约定从当期分包工程款中扣除了乙方的违约金、损失赔偿、代扣代缴费用等款项的，</w:t>
      </w:r>
      <w:r>
        <w:rPr>
          <w:rFonts w:ascii="仿宋_GB2312" w:hAnsi="仿宋_GB2312" w:eastAsia="仿宋_GB2312" w:cs="仿宋_GB2312"/>
          <w:color w:val="000000"/>
          <w:sz w:val="28"/>
          <w:szCs w:val="28"/>
          <w:highlight w:val="yellow"/>
        </w:rPr>
        <w:t>乙方应按扣除</w:t>
      </w:r>
      <w:r>
        <w:rPr>
          <w:rFonts w:hint="eastAsia" w:ascii="仿宋_GB2312" w:hAnsi="仿宋_GB2312" w:eastAsia="仿宋_GB2312" w:cs="仿宋_GB2312"/>
          <w:color w:val="000000"/>
          <w:sz w:val="28"/>
          <w:szCs w:val="28"/>
          <w:highlight w:val="yellow"/>
          <w:lang w:val="en-US" w:eastAsia="zh-CN"/>
        </w:rPr>
        <w:t>后</w:t>
      </w:r>
      <w:r>
        <w:rPr>
          <w:rFonts w:ascii="仿宋_GB2312" w:hAnsi="仿宋_GB2312" w:eastAsia="仿宋_GB2312" w:cs="仿宋_GB2312"/>
          <w:color w:val="000000"/>
          <w:sz w:val="28"/>
          <w:szCs w:val="28"/>
          <w:highlight w:val="yellow"/>
        </w:rPr>
        <w:t>的当期分包工程款金额开具增值税发票。</w:t>
      </w:r>
      <w:r>
        <w:rPr>
          <w:rFonts w:ascii="仿宋_GB2312" w:hAnsi="仿宋_GB2312" w:eastAsia="仿宋_GB2312" w:cs="仿宋_GB2312"/>
          <w:color w:val="000000"/>
          <w:sz w:val="28"/>
          <w:szCs w:val="28"/>
          <w:highlight w:val="none"/>
        </w:rPr>
        <w:t>本合同中约定的甲方向乙方支付的违约金为含税金额，在甲方支付违约金前，乙方应根据协议书第四条约定的增值税率或征收率，向甲方开具增值税发票。</w:t>
      </w:r>
    </w:p>
    <w:p w14:paraId="0CB85CE8">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6.3.6 违约责任</w:t>
      </w:r>
    </w:p>
    <w:p w14:paraId="4EA9DBF4">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（1）若乙方开具或提供的或税务机关代开的增值税发票存在</w:t>
      </w:r>
      <w:r>
        <w:rPr>
          <w:rFonts w:hint="eastAsia" w:ascii="仿宋_GB2312" w:hAnsi="仿宋_GB2312" w:eastAsia="仿宋_GB2312" w:cs="仿宋_GB2312"/>
          <w:color w:val="000000"/>
          <w:sz w:val="28"/>
          <w:szCs w:val="28"/>
          <w:highlight w:val="none"/>
        </w:rPr>
        <w:t>合同协议书</w:t>
      </w:r>
      <w:r>
        <w:rPr>
          <w:rFonts w:ascii="仿宋_GB2312" w:hAnsi="仿宋_GB2312" w:eastAsia="仿宋_GB2312" w:cs="仿宋_GB2312"/>
          <w:color w:val="000000"/>
          <w:sz w:val="28"/>
          <w:szCs w:val="28"/>
          <w:highlight w:val="none"/>
        </w:rPr>
        <w:t>第6.3.3款约定情形之一的，则甲方有权拒收增值税发票，并有权暂停支付相应款项直到甲方收到符合要求的增值税发票之日止。甲方拒收发票或暂停支付款项等行为，不视为违约，且乙方不得以此为由中止履行合同约定的义务。乙方在甲方拒收发票之日起7日内重新开具或提供符合要求的增值税发票并送达甲方。若因甲方原因提供错误开票信息的，甲方应在拒收的同时向乙方提供正确开票信息。</w:t>
      </w:r>
    </w:p>
    <w:p w14:paraId="72CA9485">
      <w:pPr>
        <w:spacing w:line="480" w:lineRule="exact"/>
        <w:ind w:firstLine="560" w:firstLineChars="200"/>
        <w:rPr>
          <w:rFonts w:hint="eastAsia" w:ascii="仿宋_GB2312" w:hAnsi="仿宋_GB2312" w:eastAsia="仿宋_GB2312" w:cs="仿宋_GB2312"/>
          <w:color w:val="000000"/>
          <w:sz w:val="28"/>
          <w:szCs w:val="28"/>
          <w:highlight w:val="none"/>
        </w:rPr>
      </w:pPr>
      <w:r>
        <w:rPr>
          <w:rFonts w:ascii="仿宋_GB2312" w:hAnsi="仿宋_GB2312" w:eastAsia="仿宋_GB2312" w:cs="仿宋_GB2312"/>
          <w:color w:val="000000"/>
          <w:sz w:val="28"/>
          <w:szCs w:val="28"/>
          <w:highlight w:val="none"/>
        </w:rPr>
        <w:t>（2）若乙方开具或提供的增值税专用发票存在</w:t>
      </w:r>
      <w:r>
        <w:rPr>
          <w:rFonts w:hint="eastAsia" w:ascii="仿宋_GB2312" w:hAnsi="仿宋_GB2312" w:eastAsia="仿宋_GB2312" w:cs="仿宋_GB2312"/>
          <w:color w:val="000000"/>
          <w:sz w:val="28"/>
          <w:szCs w:val="28"/>
          <w:highlight w:val="none"/>
        </w:rPr>
        <w:t>合同协议书</w:t>
      </w:r>
      <w:r>
        <w:rPr>
          <w:rFonts w:ascii="仿宋_GB2312" w:hAnsi="仿宋_GB2312" w:eastAsia="仿宋_GB2312" w:cs="仿宋_GB2312"/>
          <w:color w:val="000000"/>
          <w:sz w:val="28"/>
          <w:szCs w:val="28"/>
          <w:highlight w:val="none"/>
        </w:rPr>
        <w:t>第6.3.3款约定情形之一的，除适用</w:t>
      </w:r>
      <w:r>
        <w:rPr>
          <w:rFonts w:hint="eastAsia" w:ascii="仿宋_GB2312" w:hAnsi="仿宋_GB2312" w:eastAsia="仿宋_GB2312" w:cs="仿宋_GB2312"/>
          <w:color w:val="000000"/>
          <w:sz w:val="28"/>
          <w:szCs w:val="28"/>
          <w:highlight w:val="none"/>
        </w:rPr>
        <w:t>合同协议书</w:t>
      </w:r>
      <w:r>
        <w:rPr>
          <w:rFonts w:ascii="仿宋_GB2312" w:hAnsi="仿宋_GB2312" w:eastAsia="仿宋_GB2312" w:cs="仿宋_GB2312"/>
          <w:color w:val="000000"/>
          <w:sz w:val="28"/>
          <w:szCs w:val="28"/>
          <w:highlight w:val="none"/>
        </w:rPr>
        <w:t>第6.3.6（1）款约定外，乙方还应按甲方要求采取其他补救措施，同时，</w:t>
      </w:r>
      <w:r>
        <w:rPr>
          <w:rFonts w:hint="eastAsia" w:ascii="仿宋_GB2312" w:hAnsi="仿宋_GB2312" w:eastAsia="仿宋_GB2312" w:cs="仿宋_GB2312"/>
          <w:color w:val="000000"/>
          <w:sz w:val="28"/>
          <w:szCs w:val="28"/>
          <w:highlight w:val="none"/>
        </w:rPr>
        <w:t>甲方有权要求乙方支付应付发票对应金额的【</w:t>
      </w:r>
      <w:r>
        <w:rPr>
          <w:rFonts w:hint="eastAsia" w:ascii="仿宋_GB2312" w:hAnsi="仿宋_GB2312" w:eastAsia="仿宋_GB2312" w:cs="仿宋_GB2312"/>
          <w:color w:val="000000"/>
          <w:sz w:val="28"/>
          <w:szCs w:val="28"/>
          <w:highlight w:val="none"/>
          <w:lang w:val="en-US" w:eastAsia="zh-CN"/>
        </w:rPr>
        <w:t>1</w:t>
      </w:r>
      <w:r>
        <w:rPr>
          <w:rFonts w:hint="eastAsia" w:ascii="仿宋_GB2312" w:hAnsi="仿宋_GB2312" w:eastAsia="仿宋_GB2312" w:cs="仿宋_GB2312"/>
          <w:color w:val="000000"/>
          <w:sz w:val="28"/>
          <w:szCs w:val="28"/>
          <w:highlight w:val="none"/>
        </w:rPr>
        <w:t>】%或【</w:t>
      </w:r>
      <w:r>
        <w:rPr>
          <w:rFonts w:hint="eastAsia" w:ascii="仿宋_GB2312" w:hAnsi="仿宋_GB2312" w:eastAsia="仿宋_GB2312" w:cs="仿宋_GB2312"/>
          <w:color w:val="000000"/>
          <w:sz w:val="28"/>
          <w:szCs w:val="28"/>
          <w:highlight w:val="none"/>
          <w:lang w:val="en-US" w:eastAsia="zh-CN"/>
        </w:rPr>
        <w:t>1000</w:t>
      </w:r>
      <w:r>
        <w:rPr>
          <w:rFonts w:hint="eastAsia" w:ascii="仿宋_GB2312" w:hAnsi="仿宋_GB2312" w:eastAsia="仿宋_GB2312" w:cs="仿宋_GB2312"/>
          <w:color w:val="000000"/>
          <w:sz w:val="28"/>
          <w:szCs w:val="28"/>
          <w:highlight w:val="none"/>
        </w:rPr>
        <w:t>】元的惩罚性违约金，并赔偿甲方损失，因甲方原因造成开票信息错误的除外。</w:t>
      </w:r>
    </w:p>
    <w:p w14:paraId="20D0E97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（3）若乙方开具或提供的增值税专用发票发生合同协议书第6.3.3款的情形超过3次，或给甲方造成重大损失的，则乙方除按合同协议书第6.3.6（2）款约定承担责任外，甲方有权单方解除本合同。</w:t>
      </w:r>
    </w:p>
    <w:p w14:paraId="7A3DB12B">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（4）由于乙方的不规范涉税行为导致甲方受到税务局协查并给甲方造成涉税风险和损失的，乙方应承担甲方全部损失，甲方有权单方解除本合同。</w:t>
      </w:r>
    </w:p>
    <w:p w14:paraId="6017DC9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5）若乙方由一般纳税人身份变为小规模纳税人身份的，或者计税方法发生变化的，或者政策法规规范性文件发生变化的，并导致甲方可抵扣的进项税额减少或被税务机关要求补缴税款的，则减少的进项税额或补缴的税款应由乙方承担，甲方有权从将支付的任何一笔工程款中扣除。</w:t>
      </w:r>
    </w:p>
    <w:p w14:paraId="438A0580">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（6）乙方向甲方提供其他增值税扣税凭证的，均适用于本合同协议书中第六条有关增值税专用发票的约定。</w:t>
      </w:r>
    </w:p>
    <w:p w14:paraId="5C1A93D0">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（7）乙方过程中开具发票的总金额不作为双方结算的金额，最终结算金额根据合同约定的时间和方式由双方确定。乙方开具的发票金额超过最终结算金额的，由双方后期对超开具部分的发票进行冲正处理。】</w:t>
      </w:r>
    </w:p>
    <w:p w14:paraId="2E76971E">
      <w:pPr>
        <w:pStyle w:val="5"/>
        <w:ind w:left="0" w:leftChars="0" w:firstLine="562" w:firstLineChars="200"/>
        <w:rPr>
          <w:rFonts w:hint="eastAsia" w:ascii="黑体" w:hAnsi="黑体"/>
          <w:b w:val="0"/>
          <w:bCs w:val="0"/>
          <w:highlight w:val="none"/>
        </w:rPr>
      </w:pPr>
      <w:bookmarkStart w:id="814" w:name="_Toc11336"/>
      <w:r>
        <w:rPr>
          <w:rFonts w:hint="eastAsia"/>
          <w:bCs w:val="0"/>
          <w:color w:val="000000"/>
          <w:highlight w:val="none"/>
        </w:rPr>
        <w:t>七、材料供应</w:t>
      </w:r>
      <w:bookmarkEnd w:id="814"/>
    </w:p>
    <w:p w14:paraId="04468F54">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yellow"/>
        </w:rPr>
        <w:t>甲方按计划提供以下材料：【</w:t>
      </w:r>
      <w:r>
        <w:rPr>
          <w:rFonts w:hint="eastAsia" w:ascii="仿宋_GB2312" w:hAnsi="仿宋_GB2312" w:eastAsia="仿宋_GB2312" w:cs="仿宋_GB2312"/>
          <w:color w:val="000000"/>
          <w:sz w:val="28"/>
          <w:szCs w:val="28"/>
          <w:highlight w:val="yellow"/>
          <w:lang w:val="en-US" w:eastAsia="zh-CN"/>
        </w:rPr>
        <w:t xml:space="preserve"> 混凝土、钢筋、止水钢板、水稳砂石、石粉、砌体、墙面块料、模板、木枋、支撑钢管材料 </w:t>
      </w:r>
      <w:r>
        <w:rPr>
          <w:rFonts w:hint="eastAsia" w:ascii="仿宋_GB2312" w:hAnsi="仿宋_GB2312" w:eastAsia="仿宋_GB2312" w:cs="仿宋_GB2312"/>
          <w:color w:val="000000"/>
          <w:sz w:val="28"/>
          <w:szCs w:val="28"/>
          <w:highlight w:val="yellow"/>
        </w:rPr>
        <w:t>】</w:t>
      </w:r>
      <w:r>
        <w:rPr>
          <w:rFonts w:hint="eastAsia" w:ascii="仿宋_GB2312" w:hAnsi="仿宋_GB2312" w:eastAsia="仿宋_GB2312" w:cs="仿宋_GB2312"/>
          <w:color w:val="000000"/>
          <w:sz w:val="28"/>
          <w:szCs w:val="28"/>
          <w:highlight w:val="none"/>
        </w:rPr>
        <w:t>。乙方限额领料，材料如超出甲方约定（如甲方无约定，则执行工程所在地相应定额标准），则超领部分由乙方全部赔偿，价格按甲方购买价格加价【10】%计取，在进度款或结算款中扣除。</w:t>
      </w:r>
    </w:p>
    <w:p w14:paraId="797849CF">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由甲方提供的材料在进出场时，乙方必须参与验收，否则，以甲方与供应商双方确认的数量为准。甲方供应的材料的质量、品种、规格、型号应符合设计要求，货到后甲乙双方共同验收合格后，办理领用手续，由乙方自行保管使用，相关费用已包含在合同综合单价中。乙方未参加验收的，视为同意甲方的验收结果。</w:t>
      </w:r>
    </w:p>
    <w:p w14:paraId="72BC18B3">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7.2</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乙方供料：除7.1条约定甲方按计划供料外的所有材料由乙方自行提供，包括但不限于【零星材料、辅材、低值易耗品等，不包括主要建筑材料、周转材料和大中型施工机械设备等】。费用包含在合同综合单价中。</w:t>
      </w:r>
    </w:p>
    <w:p w14:paraId="5E6AC626">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7.2.1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对于乙供材料，乙方负责原材料进场后的抽检和试验，在材料进场后，必须进行物资报验，报甲方进行复试，相关检测费用均已包含在合同综合单价中，甲方复试不免除乙方应承担的质量责任。</w:t>
      </w:r>
    </w:p>
    <w:p w14:paraId="48264E1F">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7.2.</w:t>
      </w:r>
      <w:r>
        <w:rPr>
          <w:rFonts w:hint="eastAsia" w:ascii="仿宋_GB2312" w:hAnsi="仿宋_GB2312" w:eastAsia="仿宋_GB2312" w:cs="仿宋_GB2312"/>
          <w:color w:val="000000"/>
          <w:sz w:val="28"/>
          <w:szCs w:val="28"/>
          <w:highlight w:val="none"/>
          <w:lang w:val="en-US" w:eastAsia="zh-CN"/>
        </w:rPr>
        <w:t>2</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乙方对自供材料的质量负责，材料品牌需在采购前向甲方报备，根据技术要求和有关规定需要合格证、质量保证书和准用证等证件的，证件必须随货同行，货到后将证件交给甲方，据以进行质量验收，证件齐全、质量合格的材料方能用于工程。如在施工过程中发现材料质量不合格，乙方除负责更换合格材料外，还应承担签约合同价【</w:t>
      </w:r>
      <w:r>
        <w:rPr>
          <w:rFonts w:hint="eastAsia" w:ascii="仿宋_GB2312" w:hAnsi="仿宋_GB2312" w:eastAsia="仿宋_GB2312" w:cs="仿宋_GB2312"/>
          <w:color w:val="000000"/>
          <w:sz w:val="28"/>
          <w:szCs w:val="28"/>
          <w:highlight w:val="none"/>
          <w:lang w:val="en-US" w:eastAsia="zh-CN"/>
        </w:rPr>
        <w:t>5</w:t>
      </w:r>
      <w:r>
        <w:rPr>
          <w:rFonts w:hint="eastAsia" w:ascii="仿宋_GB2312" w:hAnsi="仿宋_GB2312" w:eastAsia="仿宋_GB2312" w:cs="仿宋_GB2312"/>
          <w:color w:val="000000"/>
          <w:sz w:val="28"/>
          <w:szCs w:val="28"/>
          <w:highlight w:val="none"/>
        </w:rPr>
        <w:t>】%的惩罚性违约金及因此给甲方造成的全部损失。</w:t>
      </w:r>
    </w:p>
    <w:p w14:paraId="6E725E82">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7.2.</w:t>
      </w:r>
      <w:r>
        <w:rPr>
          <w:rFonts w:hint="eastAsia" w:ascii="仿宋_GB2312" w:hAnsi="仿宋_GB2312" w:eastAsia="仿宋_GB2312" w:cs="仿宋_GB2312"/>
          <w:color w:val="000000"/>
          <w:sz w:val="28"/>
          <w:szCs w:val="28"/>
          <w:highlight w:val="none"/>
          <w:lang w:val="en-US" w:eastAsia="zh-CN"/>
        </w:rPr>
        <w:t>3</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对于乙方供应材料，若乙方拒绝提供，则由甲方代购，按照甲方购买价格加价【</w:t>
      </w:r>
      <w:r>
        <w:rPr>
          <w:rFonts w:hint="eastAsia" w:ascii="仿宋_GB2312" w:hAnsi="仿宋_GB2312" w:eastAsia="仿宋_GB2312" w:cs="仿宋_GB2312"/>
          <w:color w:val="000000"/>
          <w:sz w:val="28"/>
          <w:szCs w:val="28"/>
          <w:highlight w:val="none"/>
          <w:lang w:val="en-US" w:eastAsia="zh-CN"/>
        </w:rPr>
        <w:t>10</w:t>
      </w:r>
      <w:r>
        <w:rPr>
          <w:rFonts w:hint="eastAsia" w:ascii="仿宋_GB2312" w:hAnsi="仿宋_GB2312" w:eastAsia="仿宋_GB2312" w:cs="仿宋_GB2312"/>
          <w:color w:val="000000"/>
          <w:sz w:val="28"/>
          <w:szCs w:val="28"/>
          <w:highlight w:val="none"/>
        </w:rPr>
        <w:t>】%从乙方当期工程款中扣除。</w:t>
      </w:r>
    </w:p>
    <w:p w14:paraId="01C06904">
      <w:pPr>
        <w:pStyle w:val="5"/>
        <w:ind w:left="0" w:leftChars="0" w:firstLine="562" w:firstLineChars="200"/>
        <w:rPr>
          <w:rFonts w:hint="eastAsia" w:ascii="黑体" w:hAnsi="黑体"/>
          <w:b w:val="0"/>
          <w:bCs w:val="0"/>
          <w:highlight w:val="none"/>
        </w:rPr>
      </w:pPr>
      <w:bookmarkStart w:id="815" w:name="_Toc21939"/>
      <w:r>
        <w:rPr>
          <w:rFonts w:hint="eastAsia"/>
          <w:bCs w:val="0"/>
          <w:color w:val="000000"/>
          <w:highlight w:val="none"/>
        </w:rPr>
        <w:t>八、各类机械及安全防护用品供应</w:t>
      </w:r>
      <w:bookmarkEnd w:id="815"/>
    </w:p>
    <w:p w14:paraId="2AE9270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甲方提供机械：【塔吊、施工货梯】</w:t>
      </w:r>
    </w:p>
    <w:p w14:paraId="75C288D6">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8.1.1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甲方人员操作的机械由甲方派相关专业人员跟班操作、管理、维修、保养、保管，乙方不准擅自操作。甲方交由乙方人员操作的机械，乙方办理接管手续，负责日常的保养、保管。乙方要严格执行操作规程，保证设备良好状态。施工任务完成后进行盘点、清理、刷油，并交还甲方。如有保管不善或使用不当造成丢失、损坏，乙方负责修理或照价赔偿。</w:t>
      </w:r>
    </w:p>
    <w:p w14:paraId="1D596CC4">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8.1.2</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由甲方提供给乙方使用的机械在进出场时，乙方必须参与验收，确认数量及运行状态，否则，以甲方确认为准。</w:t>
      </w:r>
    </w:p>
    <w:p w14:paraId="387ECCAF">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8.1.3</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甲方提供的大型机械，如遇特殊情况提前拆除或维修、不同作业区因工期问题造成某作业区一定时间内无法使用甲方提供的大型机械而临时增加的垂直运输机械费、施工现场存在少量覆盖盲区情况，甲方应在合理期限内提前通知乙方，由乙方自行解决物料搬运问题，甲方不补偿相应费用。</w:t>
      </w:r>
    </w:p>
    <w:p w14:paraId="64E2DBD6">
      <w:pPr>
        <w:spacing w:line="480" w:lineRule="exact"/>
        <w:ind w:firstLine="560" w:firstLineChars="200"/>
        <w:rPr>
          <w:rFonts w:hint="eastAsia" w:ascii="仿宋_GB2312" w:eastAsia="仿宋_GB2312" w:hAnsiTheme="minorEastAsia" w:cstheme="minorEastAsia"/>
          <w:strike/>
          <w:sz w:val="28"/>
          <w:szCs w:val="28"/>
          <w:highlight w:val="none"/>
        </w:rPr>
      </w:pPr>
      <w:r>
        <w:rPr>
          <w:rFonts w:hint="eastAsia" w:ascii="仿宋_GB2312" w:eastAsia="仿宋_GB2312" w:hAnsiTheme="minorEastAsia" w:cstheme="minorEastAsia"/>
          <w:sz w:val="28"/>
          <w:szCs w:val="28"/>
          <w:highlight w:val="none"/>
        </w:rPr>
        <w:t>8.2</w:t>
      </w:r>
      <w:r>
        <w:rPr>
          <w:rFonts w:ascii="仿宋_GB2312" w:eastAsia="仿宋_GB2312" w:hAnsiTheme="minorEastAsia" w:cstheme="minorEastAsia"/>
          <w:sz w:val="28"/>
          <w:szCs w:val="28"/>
          <w:highlight w:val="none"/>
        </w:rPr>
        <w:t xml:space="preserve"> </w:t>
      </w:r>
      <w:r>
        <w:rPr>
          <w:rFonts w:hint="eastAsia" w:ascii="仿宋_GB2312" w:eastAsia="仿宋_GB2312" w:hAnsiTheme="minorEastAsia" w:cstheme="minorEastAsia"/>
          <w:sz w:val="28"/>
          <w:szCs w:val="28"/>
          <w:highlight w:val="none"/>
        </w:rPr>
        <w:t>乙方提供机械机</w:t>
      </w:r>
      <w:r>
        <w:rPr>
          <w:rFonts w:hint="eastAsia" w:ascii="仿宋_GB2312" w:eastAsia="仿宋_GB2312" w:hAnsiTheme="minorEastAsia" w:cstheme="minorEastAsia"/>
          <w:b/>
          <w:sz w:val="28"/>
          <w:szCs w:val="28"/>
          <w:highlight w:val="none"/>
        </w:rPr>
        <w:t>具</w:t>
      </w:r>
      <w:r>
        <w:rPr>
          <w:rFonts w:hint="eastAsia" w:ascii="仿宋_GB2312" w:eastAsia="仿宋_GB2312" w:hAnsiTheme="minorEastAsia" w:cstheme="minorEastAsia"/>
          <w:sz w:val="28"/>
          <w:szCs w:val="28"/>
          <w:highlight w:val="none"/>
        </w:rPr>
        <w:t>：【除8.1条约定甲供机械之外的所有机械及机具、手头工具及劳保用品等均由乙方供应】，费用包含在合同综合单价中。</w:t>
      </w:r>
    </w:p>
    <w:p w14:paraId="3FD717F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8.3</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安全防护用品：乙方必须为施工现场自有人员配备必需的安全防护用品。乙方配备的安全防护用品使用性能或质量必须符合国家主管部门及行业规范、标准要求，另外安全防护用品外观、样式、规格、型号须符合甲方安全管理要求。</w:t>
      </w:r>
    </w:p>
    <w:p w14:paraId="5D297351">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【施工现场特种劳动防护用品（包括三宝一器：安全帽、安全带、安全网，漏触电保护器）及锁扣、钢丝绳由甲方统一采购、统一发放、统一管理，费用由甲方从乙方工程款中代付代扣】。</w:t>
      </w:r>
    </w:p>
    <w:p w14:paraId="194CA4C5">
      <w:pPr>
        <w:pStyle w:val="5"/>
        <w:ind w:left="0" w:leftChars="0" w:firstLine="562" w:firstLineChars="200"/>
        <w:rPr>
          <w:bCs w:val="0"/>
          <w:color w:val="000000"/>
          <w:highlight w:val="none"/>
        </w:rPr>
      </w:pPr>
      <w:bookmarkStart w:id="816" w:name="_Toc32582"/>
      <w:r>
        <w:rPr>
          <w:rFonts w:hint="eastAsia"/>
          <w:bCs w:val="0"/>
          <w:color w:val="000000"/>
          <w:highlight w:val="none"/>
        </w:rPr>
        <w:t>九、甲乙方代表</w:t>
      </w:r>
      <w:bookmarkEnd w:id="816"/>
    </w:p>
    <w:p w14:paraId="347C101D">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9.1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甲方现场代表：【        】，代表甲方负责现场管理，但无权单独处理合同调价、付款、结算、借款、担保、融投资及除本合同外经济合同的签订事项，也无权变更或解除分包合同。甲方现场代表权限具体见甲方授权委托书。</w:t>
      </w:r>
    </w:p>
    <w:p w14:paraId="2EE01859">
      <w:pPr>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 xml:space="preserve">.2 </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项目经理信息（条款说明：各项目可根据不同情况需要进行调整）</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姓名：【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身份证号：【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执业资格等级：【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建造师注册证书编号：【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联系电话：【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电子信箱：【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通信地址：【      】</w:t>
      </w:r>
    </w:p>
    <w:p w14:paraId="5916206E">
      <w:pPr>
        <w:spacing w:line="480" w:lineRule="exact"/>
        <w:ind w:left="0" w:leftChars="0"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 xml:space="preserve">.3 </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技术负责人（条款说明：各项目可根据不同情况需要进行调整）</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姓名：【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身份证号：【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执业证书编号：【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联系电话：【      】</w:t>
      </w:r>
    </w:p>
    <w:p w14:paraId="04A275AD">
      <w:pPr>
        <w:pStyle w:val="63"/>
        <w:spacing w:line="480" w:lineRule="exact"/>
        <w:ind w:left="559" w:leftChars="266"/>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 xml:space="preserve">.4 </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质量管理人员</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rPr>
        <w:t>姓名：【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rPr>
        <w:t>身份证号：【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rPr>
        <w:t>执业证书编号：【      】</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rPr>
        <w:t>联系电话：【      】</w:t>
      </w:r>
    </w:p>
    <w:p w14:paraId="6CC35E54">
      <w:pPr>
        <w:pStyle w:val="5"/>
        <w:ind w:left="0" w:leftChars="0" w:firstLine="562" w:firstLineChars="200"/>
        <w:rPr>
          <w:bCs w:val="0"/>
          <w:color w:val="000000"/>
          <w:highlight w:val="none"/>
        </w:rPr>
      </w:pPr>
      <w:bookmarkStart w:id="817" w:name="_Toc14146"/>
      <w:r>
        <w:rPr>
          <w:rFonts w:hint="eastAsia"/>
          <w:bCs w:val="0"/>
          <w:color w:val="000000"/>
          <w:highlight w:val="none"/>
        </w:rPr>
        <w:t>十、合同文件构成及解释顺序</w:t>
      </w:r>
      <w:bookmarkEnd w:id="817"/>
    </w:p>
    <w:p w14:paraId="0D2B7D7F">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本协议书与下列文件一起构成合同文件：</w:t>
      </w:r>
    </w:p>
    <w:p w14:paraId="74AC1271">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（1）合同协议书；</w:t>
      </w:r>
    </w:p>
    <w:p w14:paraId="23E77FC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（2）本合同条款及承诺书等合同附件；</w:t>
      </w:r>
    </w:p>
    <w:p w14:paraId="2EB93B5E">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（3）中标通知书（如有）；</w:t>
      </w:r>
    </w:p>
    <w:p w14:paraId="5E221719">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（4）技术标准和要求；</w:t>
      </w:r>
    </w:p>
    <w:p w14:paraId="7219E361">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（5）图纸；</w:t>
      </w:r>
    </w:p>
    <w:p w14:paraId="1EDA1C30">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（6）已标价的工程量清单与计价表；</w:t>
      </w:r>
    </w:p>
    <w:p w14:paraId="7B700E7D">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（7）往来资料；</w:t>
      </w:r>
    </w:p>
    <w:p w14:paraId="15216AEF">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（8）甲方的招标文件；</w:t>
      </w:r>
    </w:p>
    <w:p w14:paraId="6DB17974">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w:t>
      </w:r>
      <w:r>
        <w:rPr>
          <w:rFonts w:ascii="仿宋_GB2312" w:hAnsi="仿宋_GB2312" w:eastAsia="仿宋_GB2312" w:cs="仿宋_GB2312"/>
          <w:color w:val="000000"/>
          <w:sz w:val="28"/>
          <w:szCs w:val="28"/>
          <w:highlight w:val="none"/>
        </w:rPr>
        <w:t>9</w:t>
      </w:r>
      <w:r>
        <w:rPr>
          <w:rFonts w:hint="eastAsia" w:ascii="仿宋_GB2312" w:hAnsi="仿宋_GB2312" w:eastAsia="仿宋_GB2312" w:cs="仿宋_GB2312"/>
          <w:color w:val="000000"/>
          <w:sz w:val="28"/>
          <w:szCs w:val="28"/>
          <w:highlight w:val="none"/>
        </w:rPr>
        <w:t>）甲方现场管理制度及要求；</w:t>
      </w:r>
    </w:p>
    <w:p w14:paraId="1C5AFA72">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w:t>
      </w:r>
      <w:r>
        <w:rPr>
          <w:rFonts w:ascii="仿宋_GB2312" w:hAnsi="仿宋_GB2312" w:eastAsia="仿宋_GB2312" w:cs="仿宋_GB2312"/>
          <w:color w:val="000000"/>
          <w:sz w:val="28"/>
          <w:szCs w:val="28"/>
          <w:highlight w:val="none"/>
        </w:rPr>
        <w:t>10</w:t>
      </w:r>
      <w:r>
        <w:rPr>
          <w:rFonts w:hint="eastAsia" w:ascii="仿宋_GB2312" w:hAnsi="仿宋_GB2312" w:eastAsia="仿宋_GB2312" w:cs="仿宋_GB2312"/>
          <w:color w:val="000000"/>
          <w:sz w:val="28"/>
          <w:szCs w:val="28"/>
          <w:highlight w:val="none"/>
        </w:rPr>
        <w:t>）乙方的投标文件（价格除外）。</w:t>
      </w:r>
    </w:p>
    <w:p w14:paraId="481523A7">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在合同订立及履行过程中形成的与合同有关的文件均为合同文件的组成部分。</w:t>
      </w:r>
    </w:p>
    <w:p w14:paraId="179E4571">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上述各项合同文件中包括合同当事人就该项合同文件所做出的补充和修改，属于同一类型内容的文件应以最新签署的为准。</w:t>
      </w:r>
    </w:p>
    <w:p w14:paraId="29439C6C">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组成合同的各项文件应互相解释，互为说明。本合同约定解释合同文件的优先顺序同上述排列次序，在合同订立及履行过程中形成的与合同有关的文件根据其性质确定优先解释顺序。</w:t>
      </w:r>
    </w:p>
    <w:p w14:paraId="10F61438">
      <w:pPr>
        <w:pStyle w:val="5"/>
        <w:ind w:left="0" w:leftChars="0" w:firstLine="562" w:firstLineChars="200"/>
        <w:rPr>
          <w:bCs w:val="0"/>
          <w:color w:val="000000"/>
          <w:highlight w:val="none"/>
        </w:rPr>
      </w:pPr>
      <w:bookmarkStart w:id="818" w:name="_Toc16034"/>
      <w:r>
        <w:rPr>
          <w:rFonts w:hint="eastAsia"/>
          <w:bCs w:val="0"/>
          <w:color w:val="000000"/>
          <w:highlight w:val="none"/>
        </w:rPr>
        <w:t>十一、乙方承诺</w:t>
      </w:r>
      <w:bookmarkEnd w:id="818"/>
    </w:p>
    <w:p w14:paraId="35A2A18A">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11.1</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按照法律规定及合同约定组织完成分包工作，确保分包作业质量和安全，不进行转包及再分包，并按时足额向分包作业人员发放工资。</w:t>
      </w:r>
    </w:p>
    <w:p w14:paraId="602FEE29">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11.2</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完成总承包合同中与本分包工程有关的甲方所有义务，并承担总承包合同中关于本分包工程的质量、安全、经济等连带责任。</w:t>
      </w:r>
    </w:p>
    <w:p w14:paraId="5374C21D">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sz w:val="28"/>
          <w:szCs w:val="28"/>
          <w:highlight w:val="none"/>
        </w:rPr>
        <w:t xml:space="preserve">11.3 </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rPr>
        <w:t>承诺按照</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rPr>
        <w:t>要求使用全国劳务实名制平台、相关方系统及手持终端系统，并配置专（兼）职管理员进行日常管理维护，承认全国劳务实名制平台、相关方系统及手持终端系统相关文件及相关数据具有法律效力，并对所招用农民工的实名制管理和工资支付负直接责任</w:t>
      </w:r>
      <w:r>
        <w:rPr>
          <w:rFonts w:hint="eastAsia" w:ascii="仿宋_GB2312" w:hAnsi="仿宋_GB2312" w:eastAsia="仿宋_GB2312" w:cs="仿宋_GB2312"/>
          <w:color w:val="000000"/>
          <w:sz w:val="28"/>
          <w:szCs w:val="28"/>
          <w:highlight w:val="none"/>
        </w:rPr>
        <w:t>。</w:t>
      </w:r>
    </w:p>
    <w:p w14:paraId="289E0E47">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11.</w:t>
      </w:r>
      <w:r>
        <w:rPr>
          <w:rFonts w:hint="eastAsia" w:ascii="仿宋_GB2312" w:hAnsi="仿宋_GB2312" w:eastAsia="仿宋_GB2312" w:cs="仿宋_GB2312"/>
          <w:color w:val="000000"/>
          <w:sz w:val="28"/>
          <w:szCs w:val="28"/>
          <w:highlight w:val="none"/>
          <w:lang w:val="en-US" w:eastAsia="zh-CN"/>
        </w:rPr>
        <w:t>4</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乙方应当积极维护甲方名誉，不得以甲方及甲方关联公司名义发布自媒体作品，接受媒体、建设单位、行政机关、司法机关等第三方的采访、调查、问询等，或通过其他形式发表言论。</w:t>
      </w:r>
    </w:p>
    <w:p w14:paraId="71CE20FB">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11.5</w:t>
      </w:r>
      <w:r>
        <w:rPr>
          <w:rFonts w:ascii="仿宋_GB2312" w:hAnsi="仿宋_GB2312" w:eastAsia="仿宋_GB2312" w:cs="仿宋_GB2312"/>
          <w:color w:val="000000"/>
          <w:sz w:val="28"/>
          <w:szCs w:val="28"/>
          <w:highlight w:val="none"/>
        </w:rPr>
        <w:t xml:space="preserve"> </w:t>
      </w:r>
      <w:r>
        <w:rPr>
          <w:rFonts w:hint="eastAsia" w:ascii="仿宋_GB2312" w:hAnsi="仿宋_GB2312" w:eastAsia="仿宋_GB2312" w:cs="仿宋_GB2312"/>
          <w:color w:val="000000"/>
          <w:sz w:val="28"/>
          <w:szCs w:val="28"/>
          <w:highlight w:val="none"/>
        </w:rPr>
        <w:t>根据《保障农民工工资支付条例》第1</w:t>
      </w:r>
      <w:r>
        <w:rPr>
          <w:rFonts w:ascii="仿宋_GB2312" w:hAnsi="仿宋_GB2312" w:eastAsia="仿宋_GB2312" w:cs="仿宋_GB2312"/>
          <w:color w:val="000000"/>
          <w:sz w:val="28"/>
          <w:szCs w:val="28"/>
          <w:highlight w:val="none"/>
        </w:rPr>
        <w:t>5</w:t>
      </w:r>
      <w:r>
        <w:rPr>
          <w:rFonts w:hint="eastAsia" w:ascii="仿宋_GB2312" w:hAnsi="仿宋_GB2312" w:eastAsia="仿宋_GB2312" w:cs="仿宋_GB2312"/>
          <w:color w:val="000000"/>
          <w:sz w:val="28"/>
          <w:szCs w:val="28"/>
          <w:highlight w:val="none"/>
        </w:rPr>
        <w:t>条规定，乙方应当按照工资支付周期编制书面工资支付台账，并至少保存3年。书面工资支付台账应当包括乙方名称，支付周期，支付日期，支付对象姓名、身份证号码、联系方式，工作时间，应发工资项目及数额，代扣、代缴、扣除项目和数额，实发工资数额，银行代发工资凭证或者农民工签字等内容。乙方在甲方支付每笔工程款后【7】天内，需将上述资料复印件加盖乙方公章后提交至甲方存档，如未编制书面工资支付台账且未在期限内提交工资发放凭证，乙方需向甲方承担签约合同价【</w:t>
      </w:r>
      <w:r>
        <w:rPr>
          <w:rFonts w:hint="eastAsia" w:ascii="仿宋_GB2312" w:hAnsi="仿宋_GB2312" w:eastAsia="仿宋_GB2312" w:cs="仿宋_GB2312"/>
          <w:color w:val="000000"/>
          <w:sz w:val="28"/>
          <w:szCs w:val="28"/>
          <w:highlight w:val="none"/>
          <w:lang w:val="en-US" w:eastAsia="zh-CN"/>
        </w:rPr>
        <w:t>1</w:t>
      </w:r>
      <w:r>
        <w:rPr>
          <w:rFonts w:hint="eastAsia" w:ascii="仿宋_GB2312" w:hAnsi="仿宋_GB2312" w:eastAsia="仿宋_GB2312" w:cs="仿宋_GB2312"/>
          <w:color w:val="000000"/>
          <w:sz w:val="28"/>
          <w:szCs w:val="28"/>
          <w:highlight w:val="none"/>
        </w:rPr>
        <w:t>】%/次的违约责任。</w:t>
      </w:r>
    </w:p>
    <w:p w14:paraId="75B26FC4">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如因乙方原因导致甲方及甲方关联公司名誉受损的，除应支付违约金外，还应赔偿甲方因此而遭受的全部损失，以及甲方为恢复名誉而支付的差旅费、诉讼费、律师费等，并应在事件发生后【24小时】内通过具有全国影响力的主流媒体公开向甲方道歉并澄清相关事实。</w:t>
      </w:r>
    </w:p>
    <w:p w14:paraId="08B3CD98">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上述违约金及赔偿金，甲方有权从乙方缴纳的全部履约保证金或履约保函中直接扣除，也可从任何一笔应支付乙方的工程款中直接扣除，乙方对此知悉并同意，且甲方有权解除合同，解除合同造成的全部损失由乙方承担。</w:t>
      </w:r>
    </w:p>
    <w:p w14:paraId="1F85F915">
      <w:pPr>
        <w:pStyle w:val="5"/>
        <w:ind w:left="0" w:leftChars="0" w:firstLine="562" w:firstLineChars="200"/>
        <w:rPr>
          <w:rFonts w:hint="default"/>
          <w:bCs w:val="0"/>
          <w:color w:val="000000"/>
          <w:highlight w:val="none"/>
          <w:lang w:val="en-US" w:eastAsia="zh-CN"/>
        </w:rPr>
      </w:pPr>
      <w:bookmarkStart w:id="819" w:name="_Toc29244"/>
      <w:r>
        <w:rPr>
          <w:rFonts w:hint="eastAsia"/>
          <w:bCs w:val="0"/>
          <w:color w:val="000000"/>
          <w:highlight w:val="none"/>
          <w:lang w:val="en-US" w:eastAsia="zh-CN"/>
        </w:rPr>
        <w:t>十二、工程保修缺陷责任</w:t>
      </w:r>
      <w:bookmarkEnd w:id="819"/>
    </w:p>
    <w:p w14:paraId="6BB4250E">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按《建设工程质量管理条例》执行。在正常使用条件下，本工程保修期限为【</w:t>
      </w:r>
      <w:r>
        <w:rPr>
          <w:rFonts w:hint="eastAsia" w:ascii="仿宋_GB2312" w:hAnsi="仿宋_GB2312" w:eastAsia="仿宋_GB2312" w:cs="仿宋_GB2312"/>
          <w:color w:val="000000"/>
          <w:sz w:val="28"/>
          <w:szCs w:val="28"/>
          <w:highlight w:val="none"/>
          <w:lang w:val="en-US" w:eastAsia="zh-CN"/>
        </w:rPr>
        <w:t>2年</w:t>
      </w:r>
      <w:r>
        <w:rPr>
          <w:rFonts w:hint="eastAsia" w:ascii="仿宋_GB2312" w:hAnsi="仿宋_GB2312" w:eastAsia="仿宋_GB2312" w:cs="仿宋_GB2312"/>
          <w:color w:val="000000"/>
          <w:sz w:val="28"/>
          <w:szCs w:val="28"/>
          <w:highlight w:val="none"/>
        </w:rPr>
        <w:t>】，自【整体工程】竣工验收合格之日起计算。</w:t>
      </w:r>
    </w:p>
    <w:p w14:paraId="10FF0B3C">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质保金的返还：自【整体工程】竣工验收合格之日起满【</w:t>
      </w: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color w:val="000000"/>
          <w:sz w:val="28"/>
          <w:szCs w:val="28"/>
          <w:highlight w:val="none"/>
        </w:rPr>
        <w:t>】年，工程无任何质量缺陷，【</w:t>
      </w:r>
      <w:r>
        <w:rPr>
          <w:rFonts w:hint="eastAsia" w:ascii="仿宋_GB2312" w:hAnsi="仿宋_GB2312" w:eastAsia="仿宋_GB2312" w:cs="仿宋_GB2312"/>
          <w:color w:val="000000"/>
          <w:sz w:val="28"/>
          <w:szCs w:val="28"/>
          <w:highlight w:val="none"/>
          <w:lang w:val="en-US" w:eastAsia="zh-CN"/>
        </w:rPr>
        <w:t>60</w:t>
      </w:r>
      <w:r>
        <w:rPr>
          <w:rFonts w:hint="eastAsia" w:ascii="仿宋_GB2312" w:hAnsi="仿宋_GB2312" w:eastAsia="仿宋_GB2312" w:cs="仿宋_GB2312"/>
          <w:color w:val="000000"/>
          <w:sz w:val="28"/>
          <w:szCs w:val="28"/>
          <w:highlight w:val="none"/>
        </w:rPr>
        <w:t>】天内支付。</w:t>
      </w:r>
    </w:p>
    <w:p w14:paraId="1CCAF8E5">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如该工程在保修期内出现质量问题，乙方在接到甲方维修通知后应当在24小时内派人前往维修处理。如乙方未能按照约定履行维修义务，甲方可自行组织人员维修，所产生的维修费用全部由乙方承担，甲方有权在乙方的质保金中扣除，并要求乙方承担维修费用【</w:t>
      </w:r>
      <w:r>
        <w:rPr>
          <w:rFonts w:hint="eastAsia" w:ascii="仿宋_GB2312" w:hAnsi="仿宋_GB2312" w:eastAsia="仿宋_GB2312" w:cs="仿宋_GB2312"/>
          <w:color w:val="000000"/>
          <w:sz w:val="28"/>
          <w:szCs w:val="28"/>
          <w:highlight w:val="none"/>
          <w:lang w:val="en-US" w:eastAsia="zh-CN"/>
        </w:rPr>
        <w:t>10</w:t>
      </w:r>
      <w:r>
        <w:rPr>
          <w:rFonts w:hint="eastAsia" w:ascii="仿宋_GB2312" w:hAnsi="仿宋_GB2312" w:eastAsia="仿宋_GB2312" w:cs="仿宋_GB2312"/>
          <w:color w:val="000000"/>
          <w:sz w:val="28"/>
          <w:szCs w:val="28"/>
          <w:highlight w:val="none"/>
        </w:rPr>
        <w:t>】%的违约金，不足部分及因乙方拒绝维修导致额外的损失，甲方将继续向乙方追偿。</w:t>
      </w:r>
    </w:p>
    <w:p w14:paraId="03E9EDE3">
      <w:pPr>
        <w:pStyle w:val="5"/>
        <w:ind w:left="0" w:leftChars="0" w:firstLine="562" w:firstLineChars="200"/>
        <w:rPr>
          <w:rFonts w:hint="eastAsia" w:ascii="仿宋_GB2312" w:hAnsi="仿宋_GB2312" w:eastAsia="仿宋_GB2312" w:cs="仿宋_GB2312"/>
          <w:b w:val="0"/>
          <w:bCs w:val="0"/>
          <w:color w:val="FF0000"/>
          <w:highlight w:val="none"/>
        </w:rPr>
      </w:pPr>
      <w:bookmarkStart w:id="820" w:name="_Toc13105"/>
      <w:r>
        <w:rPr>
          <w:rFonts w:hint="eastAsia"/>
          <w:bCs w:val="0"/>
          <w:color w:val="000000"/>
          <w:highlight w:val="none"/>
        </w:rPr>
        <w:t>十三、争议解决</w:t>
      </w:r>
      <w:r>
        <w:rPr>
          <w:rFonts w:hint="eastAsia" w:ascii="仿宋_GB2312" w:hAnsi="仿宋_GB2312" w:eastAsia="仿宋_GB2312" w:cs="仿宋_GB2312"/>
          <w:color w:val="C00000"/>
          <w:highlight w:val="none"/>
        </w:rPr>
        <w:t>（*核心条款</w:t>
      </w:r>
      <w:r>
        <w:rPr>
          <w:rFonts w:hint="eastAsia" w:ascii="仿宋_GB2312" w:hAnsi="仿宋_GB2312" w:eastAsia="仿宋_GB2312" w:cs="仿宋_GB2312"/>
          <w:b w:val="0"/>
          <w:bCs w:val="0"/>
          <w:color w:val="C00000"/>
          <w:highlight w:val="none"/>
        </w:rPr>
        <w:t>）</w:t>
      </w:r>
      <w:bookmarkEnd w:id="820"/>
    </w:p>
    <w:p w14:paraId="3B7DB919">
      <w:pPr>
        <w:spacing w:line="48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因本合同引起或与之相关的任何争议、纠纷或权利主张，双方可先行通过和解方式解决，或采用下列第【③】种争议解决方式：</w:t>
      </w:r>
    </w:p>
    <w:p w14:paraId="6605EC5B">
      <w:pPr>
        <w:spacing w:line="480" w:lineRule="exact"/>
        <w:ind w:firstLine="560" w:firstLineChars="200"/>
        <w:rPr>
          <w:rFonts w:hint="eastAsia" w:ascii="仿宋_GB2312" w:hAnsi="仿宋_GB2312" w:eastAsia="仿宋_GB2312" w:cs="仿宋_GB2312"/>
          <w:color w:val="0000FF"/>
          <w:sz w:val="28"/>
          <w:szCs w:val="28"/>
          <w:highlight w:val="none"/>
        </w:rPr>
      </w:pPr>
      <w:r>
        <w:rPr>
          <w:rFonts w:hint="eastAsia" w:ascii="仿宋_GB2312" w:hAnsi="仿宋_GB2312" w:eastAsia="仿宋_GB2312" w:cs="仿宋_GB2312"/>
          <w:color w:val="0000FF"/>
          <w:sz w:val="28"/>
          <w:szCs w:val="28"/>
          <w:highlight w:val="none"/>
        </w:rPr>
        <w:t>①因本合同引起的或与本合同有关的任何争议，本合同各方当事人均同意提请【</w:t>
      </w:r>
      <w:r>
        <w:rPr>
          <w:rFonts w:hint="eastAsia" w:ascii="仿宋_GB2312" w:hAnsi="仿宋_GB2312" w:eastAsia="仿宋_GB2312" w:cs="仿宋_GB2312"/>
          <w:color w:val="0000FF"/>
          <w:sz w:val="28"/>
          <w:szCs w:val="28"/>
          <w:highlight w:val="none"/>
          <w:lang w:val="en-US" w:eastAsia="zh-CN"/>
        </w:rPr>
        <w:t>来宾市</w:t>
      </w:r>
      <w:r>
        <w:rPr>
          <w:rFonts w:hint="eastAsia" w:ascii="仿宋_GB2312" w:hAnsi="仿宋_GB2312" w:eastAsia="仿宋_GB2312" w:cs="仿宋_GB2312"/>
          <w:color w:val="0000FF"/>
          <w:sz w:val="28"/>
          <w:szCs w:val="28"/>
          <w:highlight w:val="none"/>
        </w:rPr>
        <w:t>仲裁委员会】按照其仲裁规则进行仲裁。仲裁结果对本合同各当事人均有约束力。</w:t>
      </w:r>
    </w:p>
    <w:p w14:paraId="5C9E2B09">
      <w:pPr>
        <w:spacing w:line="480" w:lineRule="exact"/>
        <w:ind w:firstLine="560" w:firstLineChars="200"/>
        <w:rPr>
          <w:rFonts w:hint="eastAsia" w:ascii="仿宋_GB2312" w:hAnsi="仿宋_GB2312" w:eastAsia="仿宋_GB2312" w:cs="仿宋_GB2312"/>
          <w:color w:val="0000FF"/>
          <w:sz w:val="28"/>
          <w:szCs w:val="28"/>
          <w:highlight w:val="none"/>
        </w:rPr>
      </w:pPr>
      <w:r>
        <w:rPr>
          <w:rFonts w:hint="eastAsia" w:ascii="仿宋_GB2312" w:hAnsi="仿宋_GB2312" w:eastAsia="仿宋_GB2312" w:cs="仿宋_GB2312"/>
          <w:color w:val="0000FF"/>
          <w:sz w:val="28"/>
          <w:szCs w:val="28"/>
          <w:highlight w:val="none"/>
        </w:rPr>
        <w:t>②凡因本合同引起的或与本合同有关的任何争议，均提请【</w:t>
      </w:r>
      <w:r>
        <w:rPr>
          <w:rFonts w:hint="eastAsia" w:ascii="仿宋_GB2312" w:hAnsi="仿宋_GB2312" w:eastAsia="仿宋_GB2312" w:cs="仿宋_GB2312"/>
          <w:color w:val="0000FF"/>
          <w:sz w:val="28"/>
          <w:szCs w:val="28"/>
          <w:highlight w:val="none"/>
          <w:lang w:val="en-US" w:eastAsia="zh-CN"/>
        </w:rPr>
        <w:t>来宾市</w:t>
      </w:r>
      <w:r>
        <w:rPr>
          <w:rFonts w:hint="eastAsia" w:ascii="仿宋_GB2312" w:hAnsi="仿宋_GB2312" w:eastAsia="仿宋_GB2312" w:cs="仿宋_GB2312"/>
          <w:color w:val="0000FF"/>
          <w:sz w:val="28"/>
          <w:szCs w:val="28"/>
          <w:highlight w:val="none"/>
        </w:rPr>
        <w:t>仲裁委员会】按照该会现行仲裁规则进行仲裁。仲裁裁决是终局的，对双方均有约束力。</w:t>
      </w:r>
    </w:p>
    <w:p w14:paraId="57B72A7C">
      <w:pPr>
        <w:spacing w:line="480" w:lineRule="exact"/>
        <w:ind w:firstLine="560" w:firstLineChars="200"/>
        <w:rPr>
          <w:rFonts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③向【</w:t>
      </w:r>
      <w:r>
        <w:rPr>
          <w:rFonts w:hint="eastAsia" w:ascii="仿宋_GB2312" w:hAnsi="仿宋_GB2312" w:eastAsia="仿宋_GB2312" w:cs="仿宋_GB2312"/>
          <w:b/>
          <w:color w:val="000000"/>
          <w:sz w:val="28"/>
          <w:szCs w:val="28"/>
          <w:highlight w:val="none"/>
          <w:lang w:val="en-US" w:eastAsia="zh-CN"/>
        </w:rPr>
        <w:t>来宾市</w:t>
      </w:r>
      <w:r>
        <w:rPr>
          <w:rFonts w:hint="eastAsia" w:ascii="仿宋_GB2312" w:hAnsi="仿宋_GB2312" w:eastAsia="仿宋_GB2312" w:cs="仿宋_GB2312"/>
          <w:color w:val="000000"/>
          <w:sz w:val="28"/>
          <w:szCs w:val="28"/>
          <w:highlight w:val="none"/>
        </w:rPr>
        <w:t>】人民法院提起诉讼。</w:t>
      </w:r>
    </w:p>
    <w:p w14:paraId="744E349E">
      <w:pPr>
        <w:pStyle w:val="5"/>
        <w:ind w:left="0" w:leftChars="0" w:firstLine="562" w:firstLineChars="200"/>
        <w:rPr>
          <w:bCs w:val="0"/>
          <w:color w:val="000000"/>
          <w:highlight w:val="none"/>
        </w:rPr>
      </w:pPr>
      <w:bookmarkStart w:id="821" w:name="_Toc29239"/>
      <w:r>
        <w:rPr>
          <w:bCs w:val="0"/>
          <w:color w:val="000000"/>
          <w:highlight w:val="none"/>
        </w:rPr>
        <w:t>十</w:t>
      </w:r>
      <w:r>
        <w:rPr>
          <w:rFonts w:hint="eastAsia"/>
          <w:bCs w:val="0"/>
          <w:color w:val="000000"/>
          <w:highlight w:val="none"/>
        </w:rPr>
        <w:t>四、附则</w:t>
      </w:r>
      <w:bookmarkEnd w:id="821"/>
    </w:p>
    <w:p w14:paraId="1105E574">
      <w:pPr>
        <w:spacing w:line="480" w:lineRule="exact"/>
        <w:ind w:firstLine="560" w:firstLineChars="200"/>
        <w:rPr>
          <w:rFonts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1．合同订立时间：【</w:t>
      </w:r>
      <w:r>
        <w:rPr>
          <w:rFonts w:hint="eastAsia" w:ascii="仿宋_GB2312" w:hAnsi="仿宋_GB2312" w:eastAsia="仿宋_GB2312" w:cs="仿宋_GB2312"/>
          <w:bCs/>
          <w:color w:val="000000"/>
          <w:sz w:val="28"/>
          <w:szCs w:val="28"/>
          <w:highlight w:val="none"/>
          <w:lang w:val="en-US" w:eastAsia="zh-CN"/>
        </w:rPr>
        <w:t xml:space="preserve">   </w:t>
      </w:r>
      <w:r>
        <w:rPr>
          <w:rFonts w:hint="eastAsia" w:ascii="仿宋_GB2312" w:hAnsi="仿宋_GB2312" w:eastAsia="仿宋_GB2312" w:cs="仿宋_GB2312"/>
          <w:bCs/>
          <w:color w:val="000000"/>
          <w:sz w:val="28"/>
          <w:szCs w:val="28"/>
          <w:highlight w:val="none"/>
        </w:rPr>
        <w:t>】年【</w:t>
      </w:r>
      <w:r>
        <w:rPr>
          <w:rFonts w:hint="eastAsia" w:ascii="仿宋_GB2312" w:hAnsi="仿宋_GB2312" w:eastAsia="仿宋_GB2312" w:cs="仿宋_GB2312"/>
          <w:bCs/>
          <w:color w:val="000000"/>
          <w:sz w:val="28"/>
          <w:szCs w:val="28"/>
          <w:highlight w:val="none"/>
          <w:lang w:val="en-US" w:eastAsia="zh-CN"/>
        </w:rPr>
        <w:t xml:space="preserve">  </w:t>
      </w:r>
      <w:r>
        <w:rPr>
          <w:rFonts w:hint="eastAsia" w:ascii="仿宋_GB2312" w:hAnsi="仿宋_GB2312" w:eastAsia="仿宋_GB2312" w:cs="仿宋_GB2312"/>
          <w:bCs/>
          <w:color w:val="000000"/>
          <w:sz w:val="28"/>
          <w:szCs w:val="28"/>
          <w:highlight w:val="none"/>
        </w:rPr>
        <w:t>】月【  】日</w:t>
      </w:r>
    </w:p>
    <w:p w14:paraId="33E9B7B3">
      <w:pPr>
        <w:spacing w:line="480" w:lineRule="exact"/>
        <w:ind w:firstLine="560" w:firstLineChars="200"/>
        <w:rPr>
          <w:rFonts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2．合同订立地点：【</w:t>
      </w:r>
      <w:r>
        <w:rPr>
          <w:rFonts w:hint="eastAsia" w:ascii="仿宋_GB2312" w:hAnsi="仿宋_GB2312" w:eastAsia="仿宋_GB2312" w:cs="仿宋_GB2312"/>
          <w:bCs/>
          <w:color w:val="000000"/>
          <w:sz w:val="28"/>
          <w:szCs w:val="28"/>
          <w:highlight w:val="none"/>
          <w:lang w:val="en-US" w:eastAsia="zh-CN"/>
        </w:rPr>
        <w:t>南宁青秀区</w:t>
      </w:r>
      <w:r>
        <w:rPr>
          <w:rFonts w:hint="eastAsia" w:ascii="仿宋_GB2312" w:hAnsi="仿宋_GB2312" w:eastAsia="仿宋_GB2312" w:cs="仿宋_GB2312"/>
          <w:bCs/>
          <w:color w:val="000000"/>
          <w:sz w:val="28"/>
          <w:szCs w:val="28"/>
          <w:highlight w:val="none"/>
        </w:rPr>
        <w:t>】</w:t>
      </w:r>
    </w:p>
    <w:p w14:paraId="33C50FC1">
      <w:pPr>
        <w:spacing w:line="480" w:lineRule="exact"/>
        <w:ind w:firstLine="560" w:firstLineChars="200"/>
        <w:rPr>
          <w:rFonts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3．本合同采用下列第【</w:t>
      </w:r>
      <w:r>
        <w:rPr>
          <w:rFonts w:hint="eastAsia" w:ascii="仿宋_GB2312" w:hAnsi="仿宋_GB2312" w:eastAsia="仿宋_GB2312" w:cs="仿宋_GB2312"/>
          <w:bCs/>
          <w:color w:val="000000"/>
          <w:sz w:val="28"/>
          <w:szCs w:val="28"/>
          <w:highlight w:val="none"/>
          <w:lang w:val="en-US" w:eastAsia="zh-CN"/>
        </w:rPr>
        <w:t>1</w:t>
      </w:r>
      <w:r>
        <w:rPr>
          <w:rFonts w:hint="eastAsia" w:ascii="仿宋_GB2312" w:hAnsi="仿宋_GB2312" w:eastAsia="仿宋_GB2312" w:cs="仿宋_GB2312"/>
          <w:bCs/>
          <w:color w:val="000000"/>
          <w:sz w:val="28"/>
          <w:szCs w:val="28"/>
          <w:highlight w:val="none"/>
        </w:rPr>
        <w:t>】种方式签订：</w:t>
      </w:r>
    </w:p>
    <w:p w14:paraId="4CE2DFA1">
      <w:pPr>
        <w:spacing w:line="480" w:lineRule="exact"/>
        <w:ind w:firstLine="560" w:firstLineChars="200"/>
        <w:rPr>
          <w:rFonts w:ascii="仿宋_GB2312" w:hAnsi="仿宋_GB2312" w:eastAsia="仿宋_GB2312" w:cs="仿宋_GB2312"/>
          <w:bCs/>
          <w:color w:val="000000"/>
          <w:sz w:val="28"/>
          <w:szCs w:val="28"/>
          <w:highlight w:val="none"/>
        </w:rPr>
      </w:pPr>
      <w:r>
        <w:rPr>
          <w:rFonts w:hint="eastAsia" w:ascii="仿宋_GB2312" w:hAnsi="仿宋_GB2312" w:eastAsia="仿宋_GB2312" w:cs="仿宋_GB2312"/>
          <w:bCs/>
          <w:color w:val="000000"/>
          <w:sz w:val="28"/>
          <w:szCs w:val="28"/>
          <w:highlight w:val="none"/>
        </w:rPr>
        <w:t>（1）本合同自双方签字并盖章后生效，一式【</w:t>
      </w:r>
      <w:r>
        <w:rPr>
          <w:rFonts w:hint="eastAsia" w:ascii="仿宋_GB2312" w:hAnsi="仿宋_GB2312" w:eastAsia="仿宋_GB2312" w:cs="仿宋_GB2312"/>
          <w:bCs/>
          <w:color w:val="000000"/>
          <w:sz w:val="28"/>
          <w:szCs w:val="28"/>
          <w:highlight w:val="none"/>
          <w:lang w:val="en-US" w:eastAsia="zh-CN"/>
        </w:rPr>
        <w:t>四</w:t>
      </w:r>
      <w:r>
        <w:rPr>
          <w:rFonts w:hint="eastAsia" w:ascii="仿宋_GB2312" w:hAnsi="仿宋_GB2312" w:eastAsia="仿宋_GB2312" w:cs="仿宋_GB2312"/>
          <w:bCs/>
          <w:color w:val="000000"/>
          <w:sz w:val="28"/>
          <w:szCs w:val="28"/>
          <w:highlight w:val="none"/>
        </w:rPr>
        <w:t>】份，甲方执【</w:t>
      </w:r>
      <w:r>
        <w:rPr>
          <w:rFonts w:hint="eastAsia" w:ascii="仿宋_GB2312" w:hAnsi="仿宋_GB2312" w:eastAsia="仿宋_GB2312" w:cs="仿宋_GB2312"/>
          <w:bCs/>
          <w:color w:val="000000"/>
          <w:sz w:val="28"/>
          <w:szCs w:val="28"/>
          <w:highlight w:val="none"/>
          <w:lang w:val="en-US" w:eastAsia="zh-CN"/>
        </w:rPr>
        <w:t>三</w:t>
      </w:r>
      <w:r>
        <w:rPr>
          <w:rFonts w:hint="eastAsia" w:ascii="仿宋_GB2312" w:hAnsi="仿宋_GB2312" w:eastAsia="仿宋_GB2312" w:cs="仿宋_GB2312"/>
          <w:bCs/>
          <w:color w:val="000000"/>
          <w:sz w:val="28"/>
          <w:szCs w:val="28"/>
          <w:highlight w:val="none"/>
        </w:rPr>
        <w:t>】份，乙方执【</w:t>
      </w:r>
      <w:r>
        <w:rPr>
          <w:rFonts w:hint="eastAsia" w:ascii="仿宋_GB2312" w:hAnsi="仿宋_GB2312" w:eastAsia="仿宋_GB2312" w:cs="仿宋_GB2312"/>
          <w:bCs/>
          <w:color w:val="000000"/>
          <w:sz w:val="28"/>
          <w:szCs w:val="28"/>
          <w:highlight w:val="none"/>
          <w:lang w:val="en-US" w:eastAsia="zh-CN"/>
        </w:rPr>
        <w:t>壹</w:t>
      </w:r>
      <w:r>
        <w:rPr>
          <w:rFonts w:hint="eastAsia" w:ascii="仿宋_GB2312" w:hAnsi="仿宋_GB2312" w:eastAsia="仿宋_GB2312" w:cs="仿宋_GB2312"/>
          <w:bCs/>
          <w:color w:val="000000"/>
          <w:sz w:val="28"/>
          <w:szCs w:val="28"/>
          <w:highlight w:val="none"/>
        </w:rPr>
        <w:t>】份，每份具有同等法律效力。</w:t>
      </w:r>
    </w:p>
    <w:p w14:paraId="4D257E30">
      <w:pPr>
        <w:spacing w:line="480" w:lineRule="exact"/>
        <w:ind w:firstLine="560" w:firstLineChars="200"/>
        <w:rPr>
          <w:rFonts w:ascii="仿宋_GB2312" w:hAnsi="仿宋_GB2312" w:eastAsia="仿宋_GB2312" w:cs="仿宋_GB2312"/>
          <w:color w:val="C00000"/>
          <w:sz w:val="28"/>
          <w:szCs w:val="28"/>
          <w:highlight w:val="none"/>
        </w:rPr>
      </w:pPr>
      <w:r>
        <w:rPr>
          <w:rFonts w:hint="eastAsia" w:ascii="仿宋_GB2312" w:hAnsi="仿宋_GB2312" w:eastAsia="仿宋_GB2312" w:cs="仿宋_GB2312"/>
          <w:bCs/>
          <w:color w:val="000000"/>
          <w:sz w:val="28"/>
          <w:szCs w:val="28"/>
          <w:highlight w:val="none"/>
        </w:rPr>
        <w:t>（2）本合同采用电子签章签署生效。根据《中华人民共和国民法典》《中华人民共和国电子签名法》等相关法律、法规，双方一致认可在【电子文件签署平台】平台（网址：【http://wei.cscec5b.com.cn:9000/supp/#/login】）使用电子印章签署合同为其真实意思表示，且确保在该平台注册时，使用的企业信息和个人相关信息真实有效，并且自觉遵守国家法律法规和甲方在该平台的合同签约流程。甲乙双方使用电子签章方式签署的合同，只有通过验证生效的电子原件具有法律效力，未经电子印章服务平台公司提供书面证明材料的电子合同打印版不能作为法律依据。如因乙方使用不当给甲方造成损失，乙方愿自行承担由此造成的全部经济损失和法律责任。</w:t>
      </w:r>
    </w:p>
    <w:p w14:paraId="334638A0">
      <w:pPr>
        <w:spacing w:line="480" w:lineRule="exact"/>
        <w:ind w:firstLine="560" w:firstLineChars="200"/>
        <w:rPr>
          <w:rFonts w:hint="eastAsia" w:ascii="仿宋_GB2312" w:hAnsi="仿宋_GB2312" w:eastAsia="仿宋_GB2312" w:cs="仿宋_GB2312"/>
          <w:b/>
          <w:bCs/>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本合同条款（包括但不限于免责条款、责任限制条款等）均经双方充分协商，双方已就全部条款内容达成一致意见，不存在单方预先拟定且未予协商的情形。</w:t>
      </w:r>
    </w:p>
    <w:p w14:paraId="3A3B70E9">
      <w:pPr>
        <w:spacing w:line="480" w:lineRule="auto"/>
        <w:jc w:val="left"/>
        <w:rPr>
          <w:rFonts w:hint="eastAsia" w:ascii="仿宋_GB2312" w:hAnsi="仿宋_GB2312" w:eastAsia="仿宋_GB2312" w:cs="仿宋_GB2312"/>
          <w:b/>
          <w:bCs/>
          <w:sz w:val="28"/>
          <w:szCs w:val="28"/>
          <w:highlight w:val="none"/>
        </w:rPr>
      </w:pPr>
    </w:p>
    <w:p w14:paraId="073CB00C">
      <w:pPr>
        <w:spacing w:line="480" w:lineRule="auto"/>
        <w:jc w:val="left"/>
        <w:rPr>
          <w:rFonts w:hint="eastAsia" w:ascii="仿宋_GB2312" w:hAnsi="仿宋_GB2312" w:eastAsia="仿宋_GB2312" w:cs="仿宋_GB2312"/>
          <w:b/>
          <w:bCs/>
          <w:color w:val="C00000"/>
          <w:sz w:val="28"/>
          <w:szCs w:val="28"/>
          <w:highlight w:val="none"/>
        </w:rPr>
      </w:pPr>
      <w:r>
        <w:rPr>
          <w:rFonts w:hint="eastAsia" w:ascii="仿宋_GB2312" w:hAnsi="仿宋_GB2312" w:eastAsia="仿宋_GB2312" w:cs="仿宋_GB2312"/>
          <w:b/>
          <w:bCs/>
          <w:sz w:val="28"/>
          <w:szCs w:val="28"/>
          <w:highlight w:val="none"/>
        </w:rPr>
        <w:t>（以下无正文）</w:t>
      </w:r>
    </w:p>
    <w:p w14:paraId="5AE3C85C">
      <w:pPr>
        <w:spacing w:line="480" w:lineRule="exact"/>
        <w:ind w:firstLine="560" w:firstLineChars="200"/>
        <w:rPr>
          <w:rFonts w:hint="eastAsia" w:ascii="仿宋_GB2312" w:hAnsi="仿宋_GB2312" w:eastAsia="仿宋_GB2312" w:cs="仿宋_GB2312"/>
          <w:color w:val="C00000"/>
          <w:sz w:val="28"/>
          <w:szCs w:val="28"/>
          <w:highlight w:val="none"/>
        </w:rPr>
      </w:pPr>
    </w:p>
    <w:p w14:paraId="5627DF46">
      <w:pPr>
        <w:spacing w:line="480" w:lineRule="exact"/>
        <w:ind w:firstLine="560" w:firstLineChars="200"/>
        <w:rPr>
          <w:rFonts w:hint="eastAsia" w:ascii="仿宋_GB2312" w:hAnsi="仿宋_GB2312" w:eastAsia="仿宋_GB2312" w:cs="仿宋_GB2312"/>
          <w:color w:val="C00000"/>
          <w:sz w:val="28"/>
          <w:szCs w:val="28"/>
          <w:highlight w:val="none"/>
        </w:rPr>
      </w:pPr>
    </w:p>
    <w:p w14:paraId="0B75DB45">
      <w:pPr>
        <w:spacing w:line="480" w:lineRule="exact"/>
        <w:ind w:firstLine="560" w:firstLineChars="200"/>
        <w:rPr>
          <w:rFonts w:hint="eastAsia" w:ascii="仿宋_GB2312" w:hAnsi="仿宋_GB2312" w:eastAsia="仿宋_GB2312" w:cs="仿宋_GB2312"/>
          <w:color w:val="C00000"/>
          <w:sz w:val="28"/>
          <w:szCs w:val="28"/>
          <w:highlight w:val="none"/>
        </w:rPr>
      </w:pPr>
    </w:p>
    <w:p w14:paraId="55334A99">
      <w:pPr>
        <w:spacing w:line="480" w:lineRule="exact"/>
        <w:ind w:firstLine="560" w:firstLineChars="200"/>
        <w:rPr>
          <w:rFonts w:hint="eastAsia" w:ascii="仿宋_GB2312" w:hAnsi="仿宋_GB2312" w:eastAsia="仿宋_GB2312" w:cs="仿宋_GB2312"/>
          <w:color w:val="C00000"/>
          <w:sz w:val="28"/>
          <w:szCs w:val="28"/>
          <w:highlight w:val="none"/>
        </w:rPr>
      </w:pPr>
    </w:p>
    <w:p w14:paraId="1DB50C59">
      <w:pPr>
        <w:spacing w:line="480" w:lineRule="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甲方：【盖章】                  乙方：【盖章】</w:t>
      </w:r>
    </w:p>
    <w:p w14:paraId="5FCB9E24">
      <w:pPr>
        <w:spacing w:line="480" w:lineRule="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法定代表人：【签字】            法定代表人：【签字】</w:t>
      </w:r>
    </w:p>
    <w:p w14:paraId="33A56D05">
      <w:pPr>
        <w:spacing w:line="480" w:lineRule="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委托代理人：【签字】            委托代理人：【签字】                   </w:t>
      </w:r>
    </w:p>
    <w:p w14:paraId="0808E36B">
      <w:pPr>
        <w:spacing w:line="480" w:lineRule="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 xml:space="preserve">甲方现场代表：【签字】          乙方现场代表：【签字】                                        </w:t>
      </w:r>
    </w:p>
    <w:p w14:paraId="0EFCF24A">
      <w:pPr>
        <w:spacing w:line="480" w:lineRule="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日  期：【    】                日  期：【    】</w:t>
      </w:r>
    </w:p>
    <w:p w14:paraId="191C9518">
      <w:pPr>
        <w:pStyle w:val="4"/>
        <w:spacing w:line="480" w:lineRule="exact"/>
        <w:jc w:val="center"/>
        <w:rPr>
          <w:rFonts w:hint="eastAsia" w:ascii="华文中宋" w:hAnsi="华文中宋" w:eastAsia="华文中宋"/>
          <w:sz w:val="40"/>
          <w:szCs w:val="40"/>
          <w:highlight w:val="none"/>
        </w:rPr>
      </w:pPr>
      <w:bookmarkStart w:id="822" w:name="_Toc12261"/>
      <w:bookmarkStart w:id="823" w:name="_Toc132359800"/>
      <w:r>
        <w:rPr>
          <w:rFonts w:ascii="华文中宋" w:hAnsi="华文中宋" w:eastAsia="华文中宋"/>
          <w:sz w:val="40"/>
          <w:szCs w:val="40"/>
          <w:highlight w:val="none"/>
        </w:rPr>
        <w:t>第二部分  合同条款</w:t>
      </w:r>
      <w:bookmarkEnd w:id="822"/>
      <w:bookmarkEnd w:id="823"/>
      <w:bookmarkStart w:id="824" w:name="_Toc337558727"/>
    </w:p>
    <w:p w14:paraId="19BAE9FC">
      <w:pPr>
        <w:pStyle w:val="5"/>
        <w:ind w:left="0" w:leftChars="0" w:firstLine="562" w:firstLineChars="200"/>
        <w:rPr>
          <w:highlight w:val="none"/>
        </w:rPr>
      </w:pPr>
      <w:bookmarkStart w:id="825" w:name="_Toc17739"/>
      <w:r>
        <w:rPr>
          <w:bCs w:val="0"/>
          <w:color w:val="000000"/>
          <w:highlight w:val="none"/>
        </w:rPr>
        <w:t>1.</w:t>
      </w:r>
      <w:bookmarkStart w:id="826" w:name="_Toc303538974"/>
      <w:bookmarkEnd w:id="826"/>
      <w:bookmarkStart w:id="827" w:name="_Toc303538973"/>
      <w:bookmarkEnd w:id="827"/>
      <w:bookmarkStart w:id="828" w:name="_Toc303538976"/>
      <w:bookmarkEnd w:id="828"/>
      <w:bookmarkStart w:id="829" w:name="_Toc303538975"/>
      <w:bookmarkEnd w:id="829"/>
      <w:bookmarkStart w:id="830" w:name="_Toc303538972"/>
      <w:bookmarkEnd w:id="830"/>
      <w:bookmarkStart w:id="831" w:name="_Toc296503027"/>
      <w:bookmarkStart w:id="832" w:name="_Toc296346528"/>
      <w:r>
        <w:rPr>
          <w:bCs w:val="0"/>
          <w:color w:val="000000"/>
          <w:highlight w:val="none"/>
        </w:rPr>
        <w:t xml:space="preserve"> 一般约定</w:t>
      </w:r>
      <w:bookmarkEnd w:id="824"/>
      <w:bookmarkEnd w:id="825"/>
      <w:bookmarkEnd w:id="831"/>
      <w:bookmarkEnd w:id="832"/>
    </w:p>
    <w:p w14:paraId="42DF4DE7">
      <w:pPr>
        <w:ind w:firstLine="562" w:firstLineChars="200"/>
        <w:rPr>
          <w:rFonts w:ascii="Times New Roman" w:hAnsi="Times New Roman" w:eastAsia="黑体"/>
          <w:b/>
          <w:color w:val="000000"/>
          <w:sz w:val="28"/>
          <w:szCs w:val="28"/>
          <w:highlight w:val="none"/>
        </w:rPr>
      </w:pPr>
      <w:bookmarkStart w:id="833" w:name="_Toc337558728"/>
      <w:bookmarkStart w:id="834" w:name="_Toc296503028"/>
      <w:bookmarkStart w:id="835" w:name="_Toc296346529"/>
      <w:bookmarkStart w:id="836" w:name="_Toc5925"/>
      <w:r>
        <w:rPr>
          <w:rFonts w:ascii="Times New Roman" w:hAnsi="Times New Roman" w:eastAsia="黑体"/>
          <w:b/>
          <w:color w:val="000000"/>
          <w:sz w:val="28"/>
          <w:szCs w:val="28"/>
          <w:highlight w:val="none"/>
        </w:rPr>
        <w:t>1.1 词语定义</w:t>
      </w:r>
      <w:bookmarkEnd w:id="833"/>
      <w:bookmarkEnd w:id="834"/>
      <w:bookmarkEnd w:id="835"/>
      <w:r>
        <w:rPr>
          <w:rFonts w:ascii="Times New Roman" w:hAnsi="Times New Roman" w:eastAsia="黑体"/>
          <w:b/>
          <w:color w:val="000000"/>
          <w:sz w:val="28"/>
          <w:szCs w:val="28"/>
          <w:highlight w:val="none"/>
        </w:rPr>
        <w:t>与解释</w:t>
      </w:r>
      <w:bookmarkEnd w:id="836"/>
    </w:p>
    <w:p w14:paraId="7B34E378">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1.1.1 建设单位：指本工程的建设单位，即整体工程开发单位。</w:t>
      </w:r>
    </w:p>
    <w:p w14:paraId="0ECEDB4E">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1.1.2 监理：指建设单位聘请的整体工程的监理单位。</w:t>
      </w:r>
    </w:p>
    <w:p w14:paraId="0A4B660D">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1.1.3 甲方：指本分包工程的承包人，亦为整体工程的总承包人。</w:t>
      </w:r>
    </w:p>
    <w:p w14:paraId="3146A353">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1.1.4 乙方：指本分包工程的分包人，即分包施工单位。</w:t>
      </w:r>
    </w:p>
    <w:p w14:paraId="123F8820">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1.1.5 总承包合同：甲方与建设单位签订的整体工程的总承包合同。</w:t>
      </w:r>
    </w:p>
    <w:p w14:paraId="2F8D4280">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1.1.6 整体工程：即总承包合同中甲方作为总承包单位所对应的工程。</w:t>
      </w:r>
    </w:p>
    <w:p w14:paraId="2892AE19">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1.1.7 分包工程：本合同约定的乙方承包范围内的所有工程。</w:t>
      </w:r>
    </w:p>
    <w:p w14:paraId="210CEE26">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1.1.8</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签约合同价：是指甲方和乙方在合同协议书中确定的总金额。</w:t>
      </w:r>
    </w:p>
    <w:p w14:paraId="7FE022B5">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1.1.9</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合同价款：指合同协议书中约定并依据合同约定调整后的价款。</w:t>
      </w:r>
    </w:p>
    <w:p w14:paraId="36729A80">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1.1.10</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日、天：本文所述之“日”“天”均指日历日。</w:t>
      </w:r>
    </w:p>
    <w:p w14:paraId="51A33367">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1.2 标准和规范</w:t>
      </w:r>
    </w:p>
    <w:p w14:paraId="7DA4AFA3">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适用标准、规范：按施工合同有关约定，按国家现行的《建筑工程施工质量验收统一标准》《建筑工程施工质量评价标准》、现行建筑工程施工质量验收规范、施工技术标准及规范、总承包合同中约定的其他标准及规范执行。</w:t>
      </w:r>
    </w:p>
    <w:p w14:paraId="7674AC90">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本分包工程没有相应标准、规范的，由甲方向乙方提出施工技术要求，乙方按约定的时间和要求提出施工工艺，经甲方书面认可后执行，乙方应对其提出的施工工艺承担全部责任。</w:t>
      </w:r>
    </w:p>
    <w:p w14:paraId="7608CDCA">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1.3 图纸</w:t>
      </w:r>
    </w:p>
    <w:p w14:paraId="7DA4F5C2">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1.3.1</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甲方向乙方提供纸质施工图纸【</w:t>
      </w:r>
      <w:r>
        <w:rPr>
          <w:rFonts w:hint="eastAsia" w:ascii="Times New Roman" w:hAnsi="Times New Roman" w:eastAsia="仿宋_GB2312"/>
          <w:color w:val="000000"/>
          <w:kern w:val="0"/>
          <w:sz w:val="28"/>
          <w:szCs w:val="28"/>
          <w:highlight w:val="none"/>
          <w:lang w:val="en-US" w:eastAsia="zh-CN"/>
        </w:rPr>
        <w:t>壹</w:t>
      </w:r>
      <w:r>
        <w:rPr>
          <w:rFonts w:hint="eastAsia" w:ascii="Times New Roman" w:hAnsi="Times New Roman" w:eastAsia="仿宋_GB2312"/>
          <w:color w:val="000000"/>
          <w:kern w:val="0"/>
          <w:sz w:val="28"/>
          <w:szCs w:val="28"/>
          <w:highlight w:val="none"/>
        </w:rPr>
        <w:t>】套或电子图纸，边设计边施工的工程分期提供图纸。</w:t>
      </w:r>
    </w:p>
    <w:p w14:paraId="570C96FC">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1.3.2</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甲方有权随时向乙方发出为使工程合理及正确施工、竣工以及保修所需的补充图纸和指示，乙方应执行该等补充图纸和指示，并受其约束。</w:t>
      </w:r>
    </w:p>
    <w:p w14:paraId="62F3CCBA">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1.3.3</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乙方不能将甲方提供的图纸挪作他用，乙方施工完毕需将纸质图纸完整交回甲方。</w:t>
      </w:r>
    </w:p>
    <w:p w14:paraId="3F3BC65B">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1.3.4</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乙方应认真核查甲方所提供的施工图纸，有义务指出甲方提供施工图纸中可能存在的缺陷和遗漏并在施工之前将发现的图纸上错漏及时通知甲方，避免造成损失，否则，在施工过程中因乙方的职责未尽而导致的变更不予增加费用，建设单位和甲方事先书面同意增加的除外。</w:t>
      </w:r>
    </w:p>
    <w:p w14:paraId="4C2851BF">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1.3.5</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对施工图纸的保密要求：乙方可以为了实现合同目的而复制、使用工程图纸、规范及其他构成分包合同的任何性质的或与分包合同相关的资料和信息，但不能用于与合同无关的其他事项。未经甲方书面同意，乙方不得为了合同以外的目的而复制、使用上述文件或将之转让、泄露给任何第三方。乙方应负责分包工程范围内图纸的保密工作，乙方的保密义务在分包合同终止后，应当继续履行。</w:t>
      </w:r>
    </w:p>
    <w:p w14:paraId="6E3A53A2">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1.4 联络</w:t>
      </w:r>
    </w:p>
    <w:p w14:paraId="32971C9C">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1.4.1 与合同有关的通知、指令等文件，可通过【邮件、信函、直接送达】等方式送达。双方确认以下送达信息：</w:t>
      </w:r>
    </w:p>
    <w:p w14:paraId="3C59D8EC">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甲方：收件人【      】，联系电话【     】，电子邮箱【     】，地址【        】。</w:t>
      </w:r>
    </w:p>
    <w:p w14:paraId="397180B4">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乙方：收件人【      】，联系电话【     】，电子邮箱【     】，地址【        】。</w:t>
      </w:r>
    </w:p>
    <w:p w14:paraId="46E147C9">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1.4.2 一方通过电子邮箱发送文件的，文件到达对方邮箱即视为送达，送达时间为电子邮件到达对方邮箱地址时间；一方通过信函邮寄送达的，则信函寄出后的第三个工作日或收件人实际签收日（以先到的时间为准）视为送达；一方选择直接送达的，则递交时视为送达，即使邮件邮寄至上述地址被拒收或无人签收。</w:t>
      </w:r>
    </w:p>
    <w:p w14:paraId="49F87249">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1.4.3 双方承诺，因本协议的履行或争议解决，上述联系人和联系方式为有效的联系方式，各项通知均应当向上述联系、联系方式送达。在诉讼、仲裁中，上述联系人、联系方式亦为有效的送达地址，向上述地址的送达即为有效送达，即使发生拒收、退信等事件。</w:t>
      </w:r>
    </w:p>
    <w:p w14:paraId="651F5AA5">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1.4.4 上述联系信息发生变更的，变更方应当及时通知对方；在对方收到变更通知之前，对方当事人或者仲裁、司法机构已经向原联系人、联系方式进行的通知，视为有效通知。</w:t>
      </w:r>
    </w:p>
    <w:p w14:paraId="25212875">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1.5 保密</w:t>
      </w:r>
    </w:p>
    <w:p w14:paraId="6F8CD012">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乙方对在订立和履行合同过程中知悉的甲方的商业秘密、技术秘密，以及甲方明确要求保密的其他信息，负有保密责任。</w:t>
      </w:r>
    </w:p>
    <w:p w14:paraId="75AB9DFF">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除法律规定或合同条款另有约定外，未经甲方事先书面同意，乙方不得将甲方提供的图纸、文件以及声明需要保密的资料信息等商业秘密、技术秘密泄露给第三方。</w:t>
      </w:r>
    </w:p>
    <w:p w14:paraId="0D63E8CF">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如乙方泄露或者在本合同以外使用该商业秘密、技术秘密等保密信息，应向甲方支付签</w:t>
      </w:r>
      <w:r>
        <w:rPr>
          <w:rFonts w:hint="eastAsia" w:ascii="仿宋_GB2312" w:hAnsi="Times New Roman" w:eastAsia="仿宋_GB2312"/>
          <w:color w:val="000000"/>
          <w:kern w:val="0"/>
          <w:sz w:val="28"/>
          <w:szCs w:val="28"/>
          <w:highlight w:val="none"/>
        </w:rPr>
        <w:t>约合同价【</w:t>
      </w:r>
      <w:r>
        <w:rPr>
          <w:rFonts w:hint="eastAsia" w:ascii="仿宋_GB2312" w:hAnsi="Times New Roman" w:eastAsia="仿宋_GB2312"/>
          <w:color w:val="000000"/>
          <w:kern w:val="0"/>
          <w:sz w:val="28"/>
          <w:szCs w:val="28"/>
          <w:highlight w:val="none"/>
          <w:lang w:val="en-US" w:eastAsia="zh-CN"/>
        </w:rPr>
        <w:t>20</w:t>
      </w:r>
      <w:r>
        <w:rPr>
          <w:rFonts w:hint="eastAsia" w:ascii="仿宋_GB2312" w:hAnsi="Times New Roman" w:eastAsia="仿宋_GB2312"/>
          <w:color w:val="000000"/>
          <w:kern w:val="0"/>
          <w:sz w:val="28"/>
          <w:szCs w:val="28"/>
          <w:highlight w:val="none"/>
        </w:rPr>
        <w:t>】%的违</w:t>
      </w:r>
      <w:r>
        <w:rPr>
          <w:rFonts w:hint="eastAsia" w:ascii="Times New Roman" w:hAnsi="Times New Roman" w:eastAsia="仿宋_GB2312"/>
          <w:color w:val="000000"/>
          <w:kern w:val="0"/>
          <w:sz w:val="28"/>
          <w:szCs w:val="28"/>
          <w:highlight w:val="none"/>
        </w:rPr>
        <w:t>约金，并赔偿甲方因此遭受的全部损失。</w:t>
      </w:r>
    </w:p>
    <w:p w14:paraId="36DE59DC">
      <w:pPr>
        <w:pStyle w:val="5"/>
        <w:ind w:left="0" w:leftChars="0" w:firstLine="562" w:firstLineChars="200"/>
        <w:rPr>
          <w:bCs w:val="0"/>
          <w:color w:val="000000"/>
          <w:highlight w:val="none"/>
        </w:rPr>
      </w:pPr>
      <w:r>
        <w:rPr>
          <w:rFonts w:hint="eastAsia"/>
          <w:bCs w:val="0"/>
          <w:color w:val="000000"/>
          <w:highlight w:val="none"/>
        </w:rPr>
        <w:t>2. 甲方</w:t>
      </w:r>
    </w:p>
    <w:p w14:paraId="2624BDF7">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2.1 分包作业现场和工作条件</w:t>
      </w:r>
    </w:p>
    <w:p w14:paraId="32102C50">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2.1.1</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甲方于开始工作日期【</w:t>
      </w:r>
      <w:r>
        <w:rPr>
          <w:rFonts w:hint="eastAsia" w:ascii="Times New Roman" w:hAnsi="Times New Roman" w:eastAsia="仿宋_GB2312"/>
          <w:color w:val="000000"/>
          <w:kern w:val="0"/>
          <w:sz w:val="28"/>
          <w:szCs w:val="28"/>
          <w:highlight w:val="none"/>
          <w:lang w:val="en-US" w:eastAsia="zh-CN"/>
        </w:rPr>
        <w:t>3</w:t>
      </w:r>
      <w:r>
        <w:rPr>
          <w:rFonts w:hint="eastAsia" w:ascii="Times New Roman" w:hAnsi="Times New Roman" w:eastAsia="仿宋_GB2312"/>
          <w:color w:val="000000"/>
          <w:kern w:val="0"/>
          <w:sz w:val="28"/>
          <w:szCs w:val="28"/>
          <w:highlight w:val="none"/>
        </w:rPr>
        <w:t>】天前向乙方交付具备分包作业条件的分包作业现场。</w:t>
      </w:r>
    </w:p>
    <w:p w14:paraId="7C674EA1">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2.1.2</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甲方负责提供分包作业所需要的分包作业条件，包括：</w:t>
      </w:r>
    </w:p>
    <w:p w14:paraId="764ADC45">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将作业所需的用水、电力、通讯线路等必需的条件接至分包作业现场内，水电能源接驳点由甲方提供，由乙方在甲方现有的设备上接驳，水电接驳点与乙方设备连接的人工材料机械等全部费用由乙方自行承担且已包含在综合单价中。施工用电用水由甲方提供至二级配电箱及供水立管（乙方应充分了解本工程二级配电箱及供水立管接驳点，施工时不得以任何理由要求甲方再次布置二级箱及临时水接驳点）；</w:t>
      </w:r>
    </w:p>
    <w:p w14:paraId="16662539">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（2）向乙方提供分包作业所需要的进入分包作业现场的交通条件；</w:t>
      </w:r>
    </w:p>
    <w:p w14:paraId="23638D37">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（3）向乙方提供分包作业所需的工程地质和地下管网线路资料，乙方不得以地质和管网资料不准确为由进行索赔；</w:t>
      </w:r>
    </w:p>
    <w:p w14:paraId="2499179E">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（4）完成办理分包作业所需的各种证件、批件等手续，乙方予以配合，但涉及乙方需依法自行办理的手续除外。】</w:t>
      </w:r>
    </w:p>
    <w:p w14:paraId="3D23BBD1">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2.1.3</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甲方的一般义务：</w:t>
      </w:r>
    </w:p>
    <w:p w14:paraId="3F066825">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（1）负责统一规划现场的平面布置，确定临设、工地出入口、标志的安置、材料堆放、安全、消防、文明施工设施的位置；</w:t>
      </w:r>
    </w:p>
    <w:p w14:paraId="7B204E00">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（2）负责工程测量基准点的定位、沉降观测，组织乙方人员进行图纸会审和技术交底，提供经建设单位批准的施工组织设计，统一安排技术档案资料的收集、整理，办理交工验收；</w:t>
      </w:r>
    </w:p>
    <w:p w14:paraId="5D6FDDC3">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（3）提供标高、定位的基准点、线；</w:t>
      </w:r>
    </w:p>
    <w:p w14:paraId="22B6F48D">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（4）负责工程的整体进度及各分包单位的进度协调，负责有关工程会议，协调各协同单位施工中出现的矛盾；</w:t>
      </w:r>
    </w:p>
    <w:p w14:paraId="7F127FFE">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（5）负责与建设单位、监理、设计等单位和有关部门的工作联系，协调现场有关单位的关系；</w:t>
      </w:r>
    </w:p>
    <w:p w14:paraId="5C5EB229">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（6）制定项目管理目标、安排施工总进度计划，实施对工程质量、安全、工期、文明施工的控制、监督和验收；</w:t>
      </w:r>
    </w:p>
    <w:p w14:paraId="587E45DC">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7）随时检查乙方施工设备的运行、材料保管使用情况，检查乙方现场管理人员和操作人员的有效证件及持证上岗情况。当乙方工作达不到合同约定的标准时，甲方有权要求乙方进行整改、返修，并追究相应的违约责任；</w:t>
      </w:r>
    </w:p>
    <w:p w14:paraId="24F02C21">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（8）负责审核乙方编制的分包报量及材料计划、进度计划等，并办理款项支付；</w:t>
      </w:r>
    </w:p>
    <w:p w14:paraId="1164B265">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（9）负责施工现场的CI标准的设计、检查，监督现场各单位落实CI标准；</w:t>
      </w:r>
    </w:p>
    <w:p w14:paraId="58CCCC7D">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（10）协调处理施工场地周围地下管线和临近建筑物（含文物保护建筑物）、古树名木、文物的保护工作；</w:t>
      </w:r>
    </w:p>
    <w:p w14:paraId="14742781">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（11）负责甲供材试件或试块的制作、保管、养护及送试工作，乙方配合。</w:t>
      </w:r>
    </w:p>
    <w:p w14:paraId="30E98D0B">
      <w:pPr>
        <w:autoSpaceDE w:val="0"/>
        <w:autoSpaceDN w:val="0"/>
        <w:adjustRightInd w:val="0"/>
        <w:spacing w:line="480" w:lineRule="exact"/>
        <w:ind w:firstLine="560" w:firstLineChars="200"/>
        <w:rPr>
          <w:rFonts w:ascii="Times New Roman" w:hAnsi="Times New Roman" w:eastAsia="仿宋_GB2312"/>
          <w:strike/>
          <w:color w:val="000000"/>
          <w:kern w:val="0"/>
          <w:sz w:val="28"/>
          <w:szCs w:val="28"/>
          <w:highlight w:val="none"/>
        </w:rPr>
      </w:pPr>
      <w:r>
        <w:rPr>
          <w:rFonts w:hint="eastAsia" w:ascii="Times New Roman" w:hAnsi="Times New Roman" w:eastAsia="仿宋_GB2312"/>
          <w:color w:val="000000"/>
          <w:kern w:val="0"/>
          <w:sz w:val="28"/>
          <w:szCs w:val="28"/>
          <w:highlight w:val="none"/>
        </w:rPr>
        <w:t>2</w:t>
      </w:r>
      <w:r>
        <w:rPr>
          <w:rFonts w:ascii="Times New Roman" w:hAnsi="Times New Roman" w:eastAsia="仿宋_GB2312"/>
          <w:color w:val="000000"/>
          <w:kern w:val="0"/>
          <w:sz w:val="28"/>
          <w:szCs w:val="28"/>
          <w:highlight w:val="none"/>
        </w:rPr>
        <w:t xml:space="preserve">.1.4 </w:t>
      </w:r>
      <w:r>
        <w:rPr>
          <w:rFonts w:hint="eastAsia" w:ascii="Times New Roman" w:hAnsi="Times New Roman" w:eastAsia="仿宋_GB2312"/>
          <w:color w:val="000000"/>
          <w:kern w:val="0"/>
          <w:sz w:val="28"/>
          <w:szCs w:val="28"/>
          <w:highlight w:val="none"/>
        </w:rPr>
        <w:t xml:space="preserve">甲方的特别义务：【 </w:t>
      </w:r>
      <w:r>
        <w:rPr>
          <w:rFonts w:hint="eastAsia" w:ascii="Times New Roman" w:hAnsi="Times New Roman" w:eastAsia="仿宋_GB2312"/>
          <w:color w:val="000000"/>
          <w:kern w:val="0"/>
          <w:sz w:val="28"/>
          <w:szCs w:val="28"/>
          <w:highlight w:val="none"/>
          <w:lang w:val="en-US" w:eastAsia="zh-CN"/>
        </w:rPr>
        <w:t>/</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w:t>
      </w:r>
    </w:p>
    <w:p w14:paraId="50C3218F">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2.2 甲方现场代表</w:t>
      </w:r>
    </w:p>
    <w:p w14:paraId="4889A03D">
      <w:pPr>
        <w:autoSpaceDE w:val="0"/>
        <w:autoSpaceDN w:val="0"/>
        <w:adjustRightInd w:val="0"/>
        <w:spacing w:line="480" w:lineRule="exact"/>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2.2.1</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甲方现场代表负责现场管理工作，履行合同约定的职责。</w:t>
      </w:r>
    </w:p>
    <w:p w14:paraId="11F2DA9B">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2.2.2</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甲方现场代表有权要求乙方调离不作为或不称职的管理人员，乙方应在【7】日内按照甲方现场代表要求予以撤换。否则，视为乙方违约，甲方有权据此解除合同。</w:t>
      </w:r>
    </w:p>
    <w:p w14:paraId="436F1A3C">
      <w:pPr>
        <w:pStyle w:val="5"/>
        <w:ind w:left="0" w:leftChars="0" w:firstLine="562" w:firstLineChars="200"/>
        <w:rPr>
          <w:bCs w:val="0"/>
          <w:color w:val="000000"/>
          <w:highlight w:val="none"/>
        </w:rPr>
      </w:pPr>
      <w:bookmarkStart w:id="837" w:name="_Toc32452"/>
      <w:r>
        <w:rPr>
          <w:rFonts w:hint="eastAsia"/>
          <w:bCs w:val="0"/>
          <w:color w:val="000000"/>
          <w:highlight w:val="none"/>
        </w:rPr>
        <w:t>3. 乙方</w:t>
      </w:r>
      <w:bookmarkEnd w:id="837"/>
    </w:p>
    <w:p w14:paraId="13205265">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3.1 乙方的一般义务</w:t>
      </w:r>
    </w:p>
    <w:p w14:paraId="78E56FE8">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3.1.1</w:t>
      </w:r>
      <w:r>
        <w:rPr>
          <w:rFonts w:ascii="Times New Roman" w:hAnsi="Times New Roman" w:eastAsia="仿宋_GB2312"/>
          <w:color w:val="000000"/>
          <w:kern w:val="0"/>
          <w:sz w:val="28"/>
          <w:szCs w:val="28"/>
          <w:highlight w:val="none"/>
        </w:rPr>
        <w:t xml:space="preserve"> </w:t>
      </w:r>
      <w:r>
        <w:rPr>
          <w:rFonts w:hint="eastAsia" w:ascii="Times New Roman" w:hAnsi="Times New Roman" w:eastAsia="仿宋_GB2312"/>
          <w:color w:val="000000"/>
          <w:kern w:val="0"/>
          <w:sz w:val="28"/>
          <w:szCs w:val="28"/>
          <w:highlight w:val="none"/>
        </w:rPr>
        <w:t>乙方在履行合同过程中应遵守法律和工程建设标准规范，并履行以下义务，相关费用已包含在合同综合单价中：</w:t>
      </w:r>
    </w:p>
    <w:p w14:paraId="14DF1ED2">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（1）按照合同、图纸、标准和规范、有关技术要求、甲方指令、各类交底组织分包作业人员进场作业，并负责工作面范围内的成品保护工作。</w:t>
      </w:r>
    </w:p>
    <w:p w14:paraId="0BE49E76">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（2）承担由于自身原因造成的质量缺陷、工期延误等责任。</w:t>
      </w:r>
    </w:p>
    <w:p w14:paraId="2CE6928F">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（3）履行总承包合同中与分包工作有关的义务，但分包合同明确约定应由甲方履行的义务除外。</w:t>
      </w:r>
    </w:p>
    <w:p w14:paraId="4B1B030E">
      <w:pPr>
        <w:autoSpaceDE w:val="0"/>
        <w:autoSpaceDN w:val="0"/>
        <w:adjustRightInd w:val="0"/>
        <w:spacing w:line="480" w:lineRule="exact"/>
        <w:ind w:firstLine="560" w:firstLineChars="200"/>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4）必须配备完全胜任本工程及甲方要求的包括专职安全管理员、质量管理员等在内的项目管理班子，服从甲方的管理，负责对工程进度、质量、劳动力调配、安全及职工生活安排等具体事项的具体管理；乙方管理人员出勤率每月不少于【25】天，若少于【25】天的，乙方应承担【</w:t>
      </w:r>
      <w:r>
        <w:rPr>
          <w:rFonts w:hint="eastAsia" w:ascii="Times New Roman" w:hAnsi="Times New Roman" w:eastAsia="仿宋_GB2312"/>
          <w:color w:val="000000"/>
          <w:kern w:val="0"/>
          <w:sz w:val="28"/>
          <w:szCs w:val="28"/>
          <w:highlight w:val="none"/>
          <w:lang w:val="en-US" w:eastAsia="zh-CN"/>
        </w:rPr>
        <w:t>200</w:t>
      </w:r>
      <w:r>
        <w:rPr>
          <w:rFonts w:hint="eastAsia" w:ascii="Times New Roman" w:hAnsi="Times New Roman" w:eastAsia="仿宋_GB2312"/>
          <w:color w:val="000000"/>
          <w:kern w:val="0"/>
          <w:sz w:val="28"/>
          <w:szCs w:val="28"/>
          <w:highlight w:val="none"/>
        </w:rPr>
        <w:t>】元/人/天的惩罚性违约金；项目将对分包相关岗位人员进行考勤，缺岗的，乙方应承担【</w:t>
      </w:r>
      <w:r>
        <w:rPr>
          <w:rFonts w:hint="eastAsia" w:ascii="Times New Roman" w:hAnsi="Times New Roman" w:eastAsia="仿宋_GB2312"/>
          <w:color w:val="000000"/>
          <w:kern w:val="0"/>
          <w:sz w:val="28"/>
          <w:szCs w:val="28"/>
          <w:highlight w:val="none"/>
          <w:lang w:val="en-US" w:eastAsia="zh-CN"/>
        </w:rPr>
        <w:t>500</w:t>
      </w:r>
      <w:r>
        <w:rPr>
          <w:rFonts w:hint="eastAsia" w:ascii="Times New Roman" w:hAnsi="Times New Roman" w:eastAsia="仿宋_GB2312"/>
          <w:color w:val="000000"/>
          <w:kern w:val="0"/>
          <w:sz w:val="28"/>
          <w:szCs w:val="28"/>
          <w:highlight w:val="none"/>
        </w:rPr>
        <w:t>】元/人/天的惩罚性违约金，乙方有义务立即将缺岗人员调整到位；所有管理人员及特殊工种必须持证上岗，将证件复印件交甲方备案，并确保证件的真实、有效，否则视为乙方违约，每发现一人次乙方应支付违约金【</w:t>
      </w:r>
      <w:r>
        <w:rPr>
          <w:rFonts w:hint="eastAsia" w:ascii="Times New Roman" w:hAnsi="Times New Roman" w:eastAsia="仿宋_GB2312"/>
          <w:color w:val="000000"/>
          <w:kern w:val="0"/>
          <w:sz w:val="28"/>
          <w:szCs w:val="28"/>
          <w:highlight w:val="none"/>
          <w:lang w:val="en-US" w:eastAsia="zh-CN"/>
        </w:rPr>
        <w:t>5000</w:t>
      </w:r>
      <w:r>
        <w:rPr>
          <w:rFonts w:hint="eastAsia" w:ascii="Times New Roman" w:hAnsi="Times New Roman" w:eastAsia="仿宋_GB2312"/>
          <w:color w:val="000000"/>
          <w:kern w:val="0"/>
          <w:sz w:val="28"/>
          <w:szCs w:val="28"/>
          <w:highlight w:val="none"/>
        </w:rPr>
        <w:t>】元，超过【</w:t>
      </w:r>
      <w:r>
        <w:rPr>
          <w:rFonts w:hint="eastAsia" w:ascii="Times New Roman" w:hAnsi="Times New Roman" w:eastAsia="仿宋_GB2312"/>
          <w:color w:val="000000"/>
          <w:kern w:val="0"/>
          <w:sz w:val="28"/>
          <w:szCs w:val="28"/>
          <w:highlight w:val="none"/>
          <w:lang w:val="en-US" w:eastAsia="zh-CN"/>
        </w:rPr>
        <w:t>5</w:t>
      </w:r>
      <w:r>
        <w:rPr>
          <w:rFonts w:hint="eastAsia" w:ascii="Times New Roman" w:hAnsi="Times New Roman" w:eastAsia="仿宋_GB2312"/>
          <w:color w:val="000000"/>
          <w:kern w:val="0"/>
          <w:sz w:val="28"/>
          <w:szCs w:val="28"/>
          <w:highlight w:val="none"/>
        </w:rPr>
        <w:t>】人次，视为乙方严重违约且无履约能力，甲方可单方解除合同。</w:t>
      </w:r>
    </w:p>
    <w:p w14:paraId="6DAE76E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（5）对本合同承包范围内的分包作业向甲方负责，全部施工任务必须组织自有力量完成，严禁转包、挂靠和再分包。否则一经发现，乙方应承担</w:t>
      </w:r>
      <w:r>
        <w:rPr>
          <w:rFonts w:hint="eastAsia" w:ascii="仿宋_GB2312" w:hAnsi="Times New Roman" w:eastAsia="仿宋_GB2312"/>
          <w:color w:val="000000"/>
          <w:sz w:val="28"/>
          <w:szCs w:val="28"/>
          <w:highlight w:val="none"/>
        </w:rPr>
        <w:t xml:space="preserve">签约合同价【 </w:t>
      </w:r>
      <w:r>
        <w:rPr>
          <w:rFonts w:hint="eastAsia" w:ascii="仿宋_GB2312" w:hAnsi="Times New Roman" w:eastAsia="仿宋_GB2312"/>
          <w:color w:val="000000"/>
          <w:sz w:val="28"/>
          <w:szCs w:val="28"/>
        </w:rPr>
        <w:t xml:space="preserve"> </w:t>
      </w:r>
      <w:r>
        <w:rPr>
          <w:rFonts w:hint="eastAsia" w:ascii="仿宋_GB2312" w:hAnsi="Times New Roman" w:eastAsia="仿宋_GB2312"/>
          <w:color w:val="000000"/>
          <w:sz w:val="28"/>
          <w:szCs w:val="28"/>
          <w:lang w:val="en-US" w:eastAsia="zh-CN"/>
        </w:rPr>
        <w:t>30</w:t>
      </w:r>
      <w:r>
        <w:rPr>
          <w:rFonts w:hint="eastAsia" w:ascii="仿宋_GB2312" w:hAnsi="Times New Roman" w:eastAsia="仿宋_GB2312"/>
          <w:color w:val="000000"/>
          <w:sz w:val="28"/>
          <w:szCs w:val="28"/>
        </w:rPr>
        <w:t xml:space="preserve"> </w:t>
      </w:r>
      <w:r>
        <w:rPr>
          <w:rFonts w:hint="eastAsia" w:ascii="仿宋_GB2312" w:hAnsi="Times New Roman" w:eastAsia="仿宋_GB2312"/>
          <w:color w:val="000000"/>
          <w:sz w:val="28"/>
          <w:szCs w:val="28"/>
          <w:highlight w:val="none"/>
        </w:rPr>
        <w:t xml:space="preserve"> 】%的惩罚性</w:t>
      </w:r>
      <w:r>
        <w:rPr>
          <w:rFonts w:hint="eastAsia" w:ascii="Times New Roman" w:hAnsi="Times New Roman" w:eastAsia="仿宋_GB2312"/>
          <w:color w:val="000000"/>
          <w:sz w:val="28"/>
          <w:szCs w:val="28"/>
          <w:highlight w:val="none"/>
        </w:rPr>
        <w:t>违约金并赔偿甲方所有的损失（包括但不限于诉讼费、律师费、行政处罚等），且甲方有权单方解除合同。</w:t>
      </w:r>
    </w:p>
    <w:p w14:paraId="501AB60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未经甲方书面授权，不得擅自与建设单位及有关部门发生工作上的联系，严禁在对外任何事务中签署甲方及甲方关联公司单位名称或简称等字样的落款，每发现一次乙方承担【</w:t>
      </w:r>
      <w:r>
        <w:rPr>
          <w:rFonts w:hint="eastAsia" w:ascii="Times New Roman" w:hAnsi="Times New Roman" w:eastAsia="仿宋_GB2312"/>
          <w:color w:val="000000"/>
          <w:sz w:val="28"/>
          <w:szCs w:val="28"/>
          <w:highlight w:val="none"/>
          <w:lang w:val="en-US" w:eastAsia="zh-CN"/>
        </w:rPr>
        <w:t>100000</w:t>
      </w:r>
      <w:r>
        <w:rPr>
          <w:rFonts w:hint="eastAsia" w:ascii="Times New Roman" w:hAnsi="Times New Roman" w:eastAsia="仿宋_GB2312"/>
          <w:color w:val="000000"/>
          <w:sz w:val="28"/>
          <w:szCs w:val="28"/>
          <w:highlight w:val="none"/>
        </w:rPr>
        <w:t>】元的违约金并赔偿所有损失。</w:t>
      </w:r>
    </w:p>
    <w:p w14:paraId="50693D6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（6）参加甲方或建设单位主持的图纸预审、技术交底、安全教育培训、安全技术交底；严格按施工图纸、设计说明、国家及当地有关标准和规范、建筑工程质量检验评定标准精心施工。</w:t>
      </w:r>
    </w:p>
    <w:p w14:paraId="4251ABDA">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7）遵守国家法律法规、当地政策文件及甲方有关施工现场管理的各项管理制度，按当地主管部门规定办理应由乙方负责的各项手续。接受甲方、建设单位及有关部门的管理、检查和监督，与现场各单位做好协调配合。</w:t>
      </w:r>
    </w:p>
    <w:p w14:paraId="3CA7680B">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（8）负责完成本分包工程的有关施工方案的编制，报甲方批准后严格实施（施工方案不作为结算及合同价款调整依据）。</w:t>
      </w:r>
    </w:p>
    <w:p w14:paraId="2412FD6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（9）根据甲方编制的施工组织设计及总进度计划要求，开始作业前【7天】提交主要工序施工方案及施工进度计划，【每月】提交下期施工劳务计划、材料需求计划确保总工期的要求。</w:t>
      </w:r>
    </w:p>
    <w:p w14:paraId="4458719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（10）乙方应配备具有与承揽工程范围相适应专业技术水平的专职测量人员及经过校定且校定证书在有效期内的测量仪器，根据甲方提供的标高、定位的基准点线，具体负责承包范围内的测量、放线、定位工作。</w:t>
      </w:r>
    </w:p>
    <w:p w14:paraId="292CE03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（11）对甲方的指令应迅速执行，如未按照甲方要求执行，除赔偿甲方所有损失外，须承担【</w:t>
      </w:r>
      <w:r>
        <w:rPr>
          <w:rFonts w:hint="eastAsia" w:ascii="Times New Roman" w:hAnsi="Times New Roman" w:eastAsia="仿宋_GB2312"/>
          <w:color w:val="000000"/>
          <w:sz w:val="28"/>
          <w:szCs w:val="28"/>
          <w:highlight w:val="none"/>
          <w:lang w:val="en-US" w:eastAsia="zh-CN"/>
        </w:rPr>
        <w:t>5000</w:t>
      </w:r>
      <w:r>
        <w:rPr>
          <w:rFonts w:hint="eastAsia" w:ascii="Times New Roman" w:hAnsi="Times New Roman" w:eastAsia="仿宋_GB2312"/>
          <w:color w:val="000000"/>
          <w:sz w:val="28"/>
          <w:szCs w:val="28"/>
          <w:highlight w:val="none"/>
        </w:rPr>
        <w:t>】元/次违约金。乙方在收到甲方催促执行的书面通知后【</w:t>
      </w:r>
      <w:r>
        <w:rPr>
          <w:rFonts w:hint="eastAsia" w:ascii="Times New Roman" w:hAnsi="Times New Roman" w:eastAsia="仿宋_GB2312"/>
          <w:color w:val="000000"/>
          <w:sz w:val="28"/>
          <w:szCs w:val="28"/>
          <w:highlight w:val="none"/>
          <w:lang w:val="en-US" w:eastAsia="zh-CN"/>
        </w:rPr>
        <w:t>24</w:t>
      </w:r>
      <w:r>
        <w:rPr>
          <w:rFonts w:hint="eastAsia" w:ascii="Times New Roman" w:hAnsi="Times New Roman" w:eastAsia="仿宋_GB2312"/>
          <w:color w:val="000000"/>
          <w:sz w:val="28"/>
          <w:szCs w:val="28"/>
          <w:highlight w:val="none"/>
        </w:rPr>
        <w:t>】小时内仍未执行，甲方可另行委托他人执行，费用由乙方承担，从应付乙方款项中扣除（不足部分，由乙方补足）。</w:t>
      </w:r>
    </w:p>
    <w:p w14:paraId="474241B9">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（12）认真做好施工日志和隐蔽工程等原始记录工作，完整、清晰、详细准确地记录和积累资料，及时将符合甲方要求的完整的经济技术资料提供给甲方，并配合甲方进行整理归档工作。</w:t>
      </w:r>
    </w:p>
    <w:p w14:paraId="398ECCF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w:t>
      </w:r>
      <w:r>
        <w:rPr>
          <w:rFonts w:ascii="Times New Roman" w:hAnsi="Times New Roman" w:eastAsia="仿宋_GB2312"/>
          <w:color w:val="000000"/>
          <w:sz w:val="28"/>
          <w:szCs w:val="28"/>
          <w:highlight w:val="none"/>
        </w:rPr>
        <w:t>3</w:t>
      </w:r>
      <w:r>
        <w:rPr>
          <w:rFonts w:hint="eastAsia" w:ascii="Times New Roman" w:hAnsi="Times New Roman" w:eastAsia="仿宋_GB2312"/>
          <w:color w:val="000000"/>
          <w:sz w:val="28"/>
          <w:szCs w:val="28"/>
          <w:highlight w:val="none"/>
        </w:rPr>
        <w:t>）做好施工场地周围建筑物、构筑物、地下管线的保护工作，如因乙方原因造成损坏，乙方承担由此造成的经济损失（包括行政主管部门的行政罚款）。</w:t>
      </w:r>
    </w:p>
    <w:p w14:paraId="3F8DD7DA">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14）负责施工现场的垃圾清理、堆放、装车工作，做到工完场清。乙方现场必须派专人负责乙方自行完成工作范围内施工垃圾的清理工作，并负责装车运输到甲方指定位置，必须做到每日工完场清。若乙方未做到工完场清，甲方将委托他人代为清理（清理产生的乙方材料丢失由乙方自负），清理产生的费用由乙方承担，在付款时直接自乙方的应得款项中扣除。</w:t>
      </w:r>
    </w:p>
    <w:p w14:paraId="599D2DE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（15）工程完工后，乙方自用工具、机械和设备应及时清运出场，并负责清理本工程项目的标志、污斑、指印、油污和脏污等，达到交工前的清理标准。</w:t>
      </w:r>
    </w:p>
    <w:p w14:paraId="7BEFC6A3">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（16）负责工作面范围内半成品、成品的保护工作，承担修复责任。参与交工验收，并负责修复质量缺陷，直至满足交工验收质量标准。</w:t>
      </w:r>
    </w:p>
    <w:p w14:paraId="2BF8E836">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（17）建设单位对甲方的各项要求和标准均是乙方应履行的义务。乙方应无条件服从和执行甲方、建设单位、监理所提出的整改要求。</w:t>
      </w:r>
    </w:p>
    <w:p w14:paraId="689FC25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（18）如乙方认为甲方违约或存在乙方需要索赔的事项，应在事件发生后【7天】内向甲方提出书面报告及支撑资料，逾期视为乙方放弃索赔权利，将无权得到任何赔偿或补偿。</w:t>
      </w:r>
    </w:p>
    <w:p w14:paraId="01B847D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（19）在施工过程中，若乙方擅自停工，视为乙方违约，除承担停工给甲方造成的损失外，另承担【</w:t>
      </w:r>
      <w:r>
        <w:rPr>
          <w:rFonts w:hint="eastAsia" w:ascii="Times New Roman" w:hAnsi="Times New Roman" w:eastAsia="仿宋_GB2312"/>
          <w:color w:val="000000"/>
          <w:sz w:val="28"/>
          <w:szCs w:val="28"/>
          <w:highlight w:val="none"/>
          <w:lang w:val="en-US" w:eastAsia="zh-CN"/>
        </w:rPr>
        <w:t>2000</w:t>
      </w:r>
      <w:r>
        <w:rPr>
          <w:rFonts w:hint="eastAsia" w:ascii="Times New Roman" w:hAnsi="Times New Roman" w:eastAsia="仿宋_GB2312"/>
          <w:color w:val="000000"/>
          <w:sz w:val="28"/>
          <w:szCs w:val="28"/>
          <w:highlight w:val="none"/>
        </w:rPr>
        <w:t>】元/天的违约金，停工超过【5天】甲方可单方解除合同，乙方需向甲方承担本合同签约合同</w:t>
      </w:r>
      <w:r>
        <w:rPr>
          <w:rFonts w:hint="eastAsia" w:ascii="仿宋_GB2312" w:hAnsi="Times New Roman" w:eastAsia="仿宋_GB2312"/>
          <w:color w:val="000000"/>
          <w:sz w:val="28"/>
          <w:szCs w:val="28"/>
          <w:highlight w:val="none"/>
        </w:rPr>
        <w:t>价【</w:t>
      </w:r>
      <w:r>
        <w:rPr>
          <w:rFonts w:hint="eastAsia" w:ascii="仿宋_GB2312" w:hAnsi="Times New Roman" w:eastAsia="仿宋_GB2312"/>
          <w:color w:val="000000"/>
          <w:sz w:val="28"/>
          <w:szCs w:val="28"/>
          <w:highlight w:val="none"/>
          <w:lang w:val="en-US" w:eastAsia="zh-CN"/>
        </w:rPr>
        <w:t>10</w:t>
      </w:r>
      <w:r>
        <w:rPr>
          <w:rFonts w:hint="eastAsia" w:ascii="仿宋_GB2312" w:hAnsi="Times New Roman" w:eastAsia="仿宋_GB2312"/>
          <w:color w:val="000000"/>
          <w:sz w:val="28"/>
          <w:szCs w:val="28"/>
          <w:highlight w:val="none"/>
        </w:rPr>
        <w:t>】%</w:t>
      </w:r>
      <w:r>
        <w:rPr>
          <w:rFonts w:hint="eastAsia" w:ascii="Times New Roman" w:hAnsi="Times New Roman" w:eastAsia="仿宋_GB2312"/>
          <w:color w:val="000000"/>
          <w:sz w:val="28"/>
          <w:szCs w:val="28"/>
          <w:highlight w:val="none"/>
        </w:rPr>
        <w:t>的违约金。</w:t>
      </w:r>
    </w:p>
    <w:p w14:paraId="78B6335D">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（20）乙方现场必须派专人负责工人生活区保洁工作，如经甲方、监理检查不符合现场管理规定，乙方除限期整改外，须承担【</w:t>
      </w:r>
      <w:r>
        <w:rPr>
          <w:rFonts w:hint="eastAsia" w:ascii="Times New Roman" w:hAnsi="Times New Roman" w:eastAsia="仿宋_GB2312"/>
          <w:color w:val="000000"/>
          <w:sz w:val="28"/>
          <w:szCs w:val="28"/>
          <w:highlight w:val="none"/>
          <w:lang w:val="en-US" w:eastAsia="zh-CN"/>
        </w:rPr>
        <w:t>1000</w:t>
      </w:r>
      <w:r>
        <w:rPr>
          <w:rFonts w:hint="eastAsia" w:ascii="Times New Roman" w:hAnsi="Times New Roman" w:eastAsia="仿宋_GB2312"/>
          <w:color w:val="000000"/>
          <w:sz w:val="28"/>
          <w:szCs w:val="28"/>
          <w:highlight w:val="none"/>
        </w:rPr>
        <w:t>】元/次的惩罚性违约金。</w:t>
      </w:r>
    </w:p>
    <w:p w14:paraId="229E68E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（21）甲方另行分包的工程，乙方应积极配合，做好与其他分包穿插及配合施工。</w:t>
      </w:r>
    </w:p>
    <w:p w14:paraId="719EA375">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22）施工过程中按甲方要求对施工现场临时设施、工作面、工人生活区、现场内外临时道路等进行清理，对模板、周转料具等分类整理、码放，迎接相关检查。若乙方未做到或无故拖延，甲方将委托他人代为清理，清理产生的费用由乙方承担，在付款时直接自乙方的应得款项中扣除。</w:t>
      </w:r>
    </w:p>
    <w:p w14:paraId="077BD798">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（23）配合甲方进行绿色施工管理。</w:t>
      </w:r>
    </w:p>
    <w:p w14:paraId="2A4D08F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24）因施工需拆除安全防护装置或设施的，经甲方批准后方准实施，并在施工完成后负责恢复。作业面内存在交叉施工作业时，做好与相关单位的协调工作，并负责本单位施工区域交叉作业安全防护设置工作。乙方未做到或无故拖延，甲方将委托他人代为执行，期间因防护不到位发生生产安全事故或产生其他损失的，由乙方承担，相关费用或损失在付款时直接自乙方的应得款项中扣除。</w:t>
      </w:r>
    </w:p>
    <w:p w14:paraId="54FD370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25）乙方负责工作面范围内“四口”“五临边”安全防护安装、维护工作。临时安全防护的标准需满足相关规范、标准及甲方要求。需安装定型化防护设施的，在其未安装到位前，乙方负责相应区域临时防护设施的安装。无甲方允许不得私自拆除安全防护范围内的防护措施，否则造成的后果由乙方承担。</w:t>
      </w:r>
    </w:p>
    <w:p w14:paraId="21A773FB">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（26）保证施工中使用的各类中小型设备、移动式操作平台、临时消防器材、辅助设施或工具的安全性能，确保其安全防护设施、装置安全可靠。</w:t>
      </w:r>
    </w:p>
    <w:p w14:paraId="44522AC2">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（27）乙方施工中应杜绝“十项零容忍安全隐患”的发生，对甲方提出的安全隐患整改意见应在规定的期限内整改完成并组织回复。安全隐患整改不及时，甲方有权依照相关管理规定对乙方进行处罚。</w:t>
      </w:r>
    </w:p>
    <w:p w14:paraId="68B3674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28）按照国家法律法规要求，乙方配合甲方做好农民工工资分账制管理工作，工程款与人工费分开核算。乙方配合甲方进行项目施工现场实名制管理工作，按月编制农民工工资发放表并报送甲方审核后从农民工工资专用账户代发农民工工资。</w:t>
      </w:r>
    </w:p>
    <w:p w14:paraId="71F6827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（29）本协议履行期间，若因乙方与其合作方的债务纠纷出现合作方向甲方追索情形，乙方应承担因此对甲方造成的所有损失并按签约合</w:t>
      </w:r>
      <w:r>
        <w:rPr>
          <w:rFonts w:hint="eastAsia" w:ascii="仿宋_GB2312" w:hAnsi="Times New Roman" w:eastAsia="仿宋_GB2312"/>
          <w:color w:val="000000"/>
          <w:sz w:val="28"/>
          <w:szCs w:val="28"/>
          <w:highlight w:val="none"/>
        </w:rPr>
        <w:t>同价【</w:t>
      </w:r>
      <w:r>
        <w:rPr>
          <w:rFonts w:hint="eastAsia" w:ascii="仿宋_GB2312" w:hAnsi="Times New Roman" w:eastAsia="仿宋_GB2312"/>
          <w:color w:val="000000"/>
          <w:sz w:val="28"/>
          <w:szCs w:val="28"/>
          <w:highlight w:val="none"/>
          <w:lang w:val="en-US" w:eastAsia="zh-CN"/>
        </w:rPr>
        <w:t>1</w:t>
      </w:r>
      <w:r>
        <w:rPr>
          <w:rFonts w:hint="eastAsia" w:ascii="仿宋_GB2312" w:hAnsi="Times New Roman" w:eastAsia="仿宋_GB2312"/>
          <w:color w:val="000000"/>
          <w:sz w:val="28"/>
          <w:szCs w:val="28"/>
          <w:highlight w:val="none"/>
        </w:rPr>
        <w:t>】%</w:t>
      </w:r>
      <w:r>
        <w:rPr>
          <w:rFonts w:hint="eastAsia" w:ascii="Times New Roman" w:hAnsi="Times New Roman" w:eastAsia="仿宋_GB2312"/>
          <w:color w:val="000000"/>
          <w:sz w:val="28"/>
          <w:szCs w:val="28"/>
          <w:highlight w:val="none"/>
        </w:rPr>
        <w:t>或【</w:t>
      </w:r>
      <w:r>
        <w:rPr>
          <w:rFonts w:hint="eastAsia" w:ascii="Times New Roman" w:hAnsi="Times New Roman" w:eastAsia="仿宋_GB2312"/>
          <w:color w:val="000000"/>
          <w:sz w:val="28"/>
          <w:szCs w:val="28"/>
          <w:highlight w:val="none"/>
          <w:lang w:val="en-US" w:eastAsia="zh-CN"/>
        </w:rPr>
        <w:t>30000</w:t>
      </w:r>
      <w:r>
        <w:rPr>
          <w:rFonts w:hint="eastAsia" w:ascii="Times New Roman" w:hAnsi="Times New Roman" w:eastAsia="仿宋_GB2312"/>
          <w:color w:val="000000"/>
          <w:sz w:val="28"/>
          <w:szCs w:val="28"/>
          <w:highlight w:val="none"/>
        </w:rPr>
        <w:t>】元/次进行赔偿。</w:t>
      </w:r>
    </w:p>
    <w:p w14:paraId="0CCE3A3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（30）乙方应与其雇用人员签订雇佣合同按时发放工资，不得无故拖欠或克扣所雇用人员工资。</w:t>
      </w:r>
    </w:p>
    <w:p w14:paraId="22EAF486">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（31）对于乙方所雇用的工人出现的伤亡事故或损失，应由乙方自行负责，包括伤亡或损失的索赔、诉讼、损害赔偿及其他费用。</w:t>
      </w:r>
    </w:p>
    <w:p w14:paraId="3BBC856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（32）乙方应当清楚地预计到施工期间对外界可能产生的必需的不可能避免的干扰，并为此保证主动努力减少这些干扰对外界的影响，且应当积极主动与外界进行协调。</w:t>
      </w:r>
    </w:p>
    <w:p w14:paraId="09F3D28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（33）按法律规定和合同约定采取施工安全和环境保护措施，办理工伤保险，确保工程及人员、材料、设备和设施的安全。</w:t>
      </w:r>
    </w:p>
    <w:p w14:paraId="6309393D">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34）在进行合同约定的各项工作时，不得侵害他人使用公用道路、水源、市政管网等公共设施的权利，避免对邻近的公共设施产生干扰。乙方占用或使用他人的施工场地，影响他人作业或生活的，应承担相应责任。</w:t>
      </w:r>
    </w:p>
    <w:p w14:paraId="49450BBD">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35）乙方应按照分包合同的约定，对分包工程进行深化设计（分包合同有约定时）、施工、竣工和保修。乙方在审阅分包合同和（或）总承包合同的相关内容时，或在分包合同的施工中，如发现分包工程的设计或工程建设标准、技术要求存在错误、遗漏、失误或其他缺陷，应立即通知甲方。</w:t>
      </w:r>
    </w:p>
    <w:p w14:paraId="4D7E9AA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3.1.2</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未经甲方书面准许，乙方不得擅自调整和撤走进驻工地人员。私自调整进驻工地人员，所导致的经济损失由乙方负责，除承担因此造成的损失外，每发现一次处以【</w:t>
      </w:r>
      <w:r>
        <w:rPr>
          <w:rFonts w:hint="eastAsia" w:ascii="Times New Roman" w:hAnsi="Times New Roman" w:eastAsia="仿宋_GB2312"/>
          <w:color w:val="000000"/>
          <w:sz w:val="28"/>
          <w:szCs w:val="28"/>
          <w:highlight w:val="none"/>
          <w:lang w:val="en-US" w:eastAsia="zh-CN"/>
        </w:rPr>
        <w:t>5000</w:t>
      </w:r>
      <w:r>
        <w:rPr>
          <w:rFonts w:hint="eastAsia" w:ascii="Times New Roman" w:hAnsi="Times New Roman" w:eastAsia="仿宋_GB2312"/>
          <w:color w:val="000000"/>
          <w:sz w:val="28"/>
          <w:szCs w:val="28"/>
          <w:highlight w:val="none"/>
        </w:rPr>
        <w:t>】元惩罚性违约金。</w:t>
      </w:r>
    </w:p>
    <w:p w14:paraId="3425CCFA">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3.1.3</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乙方对甲方指令持有异议，应在收到指令后的【24小时】内提出书面报告，逾期视为认可。</w:t>
      </w:r>
    </w:p>
    <w:p w14:paraId="265797E2">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3.1.4</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乙方投标书中承诺的人员及现场委托的负责人非经甲方事先书面同意不得擅自更换。如乙方擅自更换前述人员，甲方有权解除合同，甲方解除合同的，乙方需向甲方支付签</w:t>
      </w:r>
      <w:r>
        <w:rPr>
          <w:rFonts w:hint="eastAsia" w:ascii="仿宋_GB2312" w:hAnsi="Times New Roman" w:eastAsia="仿宋_GB2312"/>
          <w:color w:val="000000"/>
          <w:sz w:val="28"/>
          <w:szCs w:val="28"/>
          <w:highlight w:val="none"/>
        </w:rPr>
        <w:t>约合同价【</w:t>
      </w:r>
      <w:r>
        <w:rPr>
          <w:rFonts w:hint="eastAsia" w:ascii="仿宋_GB2312" w:hAnsi="Times New Roman" w:eastAsia="仿宋_GB2312"/>
          <w:color w:val="000000"/>
          <w:sz w:val="28"/>
          <w:szCs w:val="28"/>
          <w:highlight w:val="none"/>
          <w:lang w:val="en-US" w:eastAsia="zh-CN"/>
        </w:rPr>
        <w:t>1</w:t>
      </w:r>
      <w:r>
        <w:rPr>
          <w:rFonts w:hint="eastAsia" w:ascii="仿宋_GB2312" w:hAnsi="Times New Roman" w:eastAsia="仿宋_GB2312"/>
          <w:color w:val="000000"/>
          <w:sz w:val="28"/>
          <w:szCs w:val="28"/>
          <w:highlight w:val="none"/>
        </w:rPr>
        <w:t>】%</w:t>
      </w:r>
      <w:r>
        <w:rPr>
          <w:rFonts w:hint="eastAsia" w:ascii="Times New Roman" w:hAnsi="Times New Roman" w:eastAsia="仿宋_GB2312"/>
          <w:color w:val="000000"/>
          <w:sz w:val="28"/>
          <w:szCs w:val="28"/>
          <w:highlight w:val="none"/>
        </w:rPr>
        <w:t>的违约金。乙方现场代表外出办事需向甲方请假，未经批准擅自离开工地的，承担【</w:t>
      </w:r>
      <w:r>
        <w:rPr>
          <w:rFonts w:hint="eastAsia" w:ascii="Times New Roman" w:hAnsi="Times New Roman" w:eastAsia="仿宋_GB2312"/>
          <w:color w:val="000000"/>
          <w:sz w:val="28"/>
          <w:szCs w:val="28"/>
          <w:highlight w:val="none"/>
          <w:lang w:val="en-US" w:eastAsia="zh-CN"/>
        </w:rPr>
        <w:t>1000</w:t>
      </w:r>
      <w:r>
        <w:rPr>
          <w:rFonts w:hint="eastAsia" w:ascii="Times New Roman" w:hAnsi="Times New Roman" w:eastAsia="仿宋_GB2312"/>
          <w:color w:val="000000"/>
          <w:sz w:val="28"/>
          <w:szCs w:val="28"/>
          <w:highlight w:val="none"/>
        </w:rPr>
        <w:t>】元/天的违约金，其他管理人员承担【</w:t>
      </w:r>
      <w:r>
        <w:rPr>
          <w:rFonts w:hint="eastAsia" w:ascii="Times New Roman" w:hAnsi="Times New Roman" w:eastAsia="仿宋_GB2312"/>
          <w:color w:val="000000"/>
          <w:sz w:val="28"/>
          <w:szCs w:val="28"/>
          <w:highlight w:val="none"/>
          <w:lang w:val="en-US" w:eastAsia="zh-CN"/>
        </w:rPr>
        <w:t>500</w:t>
      </w:r>
      <w:r>
        <w:rPr>
          <w:rFonts w:hint="eastAsia" w:ascii="Times New Roman" w:hAnsi="Times New Roman" w:eastAsia="仿宋_GB2312"/>
          <w:color w:val="000000"/>
          <w:sz w:val="28"/>
          <w:szCs w:val="28"/>
          <w:highlight w:val="none"/>
        </w:rPr>
        <w:t>】元/天的违约金。</w:t>
      </w:r>
    </w:p>
    <w:p w14:paraId="72435CE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3.1.5</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乙方已知晓本合同的付款条件，乙方不得以任何理由向甲方提出超出本合同支付条款以外的任何工程款的支付请求。</w:t>
      </w:r>
    </w:p>
    <w:p w14:paraId="61DC5DD2">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3.2 乙方现场代表</w:t>
      </w:r>
    </w:p>
    <w:p w14:paraId="4ECBA2C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3.2.1</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乙方现场代表代表乙方进行合同履行及施工管理、签署文件和处理与工程有关的所有事务等，行使合同约定的权利，履行合同约定的职责。乙方无条件接受现场代表的行为后果。</w:t>
      </w:r>
    </w:p>
    <w:p w14:paraId="3FB262C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3.2.2</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乙方现场代表必须保证长驻施工现场，并保证通讯畅通，乙方承诺甲方发现乙方现场代表通讯不畅通，乙方承担违约金【</w:t>
      </w:r>
      <w:r>
        <w:rPr>
          <w:rFonts w:hint="eastAsia" w:ascii="Times New Roman" w:hAnsi="Times New Roman" w:eastAsia="仿宋_GB2312"/>
          <w:color w:val="000000"/>
          <w:sz w:val="28"/>
          <w:szCs w:val="28"/>
          <w:highlight w:val="none"/>
          <w:lang w:val="en-US" w:eastAsia="zh-CN"/>
        </w:rPr>
        <w:t>200</w:t>
      </w:r>
      <w:r>
        <w:rPr>
          <w:rFonts w:hint="eastAsia" w:ascii="Times New Roman" w:hAnsi="Times New Roman" w:eastAsia="仿宋_GB2312"/>
          <w:color w:val="000000"/>
          <w:sz w:val="28"/>
          <w:szCs w:val="28"/>
          <w:highlight w:val="none"/>
        </w:rPr>
        <w:t>】元/次，累计计算，同时，乙方代表需按时参加甲方组织的各项会议、交底、教育等，如有事需及时请假，未经甲方允许擅自不参加，每次承担【</w:t>
      </w:r>
      <w:r>
        <w:rPr>
          <w:rFonts w:hint="eastAsia" w:ascii="Times New Roman" w:hAnsi="Times New Roman" w:eastAsia="仿宋_GB2312"/>
          <w:color w:val="000000"/>
          <w:sz w:val="28"/>
          <w:szCs w:val="28"/>
          <w:highlight w:val="none"/>
          <w:lang w:val="en-US" w:eastAsia="zh-CN"/>
        </w:rPr>
        <w:t>500</w:t>
      </w:r>
      <w:r>
        <w:rPr>
          <w:rFonts w:hint="eastAsia" w:ascii="Times New Roman" w:hAnsi="Times New Roman" w:eastAsia="仿宋_GB2312"/>
          <w:color w:val="000000"/>
          <w:sz w:val="28"/>
          <w:szCs w:val="28"/>
          <w:highlight w:val="none"/>
        </w:rPr>
        <w:t>】元的罚款，累计计算。乙方的现场代表每月在工地不少于【</w:t>
      </w:r>
      <w:r>
        <w:rPr>
          <w:rFonts w:hint="eastAsia" w:ascii="Times New Roman" w:hAnsi="Times New Roman" w:eastAsia="仿宋_GB2312"/>
          <w:color w:val="000000"/>
          <w:sz w:val="28"/>
          <w:szCs w:val="28"/>
          <w:highlight w:val="none"/>
          <w:lang w:val="en-US" w:eastAsia="zh-CN"/>
        </w:rPr>
        <w:t>25</w:t>
      </w:r>
      <w:r>
        <w:rPr>
          <w:rFonts w:hint="eastAsia" w:ascii="Times New Roman" w:hAnsi="Times New Roman" w:eastAsia="仿宋_GB2312"/>
          <w:color w:val="000000"/>
          <w:sz w:val="28"/>
          <w:szCs w:val="28"/>
          <w:highlight w:val="none"/>
        </w:rPr>
        <w:t>】天，每少一天，乙方应承担【</w:t>
      </w:r>
      <w:r>
        <w:rPr>
          <w:rFonts w:hint="eastAsia" w:ascii="Times New Roman" w:hAnsi="Times New Roman" w:eastAsia="仿宋_GB2312"/>
          <w:color w:val="000000"/>
          <w:sz w:val="28"/>
          <w:szCs w:val="28"/>
          <w:highlight w:val="none"/>
          <w:lang w:val="en-US" w:eastAsia="zh-CN"/>
        </w:rPr>
        <w:t>1000</w:t>
      </w:r>
      <w:r>
        <w:rPr>
          <w:rFonts w:hint="eastAsia" w:ascii="Times New Roman" w:hAnsi="Times New Roman" w:eastAsia="仿宋_GB2312"/>
          <w:color w:val="000000"/>
          <w:sz w:val="28"/>
          <w:szCs w:val="28"/>
          <w:highlight w:val="none"/>
        </w:rPr>
        <w:t>】元/天的违约金，累计计算。</w:t>
      </w:r>
    </w:p>
    <w:p w14:paraId="1E1AD9BA">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3.2.3</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现场代表应按甲方批准的施工组织设计或施工方案和依据合同发出的指令、指示组织施工。在情况紧急无法与甲方现场代表联系的情况下，可采取保证工程和人员生命、财产安全的紧急措施，并在采取措施后【</w:t>
      </w:r>
      <w:r>
        <w:rPr>
          <w:rFonts w:hint="eastAsia" w:ascii="Times New Roman" w:hAnsi="Times New Roman" w:eastAsia="仿宋_GB2312"/>
          <w:color w:val="000000"/>
          <w:sz w:val="28"/>
          <w:szCs w:val="28"/>
          <w:highlight w:val="none"/>
          <w:lang w:val="en-US" w:eastAsia="zh-CN"/>
        </w:rPr>
        <w:t>24</w:t>
      </w:r>
      <w:r>
        <w:rPr>
          <w:rFonts w:hint="eastAsia" w:ascii="Times New Roman" w:hAnsi="Times New Roman" w:eastAsia="仿宋_GB2312"/>
          <w:color w:val="000000"/>
          <w:sz w:val="28"/>
          <w:szCs w:val="28"/>
          <w:highlight w:val="none"/>
        </w:rPr>
        <w:t>】小时内向甲方提交书面报告。</w:t>
      </w:r>
    </w:p>
    <w:p w14:paraId="5CD312F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3.2.4</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乙方现场代表接甲方现场代表通知要求撤换人员后，立即将该人员调离现场，交回有关证件，未经甲方现场代表书面许可，不可再将此人员调入工地。否则，每发生一次，应向甲方支付违约金【</w:t>
      </w:r>
      <w:r>
        <w:rPr>
          <w:rFonts w:hint="eastAsia" w:ascii="Times New Roman" w:hAnsi="Times New Roman" w:eastAsia="仿宋_GB2312"/>
          <w:color w:val="000000"/>
          <w:sz w:val="28"/>
          <w:szCs w:val="28"/>
          <w:highlight w:val="none"/>
          <w:lang w:val="en-US" w:eastAsia="zh-CN"/>
        </w:rPr>
        <w:t>5000</w:t>
      </w:r>
      <w:r>
        <w:rPr>
          <w:rFonts w:hint="eastAsia" w:ascii="Times New Roman" w:hAnsi="Times New Roman" w:eastAsia="仿宋_GB2312"/>
          <w:color w:val="000000"/>
          <w:sz w:val="28"/>
          <w:szCs w:val="28"/>
          <w:highlight w:val="none"/>
        </w:rPr>
        <w:t>】元，甲方可单方解除合同。</w:t>
      </w:r>
    </w:p>
    <w:p w14:paraId="562E819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3.2.5</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乙方现场代表应是乙方正式聘用的员工，保证其代表权限无权利瑕疵。</w:t>
      </w:r>
    </w:p>
    <w:p w14:paraId="37DF03E4">
      <w:pPr>
        <w:spacing w:before="120" w:after="120" w:line="480" w:lineRule="exact"/>
        <w:ind w:firstLine="562" w:firstLineChars="200"/>
        <w:rPr>
          <w:rFonts w:hint="eastAsia" w:ascii="黑体" w:hAnsi="黑体" w:eastAsia="黑体" w:cs="黑体"/>
          <w:b/>
          <w:color w:val="000000"/>
          <w:sz w:val="28"/>
          <w:szCs w:val="28"/>
          <w:highlight w:val="none"/>
        </w:rPr>
      </w:pPr>
      <w:bookmarkStart w:id="838" w:name="_Toc383940901"/>
      <w:bookmarkStart w:id="839" w:name="_Toc389663477"/>
      <w:bookmarkStart w:id="840" w:name="_Toc384026375"/>
      <w:bookmarkStart w:id="841" w:name="_Toc384137546"/>
      <w:bookmarkStart w:id="842" w:name="_Toc389602820"/>
      <w:r>
        <w:rPr>
          <w:rFonts w:hint="eastAsia" w:ascii="黑体" w:hAnsi="黑体" w:eastAsia="黑体" w:cs="黑体"/>
          <w:b/>
          <w:color w:val="000000"/>
          <w:sz w:val="28"/>
          <w:szCs w:val="28"/>
          <w:highlight w:val="none"/>
        </w:rPr>
        <w:t>3.3 乙方管理人员</w:t>
      </w:r>
      <w:bookmarkEnd w:id="838"/>
      <w:bookmarkEnd w:id="839"/>
      <w:bookmarkEnd w:id="840"/>
      <w:bookmarkEnd w:id="841"/>
      <w:bookmarkEnd w:id="842"/>
    </w:p>
    <w:p w14:paraId="6456CE1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乙方在合同签订时提供一份乙方施工现场管理人员名单（详见附件</w:t>
      </w:r>
      <w:r>
        <w:rPr>
          <w:rFonts w:ascii="Times New Roman" w:hAnsi="Times New Roman" w:eastAsia="仿宋_GB2312"/>
          <w:color w:val="000000"/>
          <w:sz w:val="28"/>
          <w:szCs w:val="28"/>
          <w:highlight w:val="none"/>
        </w:rPr>
        <w:t>4</w:t>
      </w:r>
      <w:r>
        <w:rPr>
          <w:rFonts w:hint="eastAsia" w:ascii="Times New Roman" w:hAnsi="Times New Roman" w:eastAsia="仿宋_GB2312"/>
          <w:color w:val="000000"/>
          <w:sz w:val="28"/>
          <w:szCs w:val="28"/>
          <w:highlight w:val="none"/>
        </w:rPr>
        <w:t>）。在合同签订时提供项目现场代表、技术负责人、质量负责人、安全负责人的劳动合同、养老保险及工资发放凭证，同时提供身份证复印件（双面复印）及岗位证书复印件，其中养老保险及工资发放凭证在合同履行期间每季度提供一次且确保真实、有效，直至合同履行完成，否则，甲方有权单方解除合同。</w:t>
      </w:r>
    </w:p>
    <w:p w14:paraId="5766DD06">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3</w:t>
      </w:r>
      <w:r>
        <w:rPr>
          <w:rFonts w:ascii="Times New Roman" w:hAnsi="Times New Roman" w:eastAsia="黑体"/>
          <w:b/>
          <w:color w:val="000000"/>
          <w:sz w:val="28"/>
          <w:szCs w:val="28"/>
          <w:highlight w:val="none"/>
        </w:rPr>
        <w:t xml:space="preserve">.4 </w:t>
      </w:r>
      <w:r>
        <w:rPr>
          <w:rFonts w:hint="eastAsia" w:ascii="Times New Roman" w:hAnsi="Times New Roman" w:eastAsia="黑体"/>
          <w:b/>
          <w:color w:val="000000"/>
          <w:sz w:val="28"/>
          <w:szCs w:val="28"/>
          <w:highlight w:val="none"/>
        </w:rPr>
        <w:t>履约担保</w:t>
      </w:r>
    </w:p>
    <w:p w14:paraId="480BEBC0">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履约担保采用以下第【</w:t>
      </w:r>
      <w:r>
        <w:rPr>
          <w:rFonts w:hint="eastAsia" w:ascii="Times New Roman" w:hAnsi="Times New Roman" w:eastAsia="仿宋_GB2312"/>
          <w:color w:val="000000"/>
          <w:sz w:val="28"/>
          <w:szCs w:val="28"/>
          <w:highlight w:val="none"/>
          <w:lang w:val="en-US" w:eastAsia="zh-CN"/>
        </w:rPr>
        <w:t>1、2</w:t>
      </w:r>
      <w:r>
        <w:rPr>
          <w:rFonts w:hint="eastAsia" w:ascii="Times New Roman" w:hAnsi="Times New Roman" w:eastAsia="仿宋_GB2312"/>
          <w:color w:val="000000"/>
          <w:sz w:val="28"/>
          <w:szCs w:val="28"/>
          <w:highlight w:val="none"/>
        </w:rPr>
        <w:t>】种方式。</w:t>
      </w:r>
    </w:p>
    <w:p w14:paraId="34C92CA8">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（1）独立、不可撤销、见索即付的银行保函。</w:t>
      </w:r>
    </w:p>
    <w:p w14:paraId="30067165">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（2）履约保证金，缴纳方式【</w:t>
      </w:r>
      <w:r>
        <w:rPr>
          <w:rFonts w:hint="eastAsia" w:ascii="Times New Roman" w:hAnsi="Times New Roman" w:eastAsia="仿宋_GB2312"/>
          <w:color w:val="000000"/>
          <w:sz w:val="28"/>
          <w:szCs w:val="28"/>
          <w:highlight w:val="none"/>
          <w:lang w:val="en-US" w:eastAsia="zh-CN"/>
        </w:rPr>
        <w:t>银行转账</w:t>
      </w:r>
      <w:r>
        <w:rPr>
          <w:rFonts w:hint="eastAsia" w:ascii="Times New Roman" w:hAnsi="Times New Roman" w:eastAsia="仿宋_GB2312"/>
          <w:color w:val="000000"/>
          <w:sz w:val="28"/>
          <w:szCs w:val="28"/>
          <w:highlight w:val="none"/>
        </w:rPr>
        <w:t xml:space="preserve"> 】。</w:t>
      </w:r>
    </w:p>
    <w:p w14:paraId="5CDA1909">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 xml:space="preserve">（3）其他【 </w:t>
      </w:r>
      <w:r>
        <w:rPr>
          <w:rFonts w:hint="eastAsia" w:ascii="Times New Roman" w:hAnsi="Times New Roman" w:eastAsia="仿宋_GB2312"/>
          <w:color w:val="000000"/>
          <w:sz w:val="28"/>
          <w:szCs w:val="28"/>
          <w:highlight w:val="none"/>
          <w:lang w:val="en-US" w:eastAsia="zh-CN"/>
        </w:rPr>
        <w:t>/</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w:t>
      </w:r>
    </w:p>
    <w:p w14:paraId="4F5D64F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履约担保的金额：【</w:t>
      </w:r>
      <w:r>
        <w:rPr>
          <w:rFonts w:hint="eastAsia" w:ascii="Times New Roman" w:hAnsi="Times New Roman" w:eastAsia="仿宋_GB2312"/>
          <w:color w:val="000000"/>
          <w:sz w:val="28"/>
          <w:szCs w:val="28"/>
          <w:highlight w:val="none"/>
          <w:lang w:val="en-US" w:eastAsia="zh-CN"/>
        </w:rPr>
        <w:t>合同额的3%</w:t>
      </w:r>
      <w:r>
        <w:rPr>
          <w:rFonts w:hint="eastAsia" w:ascii="Times New Roman" w:hAnsi="Times New Roman" w:eastAsia="仿宋_GB2312"/>
          <w:color w:val="000000"/>
          <w:sz w:val="28"/>
          <w:szCs w:val="28"/>
          <w:highlight w:val="none"/>
        </w:rPr>
        <w:t>】。</w:t>
      </w:r>
    </w:p>
    <w:p w14:paraId="643C3A3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履约担保的提交时间：乙方应在合同签订后【</w:t>
      </w:r>
      <w:r>
        <w:rPr>
          <w:rFonts w:hint="eastAsia" w:ascii="Times New Roman" w:hAnsi="Times New Roman" w:eastAsia="仿宋_GB2312"/>
          <w:color w:val="000000"/>
          <w:sz w:val="28"/>
          <w:szCs w:val="28"/>
          <w:highlight w:val="none"/>
          <w:lang w:val="en-US" w:eastAsia="zh-CN"/>
        </w:rPr>
        <w:t>30</w:t>
      </w:r>
      <w:r>
        <w:rPr>
          <w:rFonts w:hint="eastAsia" w:ascii="Times New Roman" w:hAnsi="Times New Roman" w:eastAsia="仿宋_GB2312"/>
          <w:color w:val="000000"/>
          <w:sz w:val="28"/>
          <w:szCs w:val="28"/>
          <w:highlight w:val="none"/>
        </w:rPr>
        <w:t>】天内，向甲方提交履约担保，否则进度款不予支付。</w:t>
      </w:r>
    </w:p>
    <w:p w14:paraId="12274E81">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履约担保的退还，按照【</w:t>
      </w:r>
      <w:r>
        <w:rPr>
          <w:rFonts w:hint="eastAsia" w:ascii="Times New Roman" w:hAnsi="Times New Roman" w:eastAsia="仿宋_GB2312"/>
          <w:color w:val="000000"/>
          <w:sz w:val="28"/>
          <w:szCs w:val="28"/>
          <w:highlight w:val="none"/>
          <w:lang w:val="en-US" w:eastAsia="zh-CN"/>
        </w:rPr>
        <w:t>1</w:t>
      </w:r>
      <w:r>
        <w:rPr>
          <w:rFonts w:hint="eastAsia" w:ascii="Times New Roman" w:hAnsi="Times New Roman" w:eastAsia="仿宋_GB2312"/>
          <w:color w:val="000000"/>
          <w:sz w:val="28"/>
          <w:szCs w:val="28"/>
          <w:highlight w:val="none"/>
        </w:rPr>
        <w:t>】执行：</w:t>
      </w:r>
    </w:p>
    <w:p w14:paraId="4081827D">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（1）履约担保自分包工程完工后【</w:t>
      </w:r>
      <w:r>
        <w:rPr>
          <w:rFonts w:hint="eastAsia" w:ascii="Times New Roman" w:hAnsi="Times New Roman" w:eastAsia="仿宋_GB2312"/>
          <w:color w:val="000000"/>
          <w:sz w:val="28"/>
          <w:szCs w:val="28"/>
          <w:highlight w:val="none"/>
          <w:lang w:val="en-US" w:eastAsia="zh-CN"/>
        </w:rPr>
        <w:t>60</w:t>
      </w:r>
      <w:r>
        <w:rPr>
          <w:rFonts w:hint="eastAsia" w:ascii="Times New Roman" w:hAnsi="Times New Roman" w:eastAsia="仿宋_GB2312"/>
          <w:color w:val="000000"/>
          <w:sz w:val="28"/>
          <w:szCs w:val="28"/>
          <w:highlight w:val="none"/>
        </w:rPr>
        <w:t>】日内退还。</w:t>
      </w:r>
    </w:p>
    <w:p w14:paraId="5DD8A529">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（2）履约担保按照工程节点分期退还。</w:t>
      </w:r>
    </w:p>
    <w:p w14:paraId="6EC56908">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 xml:space="preserve">（3）其他方式。【 </w:t>
      </w:r>
      <w:r>
        <w:rPr>
          <w:rFonts w:hint="eastAsia" w:ascii="Times New Roman" w:hAnsi="Times New Roman" w:eastAsia="仿宋_GB2312"/>
          <w:color w:val="000000"/>
          <w:sz w:val="28"/>
          <w:szCs w:val="28"/>
          <w:highlight w:val="none"/>
          <w:lang w:val="en-US" w:eastAsia="zh-CN"/>
        </w:rPr>
        <w:t>/</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w:t>
      </w:r>
    </w:p>
    <w:p w14:paraId="63439FD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当乙方未按约定履行合同而发生违约行为时，乙方应承担的违约金及因违约对甲方所造成的损失金额，甲方有权无条件从履约担保中扣除违约金及相关损失并通知乙方，乙方有义务在接到上述通知后【7】天内将履约担保恢复到原金额。当乙方需承担的违约金及造成甲方的损失金额超出履约担保金额时，甲方有权就超出数额向乙方追偿。</w:t>
      </w:r>
    </w:p>
    <w:p w14:paraId="2C85E579">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履约担保有效期的延长：在本分包工程竣工验收合格之前，乙方应保证履约担保持续有效。若分包工程尚未竣工验收，则乙方应在履约担保期满前【2</w:t>
      </w:r>
      <w:r>
        <w:rPr>
          <w:rFonts w:ascii="Times New Roman" w:hAnsi="Times New Roman" w:eastAsia="仿宋_GB2312"/>
          <w:color w:val="000000"/>
          <w:sz w:val="28"/>
          <w:szCs w:val="28"/>
          <w:highlight w:val="none"/>
        </w:rPr>
        <w:t>8</w:t>
      </w:r>
      <w:r>
        <w:rPr>
          <w:rFonts w:hint="eastAsia" w:ascii="Times New Roman" w:hAnsi="Times New Roman" w:eastAsia="仿宋_GB2312"/>
          <w:color w:val="000000"/>
          <w:sz w:val="28"/>
          <w:szCs w:val="28"/>
          <w:highlight w:val="none"/>
        </w:rPr>
        <w:t>】天内延长履约担保的有效期，直至分包工程竣工验收合格。</w:t>
      </w:r>
    </w:p>
    <w:p w14:paraId="2DB46F15">
      <w:pPr>
        <w:pStyle w:val="5"/>
        <w:ind w:left="0" w:leftChars="0" w:firstLine="562" w:firstLineChars="200"/>
        <w:rPr>
          <w:bCs w:val="0"/>
          <w:color w:val="000000"/>
          <w:highlight w:val="none"/>
        </w:rPr>
      </w:pPr>
      <w:bookmarkStart w:id="843" w:name="_Toc16410"/>
      <w:r>
        <w:rPr>
          <w:rFonts w:hint="eastAsia"/>
          <w:bCs w:val="0"/>
          <w:color w:val="000000"/>
          <w:highlight w:val="none"/>
        </w:rPr>
        <w:t>4. 分包作业人员</w:t>
      </w:r>
      <w:bookmarkEnd w:id="843"/>
    </w:p>
    <w:p w14:paraId="16E878BF">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4.1 签订书面劳动合同</w:t>
      </w:r>
    </w:p>
    <w:p w14:paraId="50AB0A16">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应当与分包作业人员签订书面劳动合同，并在工人进场前将劳动合同报甲方备案。在劳动合同中应明确工资支付方式、支付标准（不低于当地最低工资标准）及工资支付日期等条款，工人工资约定内容要便于计量和支付。</w:t>
      </w:r>
    </w:p>
    <w:p w14:paraId="2038DEB5">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应建立职工花名册并办理劳动备案；要全面实行农民工实名制管理制度，建立劳动计酬手册，记录施工现场作业农民工的身份信息、劳动考勤、工资结算等信息。同时，乙方应每月向甲方提供上月所有分包作业人员的劳动合同签署情况、出勤情况、人员变动情况书面记录及本人签字确认的工资支付书面记录。除上述书面记录用工行为外，乙方承诺在本工程不存在其他劳务用工行为。</w:t>
      </w:r>
    </w:p>
    <w:p w14:paraId="1AD7F13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若发现乙方未与工人签订劳动用工合同或者签订劳动合同不真实，乙方承担【</w:t>
      </w:r>
      <w:r>
        <w:rPr>
          <w:rFonts w:hint="eastAsia" w:ascii="Times New Roman" w:hAnsi="Times New Roman" w:eastAsia="仿宋_GB2312"/>
          <w:color w:val="000000"/>
          <w:sz w:val="28"/>
          <w:szCs w:val="28"/>
          <w:highlight w:val="none"/>
          <w:lang w:val="en-US" w:eastAsia="zh-CN"/>
        </w:rPr>
        <w:t>5000</w:t>
      </w:r>
      <w:r>
        <w:rPr>
          <w:rFonts w:hint="eastAsia" w:ascii="Times New Roman" w:hAnsi="Times New Roman" w:eastAsia="仿宋_GB2312"/>
          <w:color w:val="000000"/>
          <w:sz w:val="28"/>
          <w:szCs w:val="28"/>
          <w:highlight w:val="none"/>
        </w:rPr>
        <w:t>】元/人次违约金并赔偿因此给甲方造成的损失（包括但不限于诉讼费、律师费、行政处罚等），乙方同意甲方在工程进度款中扣除，甲方有权单方解除合同。</w:t>
      </w:r>
    </w:p>
    <w:p w14:paraId="736AE50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意外伤害保险缴纳后，乙方须将保单原件扫描并加盖公章后交甲方留存；乙方为每位劳务工人提供的意外伤害保险保额不得低于50万元。如乙方未购买保险的，甲方有权代为购买，并在进度款中扣除相关费用</w:t>
      </w:r>
      <w:r>
        <w:rPr>
          <w:rFonts w:hint="eastAsia" w:ascii="Times New Roman" w:hAnsi="Times New Roman" w:eastAsia="仿宋_GB2312"/>
          <w:color w:val="000000"/>
          <w:sz w:val="28"/>
          <w:szCs w:val="28"/>
          <w:highlight w:val="none"/>
          <w:lang w:eastAsia="zh-CN"/>
        </w:rPr>
        <w:t>，</w:t>
      </w:r>
      <w:r>
        <w:rPr>
          <w:rFonts w:hint="eastAsia" w:ascii="Times New Roman" w:hAnsi="Times New Roman" w:eastAsia="仿宋_GB2312"/>
          <w:color w:val="000000"/>
          <w:sz w:val="28"/>
          <w:szCs w:val="28"/>
          <w:highlight w:val="yellow"/>
        </w:rPr>
        <w:t>在乙方含税结算值中扣除【</w:t>
      </w:r>
      <w:r>
        <w:rPr>
          <w:rFonts w:hint="eastAsia" w:ascii="Times New Roman" w:hAnsi="Times New Roman" w:eastAsia="仿宋_GB2312"/>
          <w:color w:val="000000"/>
          <w:sz w:val="28"/>
          <w:szCs w:val="28"/>
          <w:highlight w:val="yellow"/>
          <w:lang w:val="en-US" w:eastAsia="zh-CN"/>
        </w:rPr>
        <w:t>5</w:t>
      </w:r>
      <w:r>
        <w:rPr>
          <w:rFonts w:hint="eastAsia" w:ascii="Times New Roman" w:hAnsi="Times New Roman" w:eastAsia="仿宋_GB2312"/>
          <w:color w:val="000000"/>
          <w:sz w:val="28"/>
          <w:szCs w:val="28"/>
          <w:highlight w:val="yellow"/>
        </w:rPr>
        <w:t>】‰</w:t>
      </w:r>
      <w:r>
        <w:rPr>
          <w:rFonts w:hint="eastAsia" w:ascii="Times New Roman" w:hAnsi="Times New Roman" w:eastAsia="仿宋_GB2312"/>
          <w:color w:val="000000"/>
          <w:sz w:val="28"/>
          <w:szCs w:val="28"/>
          <w:highlight w:val="none"/>
        </w:rPr>
        <w:t>。</w:t>
      </w:r>
    </w:p>
    <w:p w14:paraId="52BB6BAD">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4.2 支付分包作业人员工资</w:t>
      </w:r>
    </w:p>
    <w:p w14:paraId="35A2B713">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必须严格执行甲方的门禁制度，为每个劳务工人办理门禁卡（人脸识别），每次进出施工现场刷卡/刷脸考勤。乙方在支付工人工资时，应以甲方门禁系统考核结果作为依据编制表格，发放工资。乙方应当依据劳动合同每月按时足额支付分包作业人员工资并支付法定社会保险，分包作业人员工资不得低于工程所在地最低工资标准，并于收到甲方支付的工程款后10日内向甲方提供支付劳务工人工资的回执单。否则，甲方有权暂停支付乙方工程款。</w:t>
      </w:r>
    </w:p>
    <w:p w14:paraId="627D75D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如乙方未按照约定及时支付分包作业人员工资，出现经济纠纷事件，干扰甲方正常工作，乙方应及时解决。经甲方催告（包括口头催告）后半天内仍不履行义务，在第三方证明或相关政府部门要求下甲方可行使特别付款权，使用未付工程款代乙方支付工人工资。乙方同意支付金额参照甲方考勤记录和工资标准。甲方可通过银行打入工人工资卡或者现场以现金方式支付。乙方认可银行打款记录或者现场领取签字记录作为甲方代付依据。如甲方代付的金额超出本合同项下甲方应付乙方的工程款，甲方有权从其与乙方签订的其他经济类合同项下的应付款项中直接扣除，乙方不得提出任何异议。</w:t>
      </w:r>
    </w:p>
    <w:p w14:paraId="1BF5B67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乙方未如期支付分包作业人员工资及法定社会保险费用，导致分包作业人员投诉、上访或引发纠纷的或影响甲方及甲方项目正常工作的，甲方可单方面解除合同，同时乙方承担【</w:t>
      </w:r>
      <w:r>
        <w:rPr>
          <w:rFonts w:hint="eastAsia" w:ascii="Times New Roman" w:hAnsi="Times New Roman" w:eastAsia="仿宋_GB2312"/>
          <w:color w:val="000000"/>
          <w:sz w:val="28"/>
          <w:szCs w:val="28"/>
          <w:highlight w:val="none"/>
          <w:lang w:val="en-US" w:eastAsia="zh-CN"/>
        </w:rPr>
        <w:t>20000</w:t>
      </w:r>
      <w:r>
        <w:rPr>
          <w:rFonts w:hint="eastAsia" w:ascii="Times New Roman" w:hAnsi="Times New Roman" w:eastAsia="仿宋_GB2312"/>
          <w:color w:val="000000"/>
          <w:sz w:val="28"/>
          <w:szCs w:val="28"/>
          <w:highlight w:val="none"/>
        </w:rPr>
        <w:t>】元/次的违约金，如果违约金不足以弥补甲方损失的，乙方还应承担赔偿责任。</w:t>
      </w:r>
    </w:p>
    <w:p w14:paraId="210E39C4">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 xml:space="preserve">4.3 分包作业人员管理 </w:t>
      </w:r>
    </w:p>
    <w:p w14:paraId="0AC5DE8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4.3.1 乙方应当根据甲方编制的施工组织设计，编制与施工组织设计相适应的劳动力安排计划，劳动力安排计划应当包括分包作业人员数量、工种、进场时间、退场时间以及劳务费支付计划等，劳动力安排计划应当经甲方批准后实施。</w:t>
      </w:r>
    </w:p>
    <w:p w14:paraId="4B1FCC3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4.3.2 乙方应当组织具有相应资格证书和符合本合同分包作业要求的分包作业人员投入工作。</w:t>
      </w:r>
    </w:p>
    <w:p w14:paraId="3792795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4.3.3 甲方有权随时检查分包作业人员的有效证件及持证上岗情况。特种作业人员必须按照有关规定取得相应职业资格证书，并保证人证合一，否则甲方有权禁止未获得相应资格证书的特种作业人员进入分包作业现场，并对乙方处以【</w:t>
      </w:r>
      <w:r>
        <w:rPr>
          <w:rFonts w:hint="eastAsia" w:ascii="Times New Roman" w:hAnsi="Times New Roman" w:eastAsia="仿宋_GB2312"/>
          <w:color w:val="000000"/>
          <w:sz w:val="28"/>
          <w:szCs w:val="28"/>
          <w:highlight w:val="none"/>
          <w:lang w:val="en-US" w:eastAsia="zh-CN"/>
        </w:rPr>
        <w:t>5000</w:t>
      </w:r>
      <w:r>
        <w:rPr>
          <w:rFonts w:hint="eastAsia" w:ascii="Times New Roman" w:hAnsi="Times New Roman" w:eastAsia="仿宋_GB2312"/>
          <w:color w:val="000000"/>
          <w:sz w:val="28"/>
          <w:szCs w:val="28"/>
          <w:highlight w:val="none"/>
        </w:rPr>
        <w:t>】元/人次惩罚性违约金。</w:t>
      </w:r>
    </w:p>
    <w:p w14:paraId="50BC4E05">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4.3.4 甲方要求撤换违章作业的分包作业人员时，乙方应当立即撤换。乙方无正当理由拒绝撤换的，应承担违约金【</w:t>
      </w:r>
      <w:r>
        <w:rPr>
          <w:rFonts w:hint="eastAsia" w:ascii="Times New Roman" w:hAnsi="Times New Roman" w:eastAsia="仿宋_GB2312"/>
          <w:color w:val="000000"/>
          <w:sz w:val="28"/>
          <w:szCs w:val="28"/>
          <w:highlight w:val="none"/>
          <w:lang w:val="en-US" w:eastAsia="zh-CN"/>
        </w:rPr>
        <w:t>5000</w:t>
      </w:r>
      <w:r>
        <w:rPr>
          <w:rFonts w:hint="eastAsia" w:ascii="Times New Roman" w:hAnsi="Times New Roman" w:eastAsia="仿宋_GB2312"/>
          <w:color w:val="000000"/>
          <w:sz w:val="28"/>
          <w:szCs w:val="28"/>
          <w:highlight w:val="none"/>
        </w:rPr>
        <w:t>】元/人次。</w:t>
      </w:r>
    </w:p>
    <w:p w14:paraId="5C03D212">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4.3.5</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当对分包作业人员进行实名制管理，包括但不限于进出场管理、登记造册管理、工资支付管理以及各种证照的办理。乙方在进场前提供所有人员花名册，并提供：身份证、暂住证、健康证、上岗证等复印件，其费用由乙方自行承担。</w:t>
      </w:r>
    </w:p>
    <w:p w14:paraId="46CD21D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4.3.6</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乙方加强劳务用工管理，执行工程所在地建筑企业用工的有关规定。</w:t>
      </w:r>
    </w:p>
    <w:p w14:paraId="4ECB76F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4.3.7</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乙方任何危险作业活动必须经甲方批准后方准实施。</w:t>
      </w:r>
    </w:p>
    <w:p w14:paraId="3D49D3BE">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Times New Roman" w:hAnsi="Times New Roman" w:eastAsia="仿宋_GB2312"/>
          <w:color w:val="000000"/>
          <w:sz w:val="28"/>
          <w:szCs w:val="28"/>
          <w:highlight w:val="none"/>
        </w:rPr>
        <w:t xml:space="preserve">4.3.8 </w:t>
      </w:r>
      <w:r>
        <w:rPr>
          <w:rFonts w:hint="eastAsia" w:ascii="仿宋_GB2312" w:hAnsi="仿宋_GB2312" w:eastAsia="仿宋_GB2312" w:cs="仿宋_GB2312"/>
          <w:kern w:val="0"/>
          <w:sz w:val="28"/>
          <w:szCs w:val="28"/>
          <w:highlight w:val="none"/>
        </w:rPr>
        <w:t>法律规定需要持证上岗的特殊工种作业人员，必须具有行政管理部门颁发的相应岗位的特殊工种上岗证，并在相应作业人员进场前报送</w:t>
      </w:r>
      <w:r>
        <w:rPr>
          <w:rFonts w:hint="eastAsia" w:ascii="仿宋_GB2312" w:hAnsi="仿宋_GB2312" w:eastAsia="仿宋_GB2312" w:cs="仿宋_GB2312"/>
          <w:kern w:val="0"/>
          <w:sz w:val="28"/>
          <w:szCs w:val="28"/>
          <w:highlight w:val="none"/>
          <w:lang w:eastAsia="zh-CN"/>
        </w:rPr>
        <w:t>甲方</w:t>
      </w:r>
      <w:r>
        <w:rPr>
          <w:rFonts w:hint="eastAsia" w:ascii="仿宋_GB2312" w:hAnsi="仿宋_GB2312" w:eastAsia="仿宋_GB2312" w:cs="仿宋_GB2312"/>
          <w:kern w:val="0"/>
          <w:sz w:val="28"/>
          <w:szCs w:val="28"/>
          <w:highlight w:val="none"/>
        </w:rPr>
        <w:t>审核并备案。特殊工种作业人员不具备上岗证的，</w:t>
      </w:r>
      <w:r>
        <w:rPr>
          <w:rFonts w:hint="eastAsia" w:ascii="仿宋_GB2312" w:hAnsi="仿宋_GB2312" w:eastAsia="仿宋_GB2312" w:cs="仿宋_GB2312"/>
          <w:kern w:val="0"/>
          <w:sz w:val="28"/>
          <w:szCs w:val="28"/>
          <w:highlight w:val="none"/>
          <w:lang w:eastAsia="zh-CN"/>
        </w:rPr>
        <w:t>乙方</w:t>
      </w:r>
      <w:r>
        <w:rPr>
          <w:rFonts w:hint="eastAsia" w:ascii="仿宋_GB2312" w:hAnsi="仿宋_GB2312" w:eastAsia="仿宋_GB2312" w:cs="仿宋_GB2312"/>
          <w:kern w:val="0"/>
          <w:sz w:val="28"/>
          <w:szCs w:val="28"/>
          <w:highlight w:val="none"/>
        </w:rPr>
        <w:t>应按</w:t>
      </w:r>
      <w:r>
        <w:rPr>
          <w:rFonts w:hint="eastAsia" w:ascii="仿宋_GB2312" w:hAnsi="仿宋_GB2312" w:eastAsia="仿宋_GB2312" w:cs="仿宋_GB2312"/>
          <w:kern w:val="0"/>
          <w:sz w:val="28"/>
          <w:szCs w:val="28"/>
          <w:highlight w:val="none"/>
          <w:lang w:val="en-US" w:eastAsia="zh-CN"/>
        </w:rPr>
        <w:t>本合同</w:t>
      </w:r>
      <w:r>
        <w:rPr>
          <w:rFonts w:hint="eastAsia" w:ascii="仿宋_GB2312" w:hAnsi="仿宋_GB2312" w:eastAsia="仿宋_GB2312" w:cs="仿宋_GB2312"/>
          <w:kern w:val="0"/>
          <w:sz w:val="28"/>
          <w:szCs w:val="28"/>
          <w:highlight w:val="none"/>
        </w:rPr>
        <w:t>约定承担违约责任。</w:t>
      </w:r>
    </w:p>
    <w:p w14:paraId="46C4A2F9">
      <w:pPr>
        <w:spacing w:before="120" w:after="120" w:line="480" w:lineRule="exact"/>
        <w:ind w:firstLine="562" w:firstLineChars="200"/>
        <w:rPr>
          <w:rFonts w:hint="eastAsia" w:ascii="黑体" w:hAnsi="黑体" w:eastAsia="黑体" w:cs="黑体"/>
          <w:b/>
          <w:color w:val="000000"/>
          <w:sz w:val="28"/>
          <w:szCs w:val="28"/>
          <w:highlight w:val="none"/>
        </w:rPr>
      </w:pPr>
      <w:r>
        <w:rPr>
          <w:rFonts w:hint="eastAsia" w:ascii="黑体" w:hAnsi="黑体" w:eastAsia="黑体" w:cs="黑体"/>
          <w:b/>
          <w:color w:val="000000"/>
          <w:sz w:val="28"/>
          <w:szCs w:val="28"/>
          <w:highlight w:val="none"/>
        </w:rPr>
        <w:t xml:space="preserve">4.4 </w:t>
      </w:r>
      <w:r>
        <w:rPr>
          <w:rFonts w:hint="eastAsia" w:ascii="黑体" w:hAnsi="黑体" w:eastAsia="黑体" w:cs="黑体"/>
          <w:b/>
          <w:color w:val="000000"/>
          <w:sz w:val="28"/>
          <w:szCs w:val="28"/>
          <w:highlight w:val="none"/>
          <w:lang w:eastAsia="zh-CN"/>
        </w:rPr>
        <w:t>乙方</w:t>
      </w:r>
      <w:r>
        <w:rPr>
          <w:rFonts w:hint="eastAsia" w:ascii="黑体" w:hAnsi="黑体" w:eastAsia="黑体" w:cs="黑体"/>
          <w:b/>
          <w:color w:val="000000"/>
          <w:sz w:val="28"/>
          <w:szCs w:val="28"/>
          <w:highlight w:val="none"/>
        </w:rPr>
        <w:t>中途进场作业人员管理</w:t>
      </w:r>
    </w:p>
    <w:p w14:paraId="0210683E">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施工期间，</w:t>
      </w: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为完成合同义务而增派或者调换的班组及相应人员，相应的实名制管理、工人考勤、工资结算等管理，依照本合同相关约定执行。</w:t>
      </w:r>
    </w:p>
    <w:p w14:paraId="52BC48EE">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未提供前述有效资料的，</w:t>
      </w:r>
      <w:r>
        <w:rPr>
          <w:rFonts w:hint="eastAsia" w:ascii="仿宋_GB2312" w:hAnsi="仿宋_GB2312" w:eastAsia="仿宋_GB2312" w:cs="仿宋_GB2312"/>
          <w:kern w:val="0"/>
          <w:sz w:val="28"/>
          <w:szCs w:val="28"/>
          <w:highlight w:val="none"/>
          <w:lang w:val="en-US" w:eastAsia="zh-CN"/>
        </w:rPr>
        <w:t>甲方</w:t>
      </w:r>
      <w:r>
        <w:rPr>
          <w:rFonts w:hint="eastAsia" w:ascii="仿宋_GB2312" w:hAnsi="仿宋_GB2312" w:eastAsia="仿宋_GB2312" w:cs="仿宋_GB2312"/>
          <w:kern w:val="0"/>
          <w:sz w:val="28"/>
          <w:szCs w:val="28"/>
          <w:highlight w:val="none"/>
        </w:rPr>
        <w:t>有权拒绝相关人员进场施工，造成的工期延误等相关责任由</w:t>
      </w: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自行承担。</w:t>
      </w:r>
    </w:p>
    <w:p w14:paraId="32EFCF6E">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乙方在施工期间增派或者调换的班组人员相关资料应在进场前7天报甲方审核。如甲方发现乙方提交的资料不满足要求的，相应人员除不得进场作业之外，乙方应按照</w:t>
      </w:r>
      <w:r>
        <w:rPr>
          <w:rFonts w:hint="eastAsia" w:ascii="Times New Roman" w:hAnsi="Times New Roman" w:eastAsia="仿宋_GB2312"/>
          <w:color w:val="000000"/>
          <w:sz w:val="28"/>
          <w:szCs w:val="28"/>
          <w:highlight w:val="none"/>
        </w:rPr>
        <w:t>【</w:t>
      </w:r>
      <w:r>
        <w:rPr>
          <w:rFonts w:hint="eastAsia" w:ascii="仿宋_GB2312" w:hAnsi="仿宋_GB2312" w:eastAsia="仿宋_GB2312" w:cs="仿宋_GB2312"/>
          <w:kern w:val="0"/>
          <w:sz w:val="28"/>
          <w:szCs w:val="28"/>
          <w:highlight w:val="none"/>
        </w:rPr>
        <w:t>1000元/人次</w:t>
      </w:r>
      <w:r>
        <w:rPr>
          <w:rFonts w:hint="eastAsia" w:ascii="Times New Roman" w:hAnsi="Times New Roman" w:eastAsia="仿宋_GB2312"/>
          <w:color w:val="000000"/>
          <w:sz w:val="28"/>
          <w:szCs w:val="28"/>
          <w:highlight w:val="none"/>
        </w:rPr>
        <w:t>】</w:t>
      </w:r>
      <w:r>
        <w:rPr>
          <w:rFonts w:hint="eastAsia" w:ascii="仿宋_GB2312" w:hAnsi="仿宋_GB2312" w:eastAsia="仿宋_GB2312" w:cs="仿宋_GB2312"/>
          <w:kern w:val="0"/>
          <w:sz w:val="28"/>
          <w:szCs w:val="28"/>
          <w:highlight w:val="none"/>
        </w:rPr>
        <w:t>支付违约金，甲方有权在工程进度款中直接扣除。</w:t>
      </w:r>
    </w:p>
    <w:p w14:paraId="7B73035F">
      <w:pPr>
        <w:pStyle w:val="5"/>
        <w:ind w:left="0" w:leftChars="0" w:firstLine="562" w:firstLineChars="200"/>
        <w:rPr>
          <w:bCs w:val="0"/>
          <w:color w:val="000000"/>
          <w:highlight w:val="none"/>
        </w:rPr>
      </w:pPr>
      <w:bookmarkStart w:id="844" w:name="_Toc9305"/>
      <w:r>
        <w:rPr>
          <w:rFonts w:hint="eastAsia"/>
          <w:bCs w:val="0"/>
          <w:color w:val="000000"/>
          <w:highlight w:val="none"/>
        </w:rPr>
        <w:t>5. 作业安全与环境保护</w:t>
      </w:r>
      <w:bookmarkEnd w:id="844"/>
    </w:p>
    <w:p w14:paraId="209C37FC">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5.1 作业安全</w:t>
      </w:r>
    </w:p>
    <w:p w14:paraId="5A0EE885">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5.1.1</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按照建质〔2008〕91号文件规定配备专职安全管理人员，现场施工人员在50人以下的，应当配备1名专职安全生产管理人员；50人-200人的，应当配备2名专职安全生产管理人员；200人及以上的，应当配备3名及以上专职安全生产管理人员，并根据所承担的分部分项工程施工危险实际情况增加，不得少于工程施工人员总人数的5‰。（专业承包单位应当配置至少1人，并根据所承担的分部分项工程的工程量和施工危险程度增加）。</w:t>
      </w:r>
    </w:p>
    <w:p w14:paraId="1663533F">
      <w:pPr>
        <w:autoSpaceDE w:val="0"/>
        <w:autoSpaceDN w:val="0"/>
        <w:adjustRightInd w:val="0"/>
        <w:spacing w:line="480" w:lineRule="exact"/>
        <w:ind w:left="559" w:leftChars="266" w:firstLine="0" w:firstLineChars="0"/>
        <w:rPr>
          <w:rFonts w:ascii="Times New Roman" w:hAnsi="Times New Roman" w:eastAsia="仿宋_GB2312"/>
          <w:color w:val="000000"/>
          <w:sz w:val="28"/>
          <w:szCs w:val="28"/>
          <w:highlight w:val="none"/>
        </w:rPr>
      </w:pPr>
      <w:r>
        <w:rPr>
          <w:rFonts w:hint="eastAsia" w:ascii="仿宋_GB2312" w:hAnsi="仿宋_GB2312" w:eastAsia="仿宋_GB2312" w:cs="仿宋_GB2312"/>
          <w:kern w:val="0"/>
          <w:sz w:val="28"/>
          <w:szCs w:val="28"/>
          <w:highlight w:val="none"/>
          <w:lang w:eastAsia="zh-CN"/>
        </w:rPr>
        <w:t>乙方</w:t>
      </w:r>
      <w:r>
        <w:rPr>
          <w:rFonts w:hint="eastAsia" w:ascii="仿宋_GB2312" w:hAnsi="仿宋_GB2312" w:eastAsia="仿宋_GB2312" w:cs="仿宋_GB2312"/>
          <w:kern w:val="0"/>
          <w:sz w:val="28"/>
          <w:szCs w:val="28"/>
          <w:highlight w:val="none"/>
        </w:rPr>
        <w:t>安全管理人员信息（按实际配备人数列项）</w:t>
      </w:r>
      <w:r>
        <w:rPr>
          <w:rFonts w:hint="eastAsia" w:ascii="仿宋_GB2312" w:hAnsi="仿宋_GB2312" w:eastAsia="仿宋_GB2312" w:cs="仿宋_GB2312"/>
          <w:kern w:val="0"/>
          <w:sz w:val="28"/>
          <w:szCs w:val="28"/>
          <w:highlight w:val="none"/>
        </w:rPr>
        <w:br w:type="textWrapping"/>
      </w:r>
      <w:r>
        <w:rPr>
          <w:rFonts w:hint="eastAsia" w:ascii="仿宋_GB2312" w:hAnsi="仿宋_GB2312" w:eastAsia="仿宋_GB2312" w:cs="仿宋_GB2312"/>
          <w:kern w:val="0"/>
          <w:sz w:val="28"/>
          <w:szCs w:val="28"/>
          <w:highlight w:val="none"/>
        </w:rPr>
        <w:t>姓名：【】</w:t>
      </w:r>
      <w:r>
        <w:rPr>
          <w:rFonts w:hint="eastAsia" w:ascii="仿宋_GB2312" w:hAnsi="仿宋_GB2312" w:eastAsia="仿宋_GB2312" w:cs="仿宋_GB2312"/>
          <w:kern w:val="0"/>
          <w:sz w:val="28"/>
          <w:szCs w:val="28"/>
          <w:highlight w:val="none"/>
        </w:rPr>
        <w:br w:type="textWrapping"/>
      </w:r>
      <w:r>
        <w:rPr>
          <w:rFonts w:hint="eastAsia" w:ascii="仿宋_GB2312" w:hAnsi="仿宋_GB2312" w:eastAsia="仿宋_GB2312" w:cs="仿宋_GB2312"/>
          <w:kern w:val="0"/>
          <w:sz w:val="28"/>
          <w:szCs w:val="28"/>
          <w:highlight w:val="none"/>
        </w:rPr>
        <w:t>身份证号：【】</w:t>
      </w:r>
      <w:r>
        <w:rPr>
          <w:rFonts w:hint="eastAsia" w:ascii="仿宋_GB2312" w:hAnsi="仿宋_GB2312" w:eastAsia="仿宋_GB2312" w:cs="仿宋_GB2312"/>
          <w:kern w:val="0"/>
          <w:sz w:val="28"/>
          <w:szCs w:val="28"/>
          <w:highlight w:val="none"/>
        </w:rPr>
        <w:br w:type="textWrapping"/>
      </w:r>
      <w:r>
        <w:rPr>
          <w:rFonts w:hint="eastAsia" w:ascii="仿宋_GB2312" w:hAnsi="仿宋_GB2312" w:eastAsia="仿宋_GB2312" w:cs="仿宋_GB2312"/>
          <w:kern w:val="0"/>
          <w:sz w:val="28"/>
          <w:szCs w:val="28"/>
          <w:highlight w:val="none"/>
        </w:rPr>
        <w:t>C证编号：【】</w:t>
      </w:r>
      <w:r>
        <w:rPr>
          <w:rFonts w:hint="eastAsia" w:ascii="仿宋_GB2312" w:hAnsi="仿宋_GB2312" w:eastAsia="仿宋_GB2312" w:cs="仿宋_GB2312"/>
          <w:kern w:val="0"/>
          <w:sz w:val="28"/>
          <w:szCs w:val="28"/>
          <w:highlight w:val="none"/>
        </w:rPr>
        <w:br w:type="textWrapping"/>
      </w:r>
      <w:r>
        <w:rPr>
          <w:rFonts w:hint="eastAsia" w:ascii="仿宋_GB2312" w:hAnsi="仿宋_GB2312" w:eastAsia="仿宋_GB2312" w:cs="仿宋_GB2312"/>
          <w:kern w:val="0"/>
          <w:sz w:val="28"/>
          <w:szCs w:val="28"/>
          <w:highlight w:val="none"/>
        </w:rPr>
        <w:t>联系电话：【】</w:t>
      </w:r>
    </w:p>
    <w:p w14:paraId="4F2F6536">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专职安全管理人员配备不足的，限【</w:t>
      </w:r>
      <w:r>
        <w:rPr>
          <w:rFonts w:ascii="Times New Roman" w:hAnsi="Times New Roman" w:eastAsia="仿宋_GB2312"/>
          <w:color w:val="000000"/>
          <w:sz w:val="28"/>
          <w:szCs w:val="28"/>
          <w:highlight w:val="none"/>
        </w:rPr>
        <w:t>3</w:t>
      </w:r>
      <w:r>
        <w:rPr>
          <w:rFonts w:hint="eastAsia" w:ascii="Times New Roman" w:hAnsi="Times New Roman" w:eastAsia="仿宋_GB2312"/>
          <w:color w:val="000000"/>
          <w:sz w:val="28"/>
          <w:szCs w:val="28"/>
          <w:highlight w:val="none"/>
        </w:rPr>
        <w:t>】日内改正，逾期没有改正的，每缺少1人，每天承担违约金【</w:t>
      </w:r>
      <w:r>
        <w:rPr>
          <w:rFonts w:hint="eastAsia" w:ascii="Times New Roman" w:hAnsi="Times New Roman" w:eastAsia="仿宋_GB2312"/>
          <w:color w:val="000000"/>
          <w:sz w:val="28"/>
          <w:szCs w:val="28"/>
          <w:highlight w:val="none"/>
          <w:lang w:val="en-US" w:eastAsia="zh-CN"/>
        </w:rPr>
        <w:t>500</w:t>
      </w:r>
      <w:r>
        <w:rPr>
          <w:rFonts w:hint="eastAsia" w:ascii="Times New Roman" w:hAnsi="Times New Roman" w:eastAsia="仿宋_GB2312"/>
          <w:color w:val="000000"/>
          <w:sz w:val="28"/>
          <w:szCs w:val="28"/>
          <w:highlight w:val="none"/>
        </w:rPr>
        <w:t>】元；甲方、乙方专职安全管理人员集中办公，办公地点由甲方指定，甲方每月对乙方专职安全管理人员到岗情况及工作质量进行考核，缺勤费用及违约金从当月工程报量中予以扣除。</w:t>
      </w:r>
    </w:p>
    <w:p w14:paraId="1FD50D4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5.1.2 乙方应明确拒绝甲方违反工程建设安全生产有关管理规定的指示。</w:t>
      </w:r>
    </w:p>
    <w:p w14:paraId="0A4A420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5.1.3 乙方应遵守工程建设安全生产有关管理规定，严格按安全标准进行作业，并随时接受行业安全检查人员依法实施的监督检查，采取必要的安全防护措施，消除事故隐患。</w:t>
      </w:r>
    </w:p>
    <w:p w14:paraId="3443AFA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5.1.4</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遵守国家现行的《中华人民共和国安全生产法》《中华人民共和国建筑法》《中华人民共和国劳动法》《安全生产许可证条例》《建设工程安全生产管理条例》等有关安全生产的法律法规，严格执行《建筑安全施工检查标准》JGJ59—2011等标准、规程、规范。</w:t>
      </w:r>
    </w:p>
    <w:p w14:paraId="41D9F1E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5.1.5</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乙方必须接受甲方管理人员对施工现场安全生产的指导、监督，服从甲方管理人员的指挥。</w:t>
      </w:r>
    </w:p>
    <w:p w14:paraId="374E5F7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5.1.6</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乙方应配合甲方建立安全保证体系。</w:t>
      </w:r>
    </w:p>
    <w:p w14:paraId="5C2D6E4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5.1.7</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在所招用农民工进场前组织对农民工的进场的三级安全教育，教育内容不限于安全生产教育、合理合法维权方法及上述有关内容，要积极组织相关考试，并将教育情况、考试情况录入劳务实名制管理平台，并配合甲方项目部做好入场教育。</w:t>
      </w:r>
    </w:p>
    <w:p w14:paraId="5D3ECC46">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乙方每日进入施工现场前，必须进行班前教育。</w:t>
      </w:r>
    </w:p>
    <w:p w14:paraId="0FE0734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乙方应接受甲方对安全教育的监督，并配合甲方自行组织的教育活动开展。</w:t>
      </w:r>
    </w:p>
    <w:p w14:paraId="5E9406EA">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乙方班组长应参加甲方组织的周安全教育和警示教育。</w:t>
      </w:r>
    </w:p>
    <w:p w14:paraId="057F72A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5.1.8</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乙方随时接受并配合甲方对安全措施落实执行情况的检查、并按照甲方要求对检查出的问题进行整改，落实到人。</w:t>
      </w:r>
    </w:p>
    <w:p w14:paraId="38FA3FDD">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5.1.9</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乙方要配合甲方落实好“进入施工现场必须佩戴安全帽”，可能涉及高处作业人员应佩戴安全带、每日组织班前安全教育活动、“行为安全之星”评选等管理制度或措施。</w:t>
      </w:r>
    </w:p>
    <w:p w14:paraId="72039D77">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5.1.10</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乙方需严格落实十项“零容忍”安全隐患及其他相关安全管理制度。严格按照甲方关于重大危险源管控的相关要求，遵守重大危险源管控流程，做好危险源日常管理。</w:t>
      </w:r>
    </w:p>
    <w:p w14:paraId="7D1E071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5.1.11</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若乙方未执行5.1.2-5.1.1</w:t>
      </w:r>
      <w:r>
        <w:rPr>
          <w:rFonts w:ascii="Times New Roman" w:hAnsi="Times New Roman" w:eastAsia="仿宋_GB2312"/>
          <w:color w:val="000000"/>
          <w:sz w:val="28"/>
          <w:szCs w:val="28"/>
          <w:highlight w:val="none"/>
        </w:rPr>
        <w:t>0</w:t>
      </w:r>
      <w:r>
        <w:rPr>
          <w:rFonts w:hint="eastAsia" w:ascii="Times New Roman" w:hAnsi="Times New Roman" w:eastAsia="仿宋_GB2312"/>
          <w:color w:val="000000"/>
          <w:sz w:val="28"/>
          <w:szCs w:val="28"/>
          <w:highlight w:val="none"/>
        </w:rPr>
        <w:t>的任一约定，每发现一次乙方需向甲方支付【</w:t>
      </w:r>
      <w:r>
        <w:rPr>
          <w:rFonts w:hint="eastAsia" w:ascii="Times New Roman" w:hAnsi="Times New Roman" w:eastAsia="仿宋_GB2312"/>
          <w:color w:val="000000"/>
          <w:sz w:val="28"/>
          <w:szCs w:val="28"/>
          <w:highlight w:val="none"/>
          <w:lang w:val="en-US" w:eastAsia="zh-CN"/>
        </w:rPr>
        <w:t>500</w:t>
      </w:r>
      <w:r>
        <w:rPr>
          <w:rFonts w:hint="eastAsia" w:ascii="Times New Roman" w:hAnsi="Times New Roman" w:eastAsia="仿宋_GB2312"/>
          <w:color w:val="000000"/>
          <w:sz w:val="28"/>
          <w:szCs w:val="28"/>
          <w:highlight w:val="none"/>
        </w:rPr>
        <w:t>】元惩罚性违约金。</w:t>
      </w:r>
    </w:p>
    <w:p w14:paraId="674273BA">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ascii="Times New Roman" w:hAnsi="Times New Roman" w:eastAsia="仿宋_GB2312"/>
          <w:color w:val="000000"/>
          <w:sz w:val="28"/>
          <w:szCs w:val="28"/>
          <w:highlight w:val="none"/>
        </w:rPr>
        <w:t xml:space="preserve">5.1.12 </w:t>
      </w:r>
      <w:r>
        <w:rPr>
          <w:rFonts w:hint="eastAsia" w:ascii="Times New Roman" w:hAnsi="Times New Roman" w:eastAsia="仿宋_GB2312"/>
          <w:color w:val="000000"/>
          <w:sz w:val="28"/>
          <w:szCs w:val="28"/>
          <w:highlight w:val="none"/>
        </w:rPr>
        <w:t>如在本工程中发生安全事故，应立即向甲方报告，并做出书面记录或影像资料，重大事故按规定上报有关部门，如因乙方未及时报告，导致甲方被行政部门问责或被连带起诉，每发生一次乙方需向甲方支付违约金【</w:t>
      </w:r>
      <w:r>
        <w:rPr>
          <w:rFonts w:hint="eastAsia" w:ascii="Times New Roman" w:hAnsi="Times New Roman" w:eastAsia="仿宋_GB2312"/>
          <w:color w:val="000000"/>
          <w:sz w:val="28"/>
          <w:szCs w:val="28"/>
          <w:highlight w:val="none"/>
          <w:lang w:val="en-US" w:eastAsia="zh-CN"/>
        </w:rPr>
        <w:t>10000</w:t>
      </w:r>
      <w:r>
        <w:rPr>
          <w:rFonts w:hint="eastAsia" w:ascii="Times New Roman" w:hAnsi="Times New Roman" w:eastAsia="仿宋_GB2312"/>
          <w:color w:val="000000"/>
          <w:sz w:val="28"/>
          <w:szCs w:val="28"/>
          <w:highlight w:val="none"/>
        </w:rPr>
        <w:t>】元。事故发生后，乙方应全力出人出资组织抢救，防止事态扩大，并支付抢救、医疗、赔偿金等相关费用，做好受害方安抚工作。若乙方不及时支付费用，在任何第三方证明下，甲方可先行垫付，该费用从应付款项中扣除。且每发生一次按垫付数额的【</w:t>
      </w:r>
      <w:r>
        <w:rPr>
          <w:rFonts w:hint="eastAsia" w:ascii="Times New Roman" w:hAnsi="Times New Roman" w:eastAsia="仿宋_GB2312"/>
          <w:color w:val="000000"/>
          <w:sz w:val="28"/>
          <w:szCs w:val="28"/>
          <w:highlight w:val="none"/>
          <w:lang w:val="en-US" w:eastAsia="zh-CN"/>
        </w:rPr>
        <w:t>1.5</w:t>
      </w:r>
      <w:r>
        <w:rPr>
          <w:rFonts w:hint="eastAsia" w:ascii="Times New Roman" w:hAnsi="Times New Roman" w:eastAsia="仿宋_GB2312"/>
          <w:color w:val="000000"/>
          <w:sz w:val="28"/>
          <w:szCs w:val="28"/>
          <w:highlight w:val="none"/>
        </w:rPr>
        <w:t>】倍向甲方支付违约金，如果违约金不足以弥补甲方损失的，乙方还应承担赔偿责任。</w:t>
      </w:r>
    </w:p>
    <w:p w14:paraId="086CC4EE">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5.2</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职业健康</w:t>
      </w:r>
    </w:p>
    <w:p w14:paraId="28AE762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5.2.1</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乙方应按法律规定安排分包作业人员的劳动和休息时间，保证其雇佣人员享有休息和休假的权利。</w:t>
      </w:r>
    </w:p>
    <w:p w14:paraId="3A7075F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5.2.2</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如果甲方提供住宿，则甲方应为乙方雇用的分包作业人员提供必要的临建板房。甲方应按工程所在地行政管理机关的标准和要求对分包作业人员的宿舍和食堂进行管理。</w:t>
      </w:r>
    </w:p>
    <w:p w14:paraId="071788D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5.2.3</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乙方应按照行政管理机关的要求为外来务工人员办理暂住证等一切所需证件。</w:t>
      </w:r>
    </w:p>
    <w:p w14:paraId="159938E9">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5.3 环境保护</w:t>
      </w:r>
    </w:p>
    <w:p w14:paraId="38CF5D3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在合同履行期间，乙方应采取合理措施保护分包作业现场环境。对分包作业过程中可能引起的大气、水、噪音以及固体废物等污染采取具体可行的防范措施，确保符合甲方的环境管理体系目标和要求。乙方应当遵守甲方关于分包作业现场环境保护的要求。</w:t>
      </w:r>
    </w:p>
    <w:p w14:paraId="6366436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乙方应承担因其原因引起的环境污染侵权损害赔偿责任，因上述环境污染引起纠纷而导致分包作业暂停的，由此增加的费用和（或）延误的工期由乙方承担。</w:t>
      </w:r>
    </w:p>
    <w:p w14:paraId="0849EA11">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5.4</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文明施工</w:t>
      </w:r>
    </w:p>
    <w:p w14:paraId="73392CD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乙方应严格执行建设主管部门及环保、环卫、消防等有关部门对施工现场管理的规定及甲方的有关管理制度和CI标化工地标准，确保现场管理达标，创造标化工地。</w:t>
      </w:r>
    </w:p>
    <w:p w14:paraId="1A754606">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（1）按甲方的统一规划搭设临时设施，分类整齐堆放材料、机具，挂牌标识。</w:t>
      </w:r>
    </w:p>
    <w:p w14:paraId="2750FD43">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（2）按标化工地要求完成场地硬化覆盖，设置标牌，做好现场美化，做到每天工完场清，保持现场整洁。</w:t>
      </w:r>
    </w:p>
    <w:p w14:paraId="1D56DF1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乙方进场后，派专人负责工作面及生活区卫生清理工作，并将垃圾清理装车运输到甲方指定位置满足甲方项目管理要求。否则，甲方有权安排其他人完成此项工作，相关费用由乙方承担。负责施工现场的垃圾清理、堆放、装车工作，做到工完场清。</w:t>
      </w:r>
    </w:p>
    <w:p w14:paraId="03AB4D3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（4）乙方施工现场人员服装，由甲方统一提供样式，或由甲方统一订制，费用由乙方承担。乙方应做好生活区管理，做好自身责任区的治安保卫工作。</w:t>
      </w:r>
    </w:p>
    <w:p w14:paraId="06C9836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（5）按甲方要求设置消防设施，负责自用部分消防设施的费用。乙方负责该消防设施的维护、保管，损坏照价赔偿。</w:t>
      </w:r>
    </w:p>
    <w:p w14:paraId="15332EA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（6）因乙方原因文明施工、标化工地达不到要求，甲方有权要求乙方赔偿全部损失，并从乙方进度款中扣除安全文明施工费。</w:t>
      </w:r>
    </w:p>
    <w:p w14:paraId="726D6E0F">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5.5</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绿色施工</w:t>
      </w:r>
    </w:p>
    <w:p w14:paraId="27B3B75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乙方必须遵守国家、当地政府部门的有关绿色施工的规定、标准和要求，定期对自有管理人员及劳务工人进行绿色施工法规、技术知识培训等，并接受相关单位的监督管理。</w:t>
      </w:r>
    </w:p>
    <w:p w14:paraId="65F5044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乙方应按照相关行政管理规定，建立绿色施工组织架构和绿色施工管理体系，设专人负责绿色施工管理工作，责任落实到人，并保证有效运行，真正做到“四节一环保”即：节水、节能、节地、节材和环境保护。</w:t>
      </w:r>
    </w:p>
    <w:p w14:paraId="0D15714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（1）建筑余料应合理使用：施工现场建筑余料要合理利用，如混凝土用于制作路牙石，预制过梁等，钢筋制作马镫，定位筋等；</w:t>
      </w:r>
    </w:p>
    <w:p w14:paraId="42E82445">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（2）板材、块材等下脚料和撒落混凝土及砂浆应科学利用：下脚料等分规格后合理进行利用；</w:t>
      </w:r>
    </w:p>
    <w:p w14:paraId="240B06E2">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（3）混凝土养护和砂浆搅拌用水应合理，应有节水措施：混凝土养护宜采用覆膜养护或喷雾养护等节水措施；</w:t>
      </w:r>
    </w:p>
    <w:p w14:paraId="1883E03E">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（4）管网和用水器具不应有渗漏：对管网及用水器具要定期进行检查维修；</w:t>
      </w:r>
    </w:p>
    <w:p w14:paraId="3540FF2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（5）对施工现场的生产、生活、办公和主要耗能施工设备应设有节能的控制措施：主要耗能设备要有自动控制等相关控制措施，避免造成能源浪费；</w:t>
      </w:r>
    </w:p>
    <w:p w14:paraId="280AAE81">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（6）国家、行业、地方政府明令淘汰的施工设备、机具和产品不应使用：施工现场严禁使用国家明令淘汰的用能设备及生产工艺；</w:t>
      </w:r>
    </w:p>
    <w:p w14:paraId="0174CBE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（7）应采用节能型设施：现场临电设备、小型机具、照明灯具等应采用带有国家能源效率标识的产品；</w:t>
      </w:r>
    </w:p>
    <w:p w14:paraId="0BEEA56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（8）临时用电应设置合理，管理制度应齐全并应落实到位：施工现场临时用电要规范，制定相关管理制度，有专人负责；</w:t>
      </w:r>
    </w:p>
    <w:p w14:paraId="2BDCF57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（9）应采用能源利用效率高的施工机械设备：现场施工应选用功率与负载相匹配的施工机械设备；</w:t>
      </w:r>
    </w:p>
    <w:p w14:paraId="177B2E4B">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（10）施工机具资源应共享：合理进行施工平面布置，塔吊、加工厂等要充分考虑多区域共同利用；</w:t>
      </w:r>
    </w:p>
    <w:p w14:paraId="7A969B8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（11）应定期监控重点耗能设备的能源利用情况，并有记录：塔吊、施工电梯等重点耗能设备要单独安装电表；</w:t>
      </w:r>
    </w:p>
    <w:p w14:paraId="23CB72DF">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（12）建筑材料的选用应缩短运输距离，减少能源消耗：500km以内的建筑材料用量占施工使用的建筑材料总重量的70%以上；</w:t>
      </w:r>
    </w:p>
    <w:p w14:paraId="3AA83052">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（13）应采用能耗少的施工工艺：改进施工工艺，节能降耗。如采用逆作法等，降低扬尘及噪音、减少材料消耗、避免使用大型设备能源；</w:t>
      </w:r>
    </w:p>
    <w:p w14:paraId="5B911D0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（14）应合理安排施工工序和施工进度：在既定施工目标条件下，做到均衡施工、流水施工。特别要避免突击赶工期造成的无序施工、人力物力财力浪费等现象。</w:t>
      </w:r>
    </w:p>
    <w:p w14:paraId="3FD9546A">
      <w:pPr>
        <w:pStyle w:val="5"/>
        <w:ind w:left="0" w:leftChars="0" w:firstLine="562" w:firstLineChars="200"/>
        <w:rPr>
          <w:bCs w:val="0"/>
          <w:color w:val="000000"/>
          <w:highlight w:val="none"/>
        </w:rPr>
      </w:pPr>
      <w:bookmarkStart w:id="845" w:name="_Toc15813"/>
      <w:r>
        <w:rPr>
          <w:rFonts w:hint="eastAsia"/>
          <w:bCs w:val="0"/>
          <w:color w:val="000000"/>
          <w:highlight w:val="none"/>
        </w:rPr>
        <w:t>6. 作业期限及进度</w:t>
      </w:r>
      <w:bookmarkEnd w:id="845"/>
    </w:p>
    <w:p w14:paraId="0A37CF71">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6.1 分包作业方案</w:t>
      </w:r>
    </w:p>
    <w:p w14:paraId="4304FD95">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6.1.1 甲方负责编制施工组织设计，在分包作业过程中，施工组织设计修订的，甲方应及时通知乙方。</w:t>
      </w:r>
    </w:p>
    <w:p w14:paraId="35929070">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6.1.2 乙方应当根据甲方要求及施工组织设计，编制及修订分包作业方案，分包作业方案应包括施工安排、施工进度计划、施工准备与资源配置计划、施工方法及工艺技术、各项管理计划（绿色施工、进度、质量、安全、成品保护等）、应急预案等。乙方应于开工前【7】天提供分包作业方案。如乙方未按甲方要求提供作业方案，甲方有权暂停支付进度款。</w:t>
      </w:r>
    </w:p>
    <w:p w14:paraId="26984148">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6.2 开始工作</w:t>
      </w:r>
    </w:p>
    <w:p w14:paraId="4645FD94">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6.2.1</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分包作业准备</w:t>
      </w:r>
    </w:p>
    <w:p w14:paraId="17159887">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合同当事人应按约定完成如下分包作业准备工作：</w:t>
      </w:r>
    </w:p>
    <w:p w14:paraId="10D5B82D">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（1）甲方负责工程测量定位、沉降观测、技术交底，组织图纸会审。</w:t>
      </w:r>
    </w:p>
    <w:p w14:paraId="2852A4A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（2）乙方应根据施工组织设计及分包作业方案，组织分包作业人员。</w:t>
      </w:r>
    </w:p>
    <w:p w14:paraId="6E9F9EA8">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6.2.2</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分包作业通知</w:t>
      </w:r>
    </w:p>
    <w:p w14:paraId="7C201CB9">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合同当事人应按照法律规定和合同约定获得分包作业所需的许可。甲方应在计划开始工作日期【7】天前向乙方发出分包作业通知，作业期限自分包作业通知中载明的开始工作日期起算。</w:t>
      </w:r>
    </w:p>
    <w:p w14:paraId="44BE2427">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6.3 作业期限延误</w:t>
      </w:r>
    </w:p>
    <w:p w14:paraId="47A292F5">
      <w:pPr>
        <w:autoSpaceDE w:val="0"/>
        <w:autoSpaceDN w:val="0"/>
        <w:adjustRightInd w:val="0"/>
        <w:spacing w:line="480" w:lineRule="exact"/>
        <w:ind w:firstLine="560" w:firstLineChars="200"/>
        <w:jc w:val="left"/>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6.3.1</w:t>
      </w:r>
      <w:r>
        <w:rPr>
          <w:rFonts w:ascii="Times New Roman" w:hAnsi="Times New Roman" w:eastAsia="仿宋_GB2312"/>
          <w:color w:val="000000"/>
          <w:sz w:val="28"/>
          <w:szCs w:val="28"/>
          <w:highlight w:val="none"/>
        </w:rPr>
        <w:t xml:space="preserve"> </w:t>
      </w:r>
      <w:r>
        <w:rPr>
          <w:rFonts w:hint="eastAsia" w:ascii="Times New Roman" w:hAnsi="Times New Roman" w:eastAsia="仿宋_GB2312"/>
          <w:color w:val="000000"/>
          <w:sz w:val="28"/>
          <w:szCs w:val="28"/>
          <w:highlight w:val="none"/>
        </w:rPr>
        <w:t>工期顺延</w:t>
      </w:r>
    </w:p>
    <w:p w14:paraId="07E3D73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合同履行期间，因下列原因之一造成工期延误的，乙方有权要求工期相应顺延：</w:t>
      </w:r>
    </w:p>
    <w:p w14:paraId="25C2AC7C">
      <w:pPr>
        <w:autoSpaceDE w:val="0"/>
        <w:autoSpaceDN w:val="0"/>
        <w:adjustRightInd w:val="0"/>
        <w:spacing w:line="480" w:lineRule="exact"/>
        <w:ind w:firstLine="560" w:firstLineChars="200"/>
        <w:rPr>
          <w:rFonts w:ascii="Times New Roman" w:hAnsi="Times New Roman" w:eastAsia="仿宋_GB2312"/>
          <w:color w:val="000000"/>
          <w:sz w:val="28"/>
          <w:szCs w:val="28"/>
          <w:highlight w:val="none"/>
        </w:rPr>
      </w:pPr>
      <w:r>
        <w:rPr>
          <w:rFonts w:hint="eastAsia" w:ascii="Times New Roman" w:hAnsi="Times New Roman" w:eastAsia="仿宋_GB2312"/>
          <w:color w:val="000000"/>
          <w:sz w:val="28"/>
          <w:szCs w:val="28"/>
          <w:highlight w:val="none"/>
        </w:rPr>
        <w:t>（1）建设单位书面认可的工期延误；</w:t>
      </w:r>
    </w:p>
    <w:p w14:paraId="5733B193">
      <w:pPr>
        <w:autoSpaceDE w:val="0"/>
        <w:autoSpaceDN w:val="0"/>
        <w:adjustRightInd w:val="0"/>
        <w:spacing w:line="480" w:lineRule="exact"/>
        <w:ind w:firstLine="560" w:firstLineChars="200"/>
        <w:rPr>
          <w:rFonts w:hint="eastAsia" w:ascii="仿宋_GB2312" w:hAnsi="仿宋_GB2312" w:eastAsia="仿宋_GB2312" w:cs="仿宋_GB2312"/>
          <w:color w:val="C00000"/>
          <w:sz w:val="28"/>
          <w:szCs w:val="28"/>
          <w:highlight w:val="none"/>
        </w:rPr>
      </w:pPr>
      <w:r>
        <w:rPr>
          <w:rFonts w:hint="eastAsia" w:ascii="Times New Roman" w:hAnsi="Times New Roman" w:eastAsia="仿宋_GB2312"/>
          <w:color w:val="000000"/>
          <w:sz w:val="28"/>
          <w:szCs w:val="28"/>
          <w:highlight w:val="none"/>
        </w:rPr>
        <w:t>（2）因不可抗力或甲方原因导致乙方不能正常施工，</w:t>
      </w:r>
      <w:r>
        <w:rPr>
          <w:rFonts w:hint="eastAsia" w:ascii="Times New Roman" w:hAnsi="Times New Roman" w:eastAsia="仿宋_GB2312"/>
          <w:color w:val="000000"/>
          <w:sz w:val="28"/>
          <w:szCs w:val="28"/>
          <w:highlight w:val="yellow"/>
        </w:rPr>
        <w:t>并经甲方【</w:t>
      </w:r>
      <w:r>
        <w:rPr>
          <w:rFonts w:hint="eastAsia" w:ascii="仿宋_GB2312" w:hAnsi="仿宋_GB2312" w:eastAsia="仿宋_GB2312" w:cs="仿宋_GB2312"/>
          <w:kern w:val="0"/>
          <w:sz w:val="28"/>
          <w:szCs w:val="28"/>
          <w:highlight w:val="yellow"/>
        </w:rPr>
        <w:t>项目经理、项目总工、项目生产经理、项目商务经理</w:t>
      </w:r>
      <w:r>
        <w:rPr>
          <w:rFonts w:hint="eastAsia" w:ascii="Times New Roman" w:hAnsi="Times New Roman" w:eastAsia="仿宋_GB2312"/>
          <w:color w:val="000000"/>
          <w:sz w:val="28"/>
          <w:szCs w:val="28"/>
          <w:highlight w:val="yellow"/>
        </w:rPr>
        <w:t>】书面确认。</w:t>
      </w:r>
    </w:p>
    <w:p w14:paraId="15B0C9F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6.3.2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工期顺延的申请</w:t>
      </w:r>
    </w:p>
    <w:p w14:paraId="6750BDC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当第6.3.1款所述事件发生后，乙方应在【5】日内以书面形式向甲方提交要求延期的通知，并在前述事件结束后【</w:t>
      </w:r>
      <w:r>
        <w:rPr>
          <w:rFonts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rPr>
        <w:t>】日内提交详细报告。逾期未提交要求延期的通知或详细报告，则视为乙方放弃索赔工期的权利。</w:t>
      </w:r>
    </w:p>
    <w:p w14:paraId="5B8F2A3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甲方应在收到乙方发出要求延期的通知或提交详细报告后的【14】日内，要求乙方进一步补充顺延工期的资料或确认顺延工期的天数。若乙方未在【5】日内补充要求的资料，则视为乙方放弃索赔工期的权利。</w:t>
      </w:r>
    </w:p>
    <w:p w14:paraId="4A424D7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6.3.</w:t>
      </w:r>
      <w:r>
        <w:rPr>
          <w:rFonts w:ascii="仿宋_GB2312" w:hAnsi="仿宋_GB2312" w:eastAsia="仿宋_GB2312" w:cs="仿宋_GB2312"/>
          <w:sz w:val="28"/>
          <w:szCs w:val="28"/>
          <w:highlight w:val="none"/>
        </w:rPr>
        <w:t xml:space="preserve">3 </w:t>
      </w:r>
      <w:r>
        <w:rPr>
          <w:rFonts w:hint="eastAsia" w:ascii="仿宋_GB2312" w:hAnsi="仿宋_GB2312" w:eastAsia="仿宋_GB2312" w:cs="仿宋_GB2312"/>
          <w:sz w:val="28"/>
          <w:szCs w:val="28"/>
          <w:highlight w:val="none"/>
        </w:rPr>
        <w:t>节点工期</w:t>
      </w:r>
    </w:p>
    <w:p w14:paraId="003E8F5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甲方根据合同约定工期编制节点工期，乙方必须严格按照甲方制定的节点工期要求组织施工，甲乙双方在合同中约定工程节点工期。</w:t>
      </w:r>
    </w:p>
    <w:p w14:paraId="2496C80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6.3.</w:t>
      </w:r>
      <w:r>
        <w:rPr>
          <w:rFonts w:ascii="仿宋_GB2312" w:hAnsi="仿宋_GB2312" w:eastAsia="仿宋_GB2312" w:cs="仿宋_GB2312"/>
          <w:sz w:val="28"/>
          <w:szCs w:val="28"/>
          <w:highlight w:val="none"/>
        </w:rPr>
        <w:t>4</w:t>
      </w:r>
      <w:r>
        <w:rPr>
          <w:rFonts w:hint="eastAsia" w:ascii="仿宋_GB2312" w:hAnsi="仿宋_GB2312" w:eastAsia="仿宋_GB2312" w:cs="仿宋_GB2312"/>
          <w:sz w:val="28"/>
          <w:szCs w:val="28"/>
          <w:highlight w:val="none"/>
        </w:rPr>
        <w:t xml:space="preserve"> 因甲方原因导致作业期限延误</w:t>
      </w:r>
    </w:p>
    <w:p w14:paraId="5F23ABB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因甲方原因未按计划开始工作日期开始工作的，甲方应按实际开始工作日期顺延作业期限，确保实际作业期限不低于合同约定的作业总日历天数。</w:t>
      </w:r>
    </w:p>
    <w:p w14:paraId="40AB219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6.3.</w:t>
      </w:r>
      <w:r>
        <w:rPr>
          <w:rFonts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rPr>
        <w:t xml:space="preserve"> 因乙方原因导致作业期限延误</w:t>
      </w:r>
    </w:p>
    <w:p w14:paraId="4E20AA9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因乙方原因造成节点工期或者分包合同工期延误的，乙方承担签约合同价【</w:t>
      </w:r>
      <w:r>
        <w:rPr>
          <w:rFonts w:hint="eastAsia" w:ascii="仿宋_GB2312" w:hAnsi="仿宋_GB2312" w:eastAsia="仿宋_GB2312" w:cs="仿宋_GB2312"/>
          <w:sz w:val="28"/>
          <w:szCs w:val="28"/>
          <w:highlight w:val="none"/>
          <w:lang w:val="en-US" w:eastAsia="zh-CN"/>
        </w:rPr>
        <w:t>0.5</w:t>
      </w:r>
      <w:r>
        <w:rPr>
          <w:rFonts w:hint="eastAsia" w:ascii="仿宋_GB2312" w:hAnsi="仿宋_GB2312" w:eastAsia="仿宋_GB2312" w:cs="仿宋_GB2312"/>
          <w:sz w:val="28"/>
          <w:szCs w:val="28"/>
          <w:highlight w:val="none"/>
        </w:rPr>
        <w:t>】%/天的逾期违约金，如发生节点工期延误，逾期违约金于当期进度款扣除，乙方采取赶工措施满足计划工期节点后，经甲方确认后返还。乙方支付逾期违约金后，不免除乙方继续完成分包作业及整改的义务。如果节点工期延误超过【</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】天或分包合同工期延误超过【</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】天，甲方有权单方解除合同，且乙方须向甲方支付签约合同价【</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】%的违约金。</w:t>
      </w:r>
    </w:p>
    <w:p w14:paraId="0A8B43B7">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6.4 分包作业暂停</w:t>
      </w:r>
    </w:p>
    <w:p w14:paraId="3B5F6F1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由于政策变化、扬尘治理、不可抗力以及建设单位或甲乙双方原因等导致工程停建或缓建，使合同不能连续履行，乙方应妥善做好已完工程和已进场材料、设备的保护和移交工作，按甲方要求将自带机械和人员撤出施工现场；如需继续施工到安全部位的，乙方应按甲方指令将工程施工到安全部位。甲方应为乙方撤出现场提供必要的条件，及时做好已完工程的结算，并按合同约定支付已完工程款。</w:t>
      </w:r>
    </w:p>
    <w:p w14:paraId="4ACF52C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当工程具备复工条件时，甲方向乙方发出复工通知后，乙方应按照复工通知的要求复工，乙方应当无条件复工，超过【15】天乙方仍未复工的，甲方有权解除合同并要求乙方承担违约责任。</w:t>
      </w:r>
    </w:p>
    <w:p w14:paraId="77FA1F3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如在乙方没有全面履行完此分包合同义务之前，甲方与建设单位合同解除，甲方应当及时通知乙方，乙方接到通知后应尽快与甲方协商，解除或调整分包合同的内容，乙方及时做好已完工程的结算。无法施工的剩余分包内容工程，乙方放弃主张可得利益等权利。</w:t>
      </w:r>
    </w:p>
    <w:p w14:paraId="50C0F5A1">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6.5 工作配合</w:t>
      </w:r>
    </w:p>
    <w:p w14:paraId="3BA66F5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6.5.1 乙方按约定完成分包作业，必须由甲方或甲方的其他分包方配合时，甲方应配合乙方工作或协助乙方获得该其他分包方的配合。</w:t>
      </w:r>
    </w:p>
    <w:p w14:paraId="1DDBB3F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6.5.2 甲方或甲方的其他分包方的工作必须由乙方配合时，乙方应按甲方的指示予以配合，否则由此造成的损失由乙方承担，并承担【</w:t>
      </w:r>
      <w:r>
        <w:rPr>
          <w:rFonts w:hint="eastAsia" w:ascii="仿宋_GB2312" w:hAnsi="仿宋_GB2312" w:eastAsia="仿宋_GB2312" w:cs="仿宋_GB2312"/>
          <w:sz w:val="28"/>
          <w:szCs w:val="28"/>
          <w:highlight w:val="none"/>
          <w:lang w:val="en-US" w:eastAsia="zh-CN"/>
        </w:rPr>
        <w:t>1000</w:t>
      </w:r>
      <w:r>
        <w:rPr>
          <w:rFonts w:hint="eastAsia" w:ascii="仿宋_GB2312" w:hAnsi="仿宋_GB2312" w:eastAsia="仿宋_GB2312" w:cs="仿宋_GB2312"/>
          <w:sz w:val="28"/>
          <w:szCs w:val="28"/>
          <w:highlight w:val="none"/>
        </w:rPr>
        <w:t>】元/次的违约金。</w:t>
      </w:r>
    </w:p>
    <w:p w14:paraId="699E8233">
      <w:pPr>
        <w:spacing w:before="120" w:after="120" w:line="480" w:lineRule="exact"/>
        <w:ind w:firstLine="562" w:firstLineChars="200"/>
        <w:rPr>
          <w:rFonts w:hint="eastAsia" w:ascii="黑体" w:hAnsi="黑体" w:eastAsia="黑体" w:cs="黑体"/>
          <w:b/>
          <w:color w:val="000000"/>
          <w:sz w:val="28"/>
          <w:szCs w:val="28"/>
          <w:highlight w:val="none"/>
        </w:rPr>
      </w:pPr>
      <w:r>
        <w:rPr>
          <w:rFonts w:hint="eastAsia" w:ascii="黑体" w:hAnsi="黑体" w:eastAsia="黑体" w:cs="黑体"/>
          <w:b/>
          <w:color w:val="000000"/>
          <w:sz w:val="28"/>
          <w:szCs w:val="28"/>
          <w:highlight w:val="none"/>
        </w:rPr>
        <w:t>6.6 禁止转包和违法分包</w:t>
      </w:r>
    </w:p>
    <w:p w14:paraId="68F3127E">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不得将分包工程以合作协议、承包协议等任何形式转包给第三方。</w:t>
      </w: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转包分包工程的，其违约责任为【乙方承担签约合同价的30%违约金】。</w:t>
      </w:r>
    </w:p>
    <w:p w14:paraId="32C1E795">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不得将分包工程的任何分项工程以经营责任书、个人承包书等方式违法分包给第三人。</w:t>
      </w: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违法分包工程的，其违约责任为【乙方承担签约合同价的30%违约金】。</w:t>
      </w:r>
    </w:p>
    <w:p w14:paraId="6EE1B336">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违法分包工程，导致</w:t>
      </w:r>
      <w:r>
        <w:rPr>
          <w:rFonts w:hint="eastAsia" w:ascii="仿宋_GB2312" w:hAnsi="仿宋_GB2312" w:eastAsia="仿宋_GB2312" w:cs="仿宋_GB2312"/>
          <w:kern w:val="0"/>
          <w:sz w:val="28"/>
          <w:szCs w:val="28"/>
          <w:highlight w:val="none"/>
          <w:lang w:val="en-US" w:eastAsia="zh-CN"/>
        </w:rPr>
        <w:t>甲方</w:t>
      </w:r>
      <w:r>
        <w:rPr>
          <w:rFonts w:hint="eastAsia" w:ascii="仿宋_GB2312" w:hAnsi="仿宋_GB2312" w:eastAsia="仿宋_GB2312" w:cs="仿宋_GB2312"/>
          <w:kern w:val="0"/>
          <w:sz w:val="28"/>
          <w:szCs w:val="28"/>
          <w:highlight w:val="none"/>
        </w:rPr>
        <w:t>被连带起诉，造成甲方损失的，</w:t>
      </w:r>
      <w:r>
        <w:rPr>
          <w:rFonts w:hint="eastAsia" w:ascii="仿宋_GB2312" w:hAnsi="仿宋_GB2312" w:eastAsia="仿宋_GB2312" w:cs="仿宋_GB2312"/>
          <w:kern w:val="0"/>
          <w:sz w:val="28"/>
          <w:szCs w:val="28"/>
          <w:highlight w:val="none"/>
          <w:lang w:val="en-US" w:eastAsia="zh-CN"/>
        </w:rPr>
        <w:t>甲方</w:t>
      </w:r>
      <w:r>
        <w:rPr>
          <w:rFonts w:hint="eastAsia" w:ascii="仿宋_GB2312" w:hAnsi="仿宋_GB2312" w:eastAsia="仿宋_GB2312" w:cs="仿宋_GB2312"/>
          <w:kern w:val="0"/>
          <w:sz w:val="28"/>
          <w:szCs w:val="28"/>
          <w:highlight w:val="none"/>
        </w:rPr>
        <w:t>可就损失部分向乙方全额追偿。</w:t>
      </w:r>
    </w:p>
    <w:p w14:paraId="1DEE4320">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lang w:val="en-US" w:eastAsia="zh-CN"/>
        </w:rPr>
        <w:t>乙方</w:t>
      </w:r>
      <w:r>
        <w:rPr>
          <w:rFonts w:hint="eastAsia" w:ascii="仿宋_GB2312" w:hAnsi="仿宋_GB2312" w:eastAsia="仿宋_GB2312" w:cs="仿宋_GB2312"/>
          <w:kern w:val="0"/>
          <w:sz w:val="28"/>
          <w:szCs w:val="28"/>
          <w:highlight w:val="none"/>
        </w:rPr>
        <w:t>对本合同承包范围内的分包工程向甲方负责，全部施工任务必须组织自有力量完成。甲方发现乙方转包或者违法分包本分包工程的，甲方有权单方解除合同，并扣除乙方已完合格工程产值</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lang w:val="en-US" w:eastAsia="zh-CN"/>
        </w:rPr>
        <w:t>30</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rPr>
        <w:t>%的违约金。</w:t>
      </w:r>
    </w:p>
    <w:p w14:paraId="1FD25E5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rPr>
        <w:t>甲方发现乙方与其班组长之间非劳动隶属关系而为合作关系的。甲方有权勒令乙方限期清退相关队伍，并扣除乙方已完合格工程产值</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lang w:val="en-US" w:eastAsia="zh-CN"/>
        </w:rPr>
        <w:t>20</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rPr>
        <w:t>%的违约金，由此造成的工期延误等违约责任按合同第</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lang w:val="en-US" w:eastAsia="zh-CN"/>
        </w:rPr>
        <w:t>6.3.5</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rPr>
        <w:t>条执行。</w:t>
      </w:r>
    </w:p>
    <w:p w14:paraId="13E408B3">
      <w:pPr>
        <w:pStyle w:val="5"/>
        <w:ind w:left="0" w:leftChars="0" w:firstLine="562" w:firstLineChars="200"/>
        <w:rPr>
          <w:bCs w:val="0"/>
          <w:color w:val="000000"/>
          <w:highlight w:val="none"/>
        </w:rPr>
      </w:pPr>
      <w:bookmarkStart w:id="846" w:name="_Toc8764"/>
      <w:r>
        <w:rPr>
          <w:rFonts w:hint="eastAsia"/>
          <w:bCs w:val="0"/>
          <w:color w:val="000000"/>
          <w:highlight w:val="none"/>
        </w:rPr>
        <w:t>7. 机具、设备及材料供应</w:t>
      </w:r>
      <w:bookmarkEnd w:id="846"/>
    </w:p>
    <w:p w14:paraId="3B34FFD2">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7.1 机具、设备和材料供应计划</w:t>
      </w:r>
    </w:p>
    <w:p w14:paraId="35846CE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7.1.1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应在收到甲方提供的施工组织设计之日起【14】天内，向甲方提交机具、设备、材料供应计划。供应计划经甲方确认后，乙方应按供应计划要求的品种、规格、型号、质量、数量和供应时间等组织货源并及时运入场地。</w:t>
      </w:r>
    </w:p>
    <w:p w14:paraId="6E35B1F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7.1.</w:t>
      </w:r>
      <w:r>
        <w:rPr>
          <w:rFonts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rPr>
        <w:t xml:space="preserve"> 甲方提供的机具、设备应在安装调试完毕，确认运行良好后交付乙方使用，在进出场时，乙方必须参与验收。</w:t>
      </w:r>
    </w:p>
    <w:p w14:paraId="2D57A1D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 xml:space="preserve">7.1.3 </w:t>
      </w:r>
      <w:r>
        <w:rPr>
          <w:rFonts w:hint="eastAsia" w:ascii="仿宋_GB2312" w:hAnsi="仿宋_GB2312" w:eastAsia="仿宋_GB2312" w:cs="仿宋_GB2312"/>
          <w:sz w:val="28"/>
          <w:szCs w:val="28"/>
          <w:highlight w:val="none"/>
        </w:rPr>
        <w:t>甲方提供的材料在进场时应由乙方负责验收，如材料的品种、规格、型号、质量、数量不符合要求，乙方应在验收时提出，否则，视为乙方认可甲方提供的材料符合要求，如果乙方再行提出其他要求，由此增加的费用和（或）延误的期限均由乙方承担。</w:t>
      </w:r>
    </w:p>
    <w:p w14:paraId="7D28CF70">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7.2 大型机械、主要材料和周转性材料</w:t>
      </w:r>
    </w:p>
    <w:p w14:paraId="1C59FAF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大型机械、主要材料和周转性材料供应具体详见协议书中约定。</w:t>
      </w:r>
    </w:p>
    <w:p w14:paraId="0FAFEB4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乙方材料验收人员需提供乙方单位的授权委托书，此委托书由甲方保存。</w:t>
      </w:r>
    </w:p>
    <w:p w14:paraId="5164D70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方供应的材料设备属甲方所有，只供本合同分包作业范围内工程专用，乙方不能挪作他用或擅自处理（包括边角余料）。施工节余材料，废旧材料、边角余料由乙方负责回收至指定地点，归甲方所有,若乙方不按照甲方要求送回至甲方指定地点，甲方将以采购价上浮【</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】%的价格调拨给乙方，或由乙方承担甲方自行收回所使用的机械、人工等费用。</w:t>
      </w:r>
    </w:p>
    <w:p w14:paraId="1963574A">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甲方供料由乙方按进度计划提前【20】天报材料进场计划，甲方按审定的计划供应。因计划不及时、不准确，造成乙方停工、窝工责任由乙方承担。</w:t>
      </w:r>
    </w:p>
    <w:p w14:paraId="20238389">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7.3 低值易耗材料和小型机械</w:t>
      </w:r>
    </w:p>
    <w:p w14:paraId="1A6CC93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低值易耗材料和小型机械供应，详见协议书中约定。除甲方供应外，分包作业所需的其他低值易耗零星材料及小型机械，均由乙方自行提供。</w:t>
      </w:r>
    </w:p>
    <w:p w14:paraId="7FE9AA0B">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7.4 乙方的保管义务</w:t>
      </w:r>
    </w:p>
    <w:p w14:paraId="5687EDB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乙方应妥善保管、合理使用甲方供应的机具、设备、材料，并接受甲方随时检查其机具、设备、材料的保管、使用情况，保管费用由乙方承担。因乙方保管不善、不合理使用造成机具、设备、材料丢失、损毁的，乙方应负责赔偿，并承担因此造成的作业期限延误等责任。</w:t>
      </w:r>
    </w:p>
    <w:p w14:paraId="2169F35D">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7.5 甲方供应设备、材料的合理损耗</w:t>
      </w:r>
    </w:p>
    <w:p w14:paraId="5E8B3B7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甲方提供设备及供应材料，乙方本合同约定损耗的范围内对设备、材料进行合理使用。超出约定损耗率范围之外的设备、材料用量，由乙方全部赔偿，价格按甲方购买价格加价10%计取，在进度款中扣除。</w:t>
      </w:r>
    </w:p>
    <w:p w14:paraId="6757E59D">
      <w:pPr>
        <w:pStyle w:val="5"/>
        <w:ind w:left="0" w:leftChars="0" w:firstLine="562" w:firstLineChars="200"/>
        <w:jc w:val="both"/>
        <w:rPr>
          <w:highlight w:val="none"/>
        </w:rPr>
      </w:pPr>
      <w:bookmarkStart w:id="847" w:name="_Toc6421"/>
      <w:r>
        <w:rPr>
          <w:rFonts w:hint="eastAsia"/>
          <w:bCs w:val="0"/>
          <w:color w:val="000000"/>
          <w:highlight w:val="none"/>
        </w:rPr>
        <w:t>8. 分包作业变化</w:t>
      </w:r>
      <w:r>
        <w:rPr>
          <w:rFonts w:hint="eastAsia" w:ascii="仿宋_GB2312" w:hAnsi="仿宋_GB2312" w:eastAsia="仿宋_GB2312" w:cs="仿宋_GB2312"/>
          <w:color w:val="C00000"/>
          <w:highlight w:val="none"/>
        </w:rPr>
        <w:t>（*核心条款）</w:t>
      </w:r>
      <w:bookmarkEnd w:id="847"/>
    </w:p>
    <w:p w14:paraId="2268813C">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8.1 分包作业变化的情形</w:t>
      </w:r>
    </w:p>
    <w:p w14:paraId="2703B41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乙方按照甲方发出的设计变更通知及有关要求，进行施工，未经甲方事先书面同意，乙方不得擅自调整分包作业范围。由乙方擅自变更或未按照甲方设计变更通知进行施工造成的费用增加和由此导致甲方的直接损失，由乙方承担，延误的工期不予顺延。</w:t>
      </w:r>
    </w:p>
    <w:p w14:paraId="7B754C86">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8.2 分包作业变化的通知</w:t>
      </w:r>
    </w:p>
    <w:p w14:paraId="2F146C3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施工中如发生对原工作内容进行变更，甲方应提前【</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】天以书面形式向乙方发出变更通知，并提供变更的相应图纸和说明。</w:t>
      </w:r>
    </w:p>
    <w:p w14:paraId="05DC3FA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乙方应依据自己的专业性提出合理化建议。乙方提出合理化建议的，应向甲方提交合理化建议说明，说明建议的内容、理由以及实施该建议对合同价格和工期的影响。甲方应在收到乙方的合理化建议后【7】天内审批完毕。合理化建议经甲方批准的，甲方应及时发出变更通知。</w:t>
      </w:r>
    </w:p>
    <w:p w14:paraId="17D8A8F4">
      <w:pPr>
        <w:autoSpaceDE w:val="0"/>
        <w:autoSpaceDN w:val="0"/>
        <w:adjustRightInd w:val="0"/>
        <w:spacing w:line="480" w:lineRule="exact"/>
        <w:ind w:firstLine="562" w:firstLineChars="200"/>
        <w:jc w:val="left"/>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8.3 分包作业变化估价</w:t>
      </w:r>
    </w:p>
    <w:p w14:paraId="16A96EB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8.3.1 分包作业变化估价原则</w:t>
      </w:r>
    </w:p>
    <w:p w14:paraId="36D2F7BA">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①已标价工程量清单或预算书有相同项目的，按照相同项目单价认定；</w:t>
      </w:r>
    </w:p>
    <w:p w14:paraId="290AA03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②已标价工程量清单或预算书中无相同项目，但有类似项目的，参照类似项目的单价认定；</w:t>
      </w:r>
    </w:p>
    <w:p w14:paraId="6A100C6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③合同中既无可执行的，又没有类似参照执行的，由乙方报送费用，甲方审核确认。</w:t>
      </w:r>
    </w:p>
    <w:p w14:paraId="7C393B8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8.3.2 分包作业变化估价程序</w:t>
      </w:r>
    </w:p>
    <w:p w14:paraId="2FD9296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当分包作业变化且合同中没有相应实物的合同单价或者其他原因造成需要办理经济签证时，严格按照甲方程序办理签证。</w:t>
      </w:r>
      <w:r>
        <w:rPr>
          <w:rFonts w:hint="eastAsia" w:ascii="仿宋_GB2312" w:hAnsi="仿宋_GB2312" w:eastAsia="仿宋_GB2312" w:cs="仿宋_GB2312"/>
          <w:sz w:val="28"/>
          <w:szCs w:val="28"/>
          <w:highlight w:val="none"/>
          <w:lang w:val="en-US" w:eastAsia="zh-CN"/>
        </w:rPr>
        <w:t>合同外费用确认相关注意事项及流程如下：</w:t>
      </w:r>
    </w:p>
    <w:p w14:paraId="241AC5C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（1）分包签证使用甲方分包签证管理流程进行审核审批，包括但不限于零星点工、零星工程、CI工程、零星机械使用、材料搬运卸货等。</w:t>
      </w:r>
    </w:p>
    <w:p w14:paraId="64ACBB5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2）按照先审批指令单后施工的原则，分包签证必须下达指令单、申报和审批。要求一事一签，签证资料必须由【指令单、签证单、带水印照片（最少【6】张）、扣工单（若有）】组成，缺一不可，否则视为无效签证。</w:t>
      </w:r>
    </w:p>
    <w:p w14:paraId="6E678DE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（3）签证必须注明工作量、工作时间、工作人数，若指令事件可以按工程量计算，则需附图，附图须经甲方签证经办人、商务经理签字确认。</w:t>
      </w:r>
    </w:p>
    <w:p w14:paraId="5FF8439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（4）签证作为分包结算依据。</w:t>
      </w:r>
    </w:p>
    <w:p w14:paraId="719E8DC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5）结算时，甲方有权扣除不符合本合同约定的分包经济签证及无效签证，除上述约定外，无效签证如下：未附指令单的签证单；签字不全的签证单；签证内容与指令单内容不符的签证单；指令内容模糊指令单等。</w:t>
      </w:r>
    </w:p>
    <w:p w14:paraId="4747291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（6）单份一次性零星用工超过【400】小时或增加工作内容、改变合同单价、合同单价没有、涉及金额大于 【5000】 元的经济签证，必须经过甲方分公司总经济师审批；单份单项金额度【1】万元以上的，须经过甲方公司商务管理部经理审核；单份签证【5】万元以上的经济签证，须经过甲方公司总经济师审批。</w:t>
      </w:r>
    </w:p>
    <w:p w14:paraId="0AE8485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（7）发生签证事件后2天内办理签证手续，否则视为分包人放弃，不予办理。</w:t>
      </w:r>
    </w:p>
    <w:p w14:paraId="34B9D56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（8）所有项目分包经济签证实行月清月结制度，每月必须保证清理一次，次月5日前形成上月签证结算台账，台账由甲方现场代表、项目商务经理联签，乙方的授权委托人签字并加盖印章确认。</w:t>
      </w:r>
    </w:p>
    <w:p w14:paraId="18E499C2">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（9）未从线上办理的签证无效，纸质签证一律不作为结算依据。</w:t>
      </w:r>
    </w:p>
    <w:p w14:paraId="3E5F5A2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w:t>
      </w:r>
      <w:r>
        <w:rPr>
          <w:rFonts w:ascii="仿宋_GB2312" w:hAnsi="仿宋_GB2312" w:eastAsia="仿宋_GB2312" w:cs="仿宋_GB2312"/>
          <w:sz w:val="28"/>
          <w:szCs w:val="28"/>
          <w:highlight w:val="none"/>
        </w:rPr>
        <w:t xml:space="preserve">.3.3 </w:t>
      </w:r>
      <w:r>
        <w:rPr>
          <w:rFonts w:hint="eastAsia" w:ascii="仿宋_GB2312" w:hAnsi="仿宋_GB2312" w:eastAsia="仿宋_GB2312" w:cs="仿宋_GB2312"/>
          <w:sz w:val="28"/>
          <w:szCs w:val="28"/>
          <w:highlight w:val="none"/>
        </w:rPr>
        <w:t>变更费用的支付</w:t>
      </w:r>
    </w:p>
    <w:p w14:paraId="1A047C7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合同外的增减部分在依据充足情况下，随中间进度报量一并提交。签证金额的支付时间由双方另行约定。</w:t>
      </w:r>
    </w:p>
    <w:p w14:paraId="4ADB4992">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8</w:t>
      </w:r>
      <w:r>
        <w:rPr>
          <w:rFonts w:ascii="Times New Roman" w:hAnsi="Times New Roman" w:eastAsia="黑体"/>
          <w:b/>
          <w:color w:val="000000"/>
          <w:sz w:val="28"/>
          <w:szCs w:val="28"/>
          <w:highlight w:val="none"/>
        </w:rPr>
        <w:t xml:space="preserve">.4 </w:t>
      </w:r>
      <w:r>
        <w:rPr>
          <w:rFonts w:hint="eastAsia" w:ascii="Times New Roman" w:hAnsi="Times New Roman" w:eastAsia="黑体"/>
          <w:b/>
          <w:color w:val="000000"/>
          <w:sz w:val="28"/>
          <w:szCs w:val="28"/>
          <w:highlight w:val="none"/>
        </w:rPr>
        <w:t>分包作业变化引起的作业期限调整</w:t>
      </w:r>
    </w:p>
    <w:p w14:paraId="27505D1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由甲方原因造成的变更导致合同价款的增加，由甲方承担，延误的工期相应顺延；因变更减少工程量，合同价款应相应减少，工期相应调整。</w:t>
      </w:r>
    </w:p>
    <w:p w14:paraId="2D39636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由乙方原因造成的变更费用和由此导致甲方的直接损失，由乙方承担，延误的工期不予顺延。</w:t>
      </w:r>
    </w:p>
    <w:p w14:paraId="6F428DA6">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8.5 临时性用工劳务</w:t>
      </w:r>
    </w:p>
    <w:p w14:paraId="3840357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临时性用工劳务是指未包括在合同约定的分包作业范围之内的零星用工。甲方要求乙方提供临时性用工劳务的，甲方应当提前向乙方发出指示，乙方应当按照甲方的指示按时组织分包作业人员进场。临时性用工结束后，乙方提交结算时应提供所涉及全部工人的工人工资付清证明资料及承诺书，否则甲方不予认可，如发生工人工资纠纷，乙方自行承担相应责任。</w:t>
      </w:r>
    </w:p>
    <w:p w14:paraId="5FC298C9">
      <w:pPr>
        <w:pStyle w:val="5"/>
        <w:ind w:left="0" w:leftChars="0" w:firstLine="562" w:firstLineChars="200"/>
        <w:jc w:val="both"/>
        <w:rPr>
          <w:b w:val="0"/>
          <w:bCs w:val="0"/>
          <w:highlight w:val="none"/>
        </w:rPr>
      </w:pPr>
      <w:bookmarkStart w:id="848" w:name="_Toc25723"/>
      <w:r>
        <w:rPr>
          <w:rFonts w:hint="eastAsia"/>
          <w:bCs w:val="0"/>
          <w:color w:val="000000"/>
          <w:highlight w:val="none"/>
        </w:rPr>
        <w:t>9. 分包作业价格调整</w:t>
      </w:r>
      <w:r>
        <w:rPr>
          <w:rFonts w:hint="eastAsia" w:ascii="仿宋_GB2312" w:hAnsi="仿宋_GB2312" w:eastAsia="仿宋_GB2312" w:cs="仿宋_GB2312"/>
          <w:color w:val="C00000"/>
          <w:highlight w:val="none"/>
        </w:rPr>
        <w:t>（*核心条款</w:t>
      </w:r>
      <w:r>
        <w:rPr>
          <w:rFonts w:hint="eastAsia" w:ascii="仿宋_GB2312" w:hAnsi="仿宋_GB2312" w:eastAsia="仿宋_GB2312" w:cs="仿宋_GB2312"/>
          <w:b w:val="0"/>
          <w:bCs w:val="0"/>
          <w:color w:val="C00000"/>
          <w:highlight w:val="none"/>
        </w:rPr>
        <w:t>）</w:t>
      </w:r>
      <w:bookmarkEnd w:id="848"/>
    </w:p>
    <w:p w14:paraId="1DC0999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合同分包作业价格由乙方根据自身企业情况确定，包干单价是乙方结合图纸、现场条件、招标文件及附件合同、国家现行的材料工艺标准规范、工程规范和技术说明、甲方与建设单位的总承包合同等综合进行理解所确定的单价，已考虑一切风险因素。任何情况下，乙方在投标前已勘察现场及熟悉施工图纸等，实际施工时不能以对现场或图纸不熟，或者以清单未描述或内容描述不全面等为由要求调整合同单价，也不因施工期内市场材料价格、人工价格、政府收费、政府政策性调整等因素造成价格的变动而要求调整单价，且乙方已综合考虑由于甲方或建设单位图纸变更对合同单价造成的影响，及由于甲方要求施工工程量增加或减少对招标工程量及合同总造价的影响，综合单价（含税）均不得以任何理由要求调整。合同一经签订，乙方应诚信履约。如出现乙方要求增加任何费用的情况，视为乙方违约，甲方有权按分包工程签约合同价的【</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】%处以惩罚性违约金；给甲方造成损失的，由乙方承担所有给甲方造成的相关损失，由此造成的影响由乙方自负，且甲方有权单方解除合同。</w:t>
      </w:r>
    </w:p>
    <w:p w14:paraId="29146E3D">
      <w:pPr>
        <w:pStyle w:val="5"/>
        <w:ind w:left="0" w:leftChars="0" w:firstLine="562" w:firstLineChars="200"/>
        <w:rPr>
          <w:bCs w:val="0"/>
          <w:color w:val="000000"/>
          <w:highlight w:val="none"/>
        </w:rPr>
      </w:pPr>
      <w:bookmarkStart w:id="849" w:name="_Toc23654"/>
      <w:r>
        <w:rPr>
          <w:rFonts w:hint="eastAsia"/>
          <w:bCs w:val="0"/>
          <w:color w:val="000000"/>
          <w:highlight w:val="none"/>
        </w:rPr>
        <w:t>10. 合同价格形式</w:t>
      </w:r>
      <w:bookmarkEnd w:id="849"/>
    </w:p>
    <w:p w14:paraId="502B2D5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详见协议书中约定。</w:t>
      </w:r>
    </w:p>
    <w:p w14:paraId="4C8DA470">
      <w:pPr>
        <w:pStyle w:val="5"/>
        <w:ind w:left="0" w:leftChars="0" w:firstLine="562" w:firstLineChars="200"/>
        <w:jc w:val="both"/>
        <w:rPr>
          <w:highlight w:val="none"/>
        </w:rPr>
      </w:pPr>
      <w:bookmarkStart w:id="850" w:name="_Toc26757"/>
      <w:r>
        <w:rPr>
          <w:rFonts w:hint="eastAsia"/>
          <w:bCs w:val="0"/>
          <w:color w:val="000000"/>
          <w:highlight w:val="none"/>
        </w:rPr>
        <w:t>11. 分包作业计量与支付</w:t>
      </w:r>
      <w:r>
        <w:rPr>
          <w:rFonts w:hint="eastAsia" w:ascii="仿宋_GB2312" w:hAnsi="仿宋_GB2312" w:eastAsia="仿宋_GB2312" w:cs="仿宋_GB2312"/>
          <w:color w:val="C00000"/>
          <w:highlight w:val="none"/>
        </w:rPr>
        <w:t>（*核心条款）</w:t>
      </w:r>
      <w:bookmarkEnd w:id="850"/>
    </w:p>
    <w:p w14:paraId="00D6A43B">
      <w:pPr>
        <w:autoSpaceDE w:val="0"/>
        <w:autoSpaceDN w:val="0"/>
        <w:adjustRightInd w:val="0"/>
        <w:spacing w:line="480" w:lineRule="exact"/>
        <w:ind w:firstLine="562" w:firstLineChars="200"/>
        <w:rPr>
          <w:rFonts w:ascii="Times New Roman" w:hAnsi="Times New Roman" w:eastAsia="黑体"/>
          <w:bCs/>
          <w:color w:val="000000"/>
          <w:sz w:val="28"/>
          <w:szCs w:val="28"/>
          <w:highlight w:val="none"/>
        </w:rPr>
      </w:pPr>
      <w:r>
        <w:rPr>
          <w:rFonts w:hint="eastAsia" w:ascii="Times New Roman" w:hAnsi="Times New Roman" w:eastAsia="黑体"/>
          <w:b/>
          <w:color w:val="000000"/>
          <w:sz w:val="28"/>
          <w:szCs w:val="28"/>
          <w:highlight w:val="none"/>
        </w:rPr>
        <w:t>11.1 分包作业的计量</w:t>
      </w:r>
    </w:p>
    <w:p w14:paraId="0EAEA35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11.1.1 计量原则和计量周期</w:t>
      </w:r>
    </w:p>
    <w:p w14:paraId="5B51032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分包作业工作量计算规则详见合同协议书。</w:t>
      </w:r>
    </w:p>
    <w:p w14:paraId="02382D92">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11.1.2 计量程序</w:t>
      </w:r>
    </w:p>
    <w:p w14:paraId="73E981F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（1）乙方每月【</w:t>
      </w:r>
      <w:r>
        <w:rPr>
          <w:rFonts w:hint="eastAsia" w:ascii="仿宋_GB2312" w:hAnsi="仿宋_GB2312" w:eastAsia="仿宋_GB2312" w:cs="仿宋_GB2312"/>
          <w:sz w:val="28"/>
          <w:szCs w:val="28"/>
          <w:highlight w:val="none"/>
          <w:lang w:val="en-US" w:eastAsia="zh-CN"/>
        </w:rPr>
        <w:t>16</w:t>
      </w:r>
      <w:r>
        <w:rPr>
          <w:rFonts w:hint="eastAsia" w:ascii="仿宋_GB2312" w:hAnsi="仿宋_GB2312" w:eastAsia="仿宋_GB2312" w:cs="仿宋_GB2312"/>
          <w:sz w:val="28"/>
          <w:szCs w:val="28"/>
          <w:highlight w:val="none"/>
        </w:rPr>
        <w:t>】日向甲方上报已完工程量计算书，并填报《分包报量审核报告》，并经甲方项目商务部审核后仅可用于支付工程进度款，不得作为最终结算的依据。</w:t>
      </w:r>
    </w:p>
    <w:p w14:paraId="71D3421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（2）乙方每月报量中的安全措施费，可根据月度考核情况单独计量，由项目安全工程师、专业工程师、安全总监、商务经理、甲方现场代表进行审核，按乙方实际投入情况计取费用。</w:t>
      </w:r>
    </w:p>
    <w:p w14:paraId="3BE68E5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（3）如分包计量超过签约合同价【</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】的，应及时签订补充协议，如不签订补充协议，增加部分不予计量。</w:t>
      </w:r>
    </w:p>
    <w:p w14:paraId="02FCFD89">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11.2 合同价款支付</w:t>
      </w:r>
    </w:p>
    <w:p w14:paraId="4A1AFBA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具体支付比例及支付方式详见协议书中约定。</w:t>
      </w:r>
    </w:p>
    <w:p w14:paraId="2EDEB27B">
      <w:pPr>
        <w:pStyle w:val="5"/>
        <w:ind w:left="0" w:leftChars="0" w:firstLine="562" w:firstLineChars="200"/>
        <w:jc w:val="both"/>
        <w:rPr>
          <w:highlight w:val="none"/>
        </w:rPr>
      </w:pPr>
      <w:bookmarkStart w:id="851" w:name="_Toc8697"/>
      <w:r>
        <w:rPr>
          <w:rFonts w:hint="eastAsia"/>
          <w:bCs w:val="0"/>
          <w:color w:val="000000"/>
          <w:highlight w:val="none"/>
        </w:rPr>
        <w:t>12. 验收与交付</w:t>
      </w:r>
      <w:r>
        <w:rPr>
          <w:rFonts w:hint="eastAsia" w:ascii="仿宋_GB2312" w:hAnsi="仿宋_GB2312" w:eastAsia="仿宋_GB2312" w:cs="仿宋_GB2312"/>
          <w:color w:val="C00000"/>
          <w:highlight w:val="none"/>
        </w:rPr>
        <w:t>（*核心条款）</w:t>
      </w:r>
      <w:bookmarkEnd w:id="851"/>
    </w:p>
    <w:p w14:paraId="59B4E0E6">
      <w:pPr>
        <w:autoSpaceDE w:val="0"/>
        <w:autoSpaceDN w:val="0"/>
        <w:adjustRightInd w:val="0"/>
        <w:spacing w:line="480" w:lineRule="exact"/>
        <w:ind w:firstLine="562" w:firstLineChars="200"/>
        <w:rPr>
          <w:rFonts w:ascii="Times New Roman" w:hAnsi="Times New Roman" w:eastAsia="黑体"/>
          <w:bCs/>
          <w:color w:val="000000"/>
          <w:sz w:val="28"/>
          <w:szCs w:val="28"/>
          <w:highlight w:val="none"/>
        </w:rPr>
      </w:pPr>
      <w:r>
        <w:rPr>
          <w:rFonts w:hint="eastAsia" w:ascii="Times New Roman" w:hAnsi="Times New Roman" w:eastAsia="黑体"/>
          <w:b/>
          <w:color w:val="000000"/>
          <w:sz w:val="28"/>
          <w:szCs w:val="28"/>
          <w:highlight w:val="none"/>
        </w:rPr>
        <w:t>12.1 分包作业质量</w:t>
      </w:r>
    </w:p>
    <w:p w14:paraId="39E08F4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12.1.1 乙方应确保所完成分包作业符合合同约定的质量标准。甲方有作业规范要求的，乙方的分包作业还应当满足甲方的作业规范要求。</w:t>
      </w:r>
    </w:p>
    <w:p w14:paraId="7417A35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12.1.2 甲方有权随时对乙方实施的分包作业进行监督检查，确保分包作业质量，并对存在的质量隐患提出整改要求，乙方应当及时完成整改。</w:t>
      </w:r>
    </w:p>
    <w:p w14:paraId="1FD6833E">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12.2 参加检验与验收</w:t>
      </w:r>
    </w:p>
    <w:p w14:paraId="7739FFFA">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乙方应按照甲方的书面指示，参加与其分包作业有关的分部分项工程的验收，并承担相应部分的整改责任。</w:t>
      </w:r>
    </w:p>
    <w:p w14:paraId="73A3EACA">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12.2.1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质量检查：乙方应当建立质量管理体系，坚持自检、互检、交接检制度，并为检验提供便利条件，随时接受甲方现场代表和委派人员以及各级质检部门的检查、检验，并按要求返工、修改，承担由自身原因导致的返工、修改费用。</w:t>
      </w:r>
    </w:p>
    <w:p w14:paraId="3B3D127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12.2.2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隐蔽工程验收：乙方应在自检合格后，验收【48】小时前通知甲方组织验收，经监理公司验收合格，在验收记录签字后方可进行隐蔽和继续施工。如验收不符合质量要求，乙方应按验收提出的整改意见进行返修自检，合格后重新通知验收，返修费用乙方承担，工期不予顺延。未经验收不得自行隐蔽，如有自行隐蔽，</w:t>
      </w:r>
      <w:r>
        <w:rPr>
          <w:rFonts w:hint="eastAsia" w:ascii="仿宋_GB2312" w:hAnsi="仿宋_GB2312" w:eastAsia="仿宋_GB2312" w:cs="仿宋_GB2312"/>
          <w:sz w:val="28"/>
          <w:szCs w:val="28"/>
          <w:highlight w:val="yellow"/>
        </w:rPr>
        <w:t>每发现一次，甲方有权追究</w:t>
      </w:r>
      <w:r>
        <w:rPr>
          <w:rFonts w:hint="eastAsia" w:ascii="仿宋_GB2312" w:hAnsi="仿宋_GB2312" w:eastAsia="仿宋_GB2312" w:cs="仿宋_GB2312"/>
          <w:sz w:val="28"/>
          <w:szCs w:val="28"/>
          <w:highlight w:val="yellow"/>
          <w:lang w:val="en-US" w:eastAsia="zh-CN"/>
        </w:rPr>
        <w:t>乙方</w:t>
      </w:r>
      <w:r>
        <w:rPr>
          <w:rFonts w:hint="eastAsia" w:ascii="仿宋_GB2312" w:hAnsi="仿宋_GB2312" w:eastAsia="仿宋_GB2312" w:cs="仿宋_GB2312"/>
          <w:sz w:val="28"/>
          <w:szCs w:val="28"/>
          <w:highlight w:val="yellow"/>
        </w:rPr>
        <w:t>20000.00-50000.00元/次的违约经济处罚</w:t>
      </w:r>
      <w:r>
        <w:rPr>
          <w:rFonts w:hint="eastAsia" w:ascii="仿宋_GB2312" w:hAnsi="仿宋_GB2312" w:eastAsia="仿宋_GB2312" w:cs="仿宋_GB2312"/>
          <w:sz w:val="28"/>
          <w:szCs w:val="28"/>
          <w:highlight w:val="yellow"/>
          <w:lang w:eastAsia="zh-CN"/>
        </w:rPr>
        <w:t>，</w:t>
      </w:r>
      <w:r>
        <w:rPr>
          <w:rFonts w:hint="eastAsia" w:ascii="仿宋_GB2312" w:hAnsi="仿宋_GB2312" w:eastAsia="仿宋_GB2312" w:cs="仿宋_GB2312"/>
          <w:sz w:val="28"/>
          <w:szCs w:val="28"/>
          <w:highlight w:val="none"/>
          <w:lang w:val="en-US" w:eastAsia="zh-CN"/>
        </w:rPr>
        <w:t>同时</w:t>
      </w:r>
      <w:r>
        <w:rPr>
          <w:rFonts w:hint="eastAsia" w:ascii="仿宋_GB2312" w:hAnsi="仿宋_GB2312" w:eastAsia="仿宋_GB2312" w:cs="仿宋_GB2312"/>
          <w:sz w:val="28"/>
          <w:szCs w:val="28"/>
          <w:highlight w:val="none"/>
        </w:rPr>
        <w:t>乙方必须按照甲方或有关单位的验收要求剥露和开口及恢复，并承担因此发生的全部费用及损失，工期不予顺延。</w:t>
      </w:r>
    </w:p>
    <w:p w14:paraId="58A7848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12.2.3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交工验收：乙方承担的任务全部完成，经初验达到约定的质量标准后，由甲方约请建设单位验收，经验收合格，评定质量等级。交工验收书签字后，办理工程移交。如质量达不到要求，乙方应对所施工部分存在的问题按验收提出的意见返修，并在限定的期限内完成，再通知验收，直到符合质量要求为止。乙方承担因此发生的全部经济损失和工期延误责任。</w:t>
      </w:r>
    </w:p>
    <w:p w14:paraId="5F196F0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12.2.4</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分包工程质量应达到设计图纸要求及约定的标准和质量目标。如图纸、国家及当地政府的施工验收规范、标准、建设单位的指令之间有差异和不一致的，乙方应取得甲方的书面认可后，以质量要求较严者为施工依据。</w:t>
      </w:r>
    </w:p>
    <w:p w14:paraId="2675820C">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12.3 完工日期的确定</w:t>
      </w:r>
    </w:p>
    <w:p w14:paraId="4A7110A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12.3.1 乙方完成全部分包作业后，应向甲方提交完工报告，通知甲方验收。分包作业经甲方验收合格的，以验收合格之日起为本分包工程完工日期。</w:t>
      </w:r>
    </w:p>
    <w:p w14:paraId="5978FA0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12.3.2 总包工程竣工且经建设单位验收合格的，视为乙方的分包作业质量符合合同约定的要求。</w:t>
      </w:r>
    </w:p>
    <w:p w14:paraId="3AA42812">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12.4 分包作业整改</w:t>
      </w:r>
    </w:p>
    <w:p w14:paraId="6ACAB6C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甲方与建设单位间的隐蔽工程验收、分部分项工程验收以及工程竣工验收表明分包作业质量不合格时，乙方应负责无偿整改，作业期限不予延长，并承担由此导致的甲方的全部损失。若乙方接到甲方整改通知单后【24小时】内未进行整改，甲方有权委托第三方完成，此部分费用由乙方承担并对乙方处以【</w:t>
      </w:r>
      <w:r>
        <w:rPr>
          <w:rFonts w:hint="eastAsia" w:ascii="仿宋_GB2312" w:hAnsi="仿宋_GB2312" w:eastAsia="仿宋_GB2312" w:cs="仿宋_GB2312"/>
          <w:sz w:val="28"/>
          <w:szCs w:val="28"/>
          <w:highlight w:val="none"/>
          <w:lang w:val="en-US" w:eastAsia="zh-CN"/>
        </w:rPr>
        <w:t>1000</w:t>
      </w:r>
      <w:r>
        <w:rPr>
          <w:rFonts w:hint="eastAsia" w:ascii="仿宋_GB2312" w:hAnsi="仿宋_GB2312" w:eastAsia="仿宋_GB2312" w:cs="仿宋_GB2312"/>
          <w:sz w:val="28"/>
          <w:szCs w:val="28"/>
          <w:highlight w:val="none"/>
        </w:rPr>
        <w:t>】元惩罚性违约金。</w:t>
      </w:r>
    </w:p>
    <w:p w14:paraId="583A9C31">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12.5 分包作业交付</w:t>
      </w:r>
    </w:p>
    <w:p w14:paraId="424B373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分包作业经验收合格后，乙方应当按照甲方指示及时将该分包作业交付甲方，不得以双方存在争议为由拒绝将该分包作业交付甲方。</w:t>
      </w:r>
    </w:p>
    <w:p w14:paraId="19F478E0">
      <w:pPr>
        <w:pStyle w:val="5"/>
        <w:ind w:left="0" w:leftChars="0" w:firstLine="562" w:firstLineChars="200"/>
        <w:jc w:val="both"/>
        <w:rPr>
          <w:highlight w:val="none"/>
        </w:rPr>
      </w:pPr>
      <w:bookmarkStart w:id="852" w:name="_Toc28633"/>
      <w:r>
        <w:rPr>
          <w:rFonts w:hint="eastAsia"/>
          <w:bCs w:val="0"/>
          <w:color w:val="000000"/>
          <w:highlight w:val="none"/>
        </w:rPr>
        <w:t>13. 分包作业结算与支付</w:t>
      </w:r>
      <w:r>
        <w:rPr>
          <w:rFonts w:hint="eastAsia" w:ascii="仿宋_GB2312" w:hAnsi="仿宋_GB2312" w:eastAsia="仿宋_GB2312" w:cs="仿宋_GB2312"/>
          <w:color w:val="C00000"/>
          <w:highlight w:val="none"/>
        </w:rPr>
        <w:t>（*核心条款）</w:t>
      </w:r>
      <w:bookmarkEnd w:id="852"/>
    </w:p>
    <w:p w14:paraId="1B40F68F">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13.1</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结算的申报</w:t>
      </w:r>
    </w:p>
    <w:p w14:paraId="51657E0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除合同协议书另有约定外，乙方应自分包工程竣工验收合格后【</w:t>
      </w:r>
      <w:r>
        <w:rPr>
          <w:rFonts w:hint="eastAsia" w:ascii="仿宋_GB2312" w:hAnsi="仿宋_GB2312" w:eastAsia="仿宋_GB2312" w:cs="仿宋_GB2312"/>
          <w:sz w:val="28"/>
          <w:szCs w:val="28"/>
          <w:highlight w:val="none"/>
          <w:lang w:val="en-US" w:eastAsia="zh-CN"/>
        </w:rPr>
        <w:t>30</w:t>
      </w:r>
      <w:r>
        <w:rPr>
          <w:rFonts w:hint="eastAsia" w:ascii="仿宋_GB2312" w:hAnsi="仿宋_GB2312" w:eastAsia="仿宋_GB2312" w:cs="仿宋_GB2312"/>
          <w:sz w:val="28"/>
          <w:szCs w:val="28"/>
          <w:highlight w:val="none"/>
        </w:rPr>
        <w:t>】天内，根据要求向甲方申报完工结算资料（包括书面版本和电子版本），同时提供变更通知单、工程签证单、乙方自购主材确认单以及合同约定的其他资料等依据。</w:t>
      </w:r>
    </w:p>
    <w:p w14:paraId="15CFD0F6">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w:t>
      </w:r>
      <w:r>
        <w:rPr>
          <w:rFonts w:ascii="Times New Roman" w:hAnsi="Times New Roman" w:eastAsia="黑体"/>
          <w:b/>
          <w:color w:val="000000"/>
          <w:sz w:val="28"/>
          <w:szCs w:val="28"/>
          <w:highlight w:val="none"/>
        </w:rPr>
        <w:t>3</w:t>
      </w:r>
      <w:r>
        <w:rPr>
          <w:rFonts w:hint="eastAsia" w:ascii="Times New Roman" w:hAnsi="Times New Roman" w:eastAsia="黑体"/>
          <w:b/>
          <w:color w:val="000000"/>
          <w:sz w:val="28"/>
          <w:szCs w:val="28"/>
          <w:highlight w:val="none"/>
        </w:rPr>
        <w:t>.2</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结算的审核</w:t>
      </w:r>
    </w:p>
    <w:p w14:paraId="580877D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.2.1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除合同协议书另有约定外，甲方应在以下期限内（以后到者为准）完成对乙方结算资料的审核，并由双方签署《完工结算审核报告》（结算书）：</w:t>
      </w:r>
    </w:p>
    <w:p w14:paraId="0E184E8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（1）甲方收到乙方的结算资料后【</w:t>
      </w:r>
      <w:r>
        <w:rPr>
          <w:rFonts w:hint="eastAsia" w:ascii="仿宋_GB2312" w:hAnsi="仿宋_GB2312" w:eastAsia="仿宋_GB2312" w:cs="仿宋_GB2312"/>
          <w:sz w:val="28"/>
          <w:szCs w:val="28"/>
          <w:highlight w:val="none"/>
          <w:lang w:val="en-US" w:eastAsia="zh-CN"/>
        </w:rPr>
        <w:t>60</w:t>
      </w:r>
      <w:r>
        <w:rPr>
          <w:rFonts w:hint="eastAsia" w:ascii="仿宋_GB2312" w:hAnsi="仿宋_GB2312" w:eastAsia="仿宋_GB2312" w:cs="仿宋_GB2312"/>
          <w:sz w:val="28"/>
          <w:szCs w:val="28"/>
          <w:highlight w:val="none"/>
        </w:rPr>
        <w:t>】天内，或者</w:t>
      </w:r>
    </w:p>
    <w:p w14:paraId="4AC47FA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（2）在建设单位对甲方的结算资料审核之后的【</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】天内。</w:t>
      </w:r>
    </w:p>
    <w:p w14:paraId="4F95408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双方特别约定：双方工作人员的过程中核对的数据不视为甲方对乙方结算金额的确认，最终需以甲方盖章确认的《完工结算审核报告》为准。</w:t>
      </w:r>
    </w:p>
    <w:p w14:paraId="78DDB19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.2.2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结算审核报告应当扣减以下金额：</w:t>
      </w:r>
    </w:p>
    <w:p w14:paraId="0C10AACA">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①施工所需水、电费用。</w:t>
      </w:r>
    </w:p>
    <w:p w14:paraId="57A12F7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②地方各种政策性收费：按甲方实际代扣代缴为准。</w:t>
      </w:r>
    </w:p>
    <w:p w14:paraId="3549653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③乙方承担的各项罚款及违约金。</w:t>
      </w:r>
    </w:p>
    <w:p w14:paraId="13E511C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④乙方施工的安防用品、工作服等，以实际领取数量及甲方采购价为准（如有）。</w:t>
      </w:r>
    </w:p>
    <w:p w14:paraId="6DCE564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⑤甲方根据合同应当扣除的其他款项。</w:t>
      </w:r>
    </w:p>
    <w:p w14:paraId="65C1615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根据本条应扣减的项目，如双方无法达成一致的，根据争议解决办法解决。</w:t>
      </w:r>
    </w:p>
    <w:p w14:paraId="1CB09C8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13.2.3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甲方项目部收到结算资料后进行初审，项目部审核完毕后报甲方总部（或总部授权的结算部门）审计。若乙方所报结算价的审减率在5%-10%（含5%）的，乙方承担被审减额的【5】%的违约金，若审减率超过10%（含10%）的，乙方承担被审减额的【10】</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的违约金，审减率在20%以上（含20%）的，乙方承担被审减额的【20】%的违约金。</w:t>
      </w:r>
    </w:p>
    <w:p w14:paraId="23BC7A6F">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w:t>
      </w:r>
      <w:r>
        <w:rPr>
          <w:rFonts w:ascii="Times New Roman" w:hAnsi="Times New Roman" w:eastAsia="黑体"/>
          <w:b/>
          <w:color w:val="000000"/>
          <w:sz w:val="28"/>
          <w:szCs w:val="28"/>
          <w:highlight w:val="none"/>
        </w:rPr>
        <w:t>3</w:t>
      </w:r>
      <w:r>
        <w:rPr>
          <w:rFonts w:hint="eastAsia" w:ascii="Times New Roman" w:hAnsi="Times New Roman" w:eastAsia="黑体"/>
          <w:b/>
          <w:color w:val="000000"/>
          <w:sz w:val="28"/>
          <w:szCs w:val="28"/>
          <w:highlight w:val="none"/>
        </w:rPr>
        <w:t>.3</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结算的异议</w:t>
      </w:r>
    </w:p>
    <w:p w14:paraId="1E06CC6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.3.1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甲方对乙方提交的完工结算资料有异议的，有权要求乙方在规定的时间内进行修正和提供补充资料，乙方应提交修正后的结算资料。</w:t>
      </w:r>
    </w:p>
    <w:p w14:paraId="1B20477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.3.2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乙方对甲方的审核结果有异议的，应在接到审核结果后的【</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】天内向甲方提出书面意见，甲方据此进行核实，经甲方核定后的计量结果为最终结果。若乙方不认可甲方核定的最终结果的，有异议部分按约定的争议解决方式处理；若乙方未在接到审核结果后的【1</w:t>
      </w:r>
      <w:r>
        <w:rPr>
          <w:rFonts w:ascii="仿宋_GB2312" w:hAnsi="仿宋_GB2312" w:eastAsia="仿宋_GB2312" w:cs="仿宋_GB2312"/>
          <w:sz w:val="28"/>
          <w:szCs w:val="28"/>
          <w:highlight w:val="none"/>
        </w:rPr>
        <w:t>4</w:t>
      </w:r>
      <w:r>
        <w:rPr>
          <w:rFonts w:hint="eastAsia" w:ascii="仿宋_GB2312" w:hAnsi="仿宋_GB2312" w:eastAsia="仿宋_GB2312" w:cs="仿宋_GB2312"/>
          <w:sz w:val="28"/>
          <w:szCs w:val="28"/>
          <w:highlight w:val="none"/>
        </w:rPr>
        <w:t>】天内提出异议的，即视为确认甲方的审核结果，并作为双方的最终结算金额。</w:t>
      </w:r>
    </w:p>
    <w:p w14:paraId="2AF44C8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.3.3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如未在规定时间内提供完整的工程竣工结算资料，经甲方催促后【14】天内仍未提供或没有明确答复，甲方有权根据已有资料进行审查并确定双方的最终结算金额，该结算金额对乙方具有约束力，乙方无权再提出异议，由此带来的全部责任和后果由乙方自负。</w:t>
      </w:r>
    </w:p>
    <w:p w14:paraId="60A56818">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w:t>
      </w:r>
      <w:r>
        <w:rPr>
          <w:rFonts w:ascii="Times New Roman" w:hAnsi="Times New Roman" w:eastAsia="黑体"/>
          <w:b/>
          <w:color w:val="000000"/>
          <w:sz w:val="28"/>
          <w:szCs w:val="28"/>
          <w:highlight w:val="none"/>
        </w:rPr>
        <w:t>3</w:t>
      </w:r>
      <w:r>
        <w:rPr>
          <w:rFonts w:hint="eastAsia" w:ascii="Times New Roman" w:hAnsi="Times New Roman" w:eastAsia="黑体"/>
          <w:b/>
          <w:color w:val="000000"/>
          <w:sz w:val="28"/>
          <w:szCs w:val="28"/>
          <w:highlight w:val="none"/>
        </w:rPr>
        <w:t>.4</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结算款的支付</w:t>
      </w:r>
    </w:p>
    <w:p w14:paraId="76A8E2A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除在协议书中另有约定外，在满足以下全部条件后的【</w:t>
      </w:r>
      <w:r>
        <w:rPr>
          <w:rFonts w:hint="eastAsia" w:ascii="仿宋_GB2312" w:hAnsi="仿宋_GB2312" w:eastAsia="仿宋_GB2312" w:cs="仿宋_GB2312"/>
          <w:sz w:val="28"/>
          <w:szCs w:val="28"/>
          <w:highlight w:val="none"/>
          <w:lang w:val="en-US" w:eastAsia="zh-CN"/>
        </w:rPr>
        <w:t>60</w:t>
      </w:r>
      <w:r>
        <w:rPr>
          <w:rFonts w:hint="eastAsia" w:ascii="仿宋_GB2312" w:hAnsi="仿宋_GB2312" w:eastAsia="仿宋_GB2312" w:cs="仿宋_GB2312"/>
          <w:sz w:val="28"/>
          <w:szCs w:val="28"/>
          <w:highlight w:val="none"/>
        </w:rPr>
        <w:t>】天内，以后到者为准，甲方向乙方支付合同结算价的【</w:t>
      </w:r>
      <w:r>
        <w:rPr>
          <w:rFonts w:hint="eastAsia" w:ascii="仿宋_GB2312" w:hAnsi="仿宋_GB2312" w:eastAsia="仿宋_GB2312" w:cs="仿宋_GB2312"/>
          <w:sz w:val="28"/>
          <w:szCs w:val="28"/>
          <w:highlight w:val="none"/>
          <w:lang w:val="en-US" w:eastAsia="zh-CN"/>
        </w:rPr>
        <w:t>97</w:t>
      </w:r>
      <w:r>
        <w:rPr>
          <w:rFonts w:hint="eastAsia" w:ascii="仿宋_GB2312" w:hAnsi="仿宋_GB2312" w:eastAsia="仿宋_GB2312" w:cs="仿宋_GB2312"/>
          <w:sz w:val="28"/>
          <w:szCs w:val="28"/>
          <w:highlight w:val="none"/>
        </w:rPr>
        <w:t>】%，同时扣除乙方应付的其他款项以及质保金：</w:t>
      </w:r>
    </w:p>
    <w:p w14:paraId="7793F58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（1）工程经建设单位整体竣工验收合格出具工程竣工验收报告或者办理竣工备案；</w:t>
      </w:r>
    </w:p>
    <w:p w14:paraId="2779FB0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（2）双方完成确认《完工结算审核报告》；</w:t>
      </w:r>
    </w:p>
    <w:p w14:paraId="388E1EA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（3）甲方收到乙方开具的有效的增值税发票。</w:t>
      </w:r>
    </w:p>
    <w:p w14:paraId="3C1EF2EB">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ascii="Times New Roman" w:hAnsi="Times New Roman" w:eastAsia="黑体"/>
          <w:b/>
          <w:color w:val="000000"/>
          <w:sz w:val="28"/>
          <w:szCs w:val="28"/>
          <w:highlight w:val="none"/>
        </w:rPr>
        <w:t xml:space="preserve">13.5 </w:t>
      </w:r>
      <w:r>
        <w:rPr>
          <w:rFonts w:hint="eastAsia" w:ascii="Times New Roman" w:hAnsi="Times New Roman" w:eastAsia="黑体"/>
          <w:b/>
          <w:color w:val="000000"/>
          <w:sz w:val="28"/>
          <w:szCs w:val="28"/>
          <w:highlight w:val="none"/>
        </w:rPr>
        <w:t>其他</w:t>
      </w:r>
    </w:p>
    <w:p w14:paraId="1522D77D">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13.</w:t>
      </w:r>
      <w:r>
        <w:rPr>
          <w:rFonts w:ascii="仿宋_GB2312" w:hAnsi="仿宋_GB2312" w:eastAsia="仿宋_GB2312" w:cs="仿宋_GB2312"/>
          <w:sz w:val="28"/>
          <w:szCs w:val="28"/>
          <w:highlight w:val="none"/>
        </w:rPr>
        <w:t xml:space="preserve">5.1 </w:t>
      </w:r>
      <w:r>
        <w:rPr>
          <w:rFonts w:hint="eastAsia" w:ascii="仿宋_GB2312" w:hAnsi="仿宋_GB2312" w:eastAsia="仿宋_GB2312" w:cs="仿宋_GB2312"/>
          <w:sz w:val="28"/>
          <w:szCs w:val="28"/>
          <w:highlight w:val="none"/>
        </w:rPr>
        <w:t>乙方施工过程中，由于自行施工部分安全、质量或其他问题达不到甲方要求，甲方在过程中签发的涉及经济问题的罚款单或联系单，甲方有权在进度款中扣除该费用。</w:t>
      </w:r>
    </w:p>
    <w:p w14:paraId="4F9E539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13.</w:t>
      </w:r>
      <w:r>
        <w:rPr>
          <w:rFonts w:ascii="仿宋_GB2312" w:hAnsi="仿宋_GB2312" w:eastAsia="仿宋_GB2312" w:cs="仿宋_GB2312"/>
          <w:sz w:val="28"/>
          <w:szCs w:val="28"/>
          <w:highlight w:val="none"/>
        </w:rPr>
        <w:t xml:space="preserve">5.2 </w:t>
      </w:r>
      <w:r>
        <w:rPr>
          <w:rFonts w:hint="eastAsia" w:ascii="仿宋_GB2312" w:hAnsi="仿宋_GB2312" w:eastAsia="仿宋_GB2312" w:cs="仿宋_GB2312"/>
          <w:sz w:val="28"/>
          <w:szCs w:val="28"/>
          <w:highlight w:val="none"/>
        </w:rPr>
        <w:t>乙方提交甲方的月进度报量结算书及最终结算书须资料详实、数据准确。乙方提交最终结算书时，应当提供所有工人工资付清证明资料及承诺书作为附件，否则甲方不予认可。</w:t>
      </w:r>
    </w:p>
    <w:p w14:paraId="793A4A21">
      <w:pPr>
        <w:autoSpaceDE w:val="0"/>
        <w:autoSpaceDN w:val="0"/>
        <w:adjustRightInd w:val="0"/>
        <w:spacing w:line="480" w:lineRule="exact"/>
        <w:ind w:firstLine="560" w:firstLineChars="200"/>
        <w:rPr>
          <w:rFonts w:hint="eastAsia" w:ascii="仿宋_GB2312" w:hAnsi="仿宋_GB2312" w:eastAsia="仿宋_GB2312" w:cs="仿宋_GB2312"/>
          <w:color w:val="C00000"/>
          <w:kern w:val="0"/>
          <w:sz w:val="28"/>
          <w:szCs w:val="28"/>
          <w:highlight w:val="none"/>
        </w:rPr>
      </w:pPr>
      <w:r>
        <w:rPr>
          <w:rFonts w:hint="eastAsia" w:ascii="仿宋_GB2312" w:hAnsi="仿宋_GB2312" w:eastAsia="仿宋_GB2312" w:cs="仿宋_GB2312"/>
          <w:kern w:val="0"/>
          <w:sz w:val="28"/>
          <w:szCs w:val="28"/>
          <w:highlight w:val="none"/>
        </w:rPr>
        <w:t>甲方应当</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rPr>
        <w:t>整体工程竣工验收</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kern w:val="0"/>
          <w:sz w:val="28"/>
          <w:szCs w:val="28"/>
          <w:highlight w:val="none"/>
        </w:rPr>
        <w:t>后【</w:t>
      </w:r>
      <w:r>
        <w:rPr>
          <w:rFonts w:hint="eastAsia" w:ascii="仿宋_GB2312" w:hAnsi="仿宋_GB2312" w:eastAsia="仿宋_GB2312" w:cs="仿宋_GB2312"/>
          <w:kern w:val="0"/>
          <w:sz w:val="28"/>
          <w:szCs w:val="28"/>
          <w:highlight w:val="none"/>
          <w:lang w:val="en-US" w:eastAsia="zh-CN"/>
        </w:rPr>
        <w:t>60</w:t>
      </w:r>
      <w:r>
        <w:rPr>
          <w:rFonts w:hint="eastAsia" w:ascii="仿宋_GB2312" w:hAnsi="仿宋_GB2312" w:eastAsia="仿宋_GB2312" w:cs="仿宋_GB2312"/>
          <w:kern w:val="0"/>
          <w:sz w:val="28"/>
          <w:szCs w:val="28"/>
          <w:highlight w:val="none"/>
        </w:rPr>
        <w:t>】日内完成结算，并在结算完成后【</w:t>
      </w:r>
      <w:r>
        <w:rPr>
          <w:rFonts w:hint="eastAsia" w:ascii="仿宋_GB2312" w:hAnsi="仿宋_GB2312" w:eastAsia="仿宋_GB2312" w:cs="仿宋_GB2312"/>
          <w:kern w:val="0"/>
          <w:sz w:val="28"/>
          <w:szCs w:val="28"/>
          <w:highlight w:val="none"/>
          <w:lang w:val="en-US" w:eastAsia="zh-CN"/>
        </w:rPr>
        <w:t>60</w:t>
      </w:r>
      <w:r>
        <w:rPr>
          <w:rFonts w:hint="eastAsia" w:ascii="仿宋_GB2312" w:hAnsi="仿宋_GB2312" w:eastAsia="仿宋_GB2312" w:cs="仿宋_GB2312"/>
          <w:kern w:val="0"/>
          <w:sz w:val="28"/>
          <w:szCs w:val="28"/>
          <w:highlight w:val="none"/>
        </w:rPr>
        <w:t>】日内完成支付，乙方请款的要求按照相关支付约定执行。</w:t>
      </w:r>
      <w:r>
        <w:rPr>
          <w:rFonts w:hint="eastAsia" w:ascii="仿宋_GB2312" w:hAnsi="仿宋_GB2312" w:eastAsia="仿宋_GB2312" w:cs="仿宋_GB2312"/>
          <w:color w:val="C00000"/>
          <w:kern w:val="0"/>
          <w:sz w:val="28"/>
          <w:szCs w:val="28"/>
          <w:highlight w:val="none"/>
        </w:rPr>
        <w:t>（条款说明：乙方为中小企业时，甲方支付期限不得超过60日）</w:t>
      </w:r>
    </w:p>
    <w:p w14:paraId="69A8B54A">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13.5</w:t>
      </w:r>
      <w:r>
        <w:rPr>
          <w:rFonts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rPr>
        <w:t>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若乙方拒绝甲方的工作安排，只选择部分施工的分项进行施工，则视为乙方违约，甲方可单方面解除合同，并对已施工部分按照【70】%与乙方进行结算。</w:t>
      </w:r>
    </w:p>
    <w:p w14:paraId="0D1158C7">
      <w:pPr>
        <w:pStyle w:val="5"/>
        <w:ind w:left="0" w:leftChars="0" w:firstLine="562" w:firstLineChars="200"/>
        <w:rPr>
          <w:bCs w:val="0"/>
          <w:color w:val="000000"/>
          <w:highlight w:val="none"/>
        </w:rPr>
      </w:pPr>
      <w:bookmarkStart w:id="853" w:name="_Toc7283"/>
      <w:r>
        <w:rPr>
          <w:rFonts w:hint="eastAsia"/>
          <w:bCs w:val="0"/>
          <w:color w:val="000000"/>
          <w:highlight w:val="none"/>
        </w:rPr>
        <w:t>14. 违约</w:t>
      </w:r>
      <w:bookmarkEnd w:id="853"/>
    </w:p>
    <w:p w14:paraId="61160FE5">
      <w:pPr>
        <w:autoSpaceDE w:val="0"/>
        <w:autoSpaceDN w:val="0"/>
        <w:adjustRightInd w:val="0"/>
        <w:spacing w:line="480" w:lineRule="exact"/>
        <w:ind w:firstLine="560" w:firstLineChars="200"/>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14.1 甲乙双方均应按照本合同的约定全面履行相应的义务，给对方造成损失的，应赔偿相应损失，并按照本合同约定支付违约金。</w:t>
      </w:r>
    </w:p>
    <w:p w14:paraId="125B797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因乙方原因导致工程质量达不到约定的标准，乙方应向甲方支付签约合同价【</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】%的违约金，并承担因此给甲方造成的全部损失。</w:t>
      </w:r>
    </w:p>
    <w:p w14:paraId="692C677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乙方在施工过程中，若达不到甲方要求（包括履约能力、工期等任何约定），或甲方单方解除合同的通知送达之日，乙方必须无条件退场，如拒不退场，按照【</w:t>
      </w:r>
      <w:r>
        <w:rPr>
          <w:rFonts w:hint="eastAsia" w:ascii="仿宋_GB2312" w:hAnsi="仿宋_GB2312" w:eastAsia="仿宋_GB2312" w:cs="仿宋_GB2312"/>
          <w:sz w:val="28"/>
          <w:szCs w:val="28"/>
          <w:highlight w:val="none"/>
          <w:lang w:val="en-US" w:eastAsia="zh-CN"/>
        </w:rPr>
        <w:t>10000</w:t>
      </w:r>
      <w:r>
        <w:rPr>
          <w:rFonts w:hint="eastAsia" w:ascii="仿宋_GB2312" w:hAnsi="仿宋_GB2312" w:eastAsia="仿宋_GB2312" w:cs="仿宋_GB2312"/>
          <w:sz w:val="28"/>
          <w:szCs w:val="28"/>
          <w:highlight w:val="none"/>
        </w:rPr>
        <w:t>】元/天承担违约金并赔偿甲方的全部损失。如果发生甲方有权单方解除合同情形，则自甲方向乙方约定的通信地址或电子邮箱发出通知之日，双方合同解除。</w:t>
      </w:r>
    </w:p>
    <w:p w14:paraId="552B059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14.4</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因乙方原因未达到甲方要求的【</w:t>
      </w:r>
      <w:r>
        <w:rPr>
          <w:rFonts w:hint="eastAsia" w:ascii="仿宋_GB2312" w:hAnsi="仿宋_GB2312" w:eastAsia="仿宋_GB2312" w:cs="仿宋_GB2312"/>
          <w:sz w:val="28"/>
          <w:szCs w:val="28"/>
          <w:highlight w:val="none"/>
          <w:lang w:val="en-US" w:eastAsia="zh-CN"/>
        </w:rPr>
        <w:t>来宾</w:t>
      </w:r>
      <w:r>
        <w:rPr>
          <w:rFonts w:hint="eastAsia" w:ascii="仿宋_GB2312" w:hAnsi="仿宋_GB2312" w:eastAsia="仿宋_GB2312" w:cs="仿宋_GB2312"/>
          <w:sz w:val="28"/>
          <w:szCs w:val="28"/>
          <w:highlight w:val="none"/>
        </w:rPr>
        <w:t>市级安全文明施工标准】，乙方向甲方支付签约合同价【</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】%的违约金，并承担因此给甲方造成的全部损失。安全文明工地建设参照当地主管部门的有关标准验收，用工等费用已包含在乙方报价中。</w:t>
      </w:r>
    </w:p>
    <w:p w14:paraId="7F927EA2">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14.5</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除非双方协议将合同终止或解除，另一方要求违约方继续履行合同时，违约方在承担有关责任后仍应继续履行合同。</w:t>
      </w:r>
    </w:p>
    <w:p w14:paraId="63674B7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14.6</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乙方在合同履行期间，应该按照甲方要求，【在甲方招标平台云筑网（https：//www.yzw.cn/）中】完成工程量的填报，否则，甲方有权在乙方的工程款中每次扣除【</w:t>
      </w:r>
      <w:r>
        <w:rPr>
          <w:rFonts w:hint="eastAsia" w:ascii="仿宋_GB2312" w:hAnsi="仿宋_GB2312" w:eastAsia="仿宋_GB2312" w:cs="仿宋_GB2312"/>
          <w:sz w:val="28"/>
          <w:szCs w:val="28"/>
          <w:highlight w:val="none"/>
          <w:lang w:val="en-US" w:eastAsia="zh-CN"/>
        </w:rPr>
        <w:t>500</w:t>
      </w:r>
      <w:r>
        <w:rPr>
          <w:rFonts w:hint="eastAsia" w:ascii="仿宋_GB2312" w:hAnsi="仿宋_GB2312" w:eastAsia="仿宋_GB2312" w:cs="仿宋_GB2312"/>
          <w:sz w:val="28"/>
          <w:szCs w:val="28"/>
          <w:highlight w:val="none"/>
        </w:rPr>
        <w:t>】元作为违约金。</w:t>
      </w:r>
    </w:p>
    <w:p w14:paraId="10051542">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14.7</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如乙方放弃工程，或明确表示不愿继续按照合同履行其义务的意向；或不能有效管理，难以保证工程质量和进度，并有确切证据证明将导致合同目的不能实现，甲方均可以单方解除合同。</w:t>
      </w:r>
    </w:p>
    <w:p w14:paraId="569D8423">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14.8</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若乙方原因导致甲方代发农民工工资的时间延误、金额错误的，</w:t>
      </w:r>
      <w:r>
        <w:rPr>
          <w:rFonts w:hint="eastAsia" w:ascii="仿宋_GB2312" w:hAnsi="仿宋_GB2312" w:eastAsia="仿宋_GB2312" w:cs="仿宋_GB2312"/>
          <w:sz w:val="28"/>
          <w:szCs w:val="28"/>
          <w:highlight w:val="none"/>
          <w:lang w:val="en-US" w:eastAsia="zh-CN"/>
        </w:rPr>
        <w:t>或</w:t>
      </w:r>
      <w:r>
        <w:rPr>
          <w:rFonts w:hint="eastAsia" w:ascii="仿宋_GB2312" w:hAnsi="仿宋_GB2312" w:eastAsia="仿宋_GB2312" w:cs="仿宋_GB2312"/>
          <w:sz w:val="28"/>
          <w:szCs w:val="28"/>
          <w:highlight w:val="none"/>
        </w:rPr>
        <w:t>乙方的供货商、员工、民工向法院提起诉讼、劳动仲裁、向相关部门投诉举报，给甲方造成媒体曝光、工人上访、聚众闹事、被政府相关部门通报等负面影响，乙方应承担签约合同价【</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】%的违约金，且甲方有权选择解除合同。</w:t>
      </w:r>
    </w:p>
    <w:p w14:paraId="315F782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w:t>
      </w:r>
      <w:r>
        <w:rPr>
          <w:rFonts w:ascii="仿宋_GB2312" w:hAnsi="仿宋_GB2312" w:eastAsia="仿宋_GB2312" w:cs="仿宋_GB2312"/>
          <w:sz w:val="28"/>
          <w:szCs w:val="28"/>
          <w:highlight w:val="none"/>
        </w:rPr>
        <w:t xml:space="preserve">9 </w:t>
      </w:r>
      <w:r>
        <w:rPr>
          <w:rFonts w:hint="eastAsia" w:ascii="仿宋_GB2312" w:hAnsi="仿宋_GB2312" w:eastAsia="仿宋_GB2312" w:cs="仿宋_GB2312"/>
          <w:sz w:val="28"/>
          <w:szCs w:val="28"/>
          <w:highlight w:val="none"/>
        </w:rPr>
        <w:t>本合同所确定的承包范围的工作内容，乙方应无条件完成。如因乙方原因某部分施工不能满足合同要求，甲方有权另作发包，并且乙方需向甲方支付未完成部分合同造价的【</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】%作为违约金。</w:t>
      </w:r>
    </w:p>
    <w:p w14:paraId="175ADCA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14.</w:t>
      </w:r>
      <w:r>
        <w:rPr>
          <w:rFonts w:ascii="仿宋_GB2312" w:hAnsi="仿宋_GB2312" w:eastAsia="仿宋_GB2312" w:cs="仿宋_GB2312"/>
          <w:sz w:val="28"/>
          <w:szCs w:val="28"/>
          <w:highlight w:val="none"/>
        </w:rPr>
        <w:t xml:space="preserve">10 </w:t>
      </w:r>
      <w:r>
        <w:rPr>
          <w:rFonts w:hint="eastAsia" w:ascii="仿宋_GB2312" w:hAnsi="仿宋_GB2312" w:eastAsia="仿宋_GB2312" w:cs="仿宋_GB2312"/>
          <w:sz w:val="28"/>
          <w:szCs w:val="28"/>
          <w:highlight w:val="none"/>
        </w:rPr>
        <w:t>本分包工程实施过程中出现交叉施工时应注意现场的文明施工及成品保护，上道工序应为下道工序创造良好的施工条件，下道工序要注意保护上道工序的成品和半成品。任何交叉作业中因乙方管理不善或出于恶意行为而导致的返工、返修、工期延误等损害或损失均由乙方承担。</w:t>
      </w:r>
    </w:p>
    <w:p w14:paraId="7A7B7ACF">
      <w:pPr>
        <w:spacing w:line="480" w:lineRule="exact"/>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14.11</w:t>
      </w:r>
      <w:r>
        <w:rPr>
          <w:rFonts w:hint="eastAsia" w:ascii="仿宋_GB2312" w:hAnsi="仿宋_GB2312" w:eastAsia="仿宋_GB2312" w:cs="仿宋_GB2312"/>
          <w:sz w:val="28"/>
          <w:szCs w:val="28"/>
          <w:highlight w:val="none"/>
        </w:rPr>
        <w:t>乙方收取的工程款应当优先用于清偿工人工资、材料采购费、机械台班进出场费和租赁费等为完成分包合同义务而发生的费用。乙方未按约定及时清偿，造成第三人向甲方追索的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乙方应承担签约合同价【</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】%的违约金</w:t>
      </w:r>
      <w:r>
        <w:rPr>
          <w:rFonts w:hint="eastAsia" w:ascii="仿宋_GB2312" w:hAnsi="仿宋_GB2312" w:eastAsia="仿宋_GB2312" w:cs="仿宋_GB2312"/>
          <w:sz w:val="28"/>
          <w:szCs w:val="28"/>
          <w:highlight w:val="none"/>
          <w:lang w:eastAsia="zh-CN"/>
        </w:rPr>
        <w:t>。</w:t>
      </w:r>
    </w:p>
    <w:p w14:paraId="00B107EE">
      <w:pPr>
        <w:spacing w:line="480" w:lineRule="exact"/>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 xml:space="preserve">14.12 </w:t>
      </w:r>
      <w:r>
        <w:rPr>
          <w:rFonts w:hint="eastAsia" w:ascii="仿宋_GB2312" w:hAnsi="仿宋_GB2312" w:eastAsia="仿宋_GB2312" w:cs="仿宋_GB2312"/>
          <w:sz w:val="28"/>
          <w:szCs w:val="28"/>
          <w:highlight w:val="none"/>
        </w:rPr>
        <w:t>乙方管理不慎导致乙方法定代表人、项目经理、关联人员挪用本合同工程款或者携款私逃对工程履约造成不良影响的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乙方应承担签约合同价【</w:t>
      </w:r>
      <w:r>
        <w:rPr>
          <w:rFonts w:hint="eastAsia" w:ascii="仿宋_GB2312" w:hAnsi="仿宋_GB2312" w:eastAsia="仿宋_GB2312" w:cs="仿宋_GB2312"/>
          <w:sz w:val="28"/>
          <w:szCs w:val="28"/>
          <w:highlight w:val="none"/>
          <w:lang w:val="en-US" w:eastAsia="zh-CN"/>
        </w:rPr>
        <w:t>20</w:t>
      </w:r>
      <w:r>
        <w:rPr>
          <w:rFonts w:hint="eastAsia" w:ascii="仿宋_GB2312" w:hAnsi="仿宋_GB2312" w:eastAsia="仿宋_GB2312" w:cs="仿宋_GB2312"/>
          <w:sz w:val="28"/>
          <w:szCs w:val="28"/>
          <w:highlight w:val="none"/>
        </w:rPr>
        <w:t>】%的违约金</w:t>
      </w:r>
      <w:r>
        <w:rPr>
          <w:rFonts w:hint="eastAsia" w:ascii="仿宋_GB2312" w:hAnsi="仿宋_GB2312" w:eastAsia="仿宋_GB2312" w:cs="仿宋_GB2312"/>
          <w:sz w:val="28"/>
          <w:szCs w:val="28"/>
          <w:highlight w:val="none"/>
          <w:lang w:eastAsia="zh-CN"/>
        </w:rPr>
        <w:t>。</w:t>
      </w:r>
    </w:p>
    <w:p w14:paraId="26E45C6B">
      <w:pPr>
        <w:spacing w:line="480" w:lineRule="exact"/>
        <w:ind w:firstLine="560" w:firstLineChars="200"/>
        <w:jc w:val="left"/>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 xml:space="preserve">14.13 </w:t>
      </w:r>
      <w:r>
        <w:rPr>
          <w:rFonts w:hint="eastAsia" w:ascii="仿宋_GB2312" w:hAnsi="仿宋_GB2312" w:eastAsia="仿宋_GB2312" w:cs="仿宋_GB2312"/>
          <w:sz w:val="28"/>
          <w:szCs w:val="28"/>
          <w:highlight w:val="none"/>
        </w:rPr>
        <w:t>甲方在发现乙方提交的代付农民工工资资料记载的金额明显虚高或有其他存在套取工程款的可能的，</w:t>
      </w:r>
      <w:r>
        <w:rPr>
          <w:rFonts w:hint="eastAsia" w:ascii="仿宋_GB2312" w:hAnsi="仿宋_GB2312" w:eastAsia="仿宋_GB2312" w:cs="仿宋_GB2312"/>
          <w:sz w:val="28"/>
          <w:szCs w:val="28"/>
          <w:highlight w:val="none"/>
          <w:lang w:val="en-US" w:eastAsia="zh-CN"/>
        </w:rPr>
        <w:t>或</w:t>
      </w:r>
      <w:r>
        <w:rPr>
          <w:rFonts w:hint="eastAsia" w:ascii="仿宋_GB2312" w:hAnsi="仿宋_GB2312" w:eastAsia="仿宋_GB2312" w:cs="仿宋_GB2312"/>
          <w:sz w:val="28"/>
          <w:szCs w:val="28"/>
          <w:highlight w:val="none"/>
        </w:rPr>
        <w:t>未在甲方工作人员指定的期间内按照要求提供农民工工资代付资料的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乙方应承担签约合同价【</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】%的违约金</w:t>
      </w:r>
      <w:r>
        <w:rPr>
          <w:rFonts w:hint="eastAsia" w:ascii="仿宋_GB2312" w:hAnsi="仿宋_GB2312" w:eastAsia="仿宋_GB2312" w:cs="仿宋_GB2312"/>
          <w:sz w:val="28"/>
          <w:szCs w:val="28"/>
          <w:highlight w:val="none"/>
          <w:lang w:eastAsia="zh-CN"/>
        </w:rPr>
        <w:t>。</w:t>
      </w:r>
    </w:p>
    <w:p w14:paraId="54F900C9">
      <w:pPr>
        <w:autoSpaceDE/>
        <w:autoSpaceDN/>
        <w:adjustRightInd/>
        <w:spacing w:line="480" w:lineRule="exact"/>
        <w:ind w:firstLine="560" w:firstLineChars="200"/>
        <w:jc w:val="left"/>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lang w:val="en-US" w:eastAsia="zh-CN"/>
        </w:rPr>
        <w:t>14.14 乙方</w:t>
      </w:r>
      <w:r>
        <w:rPr>
          <w:rFonts w:hint="eastAsia" w:ascii="仿宋_GB2312" w:hAnsi="仿宋_GB2312" w:eastAsia="仿宋_GB2312" w:cs="仿宋_GB2312"/>
          <w:sz w:val="28"/>
          <w:szCs w:val="28"/>
          <w:highlight w:val="none"/>
        </w:rPr>
        <w:t>项目经理兼任其他项目的项目经理</w:t>
      </w:r>
      <w:r>
        <w:rPr>
          <w:rFonts w:hint="eastAsia" w:ascii="仿宋_GB2312" w:hAnsi="仿宋_GB2312" w:eastAsia="仿宋_GB2312" w:cs="仿宋_GB2312"/>
          <w:sz w:val="28"/>
          <w:szCs w:val="28"/>
          <w:highlight w:val="none"/>
          <w:lang w:val="en-US" w:eastAsia="zh-CN"/>
        </w:rPr>
        <w:t>或</w:t>
      </w:r>
      <w:r>
        <w:rPr>
          <w:rFonts w:hint="eastAsia" w:ascii="仿宋_GB2312" w:hAnsi="仿宋_GB2312" w:eastAsia="仿宋_GB2312" w:cs="仿宋_GB2312"/>
          <w:sz w:val="28"/>
          <w:szCs w:val="28"/>
          <w:highlight w:val="none"/>
        </w:rPr>
        <w:t>“人证不一”的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乙方应承担签约合同价【</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】%的违约金</w:t>
      </w:r>
      <w:r>
        <w:rPr>
          <w:rFonts w:hint="eastAsia" w:ascii="仿宋_GB2312" w:hAnsi="仿宋_GB2312" w:eastAsia="仿宋_GB2312" w:cs="仿宋_GB2312"/>
          <w:sz w:val="28"/>
          <w:szCs w:val="28"/>
          <w:highlight w:val="none"/>
          <w:lang w:eastAsia="zh-CN"/>
        </w:rPr>
        <w:t>。</w:t>
      </w:r>
    </w:p>
    <w:p w14:paraId="6B5C1664">
      <w:pPr>
        <w:autoSpaceDE/>
        <w:autoSpaceDN/>
        <w:adjustRightInd/>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highlight w:val="none"/>
          <w:lang w:val="en-US" w:eastAsia="zh-CN"/>
        </w:rPr>
        <w:t xml:space="preserve">14.15 </w:t>
      </w:r>
      <w:r>
        <w:rPr>
          <w:rFonts w:hint="eastAsia" w:ascii="仿宋_GB2312" w:hAnsi="仿宋_GB2312" w:eastAsia="仿宋_GB2312" w:cs="仿宋_GB2312"/>
          <w:kern w:val="0"/>
          <w:sz w:val="28"/>
          <w:szCs w:val="28"/>
          <w:highlight w:val="none"/>
        </w:rPr>
        <w:t>特殊工种作业人员无证上岗的</w:t>
      </w:r>
      <w:r>
        <w:rPr>
          <w:rFonts w:hint="eastAsia" w:ascii="仿宋_GB2312" w:hAnsi="仿宋_GB2312" w:eastAsia="仿宋_GB2312" w:cs="仿宋_GB2312"/>
          <w:kern w:val="0"/>
          <w:sz w:val="28"/>
          <w:szCs w:val="28"/>
          <w:highlight w:val="none"/>
          <w:lang w:eastAsia="zh-CN"/>
        </w:rPr>
        <w:t>，</w:t>
      </w:r>
      <w:r>
        <w:rPr>
          <w:rFonts w:hint="eastAsia" w:ascii="仿宋_GB2312" w:hAnsi="仿宋_GB2312" w:eastAsia="仿宋_GB2312" w:cs="仿宋_GB2312"/>
          <w:sz w:val="28"/>
          <w:szCs w:val="28"/>
          <w:highlight w:val="none"/>
        </w:rPr>
        <w:t>乙方应承担签约合同价【</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】%的违约金</w:t>
      </w:r>
      <w:r>
        <w:rPr>
          <w:rFonts w:hint="eastAsia" w:ascii="仿宋_GB2312" w:hAnsi="仿宋_GB2312" w:eastAsia="仿宋_GB2312" w:cs="仿宋_GB2312"/>
          <w:sz w:val="28"/>
          <w:szCs w:val="28"/>
          <w:highlight w:val="none"/>
          <w:lang w:eastAsia="zh-CN"/>
        </w:rPr>
        <w:t>。</w:t>
      </w:r>
    </w:p>
    <w:p w14:paraId="62FD913E">
      <w:pPr>
        <w:pStyle w:val="5"/>
        <w:ind w:left="0" w:leftChars="0" w:firstLine="562" w:firstLineChars="200"/>
        <w:rPr>
          <w:bCs w:val="0"/>
          <w:color w:val="000000"/>
          <w:highlight w:val="none"/>
        </w:rPr>
      </w:pPr>
      <w:bookmarkStart w:id="854" w:name="_Toc1318"/>
      <w:r>
        <w:rPr>
          <w:rFonts w:hint="eastAsia"/>
          <w:bCs w:val="0"/>
          <w:color w:val="000000"/>
          <w:highlight w:val="none"/>
        </w:rPr>
        <w:t>1</w:t>
      </w:r>
      <w:r>
        <w:rPr>
          <w:bCs w:val="0"/>
          <w:color w:val="000000"/>
          <w:highlight w:val="none"/>
        </w:rPr>
        <w:t xml:space="preserve">5. </w:t>
      </w:r>
      <w:r>
        <w:rPr>
          <w:rFonts w:hint="eastAsia"/>
          <w:bCs w:val="0"/>
          <w:color w:val="000000"/>
          <w:highlight w:val="none"/>
        </w:rPr>
        <w:t>不可抗力</w:t>
      </w:r>
      <w:bookmarkEnd w:id="854"/>
    </w:p>
    <w:p w14:paraId="54AADE1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15.1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本合同所定不可抗力是指合同当事人在签订合同时不可预见，在合同履行过程中不可避免且不能克服的自然灾害和社会性突发事件，包括但不限于地震、海啸、瘟疫、骚乱、戒严、暴动、战争等。</w:t>
      </w:r>
    </w:p>
    <w:p w14:paraId="7F220BC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15.2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乙方认为某一事件已构成不可抗力并影响其正常履行义务，则此事件发生时，应立即通知甲方，并立即采取必要的措施，防止损失的进一步扩大。不可抗力事件发生后【</w:t>
      </w:r>
      <w:r>
        <w:rPr>
          <w:rFonts w:ascii="仿宋_GB2312" w:hAnsi="仿宋_GB2312" w:eastAsia="仿宋_GB2312" w:cs="仿宋_GB2312"/>
          <w:sz w:val="28"/>
          <w:szCs w:val="28"/>
          <w:highlight w:val="none"/>
        </w:rPr>
        <w:t>48</w:t>
      </w:r>
      <w:r>
        <w:rPr>
          <w:rFonts w:hint="eastAsia" w:ascii="仿宋_GB2312" w:hAnsi="仿宋_GB2312" w:eastAsia="仿宋_GB2312" w:cs="仿宋_GB2312"/>
          <w:sz w:val="28"/>
          <w:szCs w:val="28"/>
          <w:highlight w:val="none"/>
        </w:rPr>
        <w:t>小时】内乙方向甲方通报受害情况和损失情况，及预计清理和修复的费用，逾期提出的甲方不予认可。不可抗力持续发生，乙方应每日报告一次受害情况，直到不可抗力结束。甲方应对受害处理提供必要的条件，并负责处理工作的组织、指挥。不可抗力发生后，乙方未采取有效措施控制灾害而发生的损失由乙方承担。</w:t>
      </w:r>
    </w:p>
    <w:p w14:paraId="4F8C3C1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15.2.1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因不可抗力，由甲方、乙方各自承担自身的人员伤亡、机械设备和材料的损坏、停工等造成的损失；</w:t>
      </w:r>
    </w:p>
    <w:p w14:paraId="1161EF8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15.2.2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工程自身的损害、因工程损害导致第三人伤亡、工程清理维修费由乙方配合甲方与建设单位协商处理；</w:t>
      </w:r>
    </w:p>
    <w:p w14:paraId="05B12AC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15.2.3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在得到建设单位/监理对整体/分包工程的工期顺延许可后，分包工程延误的工期相应顺延；</w:t>
      </w:r>
    </w:p>
    <w:p w14:paraId="1ABBFB86">
      <w:pPr>
        <w:autoSpaceDE w:val="0"/>
        <w:autoSpaceDN w:val="0"/>
        <w:adjustRightInd w:val="0"/>
        <w:spacing w:line="480" w:lineRule="exact"/>
        <w:ind w:firstLine="560" w:firstLineChars="200"/>
        <w:rPr>
          <w:rFonts w:hint="eastAsia" w:ascii="仿宋_GB2312" w:hAnsi="仿宋_GB2312" w:eastAsia="仿宋_GB2312" w:cs="仿宋_GB2312"/>
          <w:color w:val="FF0000"/>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5.2.4</w:t>
      </w:r>
      <w:r>
        <w:rPr>
          <w:rFonts w:hint="eastAsia" w:ascii="仿宋_GB2312" w:hAnsi="仿宋_GB2312" w:eastAsia="仿宋_GB2312" w:cs="仿宋_GB2312"/>
          <w:sz w:val="28"/>
          <w:szCs w:val="28"/>
          <w:highlight w:val="none"/>
        </w:rPr>
        <w:t>停工期间，乙方应甲方要求留在施工场地的必要的管理人员及保卫人员的费用由甲方承担；</w:t>
      </w:r>
    </w:p>
    <w:p w14:paraId="028246E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5.3 </w:t>
      </w:r>
      <w:r>
        <w:rPr>
          <w:rFonts w:hint="eastAsia" w:ascii="仿宋_GB2312" w:hAnsi="仿宋_GB2312" w:eastAsia="仿宋_GB2312" w:cs="仿宋_GB2312"/>
          <w:sz w:val="28"/>
          <w:szCs w:val="28"/>
          <w:highlight w:val="none"/>
        </w:rPr>
        <w:t>因单次不可抗力导致合同无法履行连续超过【</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】天或累计超过【</w:t>
      </w:r>
      <w:r>
        <w:rPr>
          <w:rFonts w:hint="eastAsia" w:ascii="仿宋_GB2312" w:hAnsi="仿宋_GB2312" w:eastAsia="仿宋_GB2312" w:cs="仿宋_GB2312"/>
          <w:sz w:val="28"/>
          <w:szCs w:val="28"/>
          <w:highlight w:val="none"/>
          <w:lang w:val="en-US" w:eastAsia="zh-CN"/>
        </w:rPr>
        <w:t>30</w:t>
      </w:r>
      <w:r>
        <w:rPr>
          <w:rFonts w:hint="eastAsia" w:ascii="仿宋_GB2312" w:hAnsi="仿宋_GB2312" w:eastAsia="仿宋_GB2312" w:cs="仿宋_GB2312"/>
          <w:sz w:val="28"/>
          <w:szCs w:val="28"/>
          <w:highlight w:val="none"/>
        </w:rPr>
        <w:t>】天的，甲乙双方均有权解除合同。合同解除后，双方应就已完工程的计量、验收、估价、以及结算与付款等善后事宜达成补充协议。</w:t>
      </w:r>
    </w:p>
    <w:p w14:paraId="7E4DB5D7">
      <w:pPr>
        <w:pStyle w:val="5"/>
        <w:ind w:left="0" w:leftChars="0" w:firstLine="562" w:firstLineChars="200"/>
        <w:rPr>
          <w:bCs w:val="0"/>
          <w:color w:val="000000"/>
          <w:highlight w:val="none"/>
        </w:rPr>
      </w:pPr>
      <w:bookmarkStart w:id="855" w:name="_Toc11258"/>
      <w:r>
        <w:rPr>
          <w:rFonts w:hint="eastAsia"/>
          <w:bCs w:val="0"/>
          <w:color w:val="000000"/>
          <w:highlight w:val="none"/>
        </w:rPr>
        <w:t>1</w:t>
      </w:r>
      <w:r>
        <w:rPr>
          <w:bCs w:val="0"/>
          <w:color w:val="000000"/>
          <w:highlight w:val="none"/>
        </w:rPr>
        <w:t xml:space="preserve">6. </w:t>
      </w:r>
      <w:r>
        <w:rPr>
          <w:rFonts w:hint="eastAsia"/>
          <w:bCs w:val="0"/>
          <w:color w:val="000000"/>
          <w:highlight w:val="none"/>
        </w:rPr>
        <w:t>保险</w:t>
      </w:r>
      <w:bookmarkEnd w:id="855"/>
    </w:p>
    <w:p w14:paraId="5A50761F">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w:t>
      </w:r>
      <w:r>
        <w:rPr>
          <w:rFonts w:ascii="Times New Roman" w:hAnsi="Times New Roman" w:eastAsia="黑体"/>
          <w:b/>
          <w:color w:val="000000"/>
          <w:sz w:val="28"/>
          <w:szCs w:val="28"/>
          <w:highlight w:val="none"/>
        </w:rPr>
        <w:t xml:space="preserve">6.1 </w:t>
      </w:r>
      <w:r>
        <w:rPr>
          <w:rFonts w:hint="eastAsia" w:ascii="Times New Roman" w:hAnsi="Times New Roman" w:eastAsia="黑体"/>
          <w:b/>
          <w:color w:val="000000"/>
          <w:sz w:val="28"/>
          <w:szCs w:val="28"/>
          <w:highlight w:val="none"/>
        </w:rPr>
        <w:t>乙方应办理的保险</w:t>
      </w:r>
    </w:p>
    <w:p w14:paraId="545B204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6.1.1 </w:t>
      </w:r>
      <w:r>
        <w:rPr>
          <w:rFonts w:hint="eastAsia" w:ascii="仿宋_GB2312" w:hAnsi="仿宋_GB2312" w:eastAsia="仿宋_GB2312" w:cs="仿宋_GB2312"/>
          <w:sz w:val="28"/>
          <w:szCs w:val="28"/>
          <w:highlight w:val="none"/>
        </w:rPr>
        <w:t>乙方应当在合同签订进场施工前【</w:t>
      </w: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rPr>
        <w:t>】天为其履行合同雇用的全部人员办理工伤保险，缴纳工伤保险费，并为其在施工现场的全部施工人员办理意外伤害保险，属于国家规定的高危行业、领域的生产经营单位，应当投保安全生产责任保险，并为施工场地内自有人员生命财产、运至施工场内用于分包工程的材料和待安装设备以及施工机械设备办理保险，支付保险费用。包括但不限于：</w:t>
      </w:r>
    </w:p>
    <w:p w14:paraId="4D9363A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（1）应对其自身在分包工程现场的全部雇员的人身安全及自有机械设备等财产办理保险；</w:t>
      </w:r>
    </w:p>
    <w:p w14:paraId="6D7B3971">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（2）乙方雇用的任何员工或其他人员的任何意外事故或伤害所引起损失由乙方承担。</w:t>
      </w:r>
    </w:p>
    <w:p w14:paraId="756F416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6.1.2 </w:t>
      </w:r>
      <w:r>
        <w:rPr>
          <w:rFonts w:hint="eastAsia" w:ascii="仿宋_GB2312" w:hAnsi="仿宋_GB2312" w:eastAsia="仿宋_GB2312" w:cs="仿宋_GB2312"/>
          <w:sz w:val="28"/>
          <w:szCs w:val="28"/>
          <w:highlight w:val="none"/>
        </w:rPr>
        <w:t>乙方应保持保单的有效性，并按照甲方的要求，在本分包合同履约期间，妥善保存此保单及保险费付款收据，并在甲方要求的情况下立即向甲方出示投保单和保险单。如果乙方未按约定办理上述保险且在甲方提醒后仍未办理，甲方可代为办理保险，并从应支付乙方工程款中扣除相应金额。</w:t>
      </w:r>
    </w:p>
    <w:p w14:paraId="418CB440">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16.1.</w:t>
      </w:r>
      <w:r>
        <w:rPr>
          <w:rFonts w:ascii="仿宋_GB2312" w:hAnsi="仿宋_GB2312" w:eastAsia="仿宋_GB2312" w:cs="仿宋_GB2312"/>
          <w:sz w:val="28"/>
          <w:szCs w:val="28"/>
          <w:highlight w:val="none"/>
        </w:rPr>
        <w:t xml:space="preserve">3 </w:t>
      </w:r>
      <w:r>
        <w:rPr>
          <w:rFonts w:hint="eastAsia" w:ascii="仿宋_GB2312" w:hAnsi="仿宋_GB2312" w:eastAsia="仿宋_GB2312" w:cs="仿宋_GB2312"/>
          <w:sz w:val="28"/>
          <w:szCs w:val="28"/>
          <w:highlight w:val="none"/>
        </w:rPr>
        <w:t>保险费用已包含在乙方的合同价款中，乙方自行缴纳。</w:t>
      </w:r>
    </w:p>
    <w:p w14:paraId="702B7597">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hint="eastAsia" w:ascii="Times New Roman" w:hAnsi="Times New Roman" w:eastAsia="黑体"/>
          <w:b/>
          <w:color w:val="000000"/>
          <w:sz w:val="28"/>
          <w:szCs w:val="28"/>
          <w:highlight w:val="none"/>
        </w:rPr>
        <w:t>16.2 保险事故的处理</w:t>
      </w:r>
    </w:p>
    <w:p w14:paraId="3469BAF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保险事故发生时，甲方和乙方有责任采取必要的措施，避免损失扩大。</w:t>
      </w:r>
    </w:p>
    <w:p w14:paraId="16D14385">
      <w:pPr>
        <w:pStyle w:val="5"/>
        <w:ind w:left="0" w:leftChars="0" w:firstLine="562" w:firstLineChars="200"/>
        <w:rPr>
          <w:bCs w:val="0"/>
          <w:color w:val="000000"/>
          <w:highlight w:val="none"/>
        </w:rPr>
      </w:pPr>
      <w:bookmarkStart w:id="856" w:name="_Toc20322"/>
      <w:r>
        <w:rPr>
          <w:rFonts w:hint="eastAsia"/>
          <w:bCs w:val="0"/>
          <w:color w:val="000000"/>
          <w:highlight w:val="none"/>
        </w:rPr>
        <w:t>17. 配合索赔</w:t>
      </w:r>
      <w:bookmarkEnd w:id="856"/>
    </w:p>
    <w:p w14:paraId="58BA875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17.1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甲方根据总承包合同向建设单位递交索赔意向通知或其他资料时，乙方应予以积极配合，并出示相应资料。</w:t>
      </w:r>
    </w:p>
    <w:p w14:paraId="63F4168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17.2</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在分包作业实施过程中甲方认为可以根据总承包合同向建设单位提起索赔的，主张追加付款和（或）延长作业期限，乙方应予以配合，否则将承担甲方的损失。</w:t>
      </w:r>
    </w:p>
    <w:p w14:paraId="4DF0359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17.3</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乙方根据甲方要求出示的相关索赔资料及建设单位的回复意见等均不作为甲乙双方结算的依据。</w:t>
      </w:r>
    </w:p>
    <w:p w14:paraId="13B9D902">
      <w:pPr>
        <w:pStyle w:val="5"/>
        <w:ind w:left="0" w:leftChars="0" w:firstLine="562" w:firstLineChars="200"/>
        <w:rPr>
          <w:bCs w:val="0"/>
          <w:color w:val="000000"/>
          <w:highlight w:val="none"/>
        </w:rPr>
      </w:pPr>
      <w:bookmarkStart w:id="857" w:name="_Toc11633"/>
      <w:r>
        <w:rPr>
          <w:rFonts w:hint="eastAsia"/>
          <w:bCs w:val="0"/>
          <w:color w:val="000000"/>
          <w:highlight w:val="none"/>
        </w:rPr>
        <w:t>1</w:t>
      </w:r>
      <w:r>
        <w:rPr>
          <w:bCs w:val="0"/>
          <w:color w:val="000000"/>
          <w:highlight w:val="none"/>
        </w:rPr>
        <w:t xml:space="preserve">8. </w:t>
      </w:r>
      <w:r>
        <w:rPr>
          <w:rFonts w:hint="eastAsia"/>
          <w:bCs w:val="0"/>
          <w:color w:val="000000"/>
          <w:highlight w:val="none"/>
        </w:rPr>
        <w:t>合同解除</w:t>
      </w:r>
      <w:bookmarkEnd w:id="857"/>
    </w:p>
    <w:p w14:paraId="1A0753AE">
      <w:pPr>
        <w:autoSpaceDE w:val="0"/>
        <w:autoSpaceDN w:val="0"/>
        <w:adjustRightInd w:val="0"/>
        <w:spacing w:line="480" w:lineRule="exact"/>
        <w:ind w:firstLine="562" w:firstLineChars="200"/>
        <w:rPr>
          <w:rFonts w:ascii="Times New Roman" w:hAnsi="Times New Roman" w:eastAsia="黑体"/>
          <w:b/>
          <w:color w:val="000000"/>
          <w:sz w:val="28"/>
          <w:szCs w:val="28"/>
          <w:highlight w:val="none"/>
        </w:rPr>
      </w:pPr>
      <w:r>
        <w:rPr>
          <w:rFonts w:ascii="Times New Roman" w:hAnsi="Times New Roman" w:eastAsia="黑体"/>
          <w:b/>
          <w:color w:val="000000"/>
          <w:sz w:val="28"/>
          <w:szCs w:val="28"/>
          <w:highlight w:val="none"/>
        </w:rPr>
        <w:t>18</w:t>
      </w:r>
      <w:r>
        <w:rPr>
          <w:rFonts w:hint="eastAsia" w:ascii="Times New Roman" w:hAnsi="Times New Roman" w:eastAsia="黑体"/>
          <w:b/>
          <w:color w:val="000000"/>
          <w:sz w:val="28"/>
          <w:szCs w:val="28"/>
          <w:highlight w:val="none"/>
        </w:rPr>
        <w:t>.1</w:t>
      </w:r>
      <w:r>
        <w:rPr>
          <w:rFonts w:ascii="Times New Roman" w:hAnsi="Times New Roman" w:eastAsia="黑体"/>
          <w:b/>
          <w:color w:val="000000"/>
          <w:sz w:val="28"/>
          <w:szCs w:val="28"/>
          <w:highlight w:val="none"/>
        </w:rPr>
        <w:t xml:space="preserve"> </w:t>
      </w:r>
      <w:r>
        <w:rPr>
          <w:rFonts w:hint="eastAsia" w:ascii="Times New Roman" w:hAnsi="Times New Roman" w:eastAsia="黑体"/>
          <w:b/>
          <w:color w:val="000000"/>
          <w:sz w:val="28"/>
          <w:szCs w:val="28"/>
          <w:highlight w:val="none"/>
        </w:rPr>
        <w:t>分包合同解除事由</w:t>
      </w:r>
    </w:p>
    <w:p w14:paraId="4700D4AF">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ascii="仿宋_GB2312" w:hAnsi="仿宋_GB2312" w:eastAsia="仿宋_GB2312" w:cs="仿宋_GB2312"/>
          <w:sz w:val="28"/>
          <w:szCs w:val="28"/>
          <w:highlight w:val="none"/>
        </w:rPr>
        <w:t>18</w:t>
      </w:r>
      <w:r>
        <w:rPr>
          <w:rFonts w:hint="eastAsia" w:ascii="仿宋_GB2312" w:hAnsi="仿宋_GB2312" w:eastAsia="仿宋_GB2312" w:cs="仿宋_GB2312"/>
          <w:sz w:val="28"/>
          <w:szCs w:val="28"/>
          <w:highlight w:val="none"/>
        </w:rPr>
        <w:t>.1.1</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如乙方出现以下违约行为，甲方可发出书面指令要求其立即纠正并承担违约所造成的损失：</w:t>
      </w:r>
    </w:p>
    <w:p w14:paraId="21E88C4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（1）在竣工之前，没有合理原因，完全搁置工程停止施工；</w:t>
      </w:r>
    </w:p>
    <w:p w14:paraId="3FF183D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（2）拒绝执行甲方要求其修补缺陷或更换不适用的材料和（或）物品等的书面通知；</w:t>
      </w:r>
    </w:p>
    <w:p w14:paraId="0BB1323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（3）未经甲方许可，乙方擅自将其承包的分包工程转包或再分包；</w:t>
      </w:r>
    </w:p>
    <w:p w14:paraId="5213DCD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（4）因乙方原因拖延工期，未能在约定的工期内或分段工期内完成分包工程或其中任何区段的工作； </w:t>
      </w:r>
    </w:p>
    <w:p w14:paraId="45911D25">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（5）因乙方原因工程质量达不到本分包合同约定的质量标准和质量目标；</w:t>
      </w:r>
    </w:p>
    <w:p w14:paraId="5FD9744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（6）合同中约定的其他违约行为。</w:t>
      </w:r>
    </w:p>
    <w:p w14:paraId="167C241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8.1.2 </w:t>
      </w:r>
      <w:r>
        <w:rPr>
          <w:rFonts w:hint="eastAsia" w:ascii="仿宋_GB2312" w:hAnsi="仿宋_GB2312" w:eastAsia="仿宋_GB2312" w:cs="仿宋_GB2312"/>
          <w:sz w:val="28"/>
          <w:szCs w:val="28"/>
          <w:highlight w:val="none"/>
        </w:rPr>
        <w:t>如乙方在接到甲方发出的书面指令后仍继续1</w:t>
      </w:r>
      <w:r>
        <w:rPr>
          <w:rFonts w:ascii="仿宋_GB2312" w:hAnsi="仿宋_GB2312" w:eastAsia="仿宋_GB2312" w:cs="仿宋_GB2312"/>
          <w:sz w:val="28"/>
          <w:szCs w:val="28"/>
          <w:highlight w:val="none"/>
        </w:rPr>
        <w:t>8.1.1</w:t>
      </w:r>
      <w:r>
        <w:rPr>
          <w:rFonts w:hint="eastAsia" w:ascii="仿宋_GB2312" w:hAnsi="仿宋_GB2312" w:eastAsia="仿宋_GB2312" w:cs="仿宋_GB2312"/>
          <w:sz w:val="28"/>
          <w:szCs w:val="28"/>
          <w:highlight w:val="none"/>
        </w:rPr>
        <w:t>中的违约行为，或该违约行为再次发生，甲方可选择行使如下权利：</w:t>
      </w:r>
    </w:p>
    <w:p w14:paraId="6DD434A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（1）以书面形式通知乙方解除本分包合同；</w:t>
      </w:r>
    </w:p>
    <w:p w14:paraId="0BBB11E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（2）将分包工程中的部分内容交由其他单位完成，相关费用由甲方从分包工程价款中扣除，由此给甲方造成的额外成本由乙方承担。</w:t>
      </w:r>
    </w:p>
    <w:p w14:paraId="18F325C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18.1.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 xml:space="preserve"> 不论何种原因导致甲方与建设单位之间的总包合同解除时，甲方与乙方之间的分包合同同时无条件解除。所发生的费用由甲、乙双方另行协商并签订补充协议。</w:t>
      </w:r>
    </w:p>
    <w:p w14:paraId="100746C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18.1.</w:t>
      </w:r>
      <w:r>
        <w:rPr>
          <w:rFonts w:ascii="仿宋_GB2312" w:hAnsi="仿宋_GB2312" w:eastAsia="仿宋_GB2312" w:cs="仿宋_GB2312"/>
          <w:sz w:val="28"/>
          <w:szCs w:val="28"/>
          <w:highlight w:val="none"/>
        </w:rPr>
        <w:t>4</w:t>
      </w:r>
      <w:r>
        <w:rPr>
          <w:rFonts w:hint="eastAsia" w:ascii="仿宋_GB2312" w:hAnsi="仿宋_GB2312" w:eastAsia="仿宋_GB2312" w:cs="仿宋_GB2312"/>
          <w:sz w:val="28"/>
          <w:szCs w:val="28"/>
          <w:highlight w:val="none"/>
        </w:rPr>
        <w:t xml:space="preserve"> 如果乙方发生破产、解散、关闭等已不能实际履行分包合同义务的情形，甲方可在通知乙方后，解除本分包合同。</w:t>
      </w:r>
    </w:p>
    <w:p w14:paraId="1CE1118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18.1.</w:t>
      </w:r>
      <w:r>
        <w:rPr>
          <w:rFonts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rPr>
        <w:t xml:space="preserve"> 因不可抗力发生导致全部分包合同的履行成为不可能时，甲方、乙方均有权解除合同。</w:t>
      </w:r>
    </w:p>
    <w:p w14:paraId="28691B0A">
      <w:pPr>
        <w:autoSpaceDE w:val="0"/>
        <w:autoSpaceDN w:val="0"/>
        <w:adjustRightInd w:val="0"/>
        <w:spacing w:line="480" w:lineRule="exact"/>
        <w:ind w:firstLine="562" w:firstLineChars="200"/>
        <w:rPr>
          <w:rFonts w:hint="eastAsia" w:ascii="仿宋_GB2312" w:hAnsi="仿宋_GB2312" w:eastAsia="仿宋_GB2312" w:cs="仿宋_GB2312"/>
          <w:sz w:val="28"/>
          <w:szCs w:val="28"/>
          <w:highlight w:val="none"/>
        </w:rPr>
      </w:pPr>
      <w:r>
        <w:rPr>
          <w:rFonts w:hint="eastAsia" w:ascii="Times New Roman" w:hAnsi="Times New Roman" w:eastAsia="黑体"/>
          <w:b/>
          <w:color w:val="000000"/>
          <w:sz w:val="28"/>
          <w:szCs w:val="28"/>
          <w:highlight w:val="none"/>
        </w:rPr>
        <w:t xml:space="preserve">18.2 分包合同解除后各自的权利和责任 </w:t>
      </w:r>
    </w:p>
    <w:p w14:paraId="7B3198B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如因本合同第18.1.1条款约定的解除情形发生，甲方和乙方应具有以下权利和责任： </w:t>
      </w:r>
    </w:p>
    <w:p w14:paraId="14C03BF8">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（1）甲方可雇佣其他单位进行并完成分包工程；</w:t>
      </w:r>
    </w:p>
    <w:p w14:paraId="6818BD6E">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（2）分包合同解除后【</w:t>
      </w: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】天内，经甲方同意，乙方可将用于本分包工程的任何材料、设备和其他物品的采购供货协议和租赁协议等转让给甲方或乙方的继任者；</w:t>
      </w:r>
    </w:p>
    <w:p w14:paraId="50BD394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（3）乙方应妥善做好已完工程和已购材料、设备、建筑施工图纸和全部相关资料的保护和移交工作；</w:t>
      </w:r>
    </w:p>
    <w:p w14:paraId="4B6B3DCB">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当甲方以书面形式通知乙方须从现场拆除或撤出属于乙方的或由其租赁的任何临时工程、机具设备、材料和货物时，乙方应按照要求执行。如乙方未在合理的时间内按照要求执行，甲方可自行拆除（但不对任何损失或损坏负责），并有权变卖或处理任何上述属于乙方的财产。甲方在扣除因乙方违约造成的工程损失费用及处理此类财产的费用后，将剩余金额返还乙方。</w:t>
      </w:r>
    </w:p>
    <w:p w14:paraId="42906C9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（5）分包合同解除后【</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】日内，乙方自身的劳务人员或其劳务分包的全体人员应退场，未撤场人员发生的费用均由乙方承担。</w:t>
      </w:r>
    </w:p>
    <w:p w14:paraId="01E9456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（6）乙方应补偿甲方因分包合同解除给甲方带来的任何损失和损害。</w:t>
      </w:r>
    </w:p>
    <w:p w14:paraId="0238EE96">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（7）分包合同解除后【</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日内，乙方应向甲方提交结算报告和结算协议供甲方审核，结算应根据甲方签字确认的已完工程量和工程量清单中确定的单价进行计算，计算时间应截至分包合同解除之日。一旦工程竣工并在甲方对工程结算核准后的合理时间内，甲方应确认因乙方原因导致分包合同解除而给总包工程带来任何直接、间接损失和损害的费用金额。如果此金额加上在分包合同解除前已付给乙方的金额超过在分包合同解除时应付而未付给乙方的工程款额时，其差额作为乙方对甲方的负债，由甲方从乙方提交的履约保函、预付款保函中予以扣回，不足时，仍可索赔；如果此金额未超过甲方应支付给乙方的工程款额时，其差额应由甲方按分包合同付款条件支付给乙方。</w:t>
      </w:r>
    </w:p>
    <w:p w14:paraId="3F0E9EA7">
      <w:pPr>
        <w:pStyle w:val="5"/>
        <w:ind w:left="0" w:leftChars="0" w:firstLine="562" w:firstLineChars="200"/>
        <w:rPr>
          <w:bCs w:val="0"/>
          <w:color w:val="000000"/>
          <w:highlight w:val="none"/>
        </w:rPr>
      </w:pPr>
      <w:bookmarkStart w:id="858" w:name="_Toc19106"/>
      <w:r>
        <w:rPr>
          <w:rFonts w:hint="eastAsia"/>
          <w:bCs w:val="0"/>
          <w:color w:val="000000"/>
          <w:highlight w:val="none"/>
        </w:rPr>
        <w:t>1</w:t>
      </w:r>
      <w:r>
        <w:rPr>
          <w:bCs w:val="0"/>
          <w:color w:val="000000"/>
          <w:highlight w:val="none"/>
        </w:rPr>
        <w:t xml:space="preserve">9. </w:t>
      </w:r>
      <w:r>
        <w:rPr>
          <w:rFonts w:hint="eastAsia"/>
          <w:bCs w:val="0"/>
          <w:color w:val="000000"/>
          <w:highlight w:val="none"/>
        </w:rPr>
        <w:t>知识产权</w:t>
      </w:r>
      <w:bookmarkEnd w:id="858"/>
    </w:p>
    <w:p w14:paraId="33219DF7">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9.1 </w:t>
      </w:r>
      <w:r>
        <w:rPr>
          <w:rFonts w:hint="eastAsia" w:ascii="仿宋_GB2312" w:hAnsi="仿宋_GB2312" w:eastAsia="仿宋_GB2312" w:cs="仿宋_GB2312"/>
          <w:sz w:val="28"/>
          <w:szCs w:val="28"/>
          <w:highlight w:val="none"/>
        </w:rPr>
        <w:t>除法律规定或合同条款另有约定外，甲方提供给乙方的图纸、甲方为实施工程自行编制或委托编制的技术规范以及反映甲方要求的或其他类似性质的文件的著作权属于甲方，乙方可以为实现合同目的而复制、使用此类文件，但不能用于与合同无关的其他事项。未经甲方事先书面同意，乙方不得为了合同以外的目的而复制、使用上述文件或将之提供给任何第三方。</w:t>
      </w:r>
    </w:p>
    <w:p w14:paraId="7E9C060C">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9.2 </w:t>
      </w:r>
      <w:r>
        <w:rPr>
          <w:rFonts w:hint="eastAsia" w:ascii="仿宋_GB2312" w:hAnsi="仿宋_GB2312" w:eastAsia="仿宋_GB2312" w:cs="仿宋_GB2312"/>
          <w:sz w:val="28"/>
          <w:szCs w:val="28"/>
          <w:highlight w:val="none"/>
        </w:rPr>
        <w:t>除法律规定或合同条款另有约定外，乙方为实施工程所编制的文件，除署名权以外的著作权属于甲方，乙方可因实施工程的运行、调试、维修、改造等目的而复制、使用此类文件，但不能用于与合同无关的其他事项。未经甲方事先书面同意，乙方不得为了合同以外的目的而复制、使用上述文件或将之提供给任何第三方。</w:t>
      </w:r>
    </w:p>
    <w:p w14:paraId="0013BC04">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9.3 </w:t>
      </w:r>
      <w:r>
        <w:rPr>
          <w:rFonts w:hint="eastAsia" w:ascii="仿宋_GB2312" w:hAnsi="仿宋_GB2312" w:eastAsia="仿宋_GB2312" w:cs="仿宋_GB2312"/>
          <w:sz w:val="28"/>
          <w:szCs w:val="28"/>
          <w:highlight w:val="none"/>
        </w:rPr>
        <w:t>除法律规定或合同条款另有约定外，乙方在合同签订前和签订时已确定采用的专利、专有技术、技术秘密的使用费已包含在签约合同价中。</w:t>
      </w:r>
    </w:p>
    <w:p w14:paraId="1BFA07C9">
      <w:pPr>
        <w:autoSpaceDE w:val="0"/>
        <w:autoSpaceDN w:val="0"/>
        <w:adjustRightInd w:val="0"/>
        <w:spacing w:line="48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r>
        <w:rPr>
          <w:rFonts w:ascii="仿宋_GB2312" w:hAnsi="仿宋_GB2312" w:eastAsia="仿宋_GB2312" w:cs="仿宋_GB2312"/>
          <w:sz w:val="28"/>
          <w:szCs w:val="28"/>
          <w:highlight w:val="none"/>
        </w:rPr>
        <w:t xml:space="preserve">9.4 </w:t>
      </w:r>
      <w:r>
        <w:rPr>
          <w:rFonts w:hint="eastAsia" w:ascii="仿宋_GB2312" w:hAnsi="仿宋_GB2312" w:eastAsia="仿宋_GB2312" w:cs="仿宋_GB2312"/>
          <w:sz w:val="28"/>
          <w:szCs w:val="28"/>
          <w:highlight w:val="none"/>
        </w:rPr>
        <w:t>乙方保证乙方交付的成果不会侵犯甲方及任何第三方的知识产权，并保证甲方及甲方利益相关方免于遭受任何第三方基于本合同交付成果而提起任何诉讼。如果任何第三方基于本合同交付成果而针对甲方或甲方利益相关方提起任何诉讼，乙方应负责应诉，并承担所有费用，包括但不限于：诉讼费、律师费、鉴定费、罚金、赔偿金等，如甲方为自身及甲方利益相关方的利益应诉，并不免除乙方的前述义务，乙方应赔偿甲方因此遭受的前述全部损失，并及时公开澄清相关事实，使甲方声誉免受损害。</w:t>
      </w:r>
    </w:p>
    <w:p w14:paraId="16ACACBC">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p>
    <w:p w14:paraId="357AC4F2">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p>
    <w:p w14:paraId="37865ECF">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附件1：工程量清单与计价表</w:t>
      </w:r>
    </w:p>
    <w:p w14:paraId="4BA07292">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附件2：授权委托书（甲方）</w:t>
      </w:r>
    </w:p>
    <w:p w14:paraId="3DA30CE5">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附件3：授权委托书（乙方）</w:t>
      </w:r>
    </w:p>
    <w:p w14:paraId="3FE35D61">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4</w:t>
      </w:r>
      <w:r>
        <w:rPr>
          <w:rFonts w:hint="eastAsia" w:ascii="仿宋_GB2312" w:hAnsi="仿宋_GB2312" w:eastAsia="仿宋_GB2312" w:cs="仿宋_GB2312"/>
          <w:sz w:val="28"/>
          <w:szCs w:val="28"/>
          <w:highlight w:val="none"/>
        </w:rPr>
        <w:t>：乙方现场管理人员名单</w:t>
      </w:r>
    </w:p>
    <w:p w14:paraId="0559A3C2">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rPr>
        <w:t>：工程承包人供应材料与设备明细表</w:t>
      </w:r>
    </w:p>
    <w:p w14:paraId="03696375">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6</w:t>
      </w:r>
      <w:r>
        <w:rPr>
          <w:rFonts w:hint="eastAsia" w:ascii="仿宋_GB2312" w:hAnsi="仿宋_GB2312" w:eastAsia="仿宋_GB2312" w:cs="仿宋_GB2312"/>
          <w:sz w:val="28"/>
          <w:szCs w:val="28"/>
          <w:highlight w:val="none"/>
        </w:rPr>
        <w:t>：廉政合同书</w:t>
      </w:r>
    </w:p>
    <w:p w14:paraId="40865FE6">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7</w:t>
      </w:r>
      <w:r>
        <w:rPr>
          <w:rFonts w:hint="eastAsia" w:ascii="仿宋_GB2312" w:hAnsi="仿宋_GB2312" w:eastAsia="仿宋_GB2312" w:cs="仿宋_GB2312"/>
          <w:sz w:val="28"/>
          <w:szCs w:val="28"/>
          <w:highlight w:val="none"/>
        </w:rPr>
        <w:t>：工程质量专项管理协议书</w:t>
      </w:r>
    </w:p>
    <w:p w14:paraId="534752E2">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8</w:t>
      </w:r>
      <w:r>
        <w:rPr>
          <w:rFonts w:hint="eastAsia" w:ascii="仿宋_GB2312" w:hAnsi="仿宋_GB2312" w:eastAsia="仿宋_GB2312" w:cs="仿宋_GB2312"/>
          <w:sz w:val="28"/>
          <w:szCs w:val="28"/>
          <w:highlight w:val="none"/>
        </w:rPr>
        <w:t>：施工现场安全生产管理协议</w:t>
      </w:r>
    </w:p>
    <w:p w14:paraId="4F5D2A8F">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9</w:t>
      </w:r>
      <w:r>
        <w:rPr>
          <w:rFonts w:hint="eastAsia" w:ascii="仿宋_GB2312" w:hAnsi="仿宋_GB2312" w:eastAsia="仿宋_GB2312" w:cs="仿宋_GB2312"/>
          <w:sz w:val="28"/>
          <w:szCs w:val="28"/>
          <w:highlight w:val="none"/>
        </w:rPr>
        <w:t>：项目后勤管理协议</w:t>
      </w:r>
    </w:p>
    <w:p w14:paraId="11D3C123">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w:t>
      </w:r>
      <w:r>
        <w:rPr>
          <w:rFonts w:ascii="仿宋_GB2312" w:hAnsi="仿宋_GB2312" w:eastAsia="仿宋_GB2312" w:cs="仿宋_GB2312"/>
          <w:sz w:val="28"/>
          <w:szCs w:val="28"/>
          <w:highlight w:val="none"/>
        </w:rPr>
        <w:t>10</w:t>
      </w:r>
      <w:r>
        <w:rPr>
          <w:rFonts w:hint="eastAsia" w:ascii="仿宋_GB2312" w:hAnsi="仿宋_GB2312" w:eastAsia="仿宋_GB2312" w:cs="仿宋_GB2312"/>
          <w:sz w:val="28"/>
          <w:szCs w:val="28"/>
          <w:highlight w:val="none"/>
        </w:rPr>
        <w:t>：质量保证书</w:t>
      </w:r>
    </w:p>
    <w:p w14:paraId="561D441C">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附件1</w:t>
      </w:r>
      <w:r>
        <w:rPr>
          <w:rFonts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rPr>
        <w:t>：农民工工作委托支付协议</w:t>
      </w:r>
    </w:p>
    <w:p w14:paraId="61FC192D">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附件1</w:t>
      </w:r>
      <w:r>
        <w:rPr>
          <w:rFonts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rPr>
        <w:t>：施工现场消防安全管理协议</w:t>
      </w:r>
    </w:p>
    <w:p w14:paraId="29FCA30F">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附件1</w:t>
      </w:r>
      <w:r>
        <w:rPr>
          <w:rFonts w:ascii="仿宋_GB2312" w:hAnsi="仿宋_GB2312" w:eastAsia="仿宋_GB2312" w:cs="仿宋_GB2312"/>
          <w:sz w:val="28"/>
          <w:szCs w:val="28"/>
          <w:highlight w:val="none"/>
        </w:rPr>
        <w:t>3</w:t>
      </w:r>
      <w:r>
        <w:rPr>
          <w:rFonts w:hint="eastAsia" w:ascii="仿宋_GB2312" w:hAnsi="仿宋_GB2312" w:eastAsia="仿宋_GB2312" w:cs="仿宋_GB2312"/>
          <w:sz w:val="28"/>
          <w:szCs w:val="28"/>
          <w:highlight w:val="none"/>
        </w:rPr>
        <w:t>：施工现场临时用电安全管理协议</w:t>
      </w:r>
    </w:p>
    <w:p w14:paraId="3E95DC12">
      <w:pPr>
        <w:autoSpaceDE w:val="0"/>
        <w:autoSpaceDN w:val="0"/>
        <w:adjustRightInd w:val="0"/>
        <w:spacing w:line="48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附件1</w:t>
      </w:r>
      <w:r>
        <w:rPr>
          <w:rFonts w:ascii="仿宋_GB2312" w:hAnsi="仿宋_GB2312" w:eastAsia="仿宋_GB2312" w:cs="仿宋_GB2312"/>
          <w:sz w:val="28"/>
          <w:szCs w:val="28"/>
          <w:highlight w:val="none"/>
        </w:rPr>
        <w:t>4</w:t>
      </w:r>
      <w:r>
        <w:rPr>
          <w:rFonts w:hint="eastAsia" w:ascii="仿宋_GB2312" w:hAnsi="仿宋_GB2312" w:eastAsia="仿宋_GB2312" w:cs="仿宋_GB2312"/>
          <w:sz w:val="28"/>
          <w:szCs w:val="28"/>
          <w:highlight w:val="none"/>
        </w:rPr>
        <w:t>：承诺书</w:t>
      </w:r>
    </w:p>
    <w:p w14:paraId="35FC1625">
      <w:pPr>
        <w:widowControl/>
        <w:jc w:val="left"/>
        <w:rPr>
          <w:rFonts w:hint="eastAsia" w:ascii="仿宋_GB2312" w:hAnsi="仿宋_GB2312" w:eastAsia="仿宋_GB2312" w:cs="仿宋_GB2312"/>
          <w:sz w:val="28"/>
          <w:szCs w:val="28"/>
          <w:highlight w:val="none"/>
        </w:rPr>
      </w:pPr>
      <w:r>
        <w:rPr>
          <w:highlight w:val="none"/>
        </w:rPr>
        <w:br w:type="page"/>
      </w:r>
    </w:p>
    <w:p w14:paraId="1DC5C7A3">
      <w:pPr>
        <w:pStyle w:val="5"/>
        <w:ind w:left="0" w:leftChars="0" w:firstLine="562" w:firstLineChars="200"/>
        <w:rPr>
          <w:rFonts w:hint="eastAsia"/>
          <w:bCs w:val="0"/>
          <w:color w:val="000000"/>
          <w:highlight w:val="none"/>
        </w:rPr>
        <w:sectPr>
          <w:headerReference r:id="rId7" w:type="first"/>
          <w:headerReference r:id="rId5" w:type="default"/>
          <w:footerReference r:id="rId8" w:type="default"/>
          <w:headerReference r:id="rId6" w:type="even"/>
          <w:pgSz w:w="11906" w:h="16838"/>
          <w:pgMar w:top="1440" w:right="1349" w:bottom="1440" w:left="1349" w:header="720" w:footer="720" w:gutter="0"/>
          <w:cols w:space="720" w:num="1"/>
        </w:sectPr>
      </w:pPr>
      <w:bookmarkStart w:id="859" w:name="_Toc132053711"/>
    </w:p>
    <w:p w14:paraId="0761E431">
      <w:pPr>
        <w:pStyle w:val="5"/>
        <w:ind w:left="0" w:leftChars="0" w:firstLine="562" w:firstLineChars="200"/>
        <w:rPr>
          <w:bCs w:val="0"/>
          <w:color w:val="000000"/>
          <w:highlight w:val="none"/>
        </w:rPr>
      </w:pPr>
      <w:bookmarkStart w:id="860" w:name="_Toc31934"/>
      <w:r>
        <w:rPr>
          <w:rFonts w:hint="eastAsia"/>
          <w:bCs w:val="0"/>
          <w:color w:val="000000"/>
          <w:highlight w:val="none"/>
        </w:rPr>
        <w:t>附件1</w:t>
      </w:r>
      <w:bookmarkEnd w:id="860"/>
      <w:r>
        <w:rPr>
          <w:rFonts w:hint="eastAsia"/>
          <w:bCs w:val="0"/>
          <w:color w:val="000000"/>
          <w:highlight w:val="none"/>
        </w:rPr>
        <w:t xml:space="preserve">  </w:t>
      </w:r>
    </w:p>
    <w:p w14:paraId="7514C5D8">
      <w:pPr>
        <w:pStyle w:val="5"/>
        <w:ind w:left="0" w:leftChars="0"/>
        <w:jc w:val="center"/>
        <w:rPr>
          <w:rFonts w:hint="eastAsia"/>
          <w:bCs w:val="0"/>
          <w:color w:val="000000"/>
          <w:highlight w:val="none"/>
        </w:rPr>
      </w:pPr>
      <w:bookmarkStart w:id="861" w:name="_Toc1336"/>
      <w:bookmarkStart w:id="862" w:name="_Toc9654"/>
      <w:r>
        <w:rPr>
          <w:rFonts w:hint="eastAsia"/>
          <w:bCs w:val="0"/>
          <w:color w:val="000000"/>
          <w:highlight w:val="none"/>
        </w:rPr>
        <w:t>工程量清单</w:t>
      </w:r>
      <w:bookmarkEnd w:id="859"/>
      <w:bookmarkEnd w:id="861"/>
      <w:bookmarkEnd w:id="862"/>
    </w:p>
    <w:tbl>
      <w:tblPr>
        <w:tblStyle w:val="26"/>
        <w:tblW w:w="1399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6"/>
        <w:gridCol w:w="1102"/>
        <w:gridCol w:w="1829"/>
        <w:gridCol w:w="4330"/>
        <w:gridCol w:w="2503"/>
        <w:gridCol w:w="766"/>
        <w:gridCol w:w="1096"/>
        <w:gridCol w:w="548"/>
        <w:gridCol w:w="521"/>
        <w:gridCol w:w="753"/>
      </w:tblGrid>
      <w:tr w14:paraId="77F4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C3B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C904D">
            <w:pPr>
              <w:jc w:val="center"/>
              <w:rPr>
                <w:rFonts w:hint="eastAsia" w:ascii="宋体" w:hAnsi="宋体" w:eastAsia="宋体" w:cs="宋体"/>
                <w:b/>
                <w:bCs/>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C2B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w:t>
            </w:r>
          </w:p>
        </w:tc>
        <w:tc>
          <w:tcPr>
            <w:tcW w:w="43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EAE0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工作内容</w:t>
            </w:r>
          </w:p>
        </w:tc>
        <w:tc>
          <w:tcPr>
            <w:tcW w:w="25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E70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计算规则</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782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E76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暂定工程量</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21D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不含税综合单价</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F2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合价</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CD9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5983C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923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ABE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土石方工程</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58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挖一般土石方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（场内堆土）</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25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1、土壤类别:不区分土质；</w:t>
            </w:r>
            <w:r>
              <w:rPr>
                <w:rStyle w:val="52"/>
                <w:lang w:val="en-US" w:eastAsia="zh-CN" w:bidi="ar"/>
              </w:rPr>
              <w:br w:type="textWrapping"/>
            </w:r>
            <w:r>
              <w:rPr>
                <w:rStyle w:val="52"/>
                <w:lang w:val="en-US" w:eastAsia="zh-CN" w:bidi="ar"/>
              </w:rPr>
              <w:t>2、挖土深度:详设计图纸及地质勘查报告，从接收场地的现有标高开挖至图纸设计标高，深度不限；</w:t>
            </w:r>
            <w:r>
              <w:rPr>
                <w:rStyle w:val="52"/>
                <w:lang w:val="en-US" w:eastAsia="zh-CN" w:bidi="ar"/>
              </w:rPr>
              <w:br w:type="textWrapping"/>
            </w:r>
            <w:r>
              <w:rPr>
                <w:rStyle w:val="52"/>
                <w:lang w:val="en-US" w:eastAsia="zh-CN" w:bidi="ar"/>
              </w:rPr>
              <w:t>3、</w:t>
            </w:r>
            <w:r>
              <w:rPr>
                <w:rStyle w:val="55"/>
                <w:lang w:val="en-US" w:eastAsia="zh-CN" w:bidi="ar"/>
              </w:rPr>
              <w:t>含大面开挖、基础、沟槽等开挖；含人工辅助开挖，人工包机械；</w:t>
            </w:r>
            <w:r>
              <w:rPr>
                <w:rStyle w:val="52"/>
                <w:lang w:val="en-US" w:eastAsia="zh-CN" w:bidi="ar"/>
              </w:rPr>
              <w:br w:type="textWrapping"/>
            </w:r>
            <w:r>
              <w:rPr>
                <w:rStyle w:val="52"/>
                <w:lang w:val="en-US" w:eastAsia="zh-CN" w:bidi="ar"/>
              </w:rPr>
              <w:t>4、含人工费、运输费、燃油费、大型机械设备进出场及安拆费，进出场车辆冲洗乙方负责；</w:t>
            </w:r>
            <w:r>
              <w:rPr>
                <w:rStyle w:val="52"/>
                <w:lang w:val="en-US" w:eastAsia="zh-CN" w:bidi="ar"/>
              </w:rPr>
              <w:br w:type="textWrapping"/>
            </w:r>
            <w:r>
              <w:rPr>
                <w:rStyle w:val="52"/>
                <w:lang w:val="en-US" w:eastAsia="zh-CN" w:bidi="ar"/>
              </w:rPr>
              <w:t>5、包含洒水等降尘土措施费用、场内挖填土包含红线外1公里内运输费、堆场按甲方要求完成平整回填所需费用。</w:t>
            </w:r>
            <w:r>
              <w:rPr>
                <w:rStyle w:val="52"/>
                <w:lang w:val="en-US" w:eastAsia="zh-CN" w:bidi="ar"/>
              </w:rPr>
              <w:br w:type="textWrapping"/>
            </w:r>
            <w:r>
              <w:rPr>
                <w:rStyle w:val="52"/>
                <w:lang w:val="en-US" w:eastAsia="zh-CN" w:bidi="ar"/>
              </w:rPr>
              <w:t>6、场内运输:由投标人根据施工现场考察实际情况综合考虑运距，采用加盖汽车运输；包括但不限于场内多次转运。</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BF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按双方确认的场地移交单所示原始地面标高/高程和图纸所示设计完成面标高/高程的高差按立方米计算，</w:t>
            </w:r>
            <w:r>
              <w:rPr>
                <w:rStyle w:val="55"/>
                <w:lang w:val="en-US" w:eastAsia="zh-CN" w:bidi="ar"/>
              </w:rPr>
              <w:t>放坡及工作面不另外计算。按照天然密实体积计算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892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819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7520.64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B9F8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2C6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62638">
            <w:pPr>
              <w:rPr>
                <w:rFonts w:hint="eastAsia" w:ascii="宋体" w:hAnsi="宋体" w:eastAsia="宋体" w:cs="宋体"/>
                <w:i w:val="0"/>
                <w:iCs w:val="0"/>
                <w:color w:val="000000"/>
                <w:sz w:val="22"/>
                <w:szCs w:val="22"/>
                <w:u w:val="none"/>
              </w:rPr>
            </w:pPr>
          </w:p>
        </w:tc>
      </w:tr>
      <w:tr w14:paraId="27C65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34E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C92A7">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2F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土方石回填</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（场内取土回填）</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D3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1、密实度要求:符合设计和规范的要求；</w:t>
            </w:r>
            <w:r>
              <w:rPr>
                <w:rStyle w:val="52"/>
                <w:lang w:val="en-US" w:eastAsia="zh-CN" w:bidi="ar"/>
              </w:rPr>
              <w:br w:type="textWrapping"/>
            </w:r>
            <w:r>
              <w:rPr>
                <w:rStyle w:val="52"/>
                <w:lang w:val="en-US" w:eastAsia="zh-CN" w:bidi="ar"/>
              </w:rPr>
              <w:t>2、分层碾压、夯实、平整，</w:t>
            </w:r>
            <w:r>
              <w:rPr>
                <w:rStyle w:val="55"/>
                <w:lang w:val="en-US" w:eastAsia="zh-CN" w:bidi="ar"/>
              </w:rPr>
              <w:t>密实度 95%以上</w:t>
            </w:r>
            <w:r>
              <w:rPr>
                <w:rStyle w:val="52"/>
                <w:lang w:val="en-US" w:eastAsia="zh-CN" w:bidi="ar"/>
              </w:rPr>
              <w:t>；</w:t>
            </w:r>
            <w:r>
              <w:rPr>
                <w:rStyle w:val="52"/>
                <w:lang w:val="en-US" w:eastAsia="zh-CN" w:bidi="ar"/>
              </w:rPr>
              <w:br w:type="textWrapping"/>
            </w:r>
            <w:r>
              <w:rPr>
                <w:rStyle w:val="52"/>
                <w:lang w:val="en-US" w:eastAsia="zh-CN" w:bidi="ar"/>
              </w:rPr>
              <w:t>3、综合考虑土方回填方式、回填深度，</w:t>
            </w:r>
            <w:r>
              <w:rPr>
                <w:rStyle w:val="55"/>
                <w:lang w:val="en-US" w:eastAsia="zh-CN" w:bidi="ar"/>
              </w:rPr>
              <w:t>包括但不限于基坑侧壁、沟槽侧壁等回填（含检验试验费）；</w:t>
            </w:r>
            <w:r>
              <w:rPr>
                <w:rStyle w:val="52"/>
                <w:lang w:val="en-US" w:eastAsia="zh-CN" w:bidi="ar"/>
              </w:rPr>
              <w:br w:type="textWrapping"/>
            </w:r>
            <w:r>
              <w:rPr>
                <w:rStyle w:val="52"/>
                <w:lang w:val="en-US" w:eastAsia="zh-CN" w:bidi="ar"/>
              </w:rPr>
              <w:t>4、综合考虑土方转运、装运或机械转运；</w:t>
            </w:r>
            <w:r>
              <w:rPr>
                <w:rStyle w:val="52"/>
                <w:lang w:val="en-US" w:eastAsia="zh-CN" w:bidi="ar"/>
              </w:rPr>
              <w:br w:type="textWrapping"/>
            </w:r>
            <w:r>
              <w:rPr>
                <w:rStyle w:val="52"/>
                <w:lang w:val="en-US" w:eastAsia="zh-CN" w:bidi="ar"/>
              </w:rPr>
              <w:t>5、包含洒水等降尘土措施费用、场内挖填土包含红线外1公里内运输费、堆场按甲方要求完成平整回填所需费用。</w:t>
            </w:r>
            <w:r>
              <w:rPr>
                <w:rStyle w:val="52"/>
                <w:lang w:val="en-US" w:eastAsia="zh-CN" w:bidi="ar"/>
              </w:rPr>
              <w:br w:type="textWrapping"/>
            </w:r>
            <w:r>
              <w:rPr>
                <w:rStyle w:val="52"/>
                <w:lang w:val="en-US" w:eastAsia="zh-CN" w:bidi="ar"/>
              </w:rPr>
              <w:t>6、运距：场内运输距离综合考虑。</w:t>
            </w:r>
            <w:r>
              <w:rPr>
                <w:rStyle w:val="52"/>
                <w:lang w:val="en-US" w:eastAsia="zh-CN" w:bidi="ar"/>
              </w:rPr>
              <w:br w:type="textWrapping"/>
            </w:r>
            <w:r>
              <w:rPr>
                <w:rStyle w:val="52"/>
                <w:lang w:val="en-US" w:eastAsia="zh-CN" w:bidi="ar"/>
              </w:rPr>
              <w:t>7、施工过程噪音、污染等原因造成扰民由乙方负责处理，报价综合考虑</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0F2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规范及图纸设计要求的土石方分层送回、夯实及巩固至图纸所需设计标高，包括夯实、碾压、运输等一切所需工程。计算规则：按设计图纸及甲方开挖方案据实计算。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1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01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3088.65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C4C5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650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010C">
            <w:pPr>
              <w:rPr>
                <w:rFonts w:hint="eastAsia" w:ascii="宋体" w:hAnsi="宋体" w:eastAsia="宋体" w:cs="宋体"/>
                <w:i w:val="0"/>
                <w:iCs w:val="0"/>
                <w:color w:val="000000"/>
                <w:sz w:val="22"/>
                <w:szCs w:val="22"/>
                <w:u w:val="none"/>
              </w:rPr>
            </w:pPr>
          </w:p>
        </w:tc>
      </w:tr>
      <w:tr w14:paraId="0402C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4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A6786">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5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土石方外运</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E6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1.材料类别：土方、石方；</w:t>
            </w:r>
            <w:r>
              <w:rPr>
                <w:rStyle w:val="52"/>
                <w:lang w:val="en-US" w:eastAsia="zh-CN" w:bidi="ar"/>
              </w:rPr>
              <w:br w:type="textWrapping"/>
            </w:r>
            <w:r>
              <w:rPr>
                <w:rStyle w:val="52"/>
                <w:lang w:val="en-US" w:eastAsia="zh-CN" w:bidi="ar"/>
              </w:rPr>
              <w:t>2.计量规则：外运土方体积均以挖掘前的天然密实体积计算;</w:t>
            </w:r>
            <w:r>
              <w:rPr>
                <w:rStyle w:val="52"/>
                <w:lang w:val="en-US" w:eastAsia="zh-CN" w:bidi="ar"/>
              </w:rPr>
              <w:br w:type="textWrapping"/>
            </w:r>
            <w:r>
              <w:rPr>
                <w:rStyle w:val="52"/>
                <w:lang w:val="en-US" w:eastAsia="zh-CN" w:bidi="ar"/>
              </w:rPr>
              <w:t>3.弃土运距：弃土场自行负责，综合考虑运距；</w:t>
            </w:r>
            <w:r>
              <w:rPr>
                <w:rStyle w:val="52"/>
                <w:lang w:val="en-US" w:eastAsia="zh-CN" w:bidi="ar"/>
              </w:rPr>
              <w:br w:type="textWrapping"/>
            </w:r>
            <w:r>
              <w:rPr>
                <w:rStyle w:val="52"/>
                <w:lang w:val="en-US" w:eastAsia="zh-CN" w:bidi="ar"/>
              </w:rPr>
              <w:t>4.其它：</w:t>
            </w:r>
            <w:r>
              <w:rPr>
                <w:rStyle w:val="55"/>
                <w:lang w:val="en-US" w:eastAsia="zh-CN" w:bidi="ar"/>
              </w:rPr>
              <w:t>上下车、含运输费、</w:t>
            </w:r>
            <w:r>
              <w:rPr>
                <w:rStyle w:val="53"/>
                <w:lang w:val="en-US" w:eastAsia="zh-CN" w:bidi="ar"/>
              </w:rPr>
              <w:t>消纳费</w:t>
            </w:r>
            <w:r>
              <w:rPr>
                <w:rStyle w:val="55"/>
                <w:lang w:val="en-US" w:eastAsia="zh-CN" w:bidi="ar"/>
              </w:rPr>
              <w:t>、大型机械设备进出场及安拆费及完工清场。</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7B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按照天然密实体积据实计算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416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5A2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4007.97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1E76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47C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EB136">
            <w:pPr>
              <w:rPr>
                <w:rFonts w:hint="eastAsia" w:ascii="宋体" w:hAnsi="宋体" w:eastAsia="宋体" w:cs="宋体"/>
                <w:i w:val="0"/>
                <w:iCs w:val="0"/>
                <w:color w:val="000000"/>
                <w:sz w:val="22"/>
                <w:szCs w:val="22"/>
                <w:u w:val="none"/>
              </w:rPr>
            </w:pPr>
          </w:p>
        </w:tc>
      </w:tr>
      <w:tr w14:paraId="193F2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9B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02" w:type="dxa"/>
            <w:vMerge w:val="restart"/>
            <w:tcBorders>
              <w:top w:val="nil"/>
              <w:left w:val="single" w:color="000000" w:sz="4" w:space="0"/>
              <w:bottom w:val="nil"/>
              <w:right w:val="single" w:color="000000" w:sz="4" w:space="0"/>
            </w:tcBorders>
            <w:shd w:val="clear" w:color="auto" w:fill="auto"/>
            <w:vAlign w:val="center"/>
          </w:tcPr>
          <w:p w14:paraId="4667A4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道路工程</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69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级配碎石回填</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20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64"/>
                <w:lang w:val="en-US" w:eastAsia="zh-CN" w:bidi="ar"/>
              </w:rPr>
              <w:t>1、级配碎石回填压实</w:t>
            </w:r>
            <w:r>
              <w:rPr>
                <w:rStyle w:val="64"/>
                <w:lang w:val="en-US" w:eastAsia="zh-CN" w:bidi="ar"/>
              </w:rPr>
              <w:br w:type="textWrapping"/>
            </w:r>
            <w:r>
              <w:rPr>
                <w:rStyle w:val="64"/>
                <w:lang w:val="en-US" w:eastAsia="zh-CN" w:bidi="ar"/>
              </w:rPr>
              <w:t>2、厚度综合考虑</w:t>
            </w:r>
            <w:r>
              <w:rPr>
                <w:rStyle w:val="64"/>
                <w:lang w:val="en-US" w:eastAsia="zh-CN" w:bidi="ar"/>
              </w:rPr>
              <w:br w:type="textWrapping"/>
            </w:r>
            <w:r>
              <w:rPr>
                <w:rStyle w:val="64"/>
                <w:lang w:val="en-US" w:eastAsia="zh-CN" w:bidi="ar"/>
              </w:rPr>
              <w:t>3、</w:t>
            </w:r>
            <w:r>
              <w:rPr>
                <w:rStyle w:val="55"/>
                <w:lang w:val="en-US" w:eastAsia="zh-CN" w:bidi="ar"/>
              </w:rPr>
              <w:t>除级配碎石甲供外</w:t>
            </w:r>
            <w:r>
              <w:rPr>
                <w:rStyle w:val="64"/>
                <w:lang w:val="en-US" w:eastAsia="zh-CN" w:bidi="ar"/>
              </w:rPr>
              <w:t>，其余乙方包工包料包机械包辅材，包含但不限于材料多次转运、放样、拌制、摊铺、整形、碾压、养护、试验样品制作、搬运、送检等所有费用</w:t>
            </w:r>
            <w:r>
              <w:rPr>
                <w:rStyle w:val="55"/>
                <w:lang w:val="en-US" w:eastAsia="zh-CN" w:bidi="ar"/>
              </w:rPr>
              <w:t>（含检验试验费）</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1C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以图为依据，按实计算，扣除洞口、墙柱、基础、装饰构件、成品构件等所占工程量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1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C34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7393.73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28D5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4E7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BA53">
            <w:pPr>
              <w:rPr>
                <w:rFonts w:hint="eastAsia" w:ascii="宋体" w:hAnsi="宋体" w:eastAsia="宋体" w:cs="宋体"/>
                <w:i w:val="0"/>
                <w:iCs w:val="0"/>
                <w:color w:val="000000"/>
                <w:sz w:val="22"/>
                <w:szCs w:val="22"/>
                <w:u w:val="none"/>
              </w:rPr>
            </w:pPr>
          </w:p>
        </w:tc>
      </w:tr>
      <w:tr w14:paraId="3FB45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B6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02" w:type="dxa"/>
            <w:vMerge w:val="continue"/>
            <w:tcBorders>
              <w:top w:val="nil"/>
              <w:left w:val="single" w:color="000000" w:sz="4" w:space="0"/>
              <w:bottom w:val="nil"/>
              <w:right w:val="single" w:color="000000" w:sz="4" w:space="0"/>
            </w:tcBorders>
            <w:shd w:val="clear" w:color="auto" w:fill="auto"/>
            <w:vAlign w:val="center"/>
          </w:tcPr>
          <w:p w14:paraId="56E659A9">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DF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砂回填</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EF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64"/>
                <w:lang w:val="en-US" w:eastAsia="zh-CN" w:bidi="ar"/>
              </w:rPr>
              <w:t>1、细砂回填压实</w:t>
            </w:r>
            <w:r>
              <w:rPr>
                <w:rStyle w:val="64"/>
                <w:lang w:val="en-US" w:eastAsia="zh-CN" w:bidi="ar"/>
              </w:rPr>
              <w:br w:type="textWrapping"/>
            </w:r>
            <w:r>
              <w:rPr>
                <w:rStyle w:val="64"/>
                <w:lang w:val="en-US" w:eastAsia="zh-CN" w:bidi="ar"/>
              </w:rPr>
              <w:t>2、厚度 100mm-200mm</w:t>
            </w:r>
            <w:r>
              <w:rPr>
                <w:rStyle w:val="64"/>
                <w:lang w:val="en-US" w:eastAsia="zh-CN" w:bidi="ar"/>
              </w:rPr>
              <w:br w:type="textWrapping"/>
            </w:r>
            <w:r>
              <w:rPr>
                <w:rStyle w:val="64"/>
                <w:lang w:val="en-US" w:eastAsia="zh-CN" w:bidi="ar"/>
              </w:rPr>
              <w:t>3、</w:t>
            </w:r>
            <w:r>
              <w:rPr>
                <w:rStyle w:val="55"/>
                <w:lang w:val="en-US" w:eastAsia="zh-CN" w:bidi="ar"/>
              </w:rPr>
              <w:t>除砂甲供外</w:t>
            </w:r>
            <w:r>
              <w:rPr>
                <w:rStyle w:val="64"/>
                <w:lang w:val="en-US" w:eastAsia="zh-CN" w:bidi="ar"/>
              </w:rPr>
              <w:t>，其余乙方包工包料包机械包辅材，包含但不限于材料多次转运、放样、拌制、摊铺、整形、碾压、养护、试验样品制作、搬运、</w:t>
            </w:r>
            <w:r>
              <w:rPr>
                <w:rStyle w:val="55"/>
                <w:lang w:val="en-US" w:eastAsia="zh-CN" w:bidi="ar"/>
              </w:rPr>
              <w:t>送检等所有费用（含检验试验费）</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C5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以图为依据，按实计算，扣除洞口、墙柱、基础、装饰构件、成品构件等所占工程量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796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C3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693.89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038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0AA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D9CF">
            <w:pPr>
              <w:rPr>
                <w:rFonts w:hint="eastAsia" w:ascii="宋体" w:hAnsi="宋体" w:eastAsia="宋体" w:cs="宋体"/>
                <w:i w:val="0"/>
                <w:iCs w:val="0"/>
                <w:color w:val="000000"/>
                <w:sz w:val="22"/>
                <w:szCs w:val="22"/>
                <w:u w:val="none"/>
              </w:rPr>
            </w:pPr>
          </w:p>
        </w:tc>
      </w:tr>
      <w:tr w14:paraId="04B3F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4B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02" w:type="dxa"/>
            <w:vMerge w:val="continue"/>
            <w:tcBorders>
              <w:top w:val="nil"/>
              <w:left w:val="single" w:color="000000" w:sz="4" w:space="0"/>
              <w:bottom w:val="nil"/>
              <w:right w:val="single" w:color="000000" w:sz="4" w:space="0"/>
            </w:tcBorders>
            <w:shd w:val="clear" w:color="auto" w:fill="auto"/>
            <w:vAlign w:val="center"/>
          </w:tcPr>
          <w:p w14:paraId="54C7A398">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913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石粉回填</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F5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64"/>
                <w:lang w:val="en-US" w:eastAsia="zh-CN" w:bidi="ar"/>
              </w:rPr>
              <w:t>1、石粉回填压实</w:t>
            </w:r>
            <w:r>
              <w:rPr>
                <w:rStyle w:val="64"/>
                <w:lang w:val="en-US" w:eastAsia="zh-CN" w:bidi="ar"/>
              </w:rPr>
              <w:br w:type="textWrapping"/>
            </w:r>
            <w:r>
              <w:rPr>
                <w:rStyle w:val="64"/>
                <w:lang w:val="en-US" w:eastAsia="zh-CN" w:bidi="ar"/>
              </w:rPr>
              <w:t>2、厚度 100mm-200mm</w:t>
            </w:r>
            <w:r>
              <w:rPr>
                <w:rStyle w:val="64"/>
                <w:lang w:val="en-US" w:eastAsia="zh-CN" w:bidi="ar"/>
              </w:rPr>
              <w:br w:type="textWrapping"/>
            </w:r>
            <w:r>
              <w:rPr>
                <w:rStyle w:val="64"/>
                <w:lang w:val="en-US" w:eastAsia="zh-CN" w:bidi="ar"/>
              </w:rPr>
              <w:t>3、</w:t>
            </w:r>
            <w:r>
              <w:rPr>
                <w:rStyle w:val="55"/>
                <w:lang w:val="en-US" w:eastAsia="zh-CN" w:bidi="ar"/>
              </w:rPr>
              <w:t>除石粉甲供外</w:t>
            </w:r>
            <w:r>
              <w:rPr>
                <w:rStyle w:val="64"/>
                <w:lang w:val="en-US" w:eastAsia="zh-CN" w:bidi="ar"/>
              </w:rPr>
              <w:t>，其余乙方包工包料包机械包辅材，包含但不限于材料多次转运、放样、拌制、摊铺、整形、碾压、养护、试验样品制作、搬运、</w:t>
            </w:r>
            <w:r>
              <w:rPr>
                <w:rStyle w:val="55"/>
                <w:lang w:val="en-US" w:eastAsia="zh-CN" w:bidi="ar"/>
              </w:rPr>
              <w:t>送检等所有费用（含检验试验费）</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2D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以图为依据，按实计算，扣除洞口、墙柱、基础、装饰构件、成品构件等所占工程量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F85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3D3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1487.89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8BD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F83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89B50">
            <w:pPr>
              <w:rPr>
                <w:rFonts w:hint="eastAsia" w:ascii="宋体" w:hAnsi="宋体" w:eastAsia="宋体" w:cs="宋体"/>
                <w:i w:val="0"/>
                <w:iCs w:val="0"/>
                <w:color w:val="000000"/>
                <w:sz w:val="22"/>
                <w:szCs w:val="22"/>
                <w:u w:val="none"/>
              </w:rPr>
            </w:pPr>
          </w:p>
        </w:tc>
      </w:tr>
      <w:tr w14:paraId="0F008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9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6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02" w:type="dxa"/>
            <w:vMerge w:val="continue"/>
            <w:tcBorders>
              <w:top w:val="nil"/>
              <w:left w:val="single" w:color="000000" w:sz="4" w:space="0"/>
              <w:bottom w:val="nil"/>
              <w:right w:val="single" w:color="000000" w:sz="4" w:space="0"/>
            </w:tcBorders>
            <w:shd w:val="clear" w:color="auto" w:fill="auto"/>
            <w:vAlign w:val="center"/>
          </w:tcPr>
          <w:p w14:paraId="21717586">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E4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200mm厚以内（含200）5%水泥稳定级配碎石基层</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746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1、水泥稳定级配碎石基层(压实度&gt;98%）,并机械找平处理,并请除基层表面有刺破隐患的物质</w:t>
            </w:r>
            <w:r>
              <w:rPr>
                <w:rStyle w:val="52"/>
                <w:lang w:val="en-US" w:eastAsia="zh-CN" w:bidi="ar"/>
              </w:rPr>
              <w:br w:type="textWrapping"/>
            </w:r>
            <w:r>
              <w:rPr>
                <w:rStyle w:val="52"/>
                <w:lang w:val="en-US" w:eastAsia="zh-CN" w:bidi="ar"/>
              </w:rPr>
              <w:t>2、厚度200mm以内（含200）</w:t>
            </w:r>
            <w:r>
              <w:rPr>
                <w:rStyle w:val="52"/>
                <w:lang w:val="en-US" w:eastAsia="zh-CN" w:bidi="ar"/>
              </w:rPr>
              <w:br w:type="textWrapping"/>
            </w:r>
            <w:r>
              <w:rPr>
                <w:rStyle w:val="52"/>
                <w:lang w:val="en-US" w:eastAsia="zh-CN" w:bidi="ar"/>
              </w:rPr>
              <w:t>3、</w:t>
            </w:r>
            <w:r>
              <w:rPr>
                <w:rStyle w:val="55"/>
                <w:lang w:val="en-US" w:eastAsia="zh-CN" w:bidi="ar"/>
              </w:rPr>
              <w:t>除水稳层甲供外</w:t>
            </w:r>
            <w:r>
              <w:rPr>
                <w:rStyle w:val="52"/>
                <w:lang w:val="en-US" w:eastAsia="zh-CN" w:bidi="ar"/>
              </w:rPr>
              <w:t>，其余乙方包工包料包辅材，包含但不限于材料多次转运、随铺随测、放样、拌制、摊铺、整形、碾压、养护、路床(槽)整形及碾压、试验样品制作、搬运、送检等所有费用</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7D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以图为依据，按实计算，扣除洞口、墙柱、基础、装饰构件、成品构件等所占工程量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08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39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33121.37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5526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9A3E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DC851">
            <w:pPr>
              <w:rPr>
                <w:rFonts w:hint="eastAsia" w:ascii="宋体" w:hAnsi="宋体" w:eastAsia="宋体" w:cs="宋体"/>
                <w:i w:val="0"/>
                <w:iCs w:val="0"/>
                <w:color w:val="000000"/>
                <w:sz w:val="22"/>
                <w:szCs w:val="22"/>
                <w:u w:val="none"/>
              </w:rPr>
            </w:pPr>
          </w:p>
        </w:tc>
      </w:tr>
      <w:tr w14:paraId="18D13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4F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102" w:type="dxa"/>
            <w:vMerge w:val="continue"/>
            <w:tcBorders>
              <w:top w:val="nil"/>
              <w:left w:val="single" w:color="000000" w:sz="4" w:space="0"/>
              <w:bottom w:val="nil"/>
              <w:right w:val="single" w:color="000000" w:sz="4" w:space="0"/>
            </w:tcBorders>
            <w:shd w:val="clear" w:color="auto" w:fill="auto"/>
            <w:vAlign w:val="center"/>
          </w:tcPr>
          <w:p w14:paraId="56D61A6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E5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60mm厚混凝土非机动车地面</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F1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非机动车停车位地面：</w:t>
            </w:r>
            <w:r>
              <w:rPr>
                <w:rStyle w:val="52"/>
                <w:lang w:val="en-US" w:eastAsia="zh-CN" w:bidi="ar"/>
              </w:rPr>
              <w:br w:type="textWrapping"/>
            </w:r>
            <w:r>
              <w:rPr>
                <w:rStyle w:val="52"/>
                <w:lang w:val="en-US" w:eastAsia="zh-CN" w:bidi="ar"/>
              </w:rPr>
              <w:t>1、商品砼 C25混凝土（抗折强度≥4.5Mpa），综合考虑泵送及自卸</w:t>
            </w:r>
            <w:r>
              <w:rPr>
                <w:rStyle w:val="52"/>
                <w:lang w:val="en-US" w:eastAsia="zh-CN" w:bidi="ar"/>
              </w:rPr>
              <w:br w:type="textWrapping"/>
            </w:r>
            <w:r>
              <w:rPr>
                <w:rStyle w:val="52"/>
                <w:lang w:val="en-US" w:eastAsia="zh-CN" w:bidi="ar"/>
              </w:rPr>
              <w:t>2、厚度60mm以内</w:t>
            </w:r>
            <w:r>
              <w:rPr>
                <w:rStyle w:val="52"/>
                <w:lang w:val="en-US" w:eastAsia="zh-CN" w:bidi="ar"/>
              </w:rPr>
              <w:br w:type="textWrapping"/>
            </w:r>
            <w:r>
              <w:rPr>
                <w:rStyle w:val="52"/>
                <w:lang w:val="en-US" w:eastAsia="zh-CN" w:bidi="ar"/>
              </w:rPr>
              <w:t>3、</w:t>
            </w:r>
            <w:r>
              <w:rPr>
                <w:rStyle w:val="55"/>
                <w:lang w:val="en-US" w:eastAsia="zh-CN" w:bidi="ar"/>
              </w:rPr>
              <w:t>除混凝土材料，其余包工包料包机械，</w:t>
            </w:r>
            <w:r>
              <w:rPr>
                <w:rStyle w:val="52"/>
                <w:lang w:val="en-US" w:eastAsia="zh-CN" w:bidi="ar"/>
              </w:rPr>
              <w:t>含素土夯实、各种结构找坡、造型、线条、混凝土边沟等制作，含模板制安、测量、标高控制、按小于 6x6m 分仓跳格浇筑浇筑、振捣、原浆找平压光、快易收口网铺设、各种形式的养护。含切缝、嵌缝、混凝土面凿毛、试验样品制作、搬运、送检等所有费用。</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B26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以图为依据，按实计算，扣除洞口、墙柱、基础、装饰构件、成品构件等所占工程量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67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00B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575.00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E933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6F36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37A4">
            <w:pPr>
              <w:rPr>
                <w:rFonts w:hint="eastAsia" w:ascii="宋体" w:hAnsi="宋体" w:eastAsia="宋体" w:cs="宋体"/>
                <w:i w:val="0"/>
                <w:iCs w:val="0"/>
                <w:color w:val="000000"/>
                <w:sz w:val="22"/>
                <w:szCs w:val="22"/>
                <w:u w:val="none"/>
              </w:rPr>
            </w:pPr>
          </w:p>
        </w:tc>
      </w:tr>
      <w:tr w14:paraId="539E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C7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02" w:type="dxa"/>
            <w:vMerge w:val="continue"/>
            <w:tcBorders>
              <w:top w:val="nil"/>
              <w:left w:val="single" w:color="000000" w:sz="4" w:space="0"/>
              <w:bottom w:val="nil"/>
              <w:right w:val="single" w:color="000000" w:sz="4" w:space="0"/>
            </w:tcBorders>
            <w:shd w:val="clear" w:color="auto" w:fill="auto"/>
            <w:vAlign w:val="center"/>
          </w:tcPr>
          <w:p w14:paraId="77D3D49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4E3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260mm混凝土路面</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E6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混凝土道路路面：</w:t>
            </w:r>
            <w:r>
              <w:rPr>
                <w:rStyle w:val="52"/>
                <w:lang w:val="en-US" w:eastAsia="zh-CN" w:bidi="ar"/>
              </w:rPr>
              <w:br w:type="textWrapping"/>
            </w:r>
            <w:r>
              <w:rPr>
                <w:rStyle w:val="52"/>
                <w:lang w:val="en-US" w:eastAsia="zh-CN" w:bidi="ar"/>
              </w:rPr>
              <w:t>1、商品砼 C25混凝土（抗折强度≥5.0Mpa），综合考虑泵送及自卸</w:t>
            </w:r>
            <w:r>
              <w:rPr>
                <w:rStyle w:val="52"/>
                <w:lang w:val="en-US" w:eastAsia="zh-CN" w:bidi="ar"/>
              </w:rPr>
              <w:br w:type="textWrapping"/>
            </w:r>
            <w:r>
              <w:rPr>
                <w:rStyle w:val="52"/>
                <w:lang w:val="en-US" w:eastAsia="zh-CN" w:bidi="ar"/>
              </w:rPr>
              <w:t>2、厚度 250mm 以内</w:t>
            </w:r>
            <w:r>
              <w:rPr>
                <w:rStyle w:val="52"/>
                <w:lang w:val="en-US" w:eastAsia="zh-CN" w:bidi="ar"/>
              </w:rPr>
              <w:br w:type="textWrapping"/>
            </w:r>
            <w:r>
              <w:rPr>
                <w:rStyle w:val="52"/>
                <w:lang w:val="en-US" w:eastAsia="zh-CN" w:bidi="ar"/>
              </w:rPr>
              <w:t>3、</w:t>
            </w:r>
            <w:r>
              <w:rPr>
                <w:rStyle w:val="55"/>
                <w:lang w:val="en-US" w:eastAsia="zh-CN" w:bidi="ar"/>
              </w:rPr>
              <w:t>除混凝土材料甲供外</w:t>
            </w:r>
            <w:r>
              <w:rPr>
                <w:rStyle w:val="52"/>
                <w:lang w:val="en-US" w:eastAsia="zh-CN" w:bidi="ar"/>
              </w:rPr>
              <w:t>，其余包工包料包机械，含素土夯实、各种结构找坡、造型、线条、混凝土边沟等制作，含模板制安、测量、标高控制、按小于 6x6m 分仓跳格浇筑浇筑、振捣、原浆找平压光、快易收口网铺设、各种形式的养护。含切缝、嵌缝、混凝土面凿毛、试验样品制作、搬运、送检等所有费用。</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B9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以图为依据，按实计算，扣除洞口、墙柱、基础、装饰构件、成品构件等所占工程量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3FD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8B6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33121.37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EBB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8BF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49DAB">
            <w:pPr>
              <w:rPr>
                <w:rFonts w:hint="eastAsia" w:ascii="宋体" w:hAnsi="宋体" w:eastAsia="宋体" w:cs="宋体"/>
                <w:i w:val="0"/>
                <w:iCs w:val="0"/>
                <w:color w:val="000000"/>
                <w:sz w:val="22"/>
                <w:szCs w:val="22"/>
                <w:u w:val="none"/>
              </w:rPr>
            </w:pPr>
          </w:p>
        </w:tc>
      </w:tr>
      <w:tr w14:paraId="18E26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AE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02" w:type="dxa"/>
            <w:vMerge w:val="continue"/>
            <w:tcBorders>
              <w:top w:val="nil"/>
              <w:left w:val="single" w:color="000000" w:sz="4" w:space="0"/>
              <w:bottom w:val="nil"/>
              <w:right w:val="single" w:color="000000" w:sz="4" w:space="0"/>
            </w:tcBorders>
            <w:shd w:val="clear" w:color="auto" w:fill="auto"/>
            <w:vAlign w:val="center"/>
          </w:tcPr>
          <w:p w14:paraId="1240E9C0">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4E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植草砖铺装</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28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1、60厚C30绿色植草（250*250）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2、30厚粗砂垫层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3、100厚级配碎石垫层（压实度≥95%）</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D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E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526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476.20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C37C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DC2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1458">
            <w:pPr>
              <w:rPr>
                <w:rFonts w:hint="eastAsia" w:ascii="宋体" w:hAnsi="宋体" w:eastAsia="宋体" w:cs="宋体"/>
                <w:i w:val="0"/>
                <w:iCs w:val="0"/>
                <w:color w:val="000000"/>
                <w:sz w:val="22"/>
                <w:szCs w:val="22"/>
                <w:u w:val="none"/>
              </w:rPr>
            </w:pPr>
          </w:p>
        </w:tc>
      </w:tr>
      <w:tr w14:paraId="0CD3F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B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102" w:type="dxa"/>
            <w:vMerge w:val="continue"/>
            <w:tcBorders>
              <w:top w:val="nil"/>
              <w:left w:val="single" w:color="000000" w:sz="4" w:space="0"/>
              <w:bottom w:val="nil"/>
              <w:right w:val="single" w:color="000000" w:sz="4" w:space="0"/>
            </w:tcBorders>
            <w:shd w:val="clear" w:color="auto" w:fill="auto"/>
            <w:vAlign w:val="center"/>
          </w:tcPr>
          <w:p w14:paraId="31DFB340">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E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透水砖铺装</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56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1、60厚黄色透水砖（200*100）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2、30厚1:3水泥砂浆层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3、100厚C20混凝土</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2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87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BF7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ECD9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1AE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F140">
            <w:pPr>
              <w:rPr>
                <w:rFonts w:hint="eastAsia" w:ascii="宋体" w:hAnsi="宋体" w:eastAsia="宋体" w:cs="宋体"/>
                <w:i w:val="0"/>
                <w:iCs w:val="0"/>
                <w:color w:val="000000"/>
                <w:sz w:val="22"/>
                <w:szCs w:val="22"/>
                <w:u w:val="none"/>
              </w:rPr>
            </w:pPr>
          </w:p>
        </w:tc>
      </w:tr>
      <w:tr w14:paraId="2084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2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102" w:type="dxa"/>
            <w:vMerge w:val="continue"/>
            <w:tcBorders>
              <w:top w:val="nil"/>
              <w:left w:val="single" w:color="000000" w:sz="4" w:space="0"/>
              <w:bottom w:val="nil"/>
              <w:right w:val="single" w:color="000000" w:sz="4" w:space="0"/>
            </w:tcBorders>
            <w:shd w:val="clear" w:color="auto" w:fill="auto"/>
            <w:vAlign w:val="center"/>
          </w:tcPr>
          <w:p w14:paraId="643A26F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1C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490*300*120mm路缘石</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D7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1、路缘石规格:49×30×12cm</w:t>
            </w:r>
            <w:r>
              <w:rPr>
                <w:rStyle w:val="52"/>
                <w:lang w:val="en-US" w:eastAsia="zh-CN" w:bidi="ar"/>
              </w:rPr>
              <w:br w:type="textWrapping"/>
            </w:r>
            <w:r>
              <w:rPr>
                <w:rStyle w:val="52"/>
                <w:lang w:val="en-US" w:eastAsia="zh-CN" w:bidi="ar"/>
              </w:rPr>
              <w:t>2、C20砼靠背，30厚1:3水泥砂浆层</w:t>
            </w:r>
            <w:r>
              <w:rPr>
                <w:rStyle w:val="52"/>
                <w:lang w:val="en-US" w:eastAsia="zh-CN" w:bidi="ar"/>
              </w:rPr>
              <w:br w:type="textWrapping"/>
            </w:r>
            <w:r>
              <w:rPr>
                <w:rStyle w:val="52"/>
                <w:lang w:val="en-US" w:eastAsia="zh-CN" w:bidi="ar"/>
              </w:rPr>
              <w:t>3、转弯处铺设等</w:t>
            </w:r>
            <w:r>
              <w:rPr>
                <w:rStyle w:val="52"/>
                <w:lang w:val="en-US" w:eastAsia="zh-CN" w:bidi="ar"/>
              </w:rPr>
              <w:br w:type="textWrapping"/>
            </w:r>
            <w:r>
              <w:rPr>
                <w:rStyle w:val="55"/>
                <w:lang w:val="en-US" w:eastAsia="zh-CN" w:bidi="ar"/>
              </w:rPr>
              <w:t>4.包工包料包辅材，放样、开槽、运料、调配砂浆、后座混凝土浇捣、安砌、勾缝、养护、清理、试验样品制作、搬运、送检等所有费用</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55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44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3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2749.00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833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E410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F55B2">
            <w:pPr>
              <w:rPr>
                <w:rFonts w:hint="eastAsia" w:ascii="宋体" w:hAnsi="宋体" w:eastAsia="宋体" w:cs="宋体"/>
                <w:i w:val="0"/>
                <w:iCs w:val="0"/>
                <w:color w:val="000000"/>
                <w:sz w:val="22"/>
                <w:szCs w:val="22"/>
                <w:u w:val="none"/>
              </w:rPr>
            </w:pPr>
          </w:p>
        </w:tc>
      </w:tr>
      <w:tr w14:paraId="73CC5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C3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102" w:type="dxa"/>
            <w:vMerge w:val="continue"/>
            <w:tcBorders>
              <w:top w:val="nil"/>
              <w:left w:val="single" w:color="000000" w:sz="4" w:space="0"/>
              <w:bottom w:val="nil"/>
              <w:right w:val="single" w:color="000000" w:sz="4" w:space="0"/>
            </w:tcBorders>
            <w:shd w:val="clear" w:color="auto" w:fill="auto"/>
            <w:vAlign w:val="center"/>
          </w:tcPr>
          <w:p w14:paraId="369A055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7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管沟</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6B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1、内空断面尺寸:宽80cm×高80cm,厚25cm</w:t>
            </w:r>
            <w:r>
              <w:rPr>
                <w:rStyle w:val="52"/>
                <w:lang w:val="en-US" w:eastAsia="zh-CN" w:bidi="ar"/>
              </w:rPr>
              <w:br w:type="textWrapping"/>
            </w:r>
            <w:r>
              <w:rPr>
                <w:rStyle w:val="52"/>
                <w:lang w:val="en-US" w:eastAsia="zh-CN" w:bidi="ar"/>
              </w:rPr>
              <w:t>2、C25砼沟壁及底板</w:t>
            </w:r>
            <w:r>
              <w:rPr>
                <w:rStyle w:val="52"/>
                <w:lang w:val="en-US" w:eastAsia="zh-CN" w:bidi="ar"/>
              </w:rPr>
              <w:br w:type="textWrapping"/>
            </w:r>
            <w:r>
              <w:rPr>
                <w:rStyle w:val="52"/>
                <w:lang w:val="en-US" w:eastAsia="zh-CN" w:bidi="ar"/>
              </w:rPr>
              <w:t>3、盖板尺寸1500*1300*50mm，铸铁盖板承重等级D400</w:t>
            </w:r>
            <w:r>
              <w:rPr>
                <w:rStyle w:val="52"/>
                <w:lang w:val="en-US" w:eastAsia="zh-CN" w:bidi="ar"/>
              </w:rPr>
              <w:br w:type="textWrapping"/>
            </w:r>
            <w:r>
              <w:rPr>
                <w:rStyle w:val="52"/>
                <w:lang w:val="en-US" w:eastAsia="zh-CN" w:bidi="ar"/>
              </w:rPr>
              <w:t>4、100mm厚C15砼垫层</w:t>
            </w:r>
            <w:r>
              <w:rPr>
                <w:rStyle w:val="52"/>
                <w:lang w:val="en-US" w:eastAsia="zh-CN" w:bidi="ar"/>
              </w:rPr>
              <w:br w:type="textWrapping"/>
            </w:r>
            <w:r>
              <w:rPr>
                <w:rStyle w:val="52"/>
                <w:lang w:val="en-US" w:eastAsia="zh-CN" w:bidi="ar"/>
              </w:rPr>
              <w:t>5、含5厚胶垫、</w:t>
            </w:r>
            <w:r>
              <w:rPr>
                <w:rStyle w:val="55"/>
                <w:lang w:val="en-US" w:eastAsia="zh-CN" w:bidi="ar"/>
              </w:rPr>
              <w:t>钢筋支脚、L250X50X5角钢</w:t>
            </w:r>
            <w:r>
              <w:rPr>
                <w:rStyle w:val="52"/>
                <w:lang w:val="en-US" w:eastAsia="zh-CN" w:bidi="ar"/>
              </w:rPr>
              <w:t>、模板制作、安装及拆除等</w:t>
            </w:r>
            <w:r>
              <w:rPr>
                <w:rStyle w:val="52"/>
                <w:lang w:val="en-US" w:eastAsia="zh-CN" w:bidi="ar"/>
              </w:rPr>
              <w:br w:type="textWrapping"/>
            </w:r>
            <w:r>
              <w:rPr>
                <w:rStyle w:val="52"/>
                <w:lang w:val="en-US" w:eastAsia="zh-CN" w:bidi="ar"/>
              </w:rPr>
              <w:t>6、具体做法详见图纸要求</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0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D2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9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1A37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A7D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16A9">
            <w:pPr>
              <w:rPr>
                <w:rFonts w:hint="eastAsia" w:ascii="宋体" w:hAnsi="宋体" w:eastAsia="宋体" w:cs="宋体"/>
                <w:i w:val="0"/>
                <w:iCs w:val="0"/>
                <w:color w:val="000000"/>
                <w:sz w:val="22"/>
                <w:szCs w:val="22"/>
                <w:u w:val="none"/>
              </w:rPr>
            </w:pPr>
          </w:p>
        </w:tc>
      </w:tr>
      <w:tr w14:paraId="7F58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9DC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02" w:type="dxa"/>
            <w:vMerge w:val="restart"/>
            <w:tcBorders>
              <w:top w:val="single" w:color="000000" w:sz="4" w:space="0"/>
              <w:left w:val="single" w:color="000000" w:sz="4" w:space="0"/>
              <w:bottom w:val="nil"/>
              <w:right w:val="single" w:color="000000" w:sz="4" w:space="0"/>
            </w:tcBorders>
            <w:shd w:val="clear" w:color="auto" w:fill="auto"/>
            <w:vAlign w:val="center"/>
          </w:tcPr>
          <w:p w14:paraId="19293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围墙工程</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BD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围挡砌砖</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78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1、围挡砖基础、砖柱</w:t>
            </w:r>
            <w:r>
              <w:rPr>
                <w:rStyle w:val="52"/>
                <w:lang w:val="en-US" w:eastAsia="zh-CN" w:bidi="ar"/>
              </w:rPr>
              <w:br w:type="textWrapping"/>
            </w:r>
            <w:r>
              <w:rPr>
                <w:rStyle w:val="52"/>
                <w:lang w:val="en-US" w:eastAsia="zh-CN" w:bidi="ar"/>
              </w:rPr>
              <w:t>2、页岩多孔砖、厚度高度综合考虑</w:t>
            </w:r>
            <w:r>
              <w:rPr>
                <w:rStyle w:val="52"/>
                <w:lang w:val="en-US" w:eastAsia="zh-CN" w:bidi="ar"/>
              </w:rPr>
              <w:br w:type="textWrapping"/>
            </w:r>
            <w:r>
              <w:rPr>
                <w:rStyle w:val="52"/>
                <w:lang w:val="en-US" w:eastAsia="zh-CN" w:bidi="ar"/>
              </w:rPr>
              <w:t>3</w:t>
            </w:r>
            <w:r>
              <w:rPr>
                <w:rStyle w:val="55"/>
                <w:lang w:val="en-US" w:eastAsia="zh-CN" w:bidi="ar"/>
              </w:rPr>
              <w:t>、除页岩多孔砖甲供外，其余包工包料包机械</w:t>
            </w:r>
            <w:r>
              <w:rPr>
                <w:rStyle w:val="65"/>
                <w:lang w:val="en-US" w:eastAsia="zh-CN" w:bidi="ar"/>
              </w:rPr>
              <w:t>、</w:t>
            </w:r>
            <w:r>
              <w:rPr>
                <w:rStyle w:val="55"/>
                <w:lang w:val="en-US" w:eastAsia="zh-CN" w:bidi="ar"/>
              </w:rPr>
              <w:t>包搬运、包操作架搭设和操作架超高费（搭拆操作架不论高度、形式）</w:t>
            </w:r>
            <w:r>
              <w:rPr>
                <w:rStyle w:val="52"/>
                <w:lang w:val="en-US" w:eastAsia="zh-CN" w:bidi="ar"/>
              </w:rPr>
              <w:t>。含页岩砖材料、砂浆材料、预制砼块顶砖、门垛等预制砼块的制作砌筑，含过梁制安、水平防潮层、底砖、</w:t>
            </w:r>
            <w:r>
              <w:rPr>
                <w:rStyle w:val="55"/>
                <w:lang w:val="en-US" w:eastAsia="zh-CN" w:bidi="ar"/>
              </w:rPr>
              <w:t>砼压顶</w:t>
            </w:r>
            <w:r>
              <w:rPr>
                <w:rStyle w:val="52"/>
                <w:lang w:val="en-US" w:eastAsia="zh-CN" w:bidi="ar"/>
              </w:rPr>
              <w:t>、拉墙筋制安、开槽修补、预制弱电箱等。含拉结筋植筋及安放，包植筋包植筋胶、包植筋胶检测、试验样品制作、搬运、送检。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44D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以图为依据，按实际砌筑体积计算（不含抹灰厚度），扣圈梁、构造柱、反坎、后浇带等二次构件体积及单个面积大于0.3㎡孔洞体积。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6E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DD4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83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3A5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7BB9E">
            <w:pPr>
              <w:rPr>
                <w:rFonts w:hint="eastAsia" w:ascii="宋体" w:hAnsi="宋体" w:eastAsia="宋体" w:cs="宋体"/>
                <w:i w:val="0"/>
                <w:iCs w:val="0"/>
                <w:color w:val="000000"/>
                <w:sz w:val="22"/>
                <w:szCs w:val="22"/>
                <w:u w:val="none"/>
              </w:rPr>
            </w:pPr>
          </w:p>
        </w:tc>
      </w:tr>
      <w:tr w14:paraId="202C0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58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4CD1E21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40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钢筋制作安装</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B442">
            <w:pPr>
              <w:keepNext w:val="0"/>
              <w:keepLines w:val="0"/>
              <w:widowControl/>
              <w:suppressLineNumbers w:val="0"/>
              <w:jc w:val="left"/>
              <w:textAlignment w:val="center"/>
              <w:rPr>
                <w:rFonts w:hint="eastAsia" w:ascii="宋体" w:hAnsi="宋体" w:eastAsia="宋体" w:cs="宋体"/>
                <w:b/>
                <w:bCs/>
                <w:i w:val="0"/>
                <w:iCs w:val="0"/>
                <w:color w:val="FF0000"/>
                <w:sz w:val="22"/>
                <w:szCs w:val="22"/>
                <w:u w:val="none"/>
              </w:rPr>
            </w:pPr>
            <w:r>
              <w:rPr>
                <w:rStyle w:val="55"/>
                <w:lang w:val="en-US" w:eastAsia="zh-CN" w:bidi="ar"/>
              </w:rPr>
              <w:t>除钢筋主材、止水钢板甲供外，其余包工包料、包加工机械、包制作安装，包钢支架焊接</w:t>
            </w:r>
            <w:r>
              <w:rPr>
                <w:rStyle w:val="52"/>
                <w:lang w:val="en-US" w:eastAsia="zh-CN" w:bidi="ar"/>
              </w:rPr>
              <w:t>。含止水钢板制安、止水带制安及焊接，含垫块、塑料马凳、成品马凳及铁马凳采购、加工安装，电梯井封闭钢筋制安 、拆除等（含包内容均不再计量，单价综合考虑），钢筋套筒包工包机械，含钢筋车丝端头的磨平或采用机械连接专用切割机，确保端头平整,并加塑料保护套。</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8C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以图为依据，按实际结算。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EA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B9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1A5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6AA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09E92">
            <w:pPr>
              <w:rPr>
                <w:rFonts w:hint="eastAsia" w:ascii="宋体" w:hAnsi="宋体" w:eastAsia="宋体" w:cs="宋体"/>
                <w:i w:val="0"/>
                <w:iCs w:val="0"/>
                <w:color w:val="000000"/>
                <w:sz w:val="22"/>
                <w:szCs w:val="22"/>
                <w:u w:val="none"/>
              </w:rPr>
            </w:pPr>
          </w:p>
        </w:tc>
      </w:tr>
      <w:tr w14:paraId="35513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9D4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15192FF2">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AE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围挡基础垫层</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95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围挡基础垫层：</w:t>
            </w:r>
            <w:r>
              <w:rPr>
                <w:rStyle w:val="52"/>
                <w:lang w:val="en-US" w:eastAsia="zh-CN" w:bidi="ar"/>
              </w:rPr>
              <w:br w:type="textWrapping"/>
            </w:r>
            <w:r>
              <w:rPr>
                <w:rStyle w:val="52"/>
                <w:lang w:val="en-US" w:eastAsia="zh-CN" w:bidi="ar"/>
              </w:rPr>
              <w:t>1、商品砼 C15，综合考虑泵送及非泵送</w:t>
            </w:r>
            <w:r>
              <w:rPr>
                <w:rStyle w:val="52"/>
                <w:lang w:val="en-US" w:eastAsia="zh-CN" w:bidi="ar"/>
              </w:rPr>
              <w:br w:type="textWrapping"/>
            </w:r>
            <w:r>
              <w:rPr>
                <w:rStyle w:val="52"/>
                <w:lang w:val="en-US" w:eastAsia="zh-CN" w:bidi="ar"/>
              </w:rPr>
              <w:t>2、厚度 100mm</w:t>
            </w:r>
            <w:r>
              <w:rPr>
                <w:rStyle w:val="52"/>
                <w:lang w:val="en-US" w:eastAsia="zh-CN" w:bidi="ar"/>
              </w:rPr>
              <w:br w:type="textWrapping"/>
            </w:r>
            <w:r>
              <w:rPr>
                <w:rStyle w:val="52"/>
                <w:lang w:val="en-US" w:eastAsia="zh-CN" w:bidi="ar"/>
              </w:rPr>
              <w:t>3、</w:t>
            </w:r>
            <w:r>
              <w:rPr>
                <w:rStyle w:val="55"/>
                <w:lang w:val="en-US" w:eastAsia="zh-CN" w:bidi="ar"/>
              </w:rPr>
              <w:t>混凝土甲供</w:t>
            </w:r>
            <w:r>
              <w:rPr>
                <w:rStyle w:val="52"/>
                <w:lang w:val="en-US" w:eastAsia="zh-CN" w:bidi="ar"/>
              </w:rPr>
              <w:t>，包工包机械，含素土夯实、各种结构找坡、造型、线条、模板制安等，含测量、标高控制、浇筑、振捣、原浆找平压光、快易收口网铺设、各种形式的养护。含切缝、嵌缝、混凝土面凿毛、试验样品制作、搬运、送检等所有费用。</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A42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以图为依据，按实算，含一切小型构件；不含后浇带、建筑二次构件砼的体积。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7C4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B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D78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EB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C697">
            <w:pPr>
              <w:rPr>
                <w:rFonts w:hint="eastAsia" w:ascii="宋体" w:hAnsi="宋体" w:eastAsia="宋体" w:cs="宋体"/>
                <w:i w:val="0"/>
                <w:iCs w:val="0"/>
                <w:color w:val="000000"/>
                <w:sz w:val="22"/>
                <w:szCs w:val="22"/>
                <w:u w:val="none"/>
              </w:rPr>
            </w:pPr>
          </w:p>
        </w:tc>
      </w:tr>
      <w:tr w14:paraId="7DB66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96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1864DE2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72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围挡基础混凝土</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81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围挡基础混凝土</w:t>
            </w:r>
            <w:r>
              <w:rPr>
                <w:rStyle w:val="55"/>
                <w:lang w:val="en-US" w:eastAsia="zh-CN" w:bidi="ar"/>
              </w:rPr>
              <w:t>（含圈梁混凝土，基础矩形柱）</w:t>
            </w:r>
            <w:r>
              <w:rPr>
                <w:rStyle w:val="52"/>
                <w:lang w:val="en-US" w:eastAsia="zh-CN" w:bidi="ar"/>
              </w:rPr>
              <w:t>：</w:t>
            </w:r>
            <w:r>
              <w:rPr>
                <w:rStyle w:val="52"/>
                <w:lang w:val="en-US" w:eastAsia="zh-CN" w:bidi="ar"/>
              </w:rPr>
              <w:br w:type="textWrapping"/>
            </w:r>
            <w:r>
              <w:rPr>
                <w:rStyle w:val="52"/>
                <w:lang w:val="en-US" w:eastAsia="zh-CN" w:bidi="ar"/>
              </w:rPr>
              <w:t>1、商品砼 C25，综合考虑泵送及非泵送</w:t>
            </w:r>
            <w:r>
              <w:rPr>
                <w:rStyle w:val="52"/>
                <w:lang w:val="en-US" w:eastAsia="zh-CN" w:bidi="ar"/>
              </w:rPr>
              <w:br w:type="textWrapping"/>
            </w:r>
            <w:r>
              <w:rPr>
                <w:rStyle w:val="52"/>
                <w:lang w:val="en-US" w:eastAsia="zh-CN" w:bidi="ar"/>
              </w:rPr>
              <w:t>2、尺寸综合考虑，综合考虑泵送及非泵送</w:t>
            </w:r>
            <w:r>
              <w:rPr>
                <w:rStyle w:val="52"/>
                <w:lang w:val="en-US" w:eastAsia="zh-CN" w:bidi="ar"/>
              </w:rPr>
              <w:br w:type="textWrapping"/>
            </w:r>
            <w:r>
              <w:rPr>
                <w:rStyle w:val="52"/>
                <w:lang w:val="en-US" w:eastAsia="zh-CN" w:bidi="ar"/>
              </w:rPr>
              <w:t>3、</w:t>
            </w:r>
            <w:r>
              <w:rPr>
                <w:rStyle w:val="55"/>
                <w:lang w:val="en-US" w:eastAsia="zh-CN" w:bidi="ar"/>
              </w:rPr>
              <w:t>混凝土甲供</w:t>
            </w:r>
            <w:r>
              <w:rPr>
                <w:rStyle w:val="52"/>
                <w:lang w:val="en-US" w:eastAsia="zh-CN" w:bidi="ar"/>
              </w:rPr>
              <w:t>，包工包机械，含各种结构找坡、造型、线条等制作，含测量、标高控制、浇筑、振捣、原浆找平压光、快易收口网铺设、各种形式的养护。含切缝、嵌缝、混凝土面凿毛、试验样品制作、搬运、送检等所有费用。</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8F2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以图为依据，按实算，含一切小型构件；不含后浇带、建筑二次构件砼的体积。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1F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03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329.06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4DB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C519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2354">
            <w:pPr>
              <w:rPr>
                <w:rFonts w:hint="eastAsia" w:ascii="宋体" w:hAnsi="宋体" w:eastAsia="宋体" w:cs="宋体"/>
                <w:i w:val="0"/>
                <w:iCs w:val="0"/>
                <w:color w:val="000000"/>
                <w:sz w:val="22"/>
                <w:szCs w:val="22"/>
                <w:u w:val="none"/>
              </w:rPr>
            </w:pPr>
          </w:p>
        </w:tc>
      </w:tr>
      <w:tr w14:paraId="0F346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8D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76F0AF91">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D6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围挡基础模板制安</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8D4C2">
            <w:pPr>
              <w:keepNext w:val="0"/>
              <w:keepLines w:val="0"/>
              <w:widowControl/>
              <w:suppressLineNumbers w:val="0"/>
              <w:jc w:val="left"/>
              <w:textAlignment w:val="center"/>
              <w:rPr>
                <w:rFonts w:hint="eastAsia" w:ascii="宋体" w:hAnsi="宋体" w:eastAsia="宋体" w:cs="宋体"/>
                <w:b/>
                <w:bCs/>
                <w:i w:val="0"/>
                <w:iCs w:val="0"/>
                <w:color w:val="FF0000"/>
                <w:sz w:val="22"/>
                <w:szCs w:val="22"/>
                <w:u w:val="none"/>
              </w:rPr>
            </w:pPr>
            <w:r>
              <w:rPr>
                <w:rStyle w:val="55"/>
                <w:lang w:val="en-US" w:eastAsia="zh-CN" w:bidi="ar"/>
              </w:rPr>
              <w:t>除模板、木枋、支模架管为甲供外</w:t>
            </w:r>
            <w:r>
              <w:rPr>
                <w:rStyle w:val="52"/>
                <w:lang w:val="en-US" w:eastAsia="zh-CN" w:bidi="ar"/>
              </w:rPr>
              <w:t>，其余包工包料，包对拉螺杆、水泥内撑条等辅材料，包加工机械及支撑体系的搭、拆、运。含梁高大于1米的大梁及特殊构件部位的支撑体系施工，含传料口、螺杆洞、楼层中塔吊、人货电梯、布料机洞口的二次支模封堵，含各类设备房设备基础模板制安拆。含对拉螺杆切割、凿除与杆洞的封堵,止水螺杆的预埋等。不能因支撑体系更改（含斜撑等）、塔吊覆盖不到的情况而调增综合单价。适用于正负零以下基础部分</w:t>
            </w:r>
            <w:r>
              <w:rPr>
                <w:rStyle w:val="52"/>
                <w:lang w:val="en-US" w:eastAsia="zh-CN" w:bidi="ar"/>
              </w:rPr>
              <w:br w:type="textWrapping"/>
            </w:r>
            <w:r>
              <w:rPr>
                <w:rStyle w:val="52"/>
                <w:lang w:val="en-US" w:eastAsia="zh-CN" w:bidi="ar"/>
              </w:rPr>
              <w:t>包含独立基础、承台、基础梁、设备基础、集水坑、水沟（不含垫层）</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0E0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按砼与模板的接触面积计算，含零星构件模板，不含后浇带、建筑二次构件模板。基础、装饰构件、成品构件等所占工程量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DC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1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2775.53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6705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34B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4F724">
            <w:pPr>
              <w:rPr>
                <w:rFonts w:hint="eastAsia" w:ascii="宋体" w:hAnsi="宋体" w:eastAsia="宋体" w:cs="宋体"/>
                <w:i w:val="0"/>
                <w:iCs w:val="0"/>
                <w:color w:val="000000"/>
                <w:sz w:val="22"/>
                <w:szCs w:val="22"/>
                <w:u w:val="none"/>
              </w:rPr>
            </w:pPr>
          </w:p>
        </w:tc>
      </w:tr>
      <w:tr w14:paraId="59FB4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AD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6B385A45">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A0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块料墙面</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CB1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2"/>
                <w:lang w:val="en-US" w:eastAsia="zh-CN" w:bidi="ar"/>
              </w:rPr>
              <w:t>1、部位：</w:t>
            </w:r>
            <w:r>
              <w:rPr>
                <w:rStyle w:val="55"/>
                <w:lang w:val="en-US" w:eastAsia="zh-CN" w:bidi="ar"/>
              </w:rPr>
              <w:t>墙面、柱面</w:t>
            </w:r>
            <w:r>
              <w:rPr>
                <w:rStyle w:val="52"/>
                <w:lang w:val="en-US" w:eastAsia="zh-CN" w:bidi="ar"/>
              </w:rPr>
              <w:br w:type="textWrapping"/>
            </w:r>
            <w:r>
              <w:rPr>
                <w:rStyle w:val="52"/>
                <w:lang w:val="en-US" w:eastAsia="zh-CN" w:bidi="ar"/>
              </w:rPr>
              <w:t>2、刷一道混凝土界面剂（随刷随抹底灰）或拉毛处理一道</w:t>
            </w:r>
            <w:r>
              <w:rPr>
                <w:rStyle w:val="52"/>
                <w:lang w:val="en-US" w:eastAsia="zh-CN" w:bidi="ar"/>
              </w:rPr>
              <w:br w:type="textWrapping"/>
            </w:r>
            <w:r>
              <w:rPr>
                <w:rStyle w:val="52"/>
                <w:lang w:val="en-US" w:eastAsia="zh-CN" w:bidi="ar"/>
              </w:rPr>
              <w:t>3、12厚1:3水泥砂浆打底扫毛或划出纹道</w:t>
            </w:r>
            <w:r>
              <w:rPr>
                <w:rStyle w:val="52"/>
                <w:lang w:val="en-US" w:eastAsia="zh-CN" w:bidi="ar"/>
              </w:rPr>
              <w:br w:type="textWrapping"/>
            </w:r>
            <w:r>
              <w:rPr>
                <w:rStyle w:val="52"/>
                <w:lang w:val="en-US" w:eastAsia="zh-CN" w:bidi="ar"/>
              </w:rPr>
              <w:t>4、刷水泥砂浆一道（内掺建筑胶）</w:t>
            </w:r>
            <w:r>
              <w:rPr>
                <w:rStyle w:val="52"/>
                <w:lang w:val="en-US" w:eastAsia="zh-CN" w:bidi="ar"/>
              </w:rPr>
              <w:br w:type="textWrapping"/>
            </w:r>
            <w:r>
              <w:rPr>
                <w:rStyle w:val="52"/>
                <w:lang w:val="en-US" w:eastAsia="zh-CN" w:bidi="ar"/>
              </w:rPr>
              <w:t>5、6厚1：0.2:2.5水泥石灰砂浆（内掺建筑胶）</w:t>
            </w:r>
            <w:r>
              <w:rPr>
                <w:rStyle w:val="52"/>
                <w:lang w:val="en-US" w:eastAsia="zh-CN" w:bidi="ar"/>
              </w:rPr>
              <w:br w:type="textWrapping"/>
            </w:r>
            <w:r>
              <w:rPr>
                <w:rStyle w:val="52"/>
                <w:lang w:val="en-US" w:eastAsia="zh-CN" w:bidi="ar"/>
              </w:rPr>
              <w:t>6、8厚150×300釉面砖，粘面上随贴随涂刷一遍混凝土界面剂</w:t>
            </w:r>
            <w:r>
              <w:rPr>
                <w:rStyle w:val="52"/>
                <w:lang w:val="en-US" w:eastAsia="zh-CN" w:bidi="ar"/>
              </w:rPr>
              <w:br w:type="textWrapping"/>
            </w:r>
            <w:r>
              <w:rPr>
                <w:rStyle w:val="55"/>
                <w:lang w:val="en-US" w:eastAsia="zh-CN" w:bidi="ar"/>
              </w:rPr>
              <w:t>7、块料甲供，其余包工包料包机械，包装饰脚手架搭设（不论高度、形式）</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84A0D">
            <w:pPr>
              <w:keepNext w:val="0"/>
              <w:keepLines w:val="0"/>
              <w:widowControl/>
              <w:suppressLineNumbers w:val="0"/>
              <w:jc w:val="center"/>
              <w:textAlignment w:val="center"/>
              <w:rPr>
                <w:rFonts w:hint="eastAsia" w:ascii="宋体" w:hAnsi="宋体" w:eastAsia="宋体" w:cs="宋体"/>
                <w:b/>
                <w:bCs/>
                <w:i w:val="0"/>
                <w:iCs w:val="0"/>
                <w:color w:val="FF0000"/>
                <w:sz w:val="22"/>
                <w:szCs w:val="22"/>
                <w:u w:val="none"/>
              </w:rPr>
            </w:pPr>
            <w:r>
              <w:rPr>
                <w:rStyle w:val="55"/>
                <w:lang w:val="en-US" w:eastAsia="zh-CN" w:bidi="ar"/>
              </w:rPr>
              <w:t>块料甲供、砂浆乙供</w:t>
            </w:r>
            <w:r>
              <w:rPr>
                <w:rStyle w:val="52"/>
                <w:lang w:val="en-US" w:eastAsia="zh-CN" w:bidi="ar"/>
              </w:rPr>
              <w:t>，以图纸为依据，按实结算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41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9C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3597.80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5EB3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1B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826F1">
            <w:pPr>
              <w:rPr>
                <w:rFonts w:hint="eastAsia" w:ascii="宋体" w:hAnsi="宋体" w:eastAsia="宋体" w:cs="宋体"/>
                <w:i w:val="0"/>
                <w:iCs w:val="0"/>
                <w:color w:val="000000"/>
                <w:sz w:val="22"/>
                <w:szCs w:val="22"/>
                <w:u w:val="none"/>
              </w:rPr>
            </w:pPr>
          </w:p>
        </w:tc>
      </w:tr>
      <w:tr w14:paraId="4BC50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87B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599DB455">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5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成品铁艺栏杆</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8B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1、栏杆高度：1450mm</w:t>
            </w:r>
            <w:r>
              <w:rPr>
                <w:rStyle w:val="56"/>
                <w:lang w:val="en-US" w:eastAsia="zh-CN" w:bidi="ar"/>
              </w:rPr>
              <w:br w:type="textWrapping"/>
            </w:r>
            <w:r>
              <w:rPr>
                <w:rStyle w:val="56"/>
                <w:lang w:val="en-US" w:eastAsia="zh-CN" w:bidi="ar"/>
              </w:rPr>
              <w:t>2、栏杆类型:成品铸铁栏杆，含油漆饰面</w:t>
            </w:r>
            <w:r>
              <w:rPr>
                <w:rStyle w:val="56"/>
                <w:lang w:val="en-US" w:eastAsia="zh-CN" w:bidi="ar"/>
              </w:rPr>
              <w:br w:type="textWrapping"/>
            </w:r>
            <w:r>
              <w:rPr>
                <w:rStyle w:val="56"/>
                <w:lang w:val="en-US" w:eastAsia="zh-CN" w:bidi="ar"/>
              </w:rPr>
              <w:t>3、含制作、安装、运输等</w:t>
            </w:r>
            <w:r>
              <w:rPr>
                <w:rStyle w:val="56"/>
                <w:lang w:val="en-US" w:eastAsia="zh-CN" w:bidi="ar"/>
              </w:rPr>
              <w:br w:type="textWrapping"/>
            </w:r>
            <w:r>
              <w:rPr>
                <w:rStyle w:val="55"/>
                <w:lang w:val="en-US" w:eastAsia="zh-CN" w:bidi="ar"/>
              </w:rPr>
              <w:t>4、含栏杆立柱预埋件，材料规格:-6钢板、φ8圆钢</w:t>
            </w:r>
            <w:r>
              <w:rPr>
                <w:rStyle w:val="56"/>
                <w:lang w:val="en-US" w:eastAsia="zh-CN" w:bidi="ar"/>
              </w:rPr>
              <w:br w:type="textWrapping"/>
            </w:r>
            <w:r>
              <w:rPr>
                <w:rStyle w:val="55"/>
                <w:lang w:val="en-US" w:eastAsia="zh-CN" w:bidi="ar"/>
              </w:rPr>
              <w:t>7、包工包料包机械，包装饰脚手架搭设（不论高度、形式）</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2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5F7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2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867.00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EEB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9B9C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5B68">
            <w:pPr>
              <w:rPr>
                <w:rFonts w:hint="eastAsia" w:ascii="宋体" w:hAnsi="宋体" w:eastAsia="宋体" w:cs="宋体"/>
                <w:i w:val="0"/>
                <w:iCs w:val="0"/>
                <w:color w:val="000000"/>
                <w:sz w:val="22"/>
                <w:szCs w:val="22"/>
                <w:u w:val="none"/>
              </w:rPr>
            </w:pPr>
          </w:p>
        </w:tc>
      </w:tr>
      <w:tr w14:paraId="7025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3C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102" w:type="dxa"/>
            <w:vMerge w:val="continue"/>
            <w:tcBorders>
              <w:top w:val="single" w:color="000000" w:sz="4" w:space="0"/>
              <w:left w:val="single" w:color="000000" w:sz="4" w:space="0"/>
              <w:bottom w:val="nil"/>
              <w:right w:val="single" w:color="000000" w:sz="4" w:space="0"/>
            </w:tcBorders>
            <w:shd w:val="clear" w:color="auto" w:fill="auto"/>
            <w:vAlign w:val="center"/>
          </w:tcPr>
          <w:p w14:paraId="1889A823">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94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不锈钢成品电动伸缩门</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7A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1、高度：1200mm</w:t>
            </w:r>
            <w:r>
              <w:rPr>
                <w:rStyle w:val="56"/>
                <w:lang w:val="en-US" w:eastAsia="zh-CN" w:bidi="ar"/>
              </w:rPr>
              <w:br w:type="textWrapping"/>
            </w:r>
            <w:r>
              <w:rPr>
                <w:rStyle w:val="56"/>
                <w:lang w:val="en-US" w:eastAsia="zh-CN" w:bidi="ar"/>
              </w:rPr>
              <w:t>2、不锈钢采用304材质</w:t>
            </w:r>
            <w:r>
              <w:rPr>
                <w:rStyle w:val="56"/>
                <w:lang w:val="en-US" w:eastAsia="zh-CN" w:bidi="ar"/>
              </w:rPr>
              <w:br w:type="textWrapping"/>
            </w:r>
            <w:r>
              <w:rPr>
                <w:rStyle w:val="56"/>
                <w:lang w:val="en-US" w:eastAsia="zh-CN" w:bidi="ar"/>
              </w:rPr>
              <w:t>3、含轨道、电动装置等，由专业厂家安装固定，</w:t>
            </w:r>
            <w:r>
              <w:rPr>
                <w:rStyle w:val="55"/>
                <w:lang w:val="en-US" w:eastAsia="zh-CN" w:bidi="ar"/>
              </w:rPr>
              <w:t>含深化设计</w:t>
            </w:r>
            <w:r>
              <w:rPr>
                <w:rStyle w:val="66"/>
                <w:lang w:val="en-US" w:eastAsia="zh-CN" w:bidi="ar"/>
              </w:rPr>
              <w:br w:type="textWrapping"/>
            </w:r>
            <w:r>
              <w:rPr>
                <w:rStyle w:val="55"/>
                <w:lang w:val="en-US" w:eastAsia="zh-CN" w:bidi="ar"/>
              </w:rPr>
              <w:t>4、包工包料包机械，包操作架搭设和操作架超高费（搭拆操作架不论高度、形式）</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2B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9A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77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0153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F634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5E05">
            <w:pPr>
              <w:rPr>
                <w:rFonts w:hint="eastAsia" w:ascii="宋体" w:hAnsi="宋体" w:eastAsia="宋体" w:cs="宋体"/>
                <w:i w:val="0"/>
                <w:iCs w:val="0"/>
                <w:color w:val="000000"/>
                <w:sz w:val="22"/>
                <w:szCs w:val="22"/>
                <w:u w:val="none"/>
              </w:rPr>
            </w:pPr>
          </w:p>
        </w:tc>
      </w:tr>
      <w:tr w14:paraId="1AD40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AC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253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给排水工程</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44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PE给水管 钢丝骨架塑料复合管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41F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2、公称压力：PN=0.8MPa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3、含管道消毒、冲洗及水压试验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8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6F6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5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4AF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9020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CAC3">
            <w:pPr>
              <w:rPr>
                <w:rFonts w:hint="eastAsia" w:ascii="宋体" w:hAnsi="宋体" w:eastAsia="宋体" w:cs="宋体"/>
                <w:i w:val="0"/>
                <w:iCs w:val="0"/>
                <w:color w:val="000000"/>
                <w:sz w:val="22"/>
                <w:szCs w:val="22"/>
                <w:u w:val="none"/>
              </w:rPr>
            </w:pPr>
          </w:p>
        </w:tc>
      </w:tr>
      <w:tr w14:paraId="7EB9F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6E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26015">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51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PE给水管 钢丝骨架塑料复合管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9A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2、公称压力：PN=1.2MPa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3、含管道消毒、冲洗及水压试验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3C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B65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17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1592.89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0ACF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172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BCFF5">
            <w:pPr>
              <w:rPr>
                <w:rFonts w:hint="eastAsia" w:ascii="宋体" w:hAnsi="宋体" w:eastAsia="宋体" w:cs="宋体"/>
                <w:i w:val="0"/>
                <w:iCs w:val="0"/>
                <w:color w:val="000000"/>
                <w:sz w:val="22"/>
                <w:szCs w:val="22"/>
                <w:u w:val="none"/>
              </w:rPr>
            </w:pPr>
          </w:p>
        </w:tc>
      </w:tr>
      <w:tr w14:paraId="021B6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7F2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B14BF">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1F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PE给水管 钢丝骨架塑料复合管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3C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2、公称压力：PN=0.8MPa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3、含管道消毒、冲洗及水压试验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C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275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0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832.65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C2F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5D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C4AB">
            <w:pPr>
              <w:rPr>
                <w:rFonts w:hint="eastAsia" w:ascii="宋体" w:hAnsi="宋体" w:eastAsia="宋体" w:cs="宋体"/>
                <w:i w:val="0"/>
                <w:iCs w:val="0"/>
                <w:color w:val="000000"/>
                <w:sz w:val="22"/>
                <w:szCs w:val="22"/>
                <w:u w:val="none"/>
              </w:rPr>
            </w:pPr>
          </w:p>
        </w:tc>
      </w:tr>
      <w:tr w14:paraId="280BA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35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87450">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9B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PE给水管 钢丝骨架塑料复合管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DE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2、公称压力：PN=1.2MPa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3、含管道消毒、冲洗及水压试验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70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735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E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1584.36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735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8FA9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F5317">
            <w:pPr>
              <w:rPr>
                <w:rFonts w:hint="eastAsia" w:ascii="宋体" w:hAnsi="宋体" w:eastAsia="宋体" w:cs="宋体"/>
                <w:i w:val="0"/>
                <w:iCs w:val="0"/>
                <w:color w:val="000000"/>
                <w:sz w:val="22"/>
                <w:szCs w:val="22"/>
                <w:u w:val="none"/>
              </w:rPr>
            </w:pPr>
          </w:p>
        </w:tc>
      </w:tr>
      <w:tr w14:paraId="5F8BF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B7D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A47C1">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06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PE给水管 钢丝骨架塑料复合管 DN50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99A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2、公称压力：PN=0.8MPa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3、含管道消毒、冲洗及水压试验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1E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34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C1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1553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DE40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DD791">
            <w:pPr>
              <w:rPr>
                <w:rFonts w:hint="eastAsia" w:ascii="宋体" w:hAnsi="宋体" w:eastAsia="宋体" w:cs="宋体"/>
                <w:i w:val="0"/>
                <w:iCs w:val="0"/>
                <w:color w:val="000000"/>
                <w:sz w:val="22"/>
                <w:szCs w:val="22"/>
                <w:u w:val="none"/>
              </w:rPr>
            </w:pPr>
          </w:p>
        </w:tc>
      </w:tr>
      <w:tr w14:paraId="33297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EE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95456">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9A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PE给水管 钢丝骨架塑料复合管 DN25</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E86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2、公称压力：PN=0.8MPa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3、含管道消毒、冲洗及水压试验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5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F1E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54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D69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9366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BC60A">
            <w:pPr>
              <w:rPr>
                <w:rFonts w:hint="eastAsia" w:ascii="宋体" w:hAnsi="宋体" w:eastAsia="宋体" w:cs="宋体"/>
                <w:i w:val="0"/>
                <w:iCs w:val="0"/>
                <w:color w:val="000000"/>
                <w:sz w:val="22"/>
                <w:szCs w:val="22"/>
                <w:u w:val="none"/>
              </w:rPr>
            </w:pPr>
          </w:p>
        </w:tc>
      </w:tr>
      <w:tr w14:paraId="17979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2F0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44040">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31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直接管件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4D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A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E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0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419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512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0FCB7">
            <w:pPr>
              <w:rPr>
                <w:rFonts w:hint="eastAsia" w:ascii="宋体" w:hAnsi="宋体" w:eastAsia="宋体" w:cs="宋体"/>
                <w:i w:val="0"/>
                <w:iCs w:val="0"/>
                <w:color w:val="000000"/>
                <w:sz w:val="22"/>
                <w:szCs w:val="22"/>
                <w:u w:val="none"/>
              </w:rPr>
            </w:pPr>
          </w:p>
        </w:tc>
      </w:tr>
      <w:tr w14:paraId="112F7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A1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68DFF">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5E6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直接管件 DN50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B4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F7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DD4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D3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03A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6E1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EB992">
            <w:pPr>
              <w:rPr>
                <w:rFonts w:hint="eastAsia" w:ascii="宋体" w:hAnsi="宋体" w:eastAsia="宋体" w:cs="宋体"/>
                <w:i w:val="0"/>
                <w:iCs w:val="0"/>
                <w:color w:val="000000"/>
                <w:sz w:val="22"/>
                <w:szCs w:val="22"/>
                <w:u w:val="none"/>
              </w:rPr>
            </w:pPr>
          </w:p>
        </w:tc>
      </w:tr>
      <w:tr w14:paraId="15A6D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6D9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5B13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C0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直接管件 DN25</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A3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2F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015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30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41F4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0FC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FE3B">
            <w:pPr>
              <w:rPr>
                <w:rFonts w:hint="eastAsia" w:ascii="宋体" w:hAnsi="宋体" w:eastAsia="宋体" w:cs="宋体"/>
                <w:i w:val="0"/>
                <w:iCs w:val="0"/>
                <w:color w:val="000000"/>
                <w:sz w:val="22"/>
                <w:szCs w:val="22"/>
                <w:u w:val="none"/>
              </w:rPr>
            </w:pPr>
          </w:p>
        </w:tc>
      </w:tr>
      <w:tr w14:paraId="553CB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2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59129">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2F2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三通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68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FB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3C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37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B1A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49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34738">
            <w:pPr>
              <w:rPr>
                <w:rFonts w:hint="eastAsia" w:ascii="宋体" w:hAnsi="宋体" w:eastAsia="宋体" w:cs="宋体"/>
                <w:i w:val="0"/>
                <w:iCs w:val="0"/>
                <w:color w:val="000000"/>
                <w:sz w:val="22"/>
                <w:szCs w:val="22"/>
                <w:u w:val="none"/>
              </w:rPr>
            </w:pPr>
          </w:p>
        </w:tc>
      </w:tr>
      <w:tr w14:paraId="6CE8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58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214DA">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B01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三通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2EE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45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6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6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7BFB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E54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40CCB">
            <w:pPr>
              <w:rPr>
                <w:rFonts w:hint="eastAsia" w:ascii="宋体" w:hAnsi="宋体" w:eastAsia="宋体" w:cs="宋体"/>
                <w:i w:val="0"/>
                <w:iCs w:val="0"/>
                <w:color w:val="000000"/>
                <w:sz w:val="22"/>
                <w:szCs w:val="22"/>
                <w:u w:val="none"/>
              </w:rPr>
            </w:pPr>
          </w:p>
        </w:tc>
      </w:tr>
      <w:tr w14:paraId="5D6B8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E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B4C42">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0D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90°弯头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F3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9BD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4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9E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74D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55DE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7BE8">
            <w:pPr>
              <w:rPr>
                <w:rFonts w:hint="eastAsia" w:ascii="宋体" w:hAnsi="宋体" w:eastAsia="宋体" w:cs="宋体"/>
                <w:i w:val="0"/>
                <w:iCs w:val="0"/>
                <w:color w:val="000000"/>
                <w:sz w:val="22"/>
                <w:szCs w:val="22"/>
                <w:u w:val="none"/>
              </w:rPr>
            </w:pPr>
          </w:p>
        </w:tc>
      </w:tr>
      <w:tr w14:paraId="38112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712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7FFFF">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02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90°弯头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45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55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2E9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43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C64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002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67F8F">
            <w:pPr>
              <w:rPr>
                <w:rFonts w:hint="eastAsia" w:ascii="宋体" w:hAnsi="宋体" w:eastAsia="宋体" w:cs="宋体"/>
                <w:i w:val="0"/>
                <w:iCs w:val="0"/>
                <w:color w:val="000000"/>
                <w:sz w:val="22"/>
                <w:szCs w:val="22"/>
                <w:u w:val="none"/>
              </w:rPr>
            </w:pPr>
          </w:p>
        </w:tc>
      </w:tr>
      <w:tr w14:paraId="4AC40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BF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89968">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DC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90°弯头 DN25</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D1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0B5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1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39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2B4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5B76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5AA61">
            <w:pPr>
              <w:rPr>
                <w:rFonts w:hint="eastAsia" w:ascii="宋体" w:hAnsi="宋体" w:eastAsia="宋体" w:cs="宋体"/>
                <w:i w:val="0"/>
                <w:iCs w:val="0"/>
                <w:color w:val="000000"/>
                <w:sz w:val="22"/>
                <w:szCs w:val="22"/>
                <w:u w:val="none"/>
              </w:rPr>
            </w:pPr>
          </w:p>
        </w:tc>
      </w:tr>
      <w:tr w14:paraId="3E6BE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38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A11EA">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9B1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45°弯头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A6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A7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56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250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8E2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5836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4C9E6">
            <w:pPr>
              <w:rPr>
                <w:rFonts w:hint="eastAsia" w:ascii="宋体" w:hAnsi="宋体" w:eastAsia="宋体" w:cs="宋体"/>
                <w:i w:val="0"/>
                <w:iCs w:val="0"/>
                <w:color w:val="000000"/>
                <w:sz w:val="22"/>
                <w:szCs w:val="22"/>
                <w:u w:val="none"/>
              </w:rPr>
            </w:pPr>
          </w:p>
        </w:tc>
      </w:tr>
      <w:tr w14:paraId="229E6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E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7EAE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A5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45°弯头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B1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70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58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B98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BF1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672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5500">
            <w:pPr>
              <w:rPr>
                <w:rFonts w:hint="eastAsia" w:ascii="宋体" w:hAnsi="宋体" w:eastAsia="宋体" w:cs="宋体"/>
                <w:i w:val="0"/>
                <w:iCs w:val="0"/>
                <w:color w:val="000000"/>
                <w:sz w:val="22"/>
                <w:szCs w:val="22"/>
                <w:u w:val="none"/>
              </w:rPr>
            </w:pPr>
          </w:p>
        </w:tc>
      </w:tr>
      <w:tr w14:paraId="6A382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2C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18DBD">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0E3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法兰接头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E3C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9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9A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38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A944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82D33">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E2CDD">
            <w:pPr>
              <w:rPr>
                <w:rFonts w:hint="eastAsia" w:ascii="宋体" w:hAnsi="宋体" w:eastAsia="宋体" w:cs="宋体"/>
                <w:i w:val="0"/>
                <w:iCs w:val="0"/>
                <w:color w:val="000000"/>
                <w:sz w:val="22"/>
                <w:szCs w:val="22"/>
                <w:u w:val="none"/>
              </w:rPr>
            </w:pPr>
          </w:p>
        </w:tc>
      </w:tr>
      <w:tr w14:paraId="68A7F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1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DF507">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7B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PE管给水管件 法兰接头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27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1、连接形式:电熔连接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F9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C01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EE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59A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150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E8A4">
            <w:pPr>
              <w:rPr>
                <w:rFonts w:hint="eastAsia" w:ascii="宋体" w:hAnsi="宋体" w:eastAsia="宋体" w:cs="宋体"/>
                <w:i w:val="0"/>
                <w:iCs w:val="0"/>
                <w:color w:val="000000"/>
                <w:sz w:val="22"/>
                <w:szCs w:val="22"/>
                <w:u w:val="none"/>
              </w:rPr>
            </w:pPr>
          </w:p>
        </w:tc>
      </w:tr>
      <w:tr w14:paraId="690BA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E0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56C7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B5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HDPE双壁波纹管 DN800 刚度 SN=8kN/m2</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7D2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1、连接形式:承插式胶圈接口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2、管道检验及试验要求:闭水试验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0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C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24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590.84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9BFA">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2D40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B543">
            <w:pPr>
              <w:rPr>
                <w:rFonts w:hint="eastAsia" w:ascii="宋体" w:hAnsi="宋体" w:eastAsia="宋体" w:cs="宋体"/>
                <w:i w:val="0"/>
                <w:iCs w:val="0"/>
                <w:color w:val="000000"/>
                <w:sz w:val="22"/>
                <w:szCs w:val="22"/>
                <w:u w:val="none"/>
              </w:rPr>
            </w:pPr>
          </w:p>
        </w:tc>
      </w:tr>
      <w:tr w14:paraId="7C009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4AD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673E3">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1AE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HDPE双壁波纹管 DN600 刚度 SN=8kN/m2</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C1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1、连接形式:承插式胶圈接口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2、管道检验及试验要求:闭水试验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16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8D7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2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6308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F88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8016B">
            <w:pPr>
              <w:rPr>
                <w:rFonts w:hint="eastAsia" w:ascii="宋体" w:hAnsi="宋体" w:eastAsia="宋体" w:cs="宋体"/>
                <w:i w:val="0"/>
                <w:iCs w:val="0"/>
                <w:color w:val="000000"/>
                <w:sz w:val="22"/>
                <w:szCs w:val="22"/>
                <w:u w:val="none"/>
              </w:rPr>
            </w:pPr>
          </w:p>
        </w:tc>
      </w:tr>
      <w:tr w14:paraId="52244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E6B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72EB0">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76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HDPE双壁波纹管 DN500 刚度 SN=8kN/m2</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3C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1、连接形式:承插式胶圈接口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2、管道检验及试验要求:闭水试验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CB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624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A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DEB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CE6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A1664">
            <w:pPr>
              <w:rPr>
                <w:rFonts w:hint="eastAsia" w:ascii="宋体" w:hAnsi="宋体" w:eastAsia="宋体" w:cs="宋体"/>
                <w:i w:val="0"/>
                <w:iCs w:val="0"/>
                <w:color w:val="000000"/>
                <w:sz w:val="22"/>
                <w:szCs w:val="22"/>
                <w:u w:val="none"/>
              </w:rPr>
            </w:pPr>
          </w:p>
        </w:tc>
      </w:tr>
      <w:tr w14:paraId="1EA2B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79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3C1EA">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EF6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HDPE双壁波纹管 DN400 刚度 SN=8kN/m2</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4B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1、连接形式:承插式胶圈接口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2、管道检验及试验要求:闭水试验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5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0CA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A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338.82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0A4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B446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96038">
            <w:pPr>
              <w:rPr>
                <w:rFonts w:hint="eastAsia" w:ascii="宋体" w:hAnsi="宋体" w:eastAsia="宋体" w:cs="宋体"/>
                <w:i w:val="0"/>
                <w:iCs w:val="0"/>
                <w:color w:val="000000"/>
                <w:sz w:val="22"/>
                <w:szCs w:val="22"/>
                <w:u w:val="none"/>
              </w:rPr>
            </w:pPr>
          </w:p>
        </w:tc>
      </w:tr>
      <w:tr w14:paraId="32735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23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FC86A">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7F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HDPE双壁波纹管 DN300 刚度 SN=8kN/m2</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625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1、连接形式:承插式胶圈接口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2、管道检验及试验要求:闭水试验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F2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131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00C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905.46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DFC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AAF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D2206">
            <w:pPr>
              <w:rPr>
                <w:rFonts w:hint="eastAsia" w:ascii="宋体" w:hAnsi="宋体" w:eastAsia="宋体" w:cs="宋体"/>
                <w:i w:val="0"/>
                <w:iCs w:val="0"/>
                <w:color w:val="000000"/>
                <w:sz w:val="22"/>
                <w:szCs w:val="22"/>
                <w:u w:val="none"/>
              </w:rPr>
            </w:pPr>
          </w:p>
        </w:tc>
      </w:tr>
      <w:tr w14:paraId="233BF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D0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CCAC8">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93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Ⅱ级钢筋混凝土排水管 DN1000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E7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1、连接形式:承插式胶圈接口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2、管道检验及试验要求:闭水试验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3、品牌参照或相当于“联塑、雄塑、五一”</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0C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6F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5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1EC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A3E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E888">
            <w:pPr>
              <w:rPr>
                <w:rFonts w:hint="eastAsia" w:ascii="宋体" w:hAnsi="宋体" w:eastAsia="宋体" w:cs="宋体"/>
                <w:i w:val="0"/>
                <w:iCs w:val="0"/>
                <w:color w:val="000000"/>
                <w:sz w:val="22"/>
                <w:szCs w:val="22"/>
                <w:u w:val="none"/>
              </w:rPr>
            </w:pPr>
          </w:p>
        </w:tc>
      </w:tr>
      <w:tr w14:paraId="57075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A1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A304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CE9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铸铁闸阀 DN100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EF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1、公称压力：PN=1.2MPa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2、连接方式：法兰连接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3、品牌参照或相当于“标一、冠龙、塘沽”</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A3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4B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895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00D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43F3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E854B">
            <w:pPr>
              <w:rPr>
                <w:rFonts w:hint="eastAsia" w:ascii="宋体" w:hAnsi="宋体" w:eastAsia="宋体" w:cs="宋体"/>
                <w:i w:val="0"/>
                <w:iCs w:val="0"/>
                <w:color w:val="000000"/>
                <w:sz w:val="22"/>
                <w:szCs w:val="22"/>
                <w:u w:val="none"/>
              </w:rPr>
            </w:pPr>
          </w:p>
        </w:tc>
      </w:tr>
      <w:tr w14:paraId="68945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9F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8C9E0">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34F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闸阀 DN150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550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1、公称压力：PN=1.2MPa</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2、连接方式：法兰连接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3、品牌参照或相当于“标一、冠龙、塘沽”</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727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58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18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7CE2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A10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053D">
            <w:pPr>
              <w:rPr>
                <w:rFonts w:hint="eastAsia" w:ascii="宋体" w:hAnsi="宋体" w:eastAsia="宋体" w:cs="宋体"/>
                <w:i w:val="0"/>
                <w:iCs w:val="0"/>
                <w:color w:val="000000"/>
                <w:sz w:val="22"/>
                <w:szCs w:val="22"/>
                <w:u w:val="none"/>
              </w:rPr>
            </w:pPr>
          </w:p>
        </w:tc>
      </w:tr>
      <w:tr w14:paraId="36DA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45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47012">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3C8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室外消火栓 SS100/65-1.0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9A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1、品牌参照或相当于“白云、金盾、胜捷”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E06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C6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E2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A1F8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8FB1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335E2">
            <w:pPr>
              <w:rPr>
                <w:rFonts w:hint="eastAsia" w:ascii="宋体" w:hAnsi="宋体" w:eastAsia="宋体" w:cs="宋体"/>
                <w:i w:val="0"/>
                <w:iCs w:val="0"/>
                <w:color w:val="000000"/>
                <w:sz w:val="22"/>
                <w:szCs w:val="22"/>
                <w:u w:val="none"/>
              </w:rPr>
            </w:pPr>
          </w:p>
        </w:tc>
      </w:tr>
      <w:tr w14:paraId="337C2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E3C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2E87A">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DE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灭火器放置箱</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AF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内置2个干粉灭火器 MF/ABC4</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1、品牌参照或相当于“白云、金盾、胜捷”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18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035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C05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804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B2F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2241">
            <w:pPr>
              <w:rPr>
                <w:rFonts w:hint="eastAsia" w:ascii="宋体" w:hAnsi="宋体" w:eastAsia="宋体" w:cs="宋体"/>
                <w:i w:val="0"/>
                <w:iCs w:val="0"/>
                <w:color w:val="000000"/>
                <w:sz w:val="22"/>
                <w:szCs w:val="22"/>
                <w:u w:val="none"/>
              </w:rPr>
            </w:pPr>
          </w:p>
        </w:tc>
      </w:tr>
      <w:tr w14:paraId="5149E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F1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1B607">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B15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砖砌圆形污水检查井1000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7AD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1、C15混凝土垫层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2、井壁：M7.5水泥砂浆砌MU10砖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3、井底井内壁抹灰：1:2防水水泥砂浆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4、C25混凝土盖板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5、700铸铁井盖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6、含C30井座、防坠网、模板制作、安装及拆除等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7、平均井深：2.48米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8、具体做法详见图集06MS201-3,P19/P22</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DA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A6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2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DEF2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8F2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9845">
            <w:pPr>
              <w:rPr>
                <w:rFonts w:hint="eastAsia" w:ascii="宋体" w:hAnsi="宋体" w:eastAsia="宋体" w:cs="宋体"/>
                <w:i w:val="0"/>
                <w:iCs w:val="0"/>
                <w:color w:val="000000"/>
                <w:sz w:val="22"/>
                <w:szCs w:val="22"/>
                <w:u w:val="none"/>
              </w:rPr>
            </w:pPr>
          </w:p>
        </w:tc>
      </w:tr>
      <w:tr w14:paraId="44D94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BA8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DF017">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435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砖砌圆形雨水检查井1500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58E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1、C15混凝土垫层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2、井壁：M7.5水泥砂浆砌MU10砖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3、井底井内壁抹灰：1:2防水水泥砂浆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4、C25混凝土盖板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5、700铸铁井盖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6、含C30井座、防坠网、模板制作、安装及拆除等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7、平均井深：2.3米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8、具体做法详见图集06MS201-3,P17/P29</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B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69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831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A6F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2E46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6B26">
            <w:pPr>
              <w:rPr>
                <w:rFonts w:hint="eastAsia" w:ascii="宋体" w:hAnsi="宋体" w:eastAsia="宋体" w:cs="宋体"/>
                <w:i w:val="0"/>
                <w:iCs w:val="0"/>
                <w:color w:val="000000"/>
                <w:sz w:val="22"/>
                <w:szCs w:val="22"/>
                <w:u w:val="none"/>
              </w:rPr>
            </w:pPr>
          </w:p>
        </w:tc>
      </w:tr>
      <w:tr w14:paraId="6EE96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01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84D9B">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96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立式闸阀井1200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91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1、做法详见图集05S502</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7A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7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6A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E787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5F09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E959">
            <w:pPr>
              <w:rPr>
                <w:rFonts w:hint="eastAsia" w:ascii="宋体" w:hAnsi="宋体" w:eastAsia="宋体" w:cs="宋体"/>
                <w:i w:val="0"/>
                <w:iCs w:val="0"/>
                <w:color w:val="000000"/>
                <w:sz w:val="22"/>
                <w:szCs w:val="22"/>
                <w:u w:val="none"/>
              </w:rPr>
            </w:pPr>
          </w:p>
        </w:tc>
      </w:tr>
      <w:tr w14:paraId="39DFE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71A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0E19A">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BB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单箅雨水口</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BB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1、C15混凝土垫层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2、井壁：M10水泥砂浆砌MU10砖</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3、井底井内壁抹灰：20mm厚1:2水泥砂浆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4、井座20厚1：3水泥砂浆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5、成品方形铸铁溢流雨水口750*450*50mm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6、含模板制作、安装及拆除等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7、具体做法详见图纸</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05E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6AE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68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9CFC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1A320">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9495">
            <w:pPr>
              <w:rPr>
                <w:rFonts w:hint="eastAsia" w:ascii="宋体" w:hAnsi="宋体" w:eastAsia="宋体" w:cs="宋体"/>
                <w:i w:val="0"/>
                <w:iCs w:val="0"/>
                <w:color w:val="000000"/>
                <w:sz w:val="22"/>
                <w:szCs w:val="22"/>
                <w:u w:val="none"/>
              </w:rPr>
            </w:pPr>
          </w:p>
        </w:tc>
      </w:tr>
      <w:tr w14:paraId="5636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C3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72DC2">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9F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140m³成品玻璃钢雨水调蓄池</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A8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1、含放线、定位、下料安装</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5A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56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5F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9C4E">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C00A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6E60">
            <w:pPr>
              <w:rPr>
                <w:rFonts w:hint="eastAsia" w:ascii="宋体" w:hAnsi="宋体" w:eastAsia="宋体" w:cs="宋体"/>
                <w:i w:val="0"/>
                <w:iCs w:val="0"/>
                <w:color w:val="000000"/>
                <w:sz w:val="22"/>
                <w:szCs w:val="22"/>
                <w:u w:val="none"/>
              </w:rPr>
            </w:pPr>
          </w:p>
        </w:tc>
      </w:tr>
      <w:tr w14:paraId="067C1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B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4056B">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AAF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50m³成品玻璃钢化粪池</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8F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1、含放线、定位、下料安装</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C9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5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15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C3F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0571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19327">
            <w:pPr>
              <w:rPr>
                <w:rFonts w:hint="eastAsia" w:ascii="宋体" w:hAnsi="宋体" w:eastAsia="宋体" w:cs="宋体"/>
                <w:i w:val="0"/>
                <w:iCs w:val="0"/>
                <w:color w:val="000000"/>
                <w:sz w:val="22"/>
                <w:szCs w:val="22"/>
                <w:u w:val="none"/>
              </w:rPr>
            </w:pPr>
          </w:p>
        </w:tc>
      </w:tr>
      <w:tr w14:paraId="12F8E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14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58C2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BD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2m³成品玻璃钢化粪池</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74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1、含放线、定位、下料安装</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2B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5C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A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7CB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227F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8063A">
            <w:pPr>
              <w:rPr>
                <w:rFonts w:hint="eastAsia" w:ascii="宋体" w:hAnsi="宋体" w:eastAsia="宋体" w:cs="宋体"/>
                <w:i w:val="0"/>
                <w:iCs w:val="0"/>
                <w:color w:val="000000"/>
                <w:sz w:val="22"/>
                <w:szCs w:val="22"/>
                <w:u w:val="none"/>
              </w:rPr>
            </w:pPr>
          </w:p>
        </w:tc>
      </w:tr>
      <w:tr w14:paraId="52C3A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FA4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CA9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绿化工程</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D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栽植灌木-茶花</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A4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1、植物规格：高度≥150cm，冠幅≥120cm，假植苗</w:t>
            </w:r>
            <w:r>
              <w:rPr>
                <w:rStyle w:val="56"/>
                <w:lang w:val="en-US" w:eastAsia="zh-CN" w:bidi="ar"/>
              </w:rPr>
              <w:br w:type="textWrapping"/>
            </w:r>
            <w:r>
              <w:rPr>
                <w:rStyle w:val="56"/>
                <w:lang w:val="en-US" w:eastAsia="zh-CN" w:bidi="ar"/>
              </w:rPr>
              <w:t>2、球形丰满,不脱脚,冠形匀称,枝叶茂密</w:t>
            </w:r>
            <w:r>
              <w:rPr>
                <w:rStyle w:val="56"/>
                <w:lang w:val="en-US" w:eastAsia="zh-CN" w:bidi="ar"/>
              </w:rPr>
              <w:br w:type="textWrapping"/>
            </w:r>
            <w:r>
              <w:rPr>
                <w:rStyle w:val="56"/>
                <w:lang w:val="en-US" w:eastAsia="zh-CN" w:bidi="ar"/>
              </w:rPr>
              <w:t>3、种植损耗及种植养护期间的成活补损</w:t>
            </w:r>
            <w:r>
              <w:rPr>
                <w:rStyle w:val="56"/>
                <w:lang w:val="en-US" w:eastAsia="zh-CN" w:bidi="ar"/>
              </w:rPr>
              <w:br w:type="textWrapping"/>
            </w:r>
            <w:r>
              <w:rPr>
                <w:rStyle w:val="56"/>
                <w:lang w:val="en-US" w:eastAsia="zh-CN" w:bidi="ar"/>
              </w:rPr>
              <w:t>4、绿地整、翻、清理，场地清理、定根浇灌、</w:t>
            </w:r>
            <w:r>
              <w:rPr>
                <w:rStyle w:val="55"/>
                <w:lang w:val="en-US" w:eastAsia="zh-CN" w:bidi="ar"/>
              </w:rPr>
              <w:t>施放基肥</w:t>
            </w:r>
            <w:r>
              <w:rPr>
                <w:rStyle w:val="56"/>
                <w:lang w:val="en-US" w:eastAsia="zh-CN" w:bidi="ar"/>
              </w:rPr>
              <w:t>等</w:t>
            </w:r>
            <w:r>
              <w:rPr>
                <w:rStyle w:val="56"/>
                <w:lang w:val="en-US" w:eastAsia="zh-CN" w:bidi="ar"/>
              </w:rPr>
              <w:br w:type="textWrapping"/>
            </w:r>
            <w:r>
              <w:rPr>
                <w:rStyle w:val="55"/>
                <w:lang w:val="en-US" w:eastAsia="zh-CN" w:bidi="ar"/>
              </w:rPr>
              <w:t>5、养护期：12个月</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C0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10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3DB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1AF0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C1D04">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54E7B">
            <w:pPr>
              <w:rPr>
                <w:rFonts w:hint="eastAsia" w:ascii="宋体" w:hAnsi="宋体" w:eastAsia="宋体" w:cs="宋体"/>
                <w:i w:val="0"/>
                <w:iCs w:val="0"/>
                <w:color w:val="000000"/>
                <w:sz w:val="22"/>
                <w:szCs w:val="22"/>
                <w:u w:val="none"/>
              </w:rPr>
            </w:pPr>
          </w:p>
        </w:tc>
      </w:tr>
      <w:tr w14:paraId="3FA4F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C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A32A6">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7F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栽植灌木-非洲茉莉球</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65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1、植物规格：高度≥100cm，冠幅≥100cm，容器苗</w:t>
            </w:r>
            <w:r>
              <w:rPr>
                <w:rStyle w:val="56"/>
                <w:lang w:val="en-US" w:eastAsia="zh-CN" w:bidi="ar"/>
              </w:rPr>
              <w:br w:type="textWrapping"/>
            </w:r>
            <w:r>
              <w:rPr>
                <w:rStyle w:val="56"/>
                <w:lang w:val="en-US" w:eastAsia="zh-CN" w:bidi="ar"/>
              </w:rPr>
              <w:t>2、球形丰满,不脱脚,冠形匀称,枝叶茂密</w:t>
            </w:r>
            <w:r>
              <w:rPr>
                <w:rStyle w:val="56"/>
                <w:lang w:val="en-US" w:eastAsia="zh-CN" w:bidi="ar"/>
              </w:rPr>
              <w:br w:type="textWrapping"/>
            </w:r>
            <w:r>
              <w:rPr>
                <w:rStyle w:val="56"/>
                <w:lang w:val="en-US" w:eastAsia="zh-CN" w:bidi="ar"/>
              </w:rPr>
              <w:t>3、种植损耗及种植养护期间的成活补损</w:t>
            </w:r>
            <w:r>
              <w:rPr>
                <w:rStyle w:val="56"/>
                <w:lang w:val="en-US" w:eastAsia="zh-CN" w:bidi="ar"/>
              </w:rPr>
              <w:br w:type="textWrapping"/>
            </w:r>
            <w:r>
              <w:rPr>
                <w:rStyle w:val="56"/>
                <w:lang w:val="en-US" w:eastAsia="zh-CN" w:bidi="ar"/>
              </w:rPr>
              <w:t>4、绿地整、翻、清理，场地清理、定根浇灌、</w:t>
            </w:r>
            <w:r>
              <w:rPr>
                <w:rStyle w:val="55"/>
                <w:lang w:val="en-US" w:eastAsia="zh-CN" w:bidi="ar"/>
              </w:rPr>
              <w:t>施放基肥</w:t>
            </w:r>
            <w:r>
              <w:rPr>
                <w:rStyle w:val="56"/>
                <w:lang w:val="en-US" w:eastAsia="zh-CN" w:bidi="ar"/>
              </w:rPr>
              <w:t>等</w:t>
            </w:r>
            <w:r>
              <w:rPr>
                <w:rStyle w:val="56"/>
                <w:lang w:val="en-US" w:eastAsia="zh-CN" w:bidi="ar"/>
              </w:rPr>
              <w:br w:type="textWrapping"/>
            </w:r>
            <w:r>
              <w:rPr>
                <w:rStyle w:val="55"/>
                <w:lang w:val="en-US" w:eastAsia="zh-CN" w:bidi="ar"/>
              </w:rPr>
              <w:t>5、养护期：12个月</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8F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8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5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3717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CBC7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0514E">
            <w:pPr>
              <w:rPr>
                <w:rFonts w:hint="eastAsia" w:ascii="宋体" w:hAnsi="宋体" w:eastAsia="宋体" w:cs="宋体"/>
                <w:i w:val="0"/>
                <w:iCs w:val="0"/>
                <w:color w:val="000000"/>
                <w:sz w:val="22"/>
                <w:szCs w:val="22"/>
                <w:u w:val="none"/>
              </w:rPr>
            </w:pPr>
          </w:p>
        </w:tc>
      </w:tr>
      <w:tr w14:paraId="3F75C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5C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F5032">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3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栽植灌木-三角梅球</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F0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1、植物规格：高度50-60cm，冠幅≥50cm，容器苗</w:t>
            </w:r>
            <w:r>
              <w:rPr>
                <w:rStyle w:val="56"/>
                <w:lang w:val="en-US" w:eastAsia="zh-CN" w:bidi="ar"/>
              </w:rPr>
              <w:br w:type="textWrapping"/>
            </w:r>
            <w:r>
              <w:rPr>
                <w:rStyle w:val="56"/>
                <w:lang w:val="en-US" w:eastAsia="zh-CN" w:bidi="ar"/>
              </w:rPr>
              <w:t>2、球形丰满,枝叶繁茂,不脱脚</w:t>
            </w:r>
            <w:r>
              <w:rPr>
                <w:rStyle w:val="56"/>
                <w:lang w:val="en-US" w:eastAsia="zh-CN" w:bidi="ar"/>
              </w:rPr>
              <w:br w:type="textWrapping"/>
            </w:r>
            <w:r>
              <w:rPr>
                <w:rStyle w:val="56"/>
                <w:lang w:val="en-US" w:eastAsia="zh-CN" w:bidi="ar"/>
              </w:rPr>
              <w:t>3、种植损耗及种植养护期间的成活补损</w:t>
            </w:r>
            <w:r>
              <w:rPr>
                <w:rStyle w:val="56"/>
                <w:lang w:val="en-US" w:eastAsia="zh-CN" w:bidi="ar"/>
              </w:rPr>
              <w:br w:type="textWrapping"/>
            </w:r>
            <w:r>
              <w:rPr>
                <w:rStyle w:val="56"/>
                <w:lang w:val="en-US" w:eastAsia="zh-CN" w:bidi="ar"/>
              </w:rPr>
              <w:t>4、绿地整、翻、清理，场地清理、定根浇灌</w:t>
            </w:r>
            <w:r>
              <w:rPr>
                <w:rStyle w:val="55"/>
                <w:lang w:val="en-US" w:eastAsia="zh-CN" w:bidi="ar"/>
              </w:rPr>
              <w:t>、施放基肥</w:t>
            </w:r>
            <w:r>
              <w:rPr>
                <w:rStyle w:val="56"/>
                <w:lang w:val="en-US" w:eastAsia="zh-CN" w:bidi="ar"/>
              </w:rPr>
              <w:t>等</w:t>
            </w:r>
            <w:r>
              <w:rPr>
                <w:rStyle w:val="56"/>
                <w:lang w:val="en-US" w:eastAsia="zh-CN" w:bidi="ar"/>
              </w:rPr>
              <w:br w:type="textWrapping"/>
            </w:r>
            <w:r>
              <w:rPr>
                <w:rStyle w:val="55"/>
                <w:lang w:val="en-US" w:eastAsia="zh-CN" w:bidi="ar"/>
              </w:rPr>
              <w:t>5、养护期：12个月</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B9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21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89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4582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3FE5">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128D">
            <w:pPr>
              <w:rPr>
                <w:rFonts w:hint="eastAsia" w:ascii="宋体" w:hAnsi="宋体" w:eastAsia="宋体" w:cs="宋体"/>
                <w:i w:val="0"/>
                <w:iCs w:val="0"/>
                <w:color w:val="000000"/>
                <w:sz w:val="22"/>
                <w:szCs w:val="22"/>
                <w:u w:val="none"/>
              </w:rPr>
            </w:pPr>
          </w:p>
        </w:tc>
      </w:tr>
      <w:tr w14:paraId="304F4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46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E0BD2">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C8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栽植片植灌木-长春花</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A4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1、植物规格：高度25-30cm，冠幅20-25cm，袋苗</w:t>
            </w:r>
            <w:r>
              <w:rPr>
                <w:rStyle w:val="56"/>
                <w:lang w:val="en-US" w:eastAsia="zh-CN" w:bidi="ar"/>
              </w:rPr>
              <w:br w:type="textWrapping"/>
            </w:r>
            <w:r>
              <w:rPr>
                <w:rStyle w:val="56"/>
                <w:lang w:val="en-US" w:eastAsia="zh-CN" w:bidi="ar"/>
              </w:rPr>
              <w:t>2、种植密度：36袋/平方米</w:t>
            </w:r>
            <w:r>
              <w:rPr>
                <w:rStyle w:val="56"/>
                <w:lang w:val="en-US" w:eastAsia="zh-CN" w:bidi="ar"/>
              </w:rPr>
              <w:br w:type="textWrapping"/>
            </w:r>
            <w:r>
              <w:rPr>
                <w:rStyle w:val="56"/>
                <w:lang w:val="en-US" w:eastAsia="zh-CN" w:bidi="ar"/>
              </w:rPr>
              <w:t>3、种植损耗及种植养护期间的成活补损</w:t>
            </w:r>
            <w:r>
              <w:rPr>
                <w:rStyle w:val="56"/>
                <w:lang w:val="en-US" w:eastAsia="zh-CN" w:bidi="ar"/>
              </w:rPr>
              <w:br w:type="textWrapping"/>
            </w:r>
            <w:r>
              <w:rPr>
                <w:rStyle w:val="56"/>
                <w:lang w:val="en-US" w:eastAsia="zh-CN" w:bidi="ar"/>
              </w:rPr>
              <w:t>4、绿地整、翻、清理，场地清理、定根浇灌</w:t>
            </w:r>
            <w:r>
              <w:rPr>
                <w:rStyle w:val="55"/>
                <w:lang w:val="en-US" w:eastAsia="zh-CN" w:bidi="ar"/>
              </w:rPr>
              <w:t>、施放基肥</w:t>
            </w:r>
            <w:r>
              <w:rPr>
                <w:rStyle w:val="56"/>
                <w:lang w:val="en-US" w:eastAsia="zh-CN" w:bidi="ar"/>
              </w:rPr>
              <w:t>等</w:t>
            </w:r>
            <w:r>
              <w:rPr>
                <w:rStyle w:val="56"/>
                <w:lang w:val="en-US" w:eastAsia="zh-CN" w:bidi="ar"/>
              </w:rPr>
              <w:br w:type="textWrapping"/>
            </w:r>
            <w:r>
              <w:rPr>
                <w:rStyle w:val="55"/>
                <w:lang w:val="en-US" w:eastAsia="zh-CN" w:bidi="ar"/>
              </w:rPr>
              <w:t>5、养护期：12个月</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B4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D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3A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0D0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75AA7">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2D20C">
            <w:pPr>
              <w:rPr>
                <w:rFonts w:hint="eastAsia" w:ascii="宋体" w:hAnsi="宋体" w:eastAsia="宋体" w:cs="宋体"/>
                <w:i w:val="0"/>
                <w:iCs w:val="0"/>
                <w:color w:val="000000"/>
                <w:sz w:val="22"/>
                <w:szCs w:val="22"/>
                <w:u w:val="none"/>
              </w:rPr>
            </w:pPr>
          </w:p>
        </w:tc>
      </w:tr>
      <w:tr w14:paraId="3BDD1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01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5D398">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6C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栽植片植灌木-雪茄花</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CA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1、植物规格：高度25-30cm，冠幅20-25cm，袋苗</w:t>
            </w:r>
            <w:r>
              <w:rPr>
                <w:rStyle w:val="56"/>
                <w:lang w:val="en-US" w:eastAsia="zh-CN" w:bidi="ar"/>
              </w:rPr>
              <w:br w:type="textWrapping"/>
            </w:r>
            <w:r>
              <w:rPr>
                <w:rStyle w:val="56"/>
                <w:lang w:val="en-US" w:eastAsia="zh-CN" w:bidi="ar"/>
              </w:rPr>
              <w:t>2、种植密度：49袋/平方米</w:t>
            </w:r>
            <w:r>
              <w:rPr>
                <w:rStyle w:val="56"/>
                <w:lang w:val="en-US" w:eastAsia="zh-CN" w:bidi="ar"/>
              </w:rPr>
              <w:br w:type="textWrapping"/>
            </w:r>
            <w:r>
              <w:rPr>
                <w:rStyle w:val="56"/>
                <w:lang w:val="en-US" w:eastAsia="zh-CN" w:bidi="ar"/>
              </w:rPr>
              <w:t>3、种植损耗及种植养护期间的成活补损</w:t>
            </w:r>
            <w:r>
              <w:rPr>
                <w:rStyle w:val="56"/>
                <w:lang w:val="en-US" w:eastAsia="zh-CN" w:bidi="ar"/>
              </w:rPr>
              <w:br w:type="textWrapping"/>
            </w:r>
            <w:r>
              <w:rPr>
                <w:rStyle w:val="56"/>
                <w:lang w:val="en-US" w:eastAsia="zh-CN" w:bidi="ar"/>
              </w:rPr>
              <w:t>4、绿地整、翻、清理，场地清理、定根浇灌</w:t>
            </w:r>
            <w:r>
              <w:rPr>
                <w:rStyle w:val="55"/>
                <w:lang w:val="en-US" w:eastAsia="zh-CN" w:bidi="ar"/>
              </w:rPr>
              <w:t>、施放基肥</w:t>
            </w:r>
            <w:r>
              <w:rPr>
                <w:rStyle w:val="56"/>
                <w:lang w:val="en-US" w:eastAsia="zh-CN" w:bidi="ar"/>
              </w:rPr>
              <w:t>等</w:t>
            </w:r>
            <w:r>
              <w:rPr>
                <w:rStyle w:val="56"/>
                <w:lang w:val="en-US" w:eastAsia="zh-CN" w:bidi="ar"/>
              </w:rPr>
              <w:br w:type="textWrapping"/>
            </w:r>
            <w:r>
              <w:rPr>
                <w:rStyle w:val="55"/>
                <w:lang w:val="en-US" w:eastAsia="zh-CN" w:bidi="ar"/>
              </w:rPr>
              <w:t>5、养护期：12个月</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29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C0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8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F562">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D1F6">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73BB">
            <w:pPr>
              <w:rPr>
                <w:rFonts w:hint="eastAsia" w:ascii="宋体" w:hAnsi="宋体" w:eastAsia="宋体" w:cs="宋体"/>
                <w:i w:val="0"/>
                <w:iCs w:val="0"/>
                <w:color w:val="000000"/>
                <w:sz w:val="22"/>
                <w:szCs w:val="22"/>
                <w:u w:val="none"/>
              </w:rPr>
            </w:pPr>
          </w:p>
        </w:tc>
      </w:tr>
      <w:tr w14:paraId="61B4B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BB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0021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4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铺种草皮</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443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56"/>
                <w:lang w:val="en-US" w:eastAsia="zh-CN" w:bidi="ar"/>
              </w:rPr>
              <w:t>1、植物规格：马尼拉草</w:t>
            </w:r>
            <w:r>
              <w:rPr>
                <w:rStyle w:val="56"/>
                <w:lang w:val="en-US" w:eastAsia="zh-CN" w:bidi="ar"/>
              </w:rPr>
              <w:br w:type="textWrapping"/>
            </w:r>
            <w:r>
              <w:rPr>
                <w:rStyle w:val="56"/>
                <w:lang w:val="en-US" w:eastAsia="zh-CN" w:bidi="ar"/>
              </w:rPr>
              <w:t>2、种植密度：满铺</w:t>
            </w:r>
            <w:r>
              <w:rPr>
                <w:rStyle w:val="56"/>
                <w:lang w:val="en-US" w:eastAsia="zh-CN" w:bidi="ar"/>
              </w:rPr>
              <w:br w:type="textWrapping"/>
            </w:r>
            <w:r>
              <w:rPr>
                <w:rStyle w:val="56"/>
                <w:lang w:val="en-US" w:eastAsia="zh-CN" w:bidi="ar"/>
              </w:rPr>
              <w:t>3、种植损耗及种植养护期间的成活补损</w:t>
            </w:r>
            <w:r>
              <w:rPr>
                <w:rStyle w:val="56"/>
                <w:lang w:val="en-US" w:eastAsia="zh-CN" w:bidi="ar"/>
              </w:rPr>
              <w:br w:type="textWrapping"/>
            </w:r>
            <w:r>
              <w:rPr>
                <w:rStyle w:val="56"/>
                <w:lang w:val="en-US" w:eastAsia="zh-CN" w:bidi="ar"/>
              </w:rPr>
              <w:t>4、绿地整、翻、清理，场地清理、定根浇灌</w:t>
            </w:r>
            <w:r>
              <w:rPr>
                <w:rStyle w:val="55"/>
                <w:lang w:val="en-US" w:eastAsia="zh-CN" w:bidi="ar"/>
              </w:rPr>
              <w:t>、施放基肥</w:t>
            </w:r>
            <w:r>
              <w:rPr>
                <w:rStyle w:val="56"/>
                <w:lang w:val="en-US" w:eastAsia="zh-CN" w:bidi="ar"/>
              </w:rPr>
              <w:t>等</w:t>
            </w:r>
            <w:r>
              <w:rPr>
                <w:rStyle w:val="56"/>
                <w:lang w:val="en-US" w:eastAsia="zh-CN" w:bidi="ar"/>
              </w:rPr>
              <w:br w:type="textWrapping"/>
            </w:r>
            <w:r>
              <w:rPr>
                <w:rStyle w:val="55"/>
                <w:lang w:val="en-US" w:eastAsia="zh-CN" w:bidi="ar"/>
              </w:rPr>
              <w:t>5、养护期：12个月</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953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包工包料，以图纸为依据，按实结算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8A8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70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8622.78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2B5C1">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26578">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C371">
            <w:pPr>
              <w:rPr>
                <w:rFonts w:hint="eastAsia" w:ascii="宋体" w:hAnsi="宋体" w:eastAsia="宋体" w:cs="宋体"/>
                <w:i w:val="0"/>
                <w:iCs w:val="0"/>
                <w:color w:val="000000"/>
                <w:sz w:val="22"/>
                <w:szCs w:val="22"/>
                <w:u w:val="none"/>
              </w:rPr>
            </w:pPr>
          </w:p>
        </w:tc>
      </w:tr>
      <w:tr w14:paraId="233D0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D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AC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B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挖机（PC60)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FA8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284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BA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9E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B4CC8">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9EE7">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8DAE">
            <w:pPr>
              <w:jc w:val="center"/>
              <w:rPr>
                <w:rFonts w:hint="eastAsia" w:ascii="宋体" w:hAnsi="宋体" w:eastAsia="宋体" w:cs="宋体"/>
                <w:i w:val="0"/>
                <w:iCs w:val="0"/>
                <w:color w:val="000000"/>
                <w:sz w:val="22"/>
                <w:szCs w:val="22"/>
                <w:u w:val="none"/>
              </w:rPr>
            </w:pPr>
          </w:p>
        </w:tc>
      </w:tr>
      <w:tr w14:paraId="7BED1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AE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6A92B">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E8A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挖机（PC120)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C5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3EC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E8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D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AA8B0">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1319E">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BC03">
            <w:pPr>
              <w:jc w:val="center"/>
              <w:rPr>
                <w:rFonts w:hint="eastAsia" w:ascii="宋体" w:hAnsi="宋体" w:eastAsia="宋体" w:cs="宋体"/>
                <w:i w:val="0"/>
                <w:iCs w:val="0"/>
                <w:color w:val="000000"/>
                <w:sz w:val="22"/>
                <w:szCs w:val="22"/>
                <w:u w:val="none"/>
              </w:rPr>
            </w:pPr>
          </w:p>
        </w:tc>
      </w:tr>
      <w:tr w14:paraId="25045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9B2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6867E">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BD3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挖机（PC220)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E2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FE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3B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02F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8C8C">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2B1D">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F86C">
            <w:pPr>
              <w:jc w:val="center"/>
              <w:rPr>
                <w:rFonts w:hint="eastAsia" w:ascii="宋体" w:hAnsi="宋体" w:eastAsia="宋体" w:cs="宋体"/>
                <w:i w:val="0"/>
                <w:iCs w:val="0"/>
                <w:color w:val="000000"/>
                <w:sz w:val="22"/>
                <w:szCs w:val="22"/>
                <w:u w:val="none"/>
              </w:rPr>
            </w:pPr>
          </w:p>
        </w:tc>
      </w:tr>
      <w:tr w14:paraId="68C37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7B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18F6C">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245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挖机（PC320)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EAF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29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8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D3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EDA38">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FA39">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CA26">
            <w:pPr>
              <w:jc w:val="center"/>
              <w:rPr>
                <w:rFonts w:hint="eastAsia" w:ascii="宋体" w:hAnsi="宋体" w:eastAsia="宋体" w:cs="宋体"/>
                <w:i w:val="0"/>
                <w:iCs w:val="0"/>
                <w:color w:val="000000"/>
                <w:sz w:val="22"/>
                <w:szCs w:val="22"/>
                <w:u w:val="none"/>
              </w:rPr>
            </w:pPr>
          </w:p>
        </w:tc>
      </w:tr>
      <w:tr w14:paraId="7874F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1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9F2E7">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D9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挖机（PC400)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D1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20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75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97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61FD">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BEA2">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C06F">
            <w:pPr>
              <w:jc w:val="center"/>
              <w:rPr>
                <w:rFonts w:hint="eastAsia" w:ascii="宋体" w:hAnsi="宋体" w:eastAsia="宋体" w:cs="宋体"/>
                <w:i w:val="0"/>
                <w:iCs w:val="0"/>
                <w:color w:val="000000"/>
                <w:sz w:val="22"/>
                <w:szCs w:val="22"/>
                <w:u w:val="none"/>
              </w:rPr>
            </w:pPr>
          </w:p>
        </w:tc>
      </w:tr>
      <w:tr w14:paraId="4438A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8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8E904">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9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炮机（PC120)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247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5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07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8D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7D81">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2744">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A6A9">
            <w:pPr>
              <w:jc w:val="center"/>
              <w:rPr>
                <w:rFonts w:hint="eastAsia" w:ascii="宋体" w:hAnsi="宋体" w:eastAsia="宋体" w:cs="宋体"/>
                <w:i w:val="0"/>
                <w:iCs w:val="0"/>
                <w:color w:val="000000"/>
                <w:sz w:val="22"/>
                <w:szCs w:val="22"/>
                <w:u w:val="none"/>
              </w:rPr>
            </w:pPr>
          </w:p>
        </w:tc>
      </w:tr>
      <w:tr w14:paraId="0E3A9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F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17D3">
            <w:pPr>
              <w:jc w:val="center"/>
              <w:rPr>
                <w:rFonts w:hint="eastAsia" w:ascii="宋体" w:hAnsi="宋体" w:eastAsia="宋体" w:cs="宋体"/>
                <w:i w:val="0"/>
                <w:iCs w:val="0"/>
                <w:color w:val="000000"/>
                <w:sz w:val="22"/>
                <w:szCs w:val="22"/>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2AA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零星机械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炮机（PC200)</w:t>
            </w:r>
          </w:p>
        </w:tc>
        <w:tc>
          <w:tcPr>
            <w:tcW w:w="4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16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1.乙方承包范围之外，甲方使用乙方机械施工内容；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2.含人工费、运输费、燃油费、机械设备进出场及安拆费等所有费用（含税单价）。</w:t>
            </w:r>
          </w:p>
        </w:tc>
        <w:tc>
          <w:tcPr>
            <w:tcW w:w="25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3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根据签字有效签证单，按协同审批计算</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D5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元/小时</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0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21FB">
            <w:pPr>
              <w:jc w:val="center"/>
              <w:rPr>
                <w:rFonts w:hint="eastAsia" w:ascii="宋体" w:hAnsi="宋体" w:eastAsia="宋体" w:cs="宋体"/>
                <w:i w:val="0"/>
                <w:iCs w:val="0"/>
                <w:color w:val="000000"/>
                <w:sz w:val="22"/>
                <w:szCs w:val="22"/>
                <w:u w:val="none"/>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9C6A">
            <w:pPr>
              <w:jc w:val="center"/>
              <w:rPr>
                <w:rFonts w:hint="eastAsia" w:ascii="宋体" w:hAnsi="宋体" w:eastAsia="宋体" w:cs="宋体"/>
                <w:i w:val="0"/>
                <w:iCs w:val="0"/>
                <w:color w:val="000000"/>
                <w:sz w:val="22"/>
                <w:szCs w:val="22"/>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4C10">
            <w:pPr>
              <w:jc w:val="center"/>
              <w:rPr>
                <w:rFonts w:hint="eastAsia" w:ascii="宋体" w:hAnsi="宋体" w:eastAsia="宋体" w:cs="宋体"/>
                <w:i w:val="0"/>
                <w:iCs w:val="0"/>
                <w:color w:val="000000"/>
                <w:sz w:val="22"/>
                <w:szCs w:val="22"/>
                <w:u w:val="none"/>
              </w:rPr>
            </w:pPr>
          </w:p>
        </w:tc>
      </w:tr>
    </w:tbl>
    <w:p w14:paraId="6325C040">
      <w:pPr>
        <w:keepNext w:val="0"/>
        <w:keepLines w:val="0"/>
        <w:widowControl/>
        <w:suppressLineNumbers w:val="0"/>
        <w:jc w:val="left"/>
        <w:textAlignment w:val="center"/>
        <w:rPr>
          <w:rFonts w:hint="eastAsia"/>
        </w:rPr>
      </w:pPr>
    </w:p>
    <w:p w14:paraId="1662A7B9">
      <w:pPr>
        <w:pStyle w:val="5"/>
        <w:spacing w:before="120" w:beforeLines="50" w:after="120" w:afterLines="50"/>
        <w:ind w:left="0" w:leftChars="0" w:firstLine="0" w:firstLineChars="0"/>
        <w:rPr>
          <w:rFonts w:hint="eastAsia"/>
          <w:bCs w:val="0"/>
          <w:color w:val="000000"/>
          <w:highlight w:val="none"/>
        </w:rPr>
        <w:sectPr>
          <w:pgSz w:w="16838" w:h="11906" w:orient="landscape"/>
          <w:pgMar w:top="1349" w:right="1440" w:bottom="1349" w:left="1440" w:header="720" w:footer="720" w:gutter="0"/>
          <w:cols w:space="720" w:num="1"/>
        </w:sectPr>
      </w:pPr>
    </w:p>
    <w:p w14:paraId="0DD0D4DC">
      <w:pPr>
        <w:pStyle w:val="5"/>
        <w:spacing w:before="120" w:beforeLines="50" w:after="120" w:afterLines="50"/>
        <w:ind w:left="0" w:leftChars="0" w:firstLine="562" w:firstLineChars="200"/>
        <w:rPr>
          <w:bCs w:val="0"/>
          <w:color w:val="000000"/>
          <w:highlight w:val="none"/>
        </w:rPr>
      </w:pPr>
      <w:bookmarkStart w:id="863" w:name="_Toc11269"/>
      <w:r>
        <w:rPr>
          <w:rFonts w:hint="eastAsia"/>
          <w:bCs w:val="0"/>
          <w:color w:val="000000"/>
          <w:highlight w:val="none"/>
        </w:rPr>
        <w:t>附件2</w:t>
      </w:r>
      <w:bookmarkEnd w:id="863"/>
      <w:r>
        <w:rPr>
          <w:rFonts w:hint="eastAsia"/>
          <w:bCs w:val="0"/>
          <w:color w:val="000000"/>
          <w:highlight w:val="none"/>
        </w:rPr>
        <w:t xml:space="preserve">  </w:t>
      </w:r>
    </w:p>
    <w:p w14:paraId="2D435E68">
      <w:pPr>
        <w:pStyle w:val="5"/>
        <w:spacing w:before="120" w:beforeLines="50" w:after="120" w:afterLines="50"/>
        <w:ind w:left="0" w:leftChars="0"/>
        <w:jc w:val="center"/>
        <w:rPr>
          <w:bCs w:val="0"/>
          <w:color w:val="000000"/>
          <w:highlight w:val="none"/>
        </w:rPr>
      </w:pPr>
      <w:bookmarkStart w:id="864" w:name="_Toc30695"/>
      <w:bookmarkStart w:id="865" w:name="_Toc1362"/>
      <w:r>
        <w:rPr>
          <w:rFonts w:hint="eastAsia"/>
          <w:bCs w:val="0"/>
          <w:color w:val="000000"/>
          <w:highlight w:val="none"/>
        </w:rPr>
        <w:t>授 权 委 托 书（甲方）</w:t>
      </w:r>
      <w:bookmarkEnd w:id="864"/>
      <w:bookmarkEnd w:id="865"/>
      <w:bookmarkStart w:id="866" w:name="_Hlk132708398"/>
    </w:p>
    <w:bookmarkEnd w:id="866"/>
    <w:p w14:paraId="13A10E39">
      <w:pPr>
        <w:spacing w:before="120" w:beforeLines="50" w:after="120" w:afterLines="50" w:line="480" w:lineRule="exact"/>
        <w:rPr>
          <w:rFonts w:ascii="仿宋_GB2312" w:eastAsia="仿宋_GB2312"/>
          <w:sz w:val="28"/>
          <w:szCs w:val="28"/>
          <w:highlight w:val="none"/>
        </w:rPr>
      </w:pPr>
      <w:r>
        <w:rPr>
          <w:rFonts w:hint="eastAsia" w:ascii="仿宋_GB2312" w:eastAsia="仿宋_GB2312"/>
          <w:sz w:val="28"/>
          <w:szCs w:val="28"/>
          <w:highlight w:val="none"/>
        </w:rPr>
        <w:t>致：【</w:t>
      </w:r>
      <w:r>
        <w:rPr>
          <w:rFonts w:hint="eastAsia" w:ascii="仿宋_GB2312" w:eastAsia="仿宋_GB2312"/>
          <w:color w:val="C00000"/>
          <w:sz w:val="28"/>
          <w:szCs w:val="28"/>
          <w:highlight w:val="none"/>
          <w:lang w:val="en-US" w:eastAsia="zh-CN"/>
        </w:rPr>
        <w:t xml:space="preserve"> </w:t>
      </w:r>
      <w:r>
        <w:rPr>
          <w:rFonts w:hint="eastAsia" w:ascii="仿宋_GB2312" w:eastAsia="仿宋_GB2312"/>
          <w:sz w:val="28"/>
          <w:szCs w:val="28"/>
          <w:highlight w:val="none"/>
        </w:rPr>
        <w:t>】</w:t>
      </w:r>
    </w:p>
    <w:p w14:paraId="26CF1EF9">
      <w:pPr>
        <w:spacing w:before="120" w:beforeLines="50" w:after="120" w:afterLines="50" w:line="480" w:lineRule="exact"/>
        <w:ind w:firstLine="560" w:firstLineChars="200"/>
        <w:rPr>
          <w:rFonts w:hint="eastAsia" w:ascii="仿宋_GB2312" w:hAnsi="仿宋" w:eastAsia="仿宋_GB2312" w:cs="仿宋"/>
          <w:sz w:val="28"/>
          <w:szCs w:val="28"/>
          <w:highlight w:val="none"/>
        </w:rPr>
      </w:pPr>
      <w:r>
        <w:rPr>
          <w:rFonts w:hint="eastAsia" w:ascii="仿宋_GB2312" w:eastAsia="仿宋_GB2312"/>
          <w:sz w:val="28"/>
          <w:szCs w:val="28"/>
          <w:highlight w:val="none"/>
        </w:rPr>
        <w:t>【</w:t>
      </w:r>
      <w:r>
        <w:rPr>
          <w:rFonts w:hint="eastAsia" w:ascii="仿宋_GB2312" w:eastAsia="仿宋_GB2312"/>
          <w:color w:val="C00000"/>
          <w:sz w:val="28"/>
          <w:szCs w:val="28"/>
          <w:highlight w:val="none"/>
          <w:lang w:eastAsia="zh-CN"/>
        </w:rPr>
        <w:t xml:space="preserve">        </w:t>
      </w:r>
      <w:r>
        <w:rPr>
          <w:rFonts w:hint="eastAsia" w:ascii="仿宋_GB2312" w:eastAsia="仿宋_GB2312"/>
          <w:sz w:val="28"/>
          <w:szCs w:val="28"/>
          <w:highlight w:val="none"/>
        </w:rPr>
        <w:t>】（以下简称本公司）</w:t>
      </w:r>
      <w:r>
        <w:rPr>
          <w:rFonts w:ascii="仿宋_GB2312" w:eastAsia="仿宋_GB2312"/>
          <w:sz w:val="28"/>
          <w:szCs w:val="28"/>
          <w:highlight w:val="none"/>
        </w:rPr>
        <w:t>,</w:t>
      </w:r>
      <w:r>
        <w:rPr>
          <w:rFonts w:hint="eastAsia" w:ascii="仿宋_GB2312" w:hAnsi="仿宋" w:eastAsia="仿宋_GB2312" w:cs="仿宋"/>
          <w:sz w:val="28"/>
          <w:szCs w:val="28"/>
          <w:highlight w:val="none"/>
        </w:rPr>
        <w:t>系依法成立并有效存续的公司。现向本公司【</w:t>
      </w:r>
      <w:r>
        <w:rPr>
          <w:rFonts w:hint="eastAsia" w:ascii="仿宋_GB2312" w:hAnsi="仿宋" w:eastAsia="仿宋_GB2312" w:cs="仿宋"/>
          <w:color w:val="C00000"/>
          <w:sz w:val="28"/>
          <w:szCs w:val="28"/>
          <w:highlight w:val="none"/>
          <w:lang w:eastAsia="zh-CN"/>
        </w:rPr>
        <w:t>广西泛铝件先进制造（迁江）基地一期A区工程市政工程专业分包</w:t>
      </w:r>
      <w:r>
        <w:rPr>
          <w:rFonts w:hint="eastAsia" w:ascii="仿宋_GB2312" w:hAnsi="仿宋" w:eastAsia="仿宋_GB2312" w:cs="仿宋"/>
          <w:sz w:val="28"/>
          <w:szCs w:val="28"/>
          <w:highlight w:val="none"/>
        </w:rPr>
        <w:t>】（以下简称该项目）签发授权书，项目部经理【</w:t>
      </w:r>
      <w:r>
        <w:rPr>
          <w:rFonts w:hint="eastAsia" w:ascii="仿宋_GB2312" w:hAnsi="仿宋" w:eastAsia="仿宋_GB2312" w:cs="仿宋"/>
          <w:color w:val="C00000"/>
          <w:sz w:val="28"/>
          <w:szCs w:val="28"/>
          <w:highlight w:val="none"/>
        </w:rPr>
        <w:t>（姓名+身份证号）</w:t>
      </w:r>
      <w:r>
        <w:rPr>
          <w:rFonts w:hint="eastAsia" w:ascii="仿宋_GB2312" w:hAnsi="仿宋" w:eastAsia="仿宋_GB2312" w:cs="仿宋"/>
          <w:sz w:val="28"/>
          <w:szCs w:val="28"/>
          <w:highlight w:val="none"/>
        </w:rPr>
        <w:t>】代表本公司就该项目相关事务行使权限：</w:t>
      </w:r>
    </w:p>
    <w:p w14:paraId="7B415A62">
      <w:pPr>
        <w:spacing w:before="120" w:beforeLines="50" w:after="120" w:afterLines="50" w:line="480" w:lineRule="exact"/>
        <w:ind w:firstLine="399" w:firstLineChars="142"/>
        <w:jc w:val="left"/>
        <w:rPr>
          <w:rFonts w:hint="eastAsia" w:ascii="仿宋_GB2312" w:hAnsi="仿宋" w:eastAsia="仿宋_GB2312" w:cs="仿宋"/>
          <w:b/>
          <w:sz w:val="28"/>
          <w:szCs w:val="28"/>
          <w:highlight w:val="none"/>
        </w:rPr>
      </w:pPr>
      <w:r>
        <w:rPr>
          <w:rFonts w:hint="eastAsia" w:ascii="仿宋_GB2312" w:hAnsi="仿宋" w:eastAsia="仿宋_GB2312" w:cs="仿宋"/>
          <w:b/>
          <w:sz w:val="28"/>
          <w:szCs w:val="28"/>
          <w:highlight w:val="none"/>
        </w:rPr>
        <w:t>一、项目部有权行使以下权限：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677"/>
        <w:gridCol w:w="1573"/>
        <w:gridCol w:w="5720"/>
      </w:tblGrid>
      <w:tr w14:paraId="7FF6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04BD3B0">
            <w:pPr>
              <w:widowControl/>
              <w:spacing w:line="280" w:lineRule="exact"/>
              <w:jc w:val="center"/>
              <w:rPr>
                <w:rFonts w:hint="eastAsia" w:ascii="仿宋" w:hAnsi="仿宋" w:eastAsia="仿宋" w:cs="仿宋"/>
                <w:b/>
                <w:kern w:val="0"/>
                <w:highlight w:val="none"/>
              </w:rPr>
            </w:pPr>
            <w:r>
              <w:rPr>
                <w:rFonts w:hint="eastAsia" w:ascii="仿宋" w:hAnsi="仿宋" w:eastAsia="仿宋" w:cs="仿宋"/>
                <w:b/>
                <w:kern w:val="0"/>
                <w:highlight w:val="none"/>
              </w:rPr>
              <w:t>序号</w:t>
            </w:r>
          </w:p>
        </w:tc>
        <w:tc>
          <w:tcPr>
            <w:tcW w:w="677" w:type="dxa"/>
            <w:vAlign w:val="center"/>
          </w:tcPr>
          <w:p w14:paraId="1410C72E">
            <w:pPr>
              <w:widowControl/>
              <w:spacing w:line="280" w:lineRule="exact"/>
              <w:jc w:val="center"/>
              <w:rPr>
                <w:rFonts w:hint="eastAsia" w:ascii="仿宋" w:hAnsi="仿宋" w:eastAsia="仿宋" w:cs="仿宋"/>
                <w:b/>
                <w:kern w:val="0"/>
                <w:highlight w:val="none"/>
              </w:rPr>
            </w:pPr>
            <w:r>
              <w:rPr>
                <w:rFonts w:hint="eastAsia" w:ascii="仿宋" w:hAnsi="仿宋" w:eastAsia="仿宋" w:cs="仿宋"/>
                <w:b/>
                <w:kern w:val="0"/>
                <w:highlight w:val="none"/>
              </w:rPr>
              <w:t>板块</w:t>
            </w:r>
          </w:p>
        </w:tc>
        <w:tc>
          <w:tcPr>
            <w:tcW w:w="1573" w:type="dxa"/>
            <w:vAlign w:val="center"/>
          </w:tcPr>
          <w:p w14:paraId="1CBA8056">
            <w:pPr>
              <w:widowControl/>
              <w:spacing w:line="280" w:lineRule="exact"/>
              <w:jc w:val="center"/>
              <w:rPr>
                <w:rFonts w:hint="eastAsia" w:ascii="仿宋" w:hAnsi="仿宋" w:eastAsia="仿宋" w:cs="仿宋"/>
                <w:b/>
                <w:kern w:val="0"/>
                <w:highlight w:val="none"/>
              </w:rPr>
            </w:pPr>
            <w:r>
              <w:rPr>
                <w:rFonts w:hint="eastAsia" w:ascii="仿宋" w:hAnsi="仿宋" w:eastAsia="仿宋" w:cs="仿宋"/>
                <w:b/>
                <w:kern w:val="0"/>
                <w:highlight w:val="none"/>
              </w:rPr>
              <w:t>授权事项</w:t>
            </w:r>
          </w:p>
        </w:tc>
        <w:tc>
          <w:tcPr>
            <w:tcW w:w="5720" w:type="dxa"/>
            <w:vAlign w:val="center"/>
          </w:tcPr>
          <w:p w14:paraId="1D45B37C">
            <w:pPr>
              <w:widowControl/>
              <w:spacing w:line="280" w:lineRule="exact"/>
              <w:jc w:val="center"/>
              <w:rPr>
                <w:rFonts w:hint="eastAsia" w:ascii="仿宋" w:hAnsi="仿宋" w:eastAsia="仿宋" w:cs="仿宋"/>
                <w:b/>
                <w:kern w:val="0"/>
                <w:highlight w:val="none"/>
              </w:rPr>
            </w:pPr>
            <w:r>
              <w:rPr>
                <w:rFonts w:hint="eastAsia" w:ascii="仿宋" w:hAnsi="仿宋" w:eastAsia="仿宋" w:cs="仿宋"/>
                <w:b/>
                <w:kern w:val="0"/>
                <w:highlight w:val="none"/>
              </w:rPr>
              <w:t>授权权限</w:t>
            </w:r>
          </w:p>
        </w:tc>
      </w:tr>
      <w:tr w14:paraId="2415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6D6BD66">
            <w:pPr>
              <w:widowControl/>
              <w:spacing w:line="280" w:lineRule="exact"/>
              <w:jc w:val="center"/>
              <w:rPr>
                <w:rFonts w:hint="eastAsia" w:ascii="仿宋" w:hAnsi="仿宋" w:eastAsia="仿宋" w:cs="仿宋"/>
                <w:b/>
                <w:kern w:val="0"/>
                <w:highlight w:val="none"/>
              </w:rPr>
            </w:pPr>
            <w:r>
              <w:rPr>
                <w:rFonts w:hint="eastAsia" w:ascii="仿宋" w:hAnsi="仿宋" w:eastAsia="仿宋" w:cs="仿宋"/>
                <w:b/>
                <w:kern w:val="0"/>
                <w:highlight w:val="none"/>
              </w:rPr>
              <w:t>1</w:t>
            </w:r>
          </w:p>
        </w:tc>
        <w:tc>
          <w:tcPr>
            <w:tcW w:w="677" w:type="dxa"/>
            <w:vMerge w:val="restart"/>
            <w:vAlign w:val="center"/>
          </w:tcPr>
          <w:p w14:paraId="12B0C171">
            <w:pPr>
              <w:spacing w:line="280" w:lineRule="exact"/>
              <w:jc w:val="center"/>
              <w:rPr>
                <w:rFonts w:hint="eastAsia" w:ascii="仿宋" w:hAnsi="仿宋" w:eastAsia="仿宋" w:cs="仿宋"/>
                <w:b/>
                <w:kern w:val="0"/>
                <w:highlight w:val="none"/>
              </w:rPr>
            </w:pPr>
            <w:r>
              <w:rPr>
                <w:rFonts w:hint="eastAsia" w:ascii="仿宋" w:hAnsi="仿宋" w:eastAsia="仿宋" w:cs="仿宋"/>
                <w:kern w:val="0"/>
                <w:highlight w:val="none"/>
              </w:rPr>
              <w:t>总包管理</w:t>
            </w:r>
          </w:p>
        </w:tc>
        <w:tc>
          <w:tcPr>
            <w:tcW w:w="1573" w:type="dxa"/>
            <w:vAlign w:val="center"/>
          </w:tcPr>
          <w:p w14:paraId="7F1208E5">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申请开工</w:t>
            </w:r>
          </w:p>
        </w:tc>
        <w:tc>
          <w:tcPr>
            <w:tcW w:w="5720" w:type="dxa"/>
            <w:vAlign w:val="center"/>
          </w:tcPr>
          <w:p w14:paraId="33A59926">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有权向建设单位申请开工。</w:t>
            </w:r>
          </w:p>
        </w:tc>
      </w:tr>
      <w:tr w14:paraId="10B11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52" w:type="dxa"/>
            <w:vAlign w:val="center"/>
          </w:tcPr>
          <w:p w14:paraId="33A34E2A">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w:t>
            </w:r>
          </w:p>
        </w:tc>
        <w:tc>
          <w:tcPr>
            <w:tcW w:w="677" w:type="dxa"/>
            <w:vMerge w:val="continue"/>
            <w:vAlign w:val="center"/>
          </w:tcPr>
          <w:p w14:paraId="1C02F93F">
            <w:pPr>
              <w:widowControl/>
              <w:spacing w:line="280" w:lineRule="exact"/>
              <w:jc w:val="center"/>
              <w:rPr>
                <w:rFonts w:hint="eastAsia" w:ascii="仿宋" w:hAnsi="仿宋" w:eastAsia="仿宋" w:cs="仿宋"/>
                <w:kern w:val="0"/>
                <w:highlight w:val="none"/>
              </w:rPr>
            </w:pPr>
          </w:p>
        </w:tc>
        <w:tc>
          <w:tcPr>
            <w:tcW w:w="1573" w:type="dxa"/>
            <w:vAlign w:val="center"/>
          </w:tcPr>
          <w:p w14:paraId="6520C966">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施工方案、施工组织设计</w:t>
            </w:r>
          </w:p>
        </w:tc>
        <w:tc>
          <w:tcPr>
            <w:tcW w:w="5720" w:type="dxa"/>
            <w:vAlign w:val="center"/>
          </w:tcPr>
          <w:p w14:paraId="655EA3C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施工方案、施工组织设计、技术措施的编制、交底、实施和落实。</w:t>
            </w:r>
          </w:p>
        </w:tc>
      </w:tr>
      <w:tr w14:paraId="086E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552" w:type="dxa"/>
            <w:vAlign w:val="center"/>
          </w:tcPr>
          <w:p w14:paraId="5E06E141">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w:t>
            </w:r>
          </w:p>
        </w:tc>
        <w:tc>
          <w:tcPr>
            <w:tcW w:w="677" w:type="dxa"/>
            <w:vMerge w:val="continue"/>
            <w:vAlign w:val="center"/>
          </w:tcPr>
          <w:p w14:paraId="33CC53EC">
            <w:pPr>
              <w:widowControl/>
              <w:spacing w:line="280" w:lineRule="exact"/>
              <w:jc w:val="center"/>
              <w:rPr>
                <w:rFonts w:hint="eastAsia" w:ascii="仿宋" w:hAnsi="仿宋" w:eastAsia="仿宋" w:cs="仿宋"/>
                <w:kern w:val="0"/>
                <w:highlight w:val="none"/>
              </w:rPr>
            </w:pPr>
          </w:p>
        </w:tc>
        <w:tc>
          <w:tcPr>
            <w:tcW w:w="1573" w:type="dxa"/>
            <w:vAlign w:val="center"/>
          </w:tcPr>
          <w:p w14:paraId="401AE733">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报送工程进度</w:t>
            </w:r>
          </w:p>
        </w:tc>
        <w:tc>
          <w:tcPr>
            <w:tcW w:w="5720" w:type="dxa"/>
            <w:vAlign w:val="center"/>
          </w:tcPr>
          <w:p w14:paraId="15E81DDD">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对外报送工程进度计划及调整。</w:t>
            </w:r>
          </w:p>
        </w:tc>
      </w:tr>
      <w:tr w14:paraId="2F71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1B09BD3E">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4</w:t>
            </w:r>
          </w:p>
        </w:tc>
        <w:tc>
          <w:tcPr>
            <w:tcW w:w="677" w:type="dxa"/>
            <w:vMerge w:val="continue"/>
            <w:vAlign w:val="center"/>
          </w:tcPr>
          <w:p w14:paraId="6641B990">
            <w:pPr>
              <w:widowControl/>
              <w:spacing w:line="280" w:lineRule="exact"/>
              <w:jc w:val="left"/>
              <w:rPr>
                <w:rFonts w:hint="eastAsia" w:ascii="仿宋" w:hAnsi="仿宋" w:eastAsia="仿宋" w:cs="仿宋"/>
                <w:kern w:val="0"/>
                <w:highlight w:val="none"/>
              </w:rPr>
            </w:pPr>
          </w:p>
        </w:tc>
        <w:tc>
          <w:tcPr>
            <w:tcW w:w="1573" w:type="dxa"/>
            <w:vAlign w:val="center"/>
          </w:tcPr>
          <w:p w14:paraId="6DCBF28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物资需用计划</w:t>
            </w:r>
          </w:p>
        </w:tc>
        <w:tc>
          <w:tcPr>
            <w:tcW w:w="5720" w:type="dxa"/>
            <w:vAlign w:val="center"/>
          </w:tcPr>
          <w:p w14:paraId="7023632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有权向建设单位报送物资需用计划（适用于工程所需材料由建设单位提供）。</w:t>
            </w:r>
          </w:p>
        </w:tc>
      </w:tr>
      <w:tr w14:paraId="1307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82B2336">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5</w:t>
            </w:r>
          </w:p>
        </w:tc>
        <w:tc>
          <w:tcPr>
            <w:tcW w:w="677" w:type="dxa"/>
            <w:vMerge w:val="continue"/>
            <w:vAlign w:val="center"/>
          </w:tcPr>
          <w:p w14:paraId="54E18867">
            <w:pPr>
              <w:widowControl/>
              <w:spacing w:line="280" w:lineRule="exact"/>
              <w:jc w:val="left"/>
              <w:rPr>
                <w:rFonts w:hint="eastAsia" w:ascii="仿宋" w:hAnsi="仿宋" w:eastAsia="仿宋" w:cs="仿宋"/>
                <w:kern w:val="0"/>
                <w:highlight w:val="none"/>
              </w:rPr>
            </w:pPr>
          </w:p>
        </w:tc>
        <w:tc>
          <w:tcPr>
            <w:tcW w:w="1573" w:type="dxa"/>
            <w:vAlign w:val="center"/>
          </w:tcPr>
          <w:p w14:paraId="5673163C">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甲供材过程及质量问题反馈</w:t>
            </w:r>
          </w:p>
        </w:tc>
        <w:tc>
          <w:tcPr>
            <w:tcW w:w="5720" w:type="dxa"/>
            <w:vAlign w:val="center"/>
          </w:tcPr>
          <w:p w14:paraId="129F4183">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有权就建设单位方供应（控制）的物质，供货过程及质量问题，向建设单位发联系函。</w:t>
            </w:r>
          </w:p>
        </w:tc>
      </w:tr>
      <w:tr w14:paraId="3139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795AA4B2">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6</w:t>
            </w:r>
          </w:p>
        </w:tc>
        <w:tc>
          <w:tcPr>
            <w:tcW w:w="677" w:type="dxa"/>
            <w:vMerge w:val="continue"/>
            <w:vAlign w:val="center"/>
          </w:tcPr>
          <w:p w14:paraId="5E5E023B">
            <w:pPr>
              <w:widowControl/>
              <w:spacing w:line="280" w:lineRule="exact"/>
              <w:jc w:val="left"/>
              <w:rPr>
                <w:rFonts w:hint="eastAsia" w:ascii="仿宋" w:hAnsi="仿宋" w:eastAsia="仿宋" w:cs="仿宋"/>
                <w:kern w:val="0"/>
                <w:highlight w:val="none"/>
              </w:rPr>
            </w:pPr>
          </w:p>
        </w:tc>
        <w:tc>
          <w:tcPr>
            <w:tcW w:w="1573" w:type="dxa"/>
            <w:vAlign w:val="center"/>
          </w:tcPr>
          <w:p w14:paraId="1A60AE50">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废旧物资处理</w:t>
            </w:r>
          </w:p>
        </w:tc>
        <w:tc>
          <w:tcPr>
            <w:tcW w:w="5720" w:type="dxa"/>
            <w:vAlign w:val="center"/>
          </w:tcPr>
          <w:p w14:paraId="146C993B">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有权按公司、分公司确定的方案实施处理废旧物资。</w:t>
            </w:r>
          </w:p>
        </w:tc>
      </w:tr>
      <w:tr w14:paraId="76B8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68E4F698">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7</w:t>
            </w:r>
          </w:p>
        </w:tc>
        <w:tc>
          <w:tcPr>
            <w:tcW w:w="677" w:type="dxa"/>
            <w:vMerge w:val="continue"/>
            <w:vAlign w:val="center"/>
          </w:tcPr>
          <w:p w14:paraId="6F31F0A9">
            <w:pPr>
              <w:widowControl/>
              <w:spacing w:line="280" w:lineRule="exact"/>
              <w:jc w:val="left"/>
              <w:rPr>
                <w:rFonts w:hint="eastAsia" w:ascii="仿宋" w:hAnsi="仿宋" w:eastAsia="仿宋" w:cs="仿宋"/>
                <w:kern w:val="0"/>
                <w:highlight w:val="none"/>
              </w:rPr>
            </w:pPr>
          </w:p>
        </w:tc>
        <w:tc>
          <w:tcPr>
            <w:tcW w:w="1573" w:type="dxa"/>
            <w:vAlign w:val="center"/>
          </w:tcPr>
          <w:p w14:paraId="61CE6101">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设计变更、签证、索赔</w:t>
            </w:r>
          </w:p>
        </w:tc>
        <w:tc>
          <w:tcPr>
            <w:tcW w:w="5720" w:type="dxa"/>
            <w:vAlign w:val="center"/>
          </w:tcPr>
          <w:p w14:paraId="221A3713">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有权向建设单位报送设计变更、签证、索赔报价单（单项索赔金额在100万元以内、索赔工期在30天内的由项目部审批，超过此权限范围外的需将索赔工作方案及相关材料报公司/分公司审批）。</w:t>
            </w:r>
          </w:p>
        </w:tc>
      </w:tr>
      <w:tr w14:paraId="6DB1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AC6380F">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8</w:t>
            </w:r>
          </w:p>
        </w:tc>
        <w:tc>
          <w:tcPr>
            <w:tcW w:w="677" w:type="dxa"/>
            <w:vMerge w:val="continue"/>
            <w:vAlign w:val="center"/>
          </w:tcPr>
          <w:p w14:paraId="63597289">
            <w:pPr>
              <w:widowControl/>
              <w:spacing w:line="280" w:lineRule="exact"/>
              <w:jc w:val="left"/>
              <w:rPr>
                <w:rFonts w:hint="eastAsia" w:ascii="仿宋" w:hAnsi="仿宋" w:eastAsia="仿宋" w:cs="仿宋"/>
                <w:kern w:val="0"/>
                <w:highlight w:val="none"/>
              </w:rPr>
            </w:pPr>
          </w:p>
        </w:tc>
        <w:tc>
          <w:tcPr>
            <w:tcW w:w="1573" w:type="dxa"/>
            <w:vAlign w:val="center"/>
          </w:tcPr>
          <w:p w14:paraId="38F3067C">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对外报量书</w:t>
            </w:r>
          </w:p>
        </w:tc>
        <w:tc>
          <w:tcPr>
            <w:tcW w:w="5720" w:type="dxa"/>
            <w:vAlign w:val="center"/>
          </w:tcPr>
          <w:p w14:paraId="666B3F5A">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有权编制对外报量书并报送甲方审核。</w:t>
            </w:r>
          </w:p>
        </w:tc>
      </w:tr>
      <w:tr w14:paraId="61D3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0CCAB0A3">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9</w:t>
            </w:r>
          </w:p>
        </w:tc>
        <w:tc>
          <w:tcPr>
            <w:tcW w:w="677" w:type="dxa"/>
            <w:vMerge w:val="continue"/>
            <w:vAlign w:val="center"/>
          </w:tcPr>
          <w:p w14:paraId="641E6B08">
            <w:pPr>
              <w:widowControl/>
              <w:spacing w:line="280" w:lineRule="exact"/>
              <w:jc w:val="left"/>
              <w:rPr>
                <w:rFonts w:hint="eastAsia" w:ascii="仿宋" w:hAnsi="仿宋" w:eastAsia="仿宋" w:cs="仿宋"/>
                <w:kern w:val="0"/>
                <w:highlight w:val="none"/>
              </w:rPr>
            </w:pPr>
          </w:p>
        </w:tc>
        <w:tc>
          <w:tcPr>
            <w:tcW w:w="1573" w:type="dxa"/>
            <w:vAlign w:val="center"/>
          </w:tcPr>
          <w:p w14:paraId="3562A1BF">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付款申请</w:t>
            </w:r>
          </w:p>
        </w:tc>
        <w:tc>
          <w:tcPr>
            <w:tcW w:w="5720" w:type="dxa"/>
            <w:vAlign w:val="center"/>
          </w:tcPr>
          <w:p w14:paraId="2EFBBA89">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有权向建设单位提出付款申请。</w:t>
            </w:r>
          </w:p>
        </w:tc>
      </w:tr>
      <w:tr w14:paraId="0512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5929E266">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10</w:t>
            </w:r>
          </w:p>
        </w:tc>
        <w:tc>
          <w:tcPr>
            <w:tcW w:w="677" w:type="dxa"/>
            <w:vMerge w:val="continue"/>
            <w:vAlign w:val="center"/>
          </w:tcPr>
          <w:p w14:paraId="540C63D0">
            <w:pPr>
              <w:widowControl/>
              <w:spacing w:line="280" w:lineRule="exact"/>
              <w:jc w:val="left"/>
              <w:rPr>
                <w:rFonts w:hint="eastAsia" w:ascii="仿宋" w:hAnsi="仿宋" w:eastAsia="仿宋" w:cs="仿宋"/>
                <w:kern w:val="0"/>
                <w:highlight w:val="none"/>
              </w:rPr>
            </w:pPr>
          </w:p>
        </w:tc>
        <w:tc>
          <w:tcPr>
            <w:tcW w:w="1573" w:type="dxa"/>
            <w:vAlign w:val="center"/>
          </w:tcPr>
          <w:p w14:paraId="6F27442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申请工程竣工验收</w:t>
            </w:r>
          </w:p>
        </w:tc>
        <w:tc>
          <w:tcPr>
            <w:tcW w:w="5720" w:type="dxa"/>
            <w:vAlign w:val="center"/>
          </w:tcPr>
          <w:p w14:paraId="76346619">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有权报监理单位、建设单位组织验收（需经分公司/公司审批通过）。验收合格的，有权向建设单位提出竣工验收申请。</w:t>
            </w:r>
          </w:p>
        </w:tc>
      </w:tr>
      <w:tr w14:paraId="6D4E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3240E956">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11</w:t>
            </w:r>
          </w:p>
        </w:tc>
        <w:tc>
          <w:tcPr>
            <w:tcW w:w="677" w:type="dxa"/>
            <w:vMerge w:val="continue"/>
            <w:vAlign w:val="center"/>
          </w:tcPr>
          <w:p w14:paraId="46A4B434">
            <w:pPr>
              <w:widowControl/>
              <w:spacing w:line="280" w:lineRule="exact"/>
              <w:jc w:val="left"/>
              <w:rPr>
                <w:rFonts w:hint="eastAsia" w:ascii="仿宋" w:hAnsi="仿宋" w:eastAsia="仿宋" w:cs="仿宋"/>
                <w:kern w:val="0"/>
                <w:highlight w:val="none"/>
              </w:rPr>
            </w:pPr>
          </w:p>
        </w:tc>
        <w:tc>
          <w:tcPr>
            <w:tcW w:w="1573" w:type="dxa"/>
            <w:vAlign w:val="center"/>
          </w:tcPr>
          <w:p w14:paraId="48AC40C3">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工程交付</w:t>
            </w:r>
          </w:p>
        </w:tc>
        <w:tc>
          <w:tcPr>
            <w:tcW w:w="5720" w:type="dxa"/>
            <w:vAlign w:val="center"/>
          </w:tcPr>
          <w:p w14:paraId="054D3D63">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有权组织向建设单位进行交付（需经分公司/公司审批通过后），办理工程移交单。</w:t>
            </w:r>
          </w:p>
        </w:tc>
      </w:tr>
      <w:tr w14:paraId="1574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44C898D5">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12</w:t>
            </w:r>
          </w:p>
        </w:tc>
        <w:tc>
          <w:tcPr>
            <w:tcW w:w="677" w:type="dxa"/>
            <w:vMerge w:val="continue"/>
            <w:vAlign w:val="center"/>
          </w:tcPr>
          <w:p w14:paraId="3571386C">
            <w:pPr>
              <w:widowControl/>
              <w:spacing w:line="280" w:lineRule="exact"/>
              <w:jc w:val="left"/>
              <w:rPr>
                <w:rFonts w:hint="eastAsia" w:ascii="仿宋" w:hAnsi="仿宋" w:eastAsia="仿宋" w:cs="仿宋"/>
                <w:kern w:val="0"/>
                <w:highlight w:val="none"/>
              </w:rPr>
            </w:pPr>
          </w:p>
        </w:tc>
        <w:tc>
          <w:tcPr>
            <w:tcW w:w="1573" w:type="dxa"/>
            <w:vAlign w:val="center"/>
          </w:tcPr>
          <w:p w14:paraId="0424174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撤销保函</w:t>
            </w:r>
          </w:p>
        </w:tc>
        <w:tc>
          <w:tcPr>
            <w:tcW w:w="5720" w:type="dxa"/>
            <w:vAlign w:val="center"/>
          </w:tcPr>
          <w:p w14:paraId="1CB6C76B">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有权办理我公司对外开立的保函撤销相关工作。</w:t>
            </w:r>
          </w:p>
        </w:tc>
      </w:tr>
      <w:tr w14:paraId="58AB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1F05E010">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13</w:t>
            </w:r>
          </w:p>
        </w:tc>
        <w:tc>
          <w:tcPr>
            <w:tcW w:w="677" w:type="dxa"/>
            <w:vMerge w:val="continue"/>
            <w:vAlign w:val="center"/>
          </w:tcPr>
          <w:p w14:paraId="444164BF">
            <w:pPr>
              <w:widowControl/>
              <w:spacing w:line="280" w:lineRule="exact"/>
              <w:jc w:val="left"/>
              <w:rPr>
                <w:rFonts w:hint="eastAsia" w:ascii="仿宋" w:hAnsi="仿宋" w:eastAsia="仿宋" w:cs="仿宋"/>
                <w:kern w:val="0"/>
                <w:highlight w:val="none"/>
              </w:rPr>
            </w:pPr>
          </w:p>
        </w:tc>
        <w:tc>
          <w:tcPr>
            <w:tcW w:w="1573" w:type="dxa"/>
            <w:vAlign w:val="center"/>
          </w:tcPr>
          <w:p w14:paraId="213BA089">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递交结算资料</w:t>
            </w:r>
          </w:p>
        </w:tc>
        <w:tc>
          <w:tcPr>
            <w:tcW w:w="5720" w:type="dxa"/>
            <w:vAlign w:val="center"/>
          </w:tcPr>
          <w:p w14:paraId="647A258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有权向建设单位递交工程结算书及结算资料（需经分公司/公司审批）。</w:t>
            </w:r>
          </w:p>
        </w:tc>
      </w:tr>
      <w:tr w14:paraId="69254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71FAAEE3">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14</w:t>
            </w:r>
          </w:p>
        </w:tc>
        <w:tc>
          <w:tcPr>
            <w:tcW w:w="677" w:type="dxa"/>
            <w:vMerge w:val="continue"/>
            <w:vAlign w:val="center"/>
          </w:tcPr>
          <w:p w14:paraId="18DA3B73">
            <w:pPr>
              <w:widowControl/>
              <w:spacing w:line="280" w:lineRule="exact"/>
              <w:jc w:val="left"/>
              <w:rPr>
                <w:rFonts w:hint="eastAsia" w:ascii="仿宋" w:hAnsi="仿宋" w:eastAsia="仿宋" w:cs="仿宋"/>
                <w:kern w:val="0"/>
                <w:highlight w:val="none"/>
              </w:rPr>
            </w:pPr>
          </w:p>
        </w:tc>
        <w:tc>
          <w:tcPr>
            <w:tcW w:w="1573" w:type="dxa"/>
            <w:vAlign w:val="center"/>
          </w:tcPr>
          <w:p w14:paraId="4D8117AB">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应收账款对账</w:t>
            </w:r>
          </w:p>
        </w:tc>
        <w:tc>
          <w:tcPr>
            <w:tcW w:w="5720" w:type="dxa"/>
            <w:vAlign w:val="center"/>
          </w:tcPr>
          <w:p w14:paraId="387A8DC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有权与建设单位进行对账，将双方应收（付）账款金额核对一致。</w:t>
            </w:r>
          </w:p>
        </w:tc>
      </w:tr>
      <w:tr w14:paraId="378CE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46B823D2">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15</w:t>
            </w:r>
          </w:p>
        </w:tc>
        <w:tc>
          <w:tcPr>
            <w:tcW w:w="677" w:type="dxa"/>
            <w:vMerge w:val="continue"/>
            <w:vAlign w:val="center"/>
          </w:tcPr>
          <w:p w14:paraId="3BC903BA">
            <w:pPr>
              <w:widowControl/>
              <w:spacing w:line="280" w:lineRule="exact"/>
              <w:jc w:val="left"/>
              <w:rPr>
                <w:rFonts w:hint="eastAsia" w:ascii="仿宋" w:hAnsi="仿宋" w:eastAsia="仿宋" w:cs="仿宋"/>
                <w:kern w:val="0"/>
                <w:highlight w:val="none"/>
              </w:rPr>
            </w:pPr>
          </w:p>
        </w:tc>
        <w:tc>
          <w:tcPr>
            <w:tcW w:w="1573" w:type="dxa"/>
            <w:vAlign w:val="center"/>
          </w:tcPr>
          <w:p w14:paraId="3C37F0D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催款单</w:t>
            </w:r>
          </w:p>
        </w:tc>
        <w:tc>
          <w:tcPr>
            <w:tcW w:w="5720" w:type="dxa"/>
            <w:vAlign w:val="center"/>
          </w:tcPr>
          <w:p w14:paraId="76F55550">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根据《工程施工合同》有关条款，在存在拖欠工程款时，有权向建设单位发函催收。</w:t>
            </w:r>
          </w:p>
        </w:tc>
      </w:tr>
      <w:tr w14:paraId="026F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2E3CC6BE">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16</w:t>
            </w:r>
          </w:p>
        </w:tc>
        <w:tc>
          <w:tcPr>
            <w:tcW w:w="677" w:type="dxa"/>
            <w:vMerge w:val="restart"/>
            <w:vAlign w:val="center"/>
          </w:tcPr>
          <w:p w14:paraId="0731DB22">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分包（供）管理</w:t>
            </w:r>
          </w:p>
        </w:tc>
        <w:tc>
          <w:tcPr>
            <w:tcW w:w="1573" w:type="dxa"/>
            <w:vAlign w:val="center"/>
          </w:tcPr>
          <w:p w14:paraId="2FA421CD">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分包（供）合同管理</w:t>
            </w:r>
          </w:p>
        </w:tc>
        <w:tc>
          <w:tcPr>
            <w:tcW w:w="5720" w:type="dxa"/>
            <w:vAlign w:val="center"/>
          </w:tcPr>
          <w:p w14:paraId="6BC1299D">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有权根据公司/分公司授权范围进行谈判，均需报分公司/公司审批签约。</w:t>
            </w:r>
          </w:p>
        </w:tc>
      </w:tr>
      <w:tr w14:paraId="7DC6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552" w:type="dxa"/>
            <w:vAlign w:val="center"/>
          </w:tcPr>
          <w:p w14:paraId="09876DB0">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17</w:t>
            </w:r>
          </w:p>
        </w:tc>
        <w:tc>
          <w:tcPr>
            <w:tcW w:w="677" w:type="dxa"/>
            <w:vMerge w:val="continue"/>
            <w:vAlign w:val="center"/>
          </w:tcPr>
          <w:p w14:paraId="297C6114">
            <w:pPr>
              <w:widowControl/>
              <w:spacing w:line="280" w:lineRule="exact"/>
              <w:jc w:val="left"/>
              <w:rPr>
                <w:rFonts w:hint="eastAsia" w:ascii="仿宋" w:hAnsi="仿宋" w:eastAsia="仿宋" w:cs="仿宋"/>
                <w:kern w:val="0"/>
                <w:highlight w:val="none"/>
              </w:rPr>
            </w:pPr>
          </w:p>
        </w:tc>
        <w:tc>
          <w:tcPr>
            <w:tcW w:w="1573" w:type="dxa"/>
            <w:vAlign w:val="center"/>
          </w:tcPr>
          <w:p w14:paraId="0FC1C161">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分包（供）合同签证管理</w:t>
            </w:r>
          </w:p>
        </w:tc>
        <w:tc>
          <w:tcPr>
            <w:tcW w:w="5720" w:type="dxa"/>
            <w:vAlign w:val="center"/>
          </w:tcPr>
          <w:p w14:paraId="2E95F309">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分包（供）合同签证接收与初审（单项签证索赔金额在3万元以内，总金额在15万元以内的以项目部为主洽商，结果需报公司/分公司审核，审核后方可作为结算依据；超过需由公司/分公司牵头与项目部共同洽商）。</w:t>
            </w:r>
          </w:p>
        </w:tc>
      </w:tr>
      <w:tr w14:paraId="23384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2D8DAFB2">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18</w:t>
            </w:r>
          </w:p>
        </w:tc>
        <w:tc>
          <w:tcPr>
            <w:tcW w:w="677" w:type="dxa"/>
            <w:vMerge w:val="continue"/>
            <w:vAlign w:val="center"/>
          </w:tcPr>
          <w:p w14:paraId="74BA7778">
            <w:pPr>
              <w:widowControl/>
              <w:spacing w:line="280" w:lineRule="exact"/>
              <w:jc w:val="left"/>
              <w:rPr>
                <w:rFonts w:hint="eastAsia" w:ascii="仿宋" w:hAnsi="仿宋" w:eastAsia="仿宋" w:cs="仿宋"/>
                <w:kern w:val="0"/>
                <w:highlight w:val="none"/>
              </w:rPr>
            </w:pPr>
          </w:p>
        </w:tc>
        <w:tc>
          <w:tcPr>
            <w:tcW w:w="1573" w:type="dxa"/>
            <w:vAlign w:val="center"/>
          </w:tcPr>
          <w:p w14:paraId="61C8897B">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分包劳务工人进退场</w:t>
            </w:r>
          </w:p>
        </w:tc>
        <w:tc>
          <w:tcPr>
            <w:tcW w:w="5720" w:type="dxa"/>
            <w:vAlign w:val="center"/>
          </w:tcPr>
          <w:p w14:paraId="13C9DCA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有权确认劳务分包工人进退场。</w:t>
            </w:r>
          </w:p>
        </w:tc>
      </w:tr>
      <w:tr w14:paraId="6C42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20F7CC46">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19</w:t>
            </w:r>
          </w:p>
        </w:tc>
        <w:tc>
          <w:tcPr>
            <w:tcW w:w="677" w:type="dxa"/>
            <w:vMerge w:val="continue"/>
            <w:vAlign w:val="center"/>
          </w:tcPr>
          <w:p w14:paraId="2C13724B">
            <w:pPr>
              <w:widowControl/>
              <w:spacing w:line="280" w:lineRule="exact"/>
              <w:jc w:val="left"/>
              <w:rPr>
                <w:rFonts w:hint="eastAsia" w:ascii="仿宋" w:hAnsi="仿宋" w:eastAsia="仿宋" w:cs="仿宋"/>
                <w:kern w:val="0"/>
                <w:highlight w:val="none"/>
              </w:rPr>
            </w:pPr>
          </w:p>
        </w:tc>
        <w:tc>
          <w:tcPr>
            <w:tcW w:w="1573" w:type="dxa"/>
            <w:vAlign w:val="center"/>
          </w:tcPr>
          <w:p w14:paraId="1357233E">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劳动力分配计划</w:t>
            </w:r>
          </w:p>
        </w:tc>
        <w:tc>
          <w:tcPr>
            <w:tcW w:w="5720" w:type="dxa"/>
            <w:vAlign w:val="center"/>
          </w:tcPr>
          <w:p w14:paraId="6AE42FA6">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有权要求分包方按要求配置劳动力。</w:t>
            </w:r>
          </w:p>
        </w:tc>
      </w:tr>
      <w:tr w14:paraId="2052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2FD2DE5">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20</w:t>
            </w:r>
          </w:p>
        </w:tc>
        <w:tc>
          <w:tcPr>
            <w:tcW w:w="677" w:type="dxa"/>
            <w:vMerge w:val="continue"/>
            <w:vAlign w:val="center"/>
          </w:tcPr>
          <w:p w14:paraId="2E540901">
            <w:pPr>
              <w:widowControl/>
              <w:spacing w:line="280" w:lineRule="exact"/>
              <w:jc w:val="left"/>
              <w:rPr>
                <w:rFonts w:hint="eastAsia" w:ascii="仿宋" w:hAnsi="仿宋" w:eastAsia="仿宋" w:cs="仿宋"/>
                <w:kern w:val="0"/>
                <w:highlight w:val="none"/>
              </w:rPr>
            </w:pPr>
          </w:p>
        </w:tc>
        <w:tc>
          <w:tcPr>
            <w:tcW w:w="1573" w:type="dxa"/>
            <w:vAlign w:val="center"/>
          </w:tcPr>
          <w:p w14:paraId="780FF535">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现场零星工程指令</w:t>
            </w:r>
          </w:p>
        </w:tc>
        <w:tc>
          <w:tcPr>
            <w:tcW w:w="5720" w:type="dxa"/>
            <w:vAlign w:val="center"/>
          </w:tcPr>
          <w:p w14:paraId="10DD08CA">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有权根据需要向分供方签发现场零星工程指令（金额在5万元以内）。</w:t>
            </w:r>
          </w:p>
        </w:tc>
      </w:tr>
      <w:tr w14:paraId="0D29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552" w:type="dxa"/>
            <w:vMerge w:val="restart"/>
            <w:vAlign w:val="center"/>
          </w:tcPr>
          <w:p w14:paraId="714E61BE">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21</w:t>
            </w:r>
          </w:p>
        </w:tc>
        <w:tc>
          <w:tcPr>
            <w:tcW w:w="677" w:type="dxa"/>
            <w:vMerge w:val="continue"/>
            <w:vAlign w:val="center"/>
          </w:tcPr>
          <w:p w14:paraId="5CC2A4A9">
            <w:pPr>
              <w:widowControl/>
              <w:spacing w:line="280" w:lineRule="exact"/>
              <w:jc w:val="left"/>
              <w:rPr>
                <w:rFonts w:hint="eastAsia" w:ascii="仿宋" w:hAnsi="仿宋" w:eastAsia="仿宋" w:cs="仿宋"/>
                <w:kern w:val="0"/>
                <w:highlight w:val="none"/>
              </w:rPr>
            </w:pPr>
          </w:p>
        </w:tc>
        <w:tc>
          <w:tcPr>
            <w:tcW w:w="1573" w:type="dxa"/>
            <w:vMerge w:val="restart"/>
            <w:vAlign w:val="center"/>
          </w:tcPr>
          <w:p w14:paraId="5CCBC93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紧急采购、零星物资采购</w:t>
            </w:r>
          </w:p>
        </w:tc>
        <w:tc>
          <w:tcPr>
            <w:tcW w:w="5720" w:type="dxa"/>
            <w:vAlign w:val="center"/>
          </w:tcPr>
          <w:p w14:paraId="37ED469F">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零星采购：公司权限内，材料类单项采购金额低于10万元，周转料具类单项租赁金额低于5万元，设备类单项采购金额低于5万元。</w:t>
            </w:r>
          </w:p>
        </w:tc>
      </w:tr>
      <w:tr w14:paraId="1B12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52" w:type="dxa"/>
            <w:vMerge w:val="continue"/>
            <w:vAlign w:val="center"/>
          </w:tcPr>
          <w:p w14:paraId="4C6D1AFF">
            <w:pPr>
              <w:widowControl/>
              <w:spacing w:line="280" w:lineRule="exact"/>
              <w:jc w:val="center"/>
              <w:rPr>
                <w:rFonts w:hint="eastAsia" w:ascii="仿宋" w:hAnsi="仿宋" w:eastAsia="仿宋" w:cs="仿宋"/>
                <w:kern w:val="0"/>
                <w:highlight w:val="none"/>
              </w:rPr>
            </w:pPr>
          </w:p>
        </w:tc>
        <w:tc>
          <w:tcPr>
            <w:tcW w:w="677" w:type="dxa"/>
            <w:vMerge w:val="continue"/>
            <w:vAlign w:val="center"/>
          </w:tcPr>
          <w:p w14:paraId="5BFF9D5D">
            <w:pPr>
              <w:widowControl/>
              <w:spacing w:line="280" w:lineRule="exact"/>
              <w:jc w:val="left"/>
              <w:rPr>
                <w:rFonts w:hint="eastAsia" w:ascii="仿宋" w:hAnsi="仿宋" w:eastAsia="仿宋" w:cs="仿宋"/>
                <w:kern w:val="0"/>
                <w:highlight w:val="none"/>
              </w:rPr>
            </w:pPr>
          </w:p>
        </w:tc>
        <w:tc>
          <w:tcPr>
            <w:tcW w:w="1573" w:type="dxa"/>
            <w:vMerge w:val="continue"/>
            <w:vAlign w:val="center"/>
          </w:tcPr>
          <w:p w14:paraId="56A38264">
            <w:pPr>
              <w:widowControl/>
              <w:spacing w:line="280" w:lineRule="exact"/>
              <w:jc w:val="left"/>
              <w:rPr>
                <w:rFonts w:hint="eastAsia" w:ascii="仿宋" w:hAnsi="仿宋" w:eastAsia="仿宋" w:cs="仿宋"/>
                <w:kern w:val="0"/>
                <w:highlight w:val="none"/>
              </w:rPr>
            </w:pPr>
          </w:p>
        </w:tc>
        <w:tc>
          <w:tcPr>
            <w:tcW w:w="5720" w:type="dxa"/>
            <w:vAlign w:val="center"/>
          </w:tcPr>
          <w:p w14:paraId="633B941E">
            <w:pPr>
              <w:spacing w:line="280" w:lineRule="exact"/>
              <w:jc w:val="left"/>
              <w:rPr>
                <w:rFonts w:hint="eastAsia" w:ascii="仿宋" w:hAnsi="仿宋" w:eastAsia="仿宋" w:cs="仿宋"/>
                <w:highlight w:val="none"/>
              </w:rPr>
            </w:pPr>
            <w:r>
              <w:rPr>
                <w:rFonts w:hint="eastAsia" w:ascii="仿宋" w:hAnsi="仿宋" w:eastAsia="仿宋" w:cs="仿宋"/>
                <w:kern w:val="0"/>
                <w:highlight w:val="none"/>
              </w:rPr>
              <w:t>紧急采购：报公司审核后，项目实施采购。</w:t>
            </w:r>
          </w:p>
        </w:tc>
      </w:tr>
      <w:tr w14:paraId="24AD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552" w:type="dxa"/>
            <w:vAlign w:val="center"/>
          </w:tcPr>
          <w:p w14:paraId="6B7BC31B">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22</w:t>
            </w:r>
          </w:p>
        </w:tc>
        <w:tc>
          <w:tcPr>
            <w:tcW w:w="677" w:type="dxa"/>
            <w:vMerge w:val="continue"/>
            <w:vAlign w:val="center"/>
          </w:tcPr>
          <w:p w14:paraId="518DD252">
            <w:pPr>
              <w:widowControl/>
              <w:spacing w:line="280" w:lineRule="exact"/>
              <w:jc w:val="left"/>
              <w:rPr>
                <w:rFonts w:hint="eastAsia" w:ascii="仿宋" w:hAnsi="仿宋" w:eastAsia="仿宋" w:cs="仿宋"/>
                <w:kern w:val="0"/>
                <w:highlight w:val="none"/>
              </w:rPr>
            </w:pPr>
          </w:p>
        </w:tc>
        <w:tc>
          <w:tcPr>
            <w:tcW w:w="1573" w:type="dxa"/>
            <w:vAlign w:val="center"/>
          </w:tcPr>
          <w:p w14:paraId="3BC40FC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材料、料具、设备进退场</w:t>
            </w:r>
          </w:p>
        </w:tc>
        <w:tc>
          <w:tcPr>
            <w:tcW w:w="5720" w:type="dxa"/>
            <w:vAlign w:val="center"/>
          </w:tcPr>
          <w:p w14:paraId="286C8E7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有权向分供方发送物资进退场通知单；有权确认材料、料具、设备及退货材料的进退场单据。</w:t>
            </w:r>
          </w:p>
        </w:tc>
      </w:tr>
      <w:tr w14:paraId="470A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57FEA7DE">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23</w:t>
            </w:r>
          </w:p>
        </w:tc>
        <w:tc>
          <w:tcPr>
            <w:tcW w:w="677" w:type="dxa"/>
            <w:vMerge w:val="continue"/>
            <w:vAlign w:val="center"/>
          </w:tcPr>
          <w:p w14:paraId="76E700A3">
            <w:pPr>
              <w:widowControl/>
              <w:spacing w:line="280" w:lineRule="exact"/>
              <w:jc w:val="left"/>
              <w:rPr>
                <w:rFonts w:hint="eastAsia" w:ascii="仿宋" w:hAnsi="仿宋" w:eastAsia="仿宋" w:cs="仿宋"/>
                <w:kern w:val="0"/>
                <w:highlight w:val="none"/>
              </w:rPr>
            </w:pPr>
          </w:p>
        </w:tc>
        <w:tc>
          <w:tcPr>
            <w:tcW w:w="1573" w:type="dxa"/>
            <w:vAlign w:val="center"/>
          </w:tcPr>
          <w:p w14:paraId="2C350AF1">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物资发放</w:t>
            </w:r>
          </w:p>
        </w:tc>
        <w:tc>
          <w:tcPr>
            <w:tcW w:w="5720" w:type="dxa"/>
            <w:vAlign w:val="center"/>
          </w:tcPr>
          <w:p w14:paraId="3FE82A45">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有权确认有关物资发放的领料单、退货单、混凝土浇灌申请表（不含调拨单）。</w:t>
            </w:r>
          </w:p>
        </w:tc>
      </w:tr>
      <w:tr w14:paraId="07C0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552" w:type="dxa"/>
            <w:vAlign w:val="center"/>
          </w:tcPr>
          <w:p w14:paraId="5B114CFD">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24</w:t>
            </w:r>
          </w:p>
        </w:tc>
        <w:tc>
          <w:tcPr>
            <w:tcW w:w="677" w:type="dxa"/>
            <w:vMerge w:val="continue"/>
            <w:vAlign w:val="center"/>
          </w:tcPr>
          <w:p w14:paraId="0AB0DFDC">
            <w:pPr>
              <w:widowControl/>
              <w:spacing w:line="280" w:lineRule="exact"/>
              <w:jc w:val="left"/>
              <w:rPr>
                <w:rFonts w:hint="eastAsia" w:ascii="仿宋" w:hAnsi="仿宋" w:eastAsia="仿宋" w:cs="仿宋"/>
                <w:kern w:val="0"/>
                <w:highlight w:val="none"/>
              </w:rPr>
            </w:pPr>
          </w:p>
        </w:tc>
        <w:tc>
          <w:tcPr>
            <w:tcW w:w="1573" w:type="dxa"/>
            <w:vAlign w:val="center"/>
          </w:tcPr>
          <w:p w14:paraId="634B5EE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履约整改通知</w:t>
            </w:r>
          </w:p>
        </w:tc>
        <w:tc>
          <w:tcPr>
            <w:tcW w:w="5720" w:type="dxa"/>
            <w:vAlign w:val="center"/>
          </w:tcPr>
          <w:p w14:paraId="0B1B8988">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对分包分供方工程项目的履约情况进行监控和核查，发现问题后，有权通知要求分包分供方进行整改。</w:t>
            </w:r>
          </w:p>
        </w:tc>
      </w:tr>
      <w:tr w14:paraId="1BEE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3949F4AD">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25</w:t>
            </w:r>
          </w:p>
        </w:tc>
        <w:tc>
          <w:tcPr>
            <w:tcW w:w="677" w:type="dxa"/>
            <w:vMerge w:val="continue"/>
            <w:vAlign w:val="center"/>
          </w:tcPr>
          <w:p w14:paraId="4CCEB994">
            <w:pPr>
              <w:widowControl/>
              <w:spacing w:line="280" w:lineRule="exact"/>
              <w:jc w:val="left"/>
              <w:rPr>
                <w:rFonts w:hint="eastAsia" w:ascii="仿宋" w:hAnsi="仿宋" w:eastAsia="仿宋" w:cs="仿宋"/>
                <w:kern w:val="0"/>
                <w:highlight w:val="none"/>
              </w:rPr>
            </w:pPr>
          </w:p>
        </w:tc>
        <w:tc>
          <w:tcPr>
            <w:tcW w:w="1573" w:type="dxa"/>
            <w:vAlign w:val="center"/>
          </w:tcPr>
          <w:p w14:paraId="14C71E43">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分包分供方处罚</w:t>
            </w:r>
          </w:p>
        </w:tc>
        <w:tc>
          <w:tcPr>
            <w:tcW w:w="5720" w:type="dxa"/>
            <w:vAlign w:val="center"/>
          </w:tcPr>
          <w:p w14:paraId="2ED15C5D">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有权根据合同约定对不服从管理或违约的分包分供方作出处罚的决定。</w:t>
            </w:r>
          </w:p>
        </w:tc>
      </w:tr>
      <w:tr w14:paraId="5006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552" w:type="dxa"/>
            <w:vAlign w:val="center"/>
          </w:tcPr>
          <w:p w14:paraId="05D077C5">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26</w:t>
            </w:r>
          </w:p>
        </w:tc>
        <w:tc>
          <w:tcPr>
            <w:tcW w:w="677" w:type="dxa"/>
            <w:vMerge w:val="continue"/>
            <w:vAlign w:val="center"/>
          </w:tcPr>
          <w:p w14:paraId="7287BFB3">
            <w:pPr>
              <w:widowControl/>
              <w:spacing w:line="280" w:lineRule="exact"/>
              <w:jc w:val="left"/>
              <w:rPr>
                <w:rFonts w:hint="eastAsia" w:ascii="仿宋" w:hAnsi="仿宋" w:eastAsia="仿宋" w:cs="仿宋"/>
                <w:kern w:val="0"/>
                <w:highlight w:val="none"/>
              </w:rPr>
            </w:pPr>
          </w:p>
        </w:tc>
        <w:tc>
          <w:tcPr>
            <w:tcW w:w="1573" w:type="dxa"/>
            <w:vAlign w:val="center"/>
          </w:tcPr>
          <w:p w14:paraId="62F4946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分包分供方结算扣款</w:t>
            </w:r>
          </w:p>
        </w:tc>
        <w:tc>
          <w:tcPr>
            <w:tcW w:w="5720" w:type="dxa"/>
            <w:vAlign w:val="center"/>
          </w:tcPr>
          <w:p w14:paraId="298279A8">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有权在中间结算和最终结算时扣除分包分供方应扣款项（包括但不限于委托采购材料扣款、料具、机械租赁费扣款、项目现场管理费用扣款、临建费、维修费扣款、规费分摊扣款、水电费、罚款及税金扣款等）。</w:t>
            </w:r>
          </w:p>
        </w:tc>
      </w:tr>
      <w:tr w14:paraId="462D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70F87016">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27</w:t>
            </w:r>
          </w:p>
        </w:tc>
        <w:tc>
          <w:tcPr>
            <w:tcW w:w="677" w:type="dxa"/>
            <w:vMerge w:val="restart"/>
            <w:vAlign w:val="center"/>
          </w:tcPr>
          <w:p w14:paraId="40BE400C">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安全管理</w:t>
            </w:r>
          </w:p>
        </w:tc>
        <w:tc>
          <w:tcPr>
            <w:tcW w:w="1573" w:type="dxa"/>
            <w:vAlign w:val="center"/>
          </w:tcPr>
          <w:p w14:paraId="28AFCB06">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事故现场秩序维护</w:t>
            </w:r>
          </w:p>
        </w:tc>
        <w:tc>
          <w:tcPr>
            <w:tcW w:w="5720" w:type="dxa"/>
            <w:vAlign w:val="center"/>
          </w:tcPr>
          <w:p w14:paraId="6BC3FF51">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有权维护安全事故现场秩序。涉及赔偿的，赔偿数额确定需经分公司审批（不含安全事故责任认定及赔偿）。</w:t>
            </w:r>
          </w:p>
        </w:tc>
      </w:tr>
      <w:tr w14:paraId="2F8C9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8EED739">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28</w:t>
            </w:r>
          </w:p>
        </w:tc>
        <w:tc>
          <w:tcPr>
            <w:tcW w:w="677" w:type="dxa"/>
            <w:vMerge w:val="continue"/>
            <w:vAlign w:val="center"/>
          </w:tcPr>
          <w:p w14:paraId="56551A78">
            <w:pPr>
              <w:widowControl/>
              <w:spacing w:line="280" w:lineRule="exact"/>
              <w:jc w:val="left"/>
              <w:rPr>
                <w:rFonts w:hint="eastAsia" w:ascii="仿宋" w:hAnsi="仿宋" w:eastAsia="仿宋" w:cs="仿宋"/>
                <w:kern w:val="0"/>
                <w:highlight w:val="none"/>
              </w:rPr>
            </w:pPr>
          </w:p>
        </w:tc>
        <w:tc>
          <w:tcPr>
            <w:tcW w:w="1573" w:type="dxa"/>
            <w:vAlign w:val="center"/>
          </w:tcPr>
          <w:p w14:paraId="03E8AA99">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安全事故处理方案</w:t>
            </w:r>
          </w:p>
        </w:tc>
        <w:tc>
          <w:tcPr>
            <w:tcW w:w="5720" w:type="dxa"/>
            <w:vAlign w:val="center"/>
          </w:tcPr>
          <w:p w14:paraId="390C72E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发生安全事故后，有权启动应急预案。</w:t>
            </w:r>
          </w:p>
        </w:tc>
      </w:tr>
      <w:tr w14:paraId="6B5E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52" w:type="dxa"/>
            <w:vAlign w:val="center"/>
          </w:tcPr>
          <w:p w14:paraId="115ABA51">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29</w:t>
            </w:r>
          </w:p>
        </w:tc>
        <w:tc>
          <w:tcPr>
            <w:tcW w:w="677" w:type="dxa"/>
            <w:vMerge w:val="restart"/>
            <w:vAlign w:val="center"/>
          </w:tcPr>
          <w:p w14:paraId="636E0401">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质量管理</w:t>
            </w:r>
          </w:p>
        </w:tc>
        <w:tc>
          <w:tcPr>
            <w:tcW w:w="1573" w:type="dxa"/>
            <w:vAlign w:val="center"/>
          </w:tcPr>
          <w:p w14:paraId="24BD239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质量验收</w:t>
            </w:r>
          </w:p>
        </w:tc>
        <w:tc>
          <w:tcPr>
            <w:tcW w:w="5720" w:type="dxa"/>
            <w:vAlign w:val="center"/>
          </w:tcPr>
          <w:p w14:paraId="69E06A20">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有权组织实施质量验收工作。</w:t>
            </w:r>
          </w:p>
        </w:tc>
      </w:tr>
      <w:tr w14:paraId="036AB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52A371C4">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30</w:t>
            </w:r>
          </w:p>
        </w:tc>
        <w:tc>
          <w:tcPr>
            <w:tcW w:w="677" w:type="dxa"/>
            <w:vMerge w:val="continue"/>
            <w:vAlign w:val="center"/>
          </w:tcPr>
          <w:p w14:paraId="5393C77C">
            <w:pPr>
              <w:widowControl/>
              <w:spacing w:line="280" w:lineRule="exact"/>
              <w:jc w:val="left"/>
              <w:rPr>
                <w:rFonts w:hint="eastAsia" w:ascii="仿宋" w:hAnsi="仿宋" w:eastAsia="仿宋" w:cs="仿宋"/>
                <w:kern w:val="0"/>
                <w:highlight w:val="none"/>
              </w:rPr>
            </w:pPr>
          </w:p>
        </w:tc>
        <w:tc>
          <w:tcPr>
            <w:tcW w:w="1573" w:type="dxa"/>
            <w:vAlign w:val="center"/>
          </w:tcPr>
          <w:p w14:paraId="31F964B0">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质量事故应急措施</w:t>
            </w:r>
          </w:p>
        </w:tc>
        <w:tc>
          <w:tcPr>
            <w:tcW w:w="5720" w:type="dxa"/>
            <w:vAlign w:val="center"/>
          </w:tcPr>
          <w:p w14:paraId="3804798B">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质量事故发生后，有权立即采取措施防止事故扩大（1小时内上报分公司）。</w:t>
            </w:r>
          </w:p>
        </w:tc>
      </w:tr>
      <w:tr w14:paraId="1575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D1EBDEF">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31</w:t>
            </w:r>
          </w:p>
        </w:tc>
        <w:tc>
          <w:tcPr>
            <w:tcW w:w="677" w:type="dxa"/>
            <w:vMerge w:val="continue"/>
            <w:vAlign w:val="center"/>
          </w:tcPr>
          <w:p w14:paraId="3005F673">
            <w:pPr>
              <w:widowControl/>
              <w:spacing w:line="280" w:lineRule="exact"/>
              <w:jc w:val="left"/>
              <w:rPr>
                <w:rFonts w:hint="eastAsia" w:ascii="仿宋" w:hAnsi="仿宋" w:eastAsia="仿宋" w:cs="仿宋"/>
                <w:kern w:val="0"/>
                <w:highlight w:val="none"/>
              </w:rPr>
            </w:pPr>
          </w:p>
        </w:tc>
        <w:tc>
          <w:tcPr>
            <w:tcW w:w="1573" w:type="dxa"/>
            <w:vAlign w:val="center"/>
          </w:tcPr>
          <w:p w14:paraId="17CBA058">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质量事故处理方案</w:t>
            </w:r>
          </w:p>
        </w:tc>
        <w:tc>
          <w:tcPr>
            <w:tcW w:w="5720" w:type="dxa"/>
            <w:vAlign w:val="center"/>
          </w:tcPr>
          <w:p w14:paraId="257BD2F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有权按照公司、分公司制定质量事故处理方案处理事故相关事宜。</w:t>
            </w:r>
          </w:p>
        </w:tc>
      </w:tr>
      <w:tr w14:paraId="5FAB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10544F3C">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32</w:t>
            </w:r>
          </w:p>
        </w:tc>
        <w:tc>
          <w:tcPr>
            <w:tcW w:w="677" w:type="dxa"/>
            <w:vAlign w:val="center"/>
          </w:tcPr>
          <w:p w14:paraId="4D939836">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环境管理</w:t>
            </w:r>
          </w:p>
        </w:tc>
        <w:tc>
          <w:tcPr>
            <w:tcW w:w="1573" w:type="dxa"/>
            <w:vAlign w:val="center"/>
          </w:tcPr>
          <w:p w14:paraId="3F0CE19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环境污染事故应急措施</w:t>
            </w:r>
          </w:p>
        </w:tc>
        <w:tc>
          <w:tcPr>
            <w:tcW w:w="5720" w:type="dxa"/>
            <w:vAlign w:val="center"/>
          </w:tcPr>
          <w:p w14:paraId="45C2520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环境污染事故发生后，有权立即采取措施防止事故扩大（1小时内上报分公司）。</w:t>
            </w:r>
          </w:p>
        </w:tc>
      </w:tr>
      <w:tr w14:paraId="151A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BCAA6C1">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33</w:t>
            </w:r>
          </w:p>
        </w:tc>
        <w:tc>
          <w:tcPr>
            <w:tcW w:w="677" w:type="dxa"/>
            <w:vMerge w:val="restart"/>
            <w:vAlign w:val="center"/>
          </w:tcPr>
          <w:p w14:paraId="67BB8C42">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维保管理</w:t>
            </w:r>
          </w:p>
        </w:tc>
        <w:tc>
          <w:tcPr>
            <w:tcW w:w="1573" w:type="dxa"/>
            <w:vAlign w:val="center"/>
          </w:tcPr>
          <w:p w14:paraId="3A35CFE9">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维修整改通知</w:t>
            </w:r>
          </w:p>
        </w:tc>
        <w:tc>
          <w:tcPr>
            <w:tcW w:w="5720" w:type="dxa"/>
            <w:vAlign w:val="center"/>
          </w:tcPr>
          <w:p w14:paraId="0323C3D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有权向分包分供方发送维修整改通知。</w:t>
            </w:r>
          </w:p>
        </w:tc>
      </w:tr>
      <w:tr w14:paraId="2ED2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4E47C9A3">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34</w:t>
            </w:r>
          </w:p>
        </w:tc>
        <w:tc>
          <w:tcPr>
            <w:tcW w:w="677" w:type="dxa"/>
            <w:vMerge w:val="continue"/>
            <w:vAlign w:val="center"/>
          </w:tcPr>
          <w:p w14:paraId="7A8C5E6A">
            <w:pPr>
              <w:widowControl/>
              <w:spacing w:line="280" w:lineRule="exact"/>
              <w:jc w:val="left"/>
              <w:rPr>
                <w:rFonts w:hint="eastAsia" w:ascii="仿宋" w:hAnsi="仿宋" w:eastAsia="仿宋" w:cs="仿宋"/>
                <w:kern w:val="0"/>
                <w:highlight w:val="none"/>
              </w:rPr>
            </w:pPr>
          </w:p>
        </w:tc>
        <w:tc>
          <w:tcPr>
            <w:tcW w:w="1573" w:type="dxa"/>
            <w:vAlign w:val="center"/>
          </w:tcPr>
          <w:p w14:paraId="0810C48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协商维修方案</w:t>
            </w:r>
          </w:p>
        </w:tc>
        <w:tc>
          <w:tcPr>
            <w:tcW w:w="5720" w:type="dxa"/>
            <w:vAlign w:val="center"/>
          </w:tcPr>
          <w:p w14:paraId="6F88E1EA">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对存在的质量问题有权与建设单位协商维修方案。</w:t>
            </w:r>
          </w:p>
        </w:tc>
      </w:tr>
      <w:tr w14:paraId="24EA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1BA54B3C">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35</w:t>
            </w:r>
          </w:p>
        </w:tc>
        <w:tc>
          <w:tcPr>
            <w:tcW w:w="677" w:type="dxa"/>
            <w:vMerge w:val="continue"/>
            <w:vAlign w:val="center"/>
          </w:tcPr>
          <w:p w14:paraId="5C015CBC">
            <w:pPr>
              <w:widowControl/>
              <w:spacing w:line="280" w:lineRule="exact"/>
              <w:jc w:val="left"/>
              <w:rPr>
                <w:rFonts w:hint="eastAsia" w:ascii="仿宋" w:hAnsi="仿宋" w:eastAsia="仿宋" w:cs="仿宋"/>
                <w:kern w:val="0"/>
                <w:highlight w:val="none"/>
              </w:rPr>
            </w:pPr>
          </w:p>
        </w:tc>
        <w:tc>
          <w:tcPr>
            <w:tcW w:w="1573" w:type="dxa"/>
            <w:vAlign w:val="center"/>
          </w:tcPr>
          <w:p w14:paraId="788D5E1B">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组织维修</w:t>
            </w:r>
          </w:p>
        </w:tc>
        <w:tc>
          <w:tcPr>
            <w:tcW w:w="5720" w:type="dxa"/>
            <w:vAlign w:val="center"/>
          </w:tcPr>
          <w:p w14:paraId="35828D48">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有权向建设单位报送维修登记单、维修任务书。</w:t>
            </w:r>
          </w:p>
        </w:tc>
      </w:tr>
      <w:tr w14:paraId="6AC0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2" w:type="dxa"/>
            <w:vAlign w:val="center"/>
          </w:tcPr>
          <w:p w14:paraId="397AAAB4">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36</w:t>
            </w:r>
          </w:p>
        </w:tc>
        <w:tc>
          <w:tcPr>
            <w:tcW w:w="677" w:type="dxa"/>
            <w:vMerge w:val="continue"/>
            <w:vAlign w:val="center"/>
          </w:tcPr>
          <w:p w14:paraId="01028240">
            <w:pPr>
              <w:widowControl/>
              <w:spacing w:line="280" w:lineRule="exact"/>
              <w:jc w:val="left"/>
              <w:rPr>
                <w:rFonts w:hint="eastAsia" w:ascii="仿宋" w:hAnsi="仿宋" w:eastAsia="仿宋" w:cs="仿宋"/>
                <w:kern w:val="0"/>
                <w:highlight w:val="none"/>
              </w:rPr>
            </w:pPr>
          </w:p>
        </w:tc>
        <w:tc>
          <w:tcPr>
            <w:tcW w:w="1573" w:type="dxa"/>
            <w:vAlign w:val="center"/>
          </w:tcPr>
          <w:p w14:paraId="277B1816">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维修验收</w:t>
            </w:r>
          </w:p>
        </w:tc>
        <w:tc>
          <w:tcPr>
            <w:tcW w:w="5720" w:type="dxa"/>
            <w:vAlign w:val="center"/>
          </w:tcPr>
          <w:p w14:paraId="28CCB4F4">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有权组织建设单位对保修工作进行验收、有权组织对分包分供的维修验收。</w:t>
            </w:r>
          </w:p>
        </w:tc>
      </w:tr>
      <w:tr w14:paraId="376F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552" w:type="dxa"/>
            <w:vMerge w:val="restart"/>
            <w:vAlign w:val="center"/>
          </w:tcPr>
          <w:p w14:paraId="7C9CB237">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37</w:t>
            </w:r>
          </w:p>
        </w:tc>
        <w:tc>
          <w:tcPr>
            <w:tcW w:w="677" w:type="dxa"/>
            <w:vMerge w:val="restart"/>
            <w:vAlign w:val="center"/>
          </w:tcPr>
          <w:p w14:paraId="19A9A020">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催收清欠</w:t>
            </w:r>
          </w:p>
        </w:tc>
        <w:tc>
          <w:tcPr>
            <w:tcW w:w="1573" w:type="dxa"/>
            <w:vAlign w:val="center"/>
          </w:tcPr>
          <w:p w14:paraId="02295B2D">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质保金到期催付</w:t>
            </w:r>
          </w:p>
        </w:tc>
        <w:tc>
          <w:tcPr>
            <w:tcW w:w="5720" w:type="dxa"/>
            <w:vAlign w:val="center"/>
          </w:tcPr>
          <w:p w14:paraId="159822E5">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有权向建设单位发《保修期满通知书》。</w:t>
            </w:r>
          </w:p>
        </w:tc>
      </w:tr>
      <w:tr w14:paraId="43FB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552" w:type="dxa"/>
            <w:vMerge w:val="continue"/>
            <w:vAlign w:val="center"/>
          </w:tcPr>
          <w:p w14:paraId="59526170">
            <w:pPr>
              <w:widowControl/>
              <w:spacing w:line="280" w:lineRule="exact"/>
              <w:jc w:val="center"/>
              <w:rPr>
                <w:rFonts w:hint="eastAsia" w:ascii="仿宋" w:hAnsi="仿宋" w:eastAsia="仿宋" w:cs="仿宋"/>
                <w:kern w:val="0"/>
                <w:highlight w:val="none"/>
              </w:rPr>
            </w:pPr>
          </w:p>
        </w:tc>
        <w:tc>
          <w:tcPr>
            <w:tcW w:w="677" w:type="dxa"/>
            <w:vMerge w:val="continue"/>
            <w:vAlign w:val="center"/>
          </w:tcPr>
          <w:p w14:paraId="208175B1">
            <w:pPr>
              <w:widowControl/>
              <w:spacing w:line="280" w:lineRule="exact"/>
              <w:jc w:val="left"/>
              <w:rPr>
                <w:rFonts w:hint="eastAsia" w:ascii="仿宋" w:hAnsi="仿宋" w:eastAsia="仿宋" w:cs="仿宋"/>
                <w:kern w:val="0"/>
                <w:highlight w:val="none"/>
              </w:rPr>
            </w:pPr>
          </w:p>
        </w:tc>
        <w:tc>
          <w:tcPr>
            <w:tcW w:w="1573" w:type="dxa"/>
            <w:vAlign w:val="center"/>
          </w:tcPr>
          <w:p w14:paraId="15E8DD4C">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其他到期应付款催付</w:t>
            </w:r>
          </w:p>
        </w:tc>
        <w:tc>
          <w:tcPr>
            <w:tcW w:w="5720" w:type="dxa"/>
            <w:vAlign w:val="center"/>
          </w:tcPr>
          <w:p w14:paraId="6134F6D7">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有权向建设单位发催款函。</w:t>
            </w:r>
          </w:p>
        </w:tc>
      </w:tr>
      <w:tr w14:paraId="32B8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Merge w:val="continue"/>
            <w:vAlign w:val="center"/>
          </w:tcPr>
          <w:p w14:paraId="27725766">
            <w:pPr>
              <w:widowControl/>
              <w:spacing w:line="280" w:lineRule="exact"/>
              <w:jc w:val="center"/>
              <w:rPr>
                <w:rFonts w:hint="eastAsia" w:ascii="仿宋" w:hAnsi="仿宋" w:eastAsia="仿宋" w:cs="仿宋"/>
                <w:kern w:val="0"/>
                <w:highlight w:val="none"/>
              </w:rPr>
            </w:pPr>
          </w:p>
        </w:tc>
        <w:tc>
          <w:tcPr>
            <w:tcW w:w="677" w:type="dxa"/>
            <w:vMerge w:val="continue"/>
            <w:vAlign w:val="center"/>
          </w:tcPr>
          <w:p w14:paraId="30346B33">
            <w:pPr>
              <w:widowControl/>
              <w:spacing w:line="280" w:lineRule="exact"/>
              <w:jc w:val="center"/>
              <w:rPr>
                <w:rFonts w:hint="eastAsia" w:ascii="仿宋" w:hAnsi="仿宋" w:eastAsia="仿宋" w:cs="仿宋"/>
                <w:kern w:val="0"/>
                <w:highlight w:val="none"/>
              </w:rPr>
            </w:pPr>
          </w:p>
        </w:tc>
        <w:tc>
          <w:tcPr>
            <w:tcW w:w="1573" w:type="dxa"/>
            <w:vAlign w:val="center"/>
          </w:tcPr>
          <w:p w14:paraId="6845F4E2">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lang w:val="en-US" w:eastAsia="zh-CN"/>
              </w:rPr>
              <w:t>分包清欠工作</w:t>
            </w:r>
          </w:p>
        </w:tc>
        <w:tc>
          <w:tcPr>
            <w:tcW w:w="5720" w:type="dxa"/>
            <w:vAlign w:val="center"/>
          </w:tcPr>
          <w:p w14:paraId="65FFB0B5">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sz w:val="21"/>
                <w:szCs w:val="24"/>
                <w:highlight w:val="none"/>
              </w:rPr>
              <w:t>欠款（人工费、工程款）投诉线索收集及清欠工作统筹</w:t>
            </w:r>
          </w:p>
        </w:tc>
      </w:tr>
      <w:tr w14:paraId="54C8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52" w:type="dxa"/>
            <w:vAlign w:val="center"/>
          </w:tcPr>
          <w:p w14:paraId="45919EBA">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38</w:t>
            </w:r>
          </w:p>
        </w:tc>
        <w:tc>
          <w:tcPr>
            <w:tcW w:w="677" w:type="dxa"/>
            <w:vAlign w:val="center"/>
          </w:tcPr>
          <w:p w14:paraId="77BFF74C">
            <w:pPr>
              <w:widowControl/>
              <w:spacing w:line="280" w:lineRule="exact"/>
              <w:jc w:val="center"/>
              <w:rPr>
                <w:rFonts w:hint="eastAsia" w:ascii="仿宋" w:hAnsi="仿宋" w:eastAsia="仿宋" w:cs="仿宋"/>
                <w:kern w:val="0"/>
                <w:highlight w:val="none"/>
              </w:rPr>
            </w:pPr>
            <w:r>
              <w:rPr>
                <w:rFonts w:hint="eastAsia" w:ascii="仿宋" w:hAnsi="仿宋" w:eastAsia="仿宋" w:cs="仿宋"/>
                <w:kern w:val="0"/>
                <w:highlight w:val="none"/>
              </w:rPr>
              <w:t>往来函件</w:t>
            </w:r>
          </w:p>
        </w:tc>
        <w:tc>
          <w:tcPr>
            <w:tcW w:w="1573" w:type="dxa"/>
            <w:vAlign w:val="center"/>
          </w:tcPr>
          <w:p w14:paraId="51982EB8">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工程往来函件</w:t>
            </w:r>
          </w:p>
        </w:tc>
        <w:tc>
          <w:tcPr>
            <w:tcW w:w="5720" w:type="dxa"/>
            <w:vAlign w:val="center"/>
          </w:tcPr>
          <w:p w14:paraId="62A6B135">
            <w:pPr>
              <w:widowControl/>
              <w:spacing w:line="280" w:lineRule="exact"/>
              <w:jc w:val="left"/>
              <w:rPr>
                <w:rFonts w:hint="eastAsia" w:ascii="仿宋" w:hAnsi="仿宋" w:eastAsia="仿宋" w:cs="仿宋"/>
                <w:kern w:val="0"/>
                <w:highlight w:val="none"/>
              </w:rPr>
            </w:pPr>
            <w:r>
              <w:rPr>
                <w:rFonts w:hint="eastAsia" w:ascii="仿宋" w:hAnsi="仿宋" w:eastAsia="仿宋" w:cs="仿宋"/>
                <w:kern w:val="0"/>
                <w:highlight w:val="none"/>
              </w:rPr>
              <w:t>有权报送或接收项目工程联系函（如图纸会审、技术核定、设计变更通知等）。</w:t>
            </w:r>
          </w:p>
        </w:tc>
      </w:tr>
    </w:tbl>
    <w:p w14:paraId="66CC38E8">
      <w:pPr>
        <w:spacing w:line="520" w:lineRule="exact"/>
        <w:ind w:firstLine="342" w:firstLineChars="142"/>
        <w:jc w:val="left"/>
        <w:rPr>
          <w:rFonts w:hint="eastAsia" w:ascii="仿宋" w:hAnsi="仿宋" w:eastAsia="仿宋" w:cs="仿宋"/>
          <w:b/>
          <w:sz w:val="24"/>
          <w:highlight w:val="none"/>
        </w:rPr>
      </w:pPr>
      <w:r>
        <w:rPr>
          <w:rFonts w:hint="eastAsia" w:ascii="仿宋" w:hAnsi="仿宋" w:eastAsia="仿宋" w:cs="仿宋"/>
          <w:b/>
          <w:sz w:val="24"/>
          <w:highlight w:val="none"/>
        </w:rPr>
        <w:t>二、项目部无权决定或审批以下事项：</w:t>
      </w:r>
    </w:p>
    <w:tbl>
      <w:tblPr>
        <w:tblStyle w:val="26"/>
        <w:tblW w:w="0" w:type="auto"/>
        <w:tblInd w:w="108" w:type="dxa"/>
        <w:tblLayout w:type="fixed"/>
        <w:tblCellMar>
          <w:top w:w="0" w:type="dxa"/>
          <w:left w:w="108" w:type="dxa"/>
          <w:bottom w:w="0" w:type="dxa"/>
          <w:right w:w="108" w:type="dxa"/>
        </w:tblCellMar>
      </w:tblPr>
      <w:tblGrid>
        <w:gridCol w:w="709"/>
        <w:gridCol w:w="7655"/>
      </w:tblGrid>
      <w:tr w14:paraId="23F96433">
        <w:tblPrEx>
          <w:tblCellMar>
            <w:top w:w="0" w:type="dxa"/>
            <w:left w:w="108" w:type="dxa"/>
            <w:bottom w:w="0" w:type="dxa"/>
            <w:right w:w="108" w:type="dxa"/>
          </w:tblCellMar>
        </w:tblPrEx>
        <w:trPr>
          <w:trHeight w:val="586" w:hRule="atLeast"/>
        </w:trPr>
        <w:tc>
          <w:tcPr>
            <w:tcW w:w="709" w:type="dxa"/>
            <w:tcBorders>
              <w:top w:val="single" w:color="auto" w:sz="4" w:space="0"/>
              <w:left w:val="single" w:color="auto" w:sz="4" w:space="0"/>
              <w:bottom w:val="single" w:color="auto" w:sz="4" w:space="0"/>
              <w:right w:val="single" w:color="auto" w:sz="4" w:space="0"/>
            </w:tcBorders>
            <w:vAlign w:val="center"/>
          </w:tcPr>
          <w:p w14:paraId="714073E6">
            <w:pPr>
              <w:widowControl/>
              <w:jc w:val="center"/>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序号</w:t>
            </w:r>
          </w:p>
        </w:tc>
        <w:tc>
          <w:tcPr>
            <w:tcW w:w="7655" w:type="dxa"/>
            <w:tcBorders>
              <w:top w:val="single" w:color="auto" w:sz="4" w:space="0"/>
              <w:left w:val="nil"/>
              <w:bottom w:val="single" w:color="auto" w:sz="4" w:space="0"/>
              <w:right w:val="single" w:color="auto" w:sz="4" w:space="0"/>
            </w:tcBorders>
            <w:vAlign w:val="center"/>
          </w:tcPr>
          <w:p w14:paraId="5151F03E">
            <w:pPr>
              <w:widowControl/>
              <w:jc w:val="center"/>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禁 止 事 项</w:t>
            </w:r>
          </w:p>
        </w:tc>
      </w:tr>
      <w:tr w14:paraId="6C331D34">
        <w:tblPrEx>
          <w:tblCellMar>
            <w:top w:w="0" w:type="dxa"/>
            <w:left w:w="108" w:type="dxa"/>
            <w:bottom w:w="0" w:type="dxa"/>
            <w:right w:w="108" w:type="dxa"/>
          </w:tblCellMar>
        </w:tblPrEx>
        <w:trPr>
          <w:trHeight w:val="1140" w:hRule="atLeast"/>
        </w:trPr>
        <w:tc>
          <w:tcPr>
            <w:tcW w:w="709" w:type="dxa"/>
            <w:tcBorders>
              <w:top w:val="nil"/>
              <w:left w:val="single" w:color="auto" w:sz="4" w:space="0"/>
              <w:bottom w:val="single" w:color="auto" w:sz="4" w:space="0"/>
              <w:right w:val="single" w:color="auto" w:sz="4" w:space="0"/>
            </w:tcBorders>
            <w:vAlign w:val="center"/>
          </w:tcPr>
          <w:p w14:paraId="34CCE892">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7655" w:type="dxa"/>
            <w:tcBorders>
              <w:top w:val="nil"/>
              <w:left w:val="nil"/>
              <w:bottom w:val="single" w:color="auto" w:sz="4" w:space="0"/>
              <w:right w:val="single" w:color="auto" w:sz="4" w:space="0"/>
            </w:tcBorders>
            <w:vAlign w:val="center"/>
          </w:tcPr>
          <w:p w14:paraId="1689D16F">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签署（或变更）各类经济类合同（包含但不限于总承包合同及其补充协议、专业分包合同、劳务分包合同、物资设备料具采购、租赁合同、设备安装拆除合同、技术咨询合同等各类合同</w:t>
            </w:r>
            <w:r>
              <w:rPr>
                <w:rFonts w:hint="eastAsia" w:ascii="仿宋" w:hAnsi="仿宋" w:eastAsia="仿宋" w:cs="仿宋"/>
                <w:szCs w:val="21"/>
                <w:highlight w:val="none"/>
              </w:rPr>
              <w:t>）</w:t>
            </w:r>
            <w:r>
              <w:rPr>
                <w:rFonts w:hint="eastAsia" w:ascii="仿宋" w:hAnsi="仿宋" w:eastAsia="仿宋" w:cs="仿宋"/>
                <w:kern w:val="0"/>
                <w:szCs w:val="21"/>
                <w:highlight w:val="none"/>
              </w:rPr>
              <w:t>。</w:t>
            </w:r>
          </w:p>
        </w:tc>
      </w:tr>
      <w:tr w14:paraId="5470EBC1">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771B6551">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2</w:t>
            </w:r>
          </w:p>
        </w:tc>
        <w:tc>
          <w:tcPr>
            <w:tcW w:w="7655" w:type="dxa"/>
            <w:tcBorders>
              <w:top w:val="nil"/>
              <w:left w:val="nil"/>
              <w:bottom w:val="single" w:color="auto" w:sz="4" w:space="0"/>
              <w:right w:val="single" w:color="auto" w:sz="4" w:space="0"/>
            </w:tcBorders>
            <w:vAlign w:val="center"/>
          </w:tcPr>
          <w:p w14:paraId="6CBD2ECE">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未经分公司/公司书面批准擅自购买材料、设备。</w:t>
            </w:r>
          </w:p>
        </w:tc>
      </w:tr>
      <w:tr w14:paraId="302E66A5">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231AA52E">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3</w:t>
            </w:r>
          </w:p>
        </w:tc>
        <w:tc>
          <w:tcPr>
            <w:tcW w:w="7655" w:type="dxa"/>
            <w:tcBorders>
              <w:top w:val="nil"/>
              <w:left w:val="nil"/>
              <w:bottom w:val="single" w:color="auto" w:sz="4" w:space="0"/>
              <w:right w:val="single" w:color="auto" w:sz="4" w:space="0"/>
            </w:tcBorders>
            <w:vAlign w:val="center"/>
          </w:tcPr>
          <w:p w14:paraId="4996F003">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放弃或限制行使工程项目优先受偿权。</w:t>
            </w:r>
          </w:p>
        </w:tc>
      </w:tr>
      <w:tr w14:paraId="162F932A">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203603E5">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4</w:t>
            </w:r>
          </w:p>
        </w:tc>
        <w:tc>
          <w:tcPr>
            <w:tcW w:w="7655" w:type="dxa"/>
            <w:tcBorders>
              <w:top w:val="nil"/>
              <w:left w:val="nil"/>
              <w:bottom w:val="single" w:color="auto" w:sz="4" w:space="0"/>
              <w:right w:val="single" w:color="auto" w:sz="4" w:space="0"/>
            </w:tcBorders>
            <w:vAlign w:val="center"/>
          </w:tcPr>
          <w:p w14:paraId="72F15C9B">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进行银行贷款等融资活动。</w:t>
            </w:r>
          </w:p>
        </w:tc>
      </w:tr>
      <w:tr w14:paraId="21432CF7">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53163B80">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5</w:t>
            </w:r>
          </w:p>
        </w:tc>
        <w:tc>
          <w:tcPr>
            <w:tcW w:w="7655" w:type="dxa"/>
            <w:tcBorders>
              <w:top w:val="nil"/>
              <w:left w:val="nil"/>
              <w:bottom w:val="single" w:color="auto" w:sz="4" w:space="0"/>
              <w:right w:val="single" w:color="auto" w:sz="4" w:space="0"/>
            </w:tcBorders>
            <w:vAlign w:val="center"/>
          </w:tcPr>
          <w:p w14:paraId="7AA52F9C">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对外提供担保、出具欠条、签订还款协议、签订调价协议。</w:t>
            </w:r>
          </w:p>
        </w:tc>
      </w:tr>
      <w:tr w14:paraId="65C26703">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2A464E5F">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6</w:t>
            </w:r>
          </w:p>
        </w:tc>
        <w:tc>
          <w:tcPr>
            <w:tcW w:w="7655" w:type="dxa"/>
            <w:tcBorders>
              <w:top w:val="nil"/>
              <w:left w:val="nil"/>
              <w:bottom w:val="single" w:color="auto" w:sz="4" w:space="0"/>
              <w:right w:val="single" w:color="auto" w:sz="4" w:space="0"/>
            </w:tcBorders>
            <w:vAlign w:val="center"/>
          </w:tcPr>
          <w:p w14:paraId="22B19DAE">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对外开立各类保函。</w:t>
            </w:r>
          </w:p>
        </w:tc>
      </w:tr>
      <w:tr w14:paraId="014FFDC8">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708ABC9E">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7</w:t>
            </w:r>
          </w:p>
        </w:tc>
        <w:tc>
          <w:tcPr>
            <w:tcW w:w="7655" w:type="dxa"/>
            <w:tcBorders>
              <w:top w:val="nil"/>
              <w:left w:val="nil"/>
              <w:bottom w:val="single" w:color="auto" w:sz="4" w:space="0"/>
              <w:right w:val="single" w:color="auto" w:sz="4" w:space="0"/>
            </w:tcBorders>
            <w:vAlign w:val="center"/>
          </w:tcPr>
          <w:p w14:paraId="7E2DB49F">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对外拆借资金。</w:t>
            </w:r>
          </w:p>
        </w:tc>
      </w:tr>
      <w:tr w14:paraId="6121F265">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39968464">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8</w:t>
            </w:r>
          </w:p>
        </w:tc>
        <w:tc>
          <w:tcPr>
            <w:tcW w:w="7655" w:type="dxa"/>
            <w:tcBorders>
              <w:top w:val="nil"/>
              <w:left w:val="nil"/>
              <w:bottom w:val="single" w:color="auto" w:sz="4" w:space="0"/>
              <w:right w:val="single" w:color="auto" w:sz="4" w:space="0"/>
            </w:tcBorders>
            <w:vAlign w:val="center"/>
          </w:tcPr>
          <w:p w14:paraId="2F8F7BAA">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私设小金库，坐支现金。</w:t>
            </w:r>
          </w:p>
        </w:tc>
      </w:tr>
      <w:tr w14:paraId="2C7A7A53">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7F6677F2">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9</w:t>
            </w:r>
          </w:p>
        </w:tc>
        <w:tc>
          <w:tcPr>
            <w:tcW w:w="7655" w:type="dxa"/>
            <w:tcBorders>
              <w:top w:val="nil"/>
              <w:left w:val="nil"/>
              <w:bottom w:val="single" w:color="auto" w:sz="4" w:space="0"/>
              <w:right w:val="single" w:color="auto" w:sz="4" w:space="0"/>
            </w:tcBorders>
            <w:vAlign w:val="center"/>
          </w:tcPr>
          <w:p w14:paraId="702E7F9E">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超出本综合授权书权限的</w:t>
            </w:r>
            <w:r>
              <w:rPr>
                <w:rFonts w:hint="eastAsia" w:ascii="仿宋" w:hAnsi="仿宋" w:eastAsia="仿宋" w:cs="仿宋"/>
                <w:kern w:val="0"/>
                <w:highlight w:val="none"/>
              </w:rPr>
              <w:t>分包（供）</w:t>
            </w:r>
            <w:r>
              <w:rPr>
                <w:rFonts w:hint="eastAsia" w:ascii="仿宋" w:hAnsi="仿宋" w:eastAsia="仿宋" w:cs="仿宋"/>
                <w:kern w:val="0"/>
                <w:szCs w:val="21"/>
                <w:highlight w:val="none"/>
              </w:rPr>
              <w:t>合同签证办理。</w:t>
            </w:r>
          </w:p>
        </w:tc>
      </w:tr>
      <w:tr w14:paraId="791C26D8">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0966C507">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10</w:t>
            </w:r>
          </w:p>
        </w:tc>
        <w:tc>
          <w:tcPr>
            <w:tcW w:w="7655" w:type="dxa"/>
            <w:tcBorders>
              <w:top w:val="nil"/>
              <w:left w:val="nil"/>
              <w:bottom w:val="single" w:color="auto" w:sz="4" w:space="0"/>
              <w:right w:val="single" w:color="auto" w:sz="4" w:space="0"/>
            </w:tcBorders>
            <w:vAlign w:val="center"/>
          </w:tcPr>
          <w:p w14:paraId="08E8DAD5">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确认总包结算、确认分包合同结算（含甲指分包）。</w:t>
            </w:r>
          </w:p>
        </w:tc>
      </w:tr>
      <w:tr w14:paraId="0F3B2DE2">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48F4CD77">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11</w:t>
            </w:r>
          </w:p>
        </w:tc>
        <w:tc>
          <w:tcPr>
            <w:tcW w:w="7655" w:type="dxa"/>
            <w:tcBorders>
              <w:top w:val="nil"/>
              <w:left w:val="nil"/>
              <w:bottom w:val="single" w:color="auto" w:sz="4" w:space="0"/>
              <w:right w:val="single" w:color="auto" w:sz="4" w:space="0"/>
            </w:tcBorders>
            <w:vAlign w:val="center"/>
          </w:tcPr>
          <w:p w14:paraId="59609C05">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确认材料、设备、料具结算及赔偿（含零星材料、甲供材）。</w:t>
            </w:r>
          </w:p>
        </w:tc>
      </w:tr>
      <w:tr w14:paraId="045B1578">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2B7BB42B">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12</w:t>
            </w:r>
          </w:p>
        </w:tc>
        <w:tc>
          <w:tcPr>
            <w:tcW w:w="7655" w:type="dxa"/>
            <w:tcBorders>
              <w:top w:val="nil"/>
              <w:left w:val="nil"/>
              <w:bottom w:val="single" w:color="auto" w:sz="4" w:space="0"/>
              <w:right w:val="single" w:color="auto" w:sz="4" w:space="0"/>
            </w:tcBorders>
            <w:vAlign w:val="center"/>
          </w:tcPr>
          <w:p w14:paraId="3F6D6993">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设立或变更劳动关系（包括签订劳动合同、确认劳动关系等）。</w:t>
            </w:r>
          </w:p>
        </w:tc>
      </w:tr>
      <w:tr w14:paraId="0EE80863">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685938B9">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13</w:t>
            </w:r>
          </w:p>
        </w:tc>
        <w:tc>
          <w:tcPr>
            <w:tcW w:w="7655" w:type="dxa"/>
            <w:tcBorders>
              <w:top w:val="nil"/>
              <w:left w:val="nil"/>
              <w:bottom w:val="single" w:color="auto" w:sz="4" w:space="0"/>
              <w:right w:val="single" w:color="auto" w:sz="4" w:space="0"/>
            </w:tcBorders>
            <w:vAlign w:val="center"/>
          </w:tcPr>
          <w:p w14:paraId="727CD8C4">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向工伤认定机构提交工伤认定申请或确认工伤事故。</w:t>
            </w:r>
          </w:p>
        </w:tc>
      </w:tr>
      <w:tr w14:paraId="1FAF12FE">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39286833">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14</w:t>
            </w:r>
          </w:p>
        </w:tc>
        <w:tc>
          <w:tcPr>
            <w:tcW w:w="7655" w:type="dxa"/>
            <w:tcBorders>
              <w:top w:val="nil"/>
              <w:left w:val="nil"/>
              <w:bottom w:val="single" w:color="auto" w:sz="4" w:space="0"/>
              <w:right w:val="single" w:color="auto" w:sz="4" w:space="0"/>
            </w:tcBorders>
            <w:vAlign w:val="center"/>
          </w:tcPr>
          <w:p w14:paraId="61096F32">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确认第三方维修费用。</w:t>
            </w:r>
          </w:p>
        </w:tc>
      </w:tr>
      <w:tr w14:paraId="3B73DB3B">
        <w:tblPrEx>
          <w:tblCellMar>
            <w:top w:w="0" w:type="dxa"/>
            <w:left w:w="108" w:type="dxa"/>
            <w:bottom w:w="0" w:type="dxa"/>
            <w:right w:w="108" w:type="dxa"/>
          </w:tblCellMar>
        </w:tblPrEx>
        <w:trPr>
          <w:trHeight w:val="329" w:hRule="atLeast"/>
        </w:trPr>
        <w:tc>
          <w:tcPr>
            <w:tcW w:w="709" w:type="dxa"/>
            <w:tcBorders>
              <w:top w:val="nil"/>
              <w:left w:val="single" w:color="auto" w:sz="4" w:space="0"/>
              <w:bottom w:val="single" w:color="auto" w:sz="4" w:space="0"/>
              <w:right w:val="single" w:color="auto" w:sz="4" w:space="0"/>
            </w:tcBorders>
            <w:vAlign w:val="center"/>
          </w:tcPr>
          <w:p w14:paraId="18322144">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15</w:t>
            </w:r>
          </w:p>
        </w:tc>
        <w:tc>
          <w:tcPr>
            <w:tcW w:w="7655" w:type="dxa"/>
            <w:tcBorders>
              <w:top w:val="nil"/>
              <w:left w:val="nil"/>
              <w:bottom w:val="single" w:color="auto" w:sz="4" w:space="0"/>
              <w:right w:val="single" w:color="auto" w:sz="4" w:space="0"/>
            </w:tcBorders>
            <w:vAlign w:val="center"/>
          </w:tcPr>
          <w:p w14:paraId="1AE85ED1">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决定废旧物资处理方案。</w:t>
            </w:r>
          </w:p>
        </w:tc>
      </w:tr>
      <w:tr w14:paraId="5B863C5B">
        <w:tblPrEx>
          <w:tblCellMar>
            <w:top w:w="0" w:type="dxa"/>
            <w:left w:w="108" w:type="dxa"/>
            <w:bottom w:w="0" w:type="dxa"/>
            <w:right w:w="108" w:type="dxa"/>
          </w:tblCellMar>
        </w:tblPrEx>
        <w:trPr>
          <w:trHeight w:val="594" w:hRule="atLeast"/>
        </w:trPr>
        <w:tc>
          <w:tcPr>
            <w:tcW w:w="709" w:type="dxa"/>
            <w:tcBorders>
              <w:top w:val="nil"/>
              <w:left w:val="single" w:color="auto" w:sz="4" w:space="0"/>
              <w:bottom w:val="single" w:color="auto" w:sz="4" w:space="0"/>
              <w:right w:val="single" w:color="auto" w:sz="4" w:space="0"/>
            </w:tcBorders>
            <w:vAlign w:val="center"/>
          </w:tcPr>
          <w:p w14:paraId="56113893">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16</w:t>
            </w:r>
          </w:p>
        </w:tc>
        <w:tc>
          <w:tcPr>
            <w:tcW w:w="7655" w:type="dxa"/>
            <w:tcBorders>
              <w:top w:val="nil"/>
              <w:left w:val="nil"/>
              <w:bottom w:val="single" w:color="auto" w:sz="4" w:space="0"/>
              <w:right w:val="single" w:color="auto" w:sz="4" w:space="0"/>
            </w:tcBorders>
            <w:vAlign w:val="center"/>
          </w:tcPr>
          <w:p w14:paraId="370EEE71">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分包分供合同涨价、奖励、补偿、增加合同外的工作范围、变更分包分供合同模式。</w:t>
            </w:r>
          </w:p>
        </w:tc>
      </w:tr>
      <w:tr w14:paraId="1E45B7CB">
        <w:tblPrEx>
          <w:tblCellMar>
            <w:top w:w="0" w:type="dxa"/>
            <w:left w:w="108" w:type="dxa"/>
            <w:bottom w:w="0" w:type="dxa"/>
            <w:right w:w="108" w:type="dxa"/>
          </w:tblCellMar>
        </w:tblPrEx>
        <w:trPr>
          <w:trHeight w:val="285" w:hRule="atLeast"/>
        </w:trPr>
        <w:tc>
          <w:tcPr>
            <w:tcW w:w="709" w:type="dxa"/>
            <w:tcBorders>
              <w:top w:val="single" w:color="auto" w:sz="4" w:space="0"/>
              <w:left w:val="single" w:color="auto" w:sz="4" w:space="0"/>
              <w:bottom w:val="single" w:color="auto" w:sz="4" w:space="0"/>
              <w:right w:val="single" w:color="auto" w:sz="4" w:space="0"/>
            </w:tcBorders>
            <w:vAlign w:val="center"/>
          </w:tcPr>
          <w:p w14:paraId="4CDFC1A4">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17</w:t>
            </w:r>
          </w:p>
        </w:tc>
        <w:tc>
          <w:tcPr>
            <w:tcW w:w="7655" w:type="dxa"/>
            <w:tcBorders>
              <w:top w:val="single" w:color="auto" w:sz="4" w:space="0"/>
              <w:left w:val="nil"/>
              <w:bottom w:val="single" w:color="auto" w:sz="4" w:space="0"/>
              <w:right w:val="single" w:color="auto" w:sz="4" w:space="0"/>
            </w:tcBorders>
            <w:vAlign w:val="center"/>
          </w:tcPr>
          <w:p w14:paraId="2C00B0AE">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危险性较大的分部分项工程安全施工方案。</w:t>
            </w:r>
          </w:p>
        </w:tc>
      </w:tr>
      <w:tr w14:paraId="71798C23">
        <w:tblPrEx>
          <w:tblCellMar>
            <w:top w:w="0" w:type="dxa"/>
            <w:left w:w="108" w:type="dxa"/>
            <w:bottom w:w="0" w:type="dxa"/>
            <w:right w:w="108" w:type="dxa"/>
          </w:tblCellMar>
        </w:tblPrEx>
        <w:trPr>
          <w:trHeight w:val="285" w:hRule="atLeast"/>
        </w:trPr>
        <w:tc>
          <w:tcPr>
            <w:tcW w:w="709" w:type="dxa"/>
            <w:tcBorders>
              <w:top w:val="single" w:color="auto" w:sz="4" w:space="0"/>
              <w:left w:val="single" w:color="auto" w:sz="4" w:space="0"/>
              <w:bottom w:val="single" w:color="auto" w:sz="4" w:space="0"/>
              <w:right w:val="single" w:color="auto" w:sz="4" w:space="0"/>
            </w:tcBorders>
            <w:vAlign w:val="center"/>
          </w:tcPr>
          <w:p w14:paraId="3A233691">
            <w:pPr>
              <w:widowControl/>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18</w:t>
            </w:r>
          </w:p>
        </w:tc>
        <w:tc>
          <w:tcPr>
            <w:tcW w:w="7655" w:type="dxa"/>
            <w:tcBorders>
              <w:top w:val="single" w:color="auto" w:sz="4" w:space="0"/>
              <w:left w:val="nil"/>
              <w:bottom w:val="single" w:color="auto" w:sz="4" w:space="0"/>
              <w:right w:val="single" w:color="auto" w:sz="4" w:space="0"/>
            </w:tcBorders>
            <w:vAlign w:val="center"/>
          </w:tcPr>
          <w:p w14:paraId="0F182810">
            <w:pPr>
              <w:widowControl/>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接收诉讼法律文书、处理人民法院协助执行通知或参加仲裁、诉讼。</w:t>
            </w:r>
          </w:p>
        </w:tc>
      </w:tr>
    </w:tbl>
    <w:p w14:paraId="6BD196DF">
      <w:pPr>
        <w:spacing w:before="120" w:beforeLines="50" w:line="480" w:lineRule="exact"/>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三、该项目不得超越权限，不得违规行使授权。该项目超越权限行使本授权书已明示禁止的事项，一律无效。该项目超越权限行使本授权书未明示授权的事项，除本公司书面形式予以追认，均属无效。</w:t>
      </w:r>
    </w:p>
    <w:p w14:paraId="7046DB04">
      <w:pPr>
        <w:spacing w:line="480" w:lineRule="exact"/>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四、本授权未涉及事项，若该项目确有必要行使权限的，必须经本公司另行授权后，方可以本公司名义处理。</w:t>
      </w:r>
    </w:p>
    <w:p w14:paraId="53CA8DA0">
      <w:pPr>
        <w:spacing w:line="480" w:lineRule="exact"/>
        <w:ind w:firstLine="560" w:firstLineChars="20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五、该项目在行使授权范围内的各项权利时必须遵循公司的各项规章制度。</w:t>
      </w:r>
    </w:p>
    <w:p w14:paraId="6EBFD421">
      <w:pPr>
        <w:spacing w:line="480" w:lineRule="exact"/>
        <w:ind w:firstLine="495" w:firstLineChars="177"/>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六、除合同另有约定，该项目行使授权须加盖项目公章并由甲方现场代表签字后生效，该项目所属任何机构或个人以任何形式签字、盖章均无效，本公司不承担任何责任。</w:t>
      </w:r>
    </w:p>
    <w:p w14:paraId="4A0F3CE6">
      <w:pPr>
        <w:spacing w:line="480" w:lineRule="exact"/>
        <w:ind w:firstLine="56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七、该项目按照本授权书规定开展各项生产、经营和管理活动，本公司予以认可，并承担法律责任。否则，本公司概不承担任何法律责任。</w:t>
      </w:r>
    </w:p>
    <w:p w14:paraId="38E00EE8">
      <w:pPr>
        <w:spacing w:line="480" w:lineRule="exact"/>
        <w:ind w:firstLine="560"/>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八、本授权书与合同约定的授权类条款不一致的，以该合同约定的条款为准。</w:t>
      </w:r>
    </w:p>
    <w:p w14:paraId="1A4585BE">
      <w:pPr>
        <w:spacing w:line="480" w:lineRule="exact"/>
        <w:ind w:firstLine="560" w:firstLineChars="200"/>
        <w:rPr>
          <w:rFonts w:ascii="仿宋_GB2312" w:hAnsi="仿宋" w:eastAsia="仿宋_GB2312" w:cs="仿宋"/>
          <w:sz w:val="28"/>
          <w:szCs w:val="28"/>
          <w:highlight w:val="none"/>
        </w:rPr>
      </w:pPr>
      <w:r>
        <w:rPr>
          <w:rFonts w:hint="eastAsia" w:ascii="仿宋_GB2312" w:hAnsi="仿宋" w:eastAsia="仿宋_GB2312" w:cs="仿宋"/>
          <w:sz w:val="28"/>
          <w:szCs w:val="28"/>
          <w:highlight w:val="none"/>
        </w:rPr>
        <w:t>九、本授权书经本公司盖章后生效，有效期自【</w:t>
      </w:r>
      <w:r>
        <w:rPr>
          <w:rFonts w:hint="eastAsia" w:ascii="仿宋_GB2312" w:hAnsi="仿宋" w:eastAsia="仿宋_GB2312" w:cs="仿宋"/>
          <w:sz w:val="28"/>
          <w:szCs w:val="28"/>
          <w:highlight w:val="none"/>
          <w:lang w:val="en-US" w:eastAsia="zh-CN"/>
        </w:rPr>
        <w:t xml:space="preserve">   </w:t>
      </w:r>
      <w:r>
        <w:rPr>
          <w:rFonts w:hint="eastAsia" w:ascii="仿宋_GB2312" w:hAnsi="仿宋" w:eastAsia="仿宋_GB2312" w:cs="仿宋"/>
          <w:sz w:val="28"/>
          <w:szCs w:val="28"/>
          <w:highlight w:val="none"/>
        </w:rPr>
        <w:t>】年【</w:t>
      </w:r>
      <w:r>
        <w:rPr>
          <w:rFonts w:hint="eastAsia" w:ascii="仿宋_GB2312" w:hAnsi="仿宋" w:eastAsia="仿宋_GB2312" w:cs="仿宋"/>
          <w:sz w:val="28"/>
          <w:szCs w:val="28"/>
          <w:highlight w:val="none"/>
          <w:lang w:val="en-US" w:eastAsia="zh-CN"/>
        </w:rPr>
        <w:t xml:space="preserve">  </w:t>
      </w:r>
      <w:r>
        <w:rPr>
          <w:rFonts w:hint="eastAsia" w:ascii="仿宋_GB2312" w:hAnsi="仿宋" w:eastAsia="仿宋_GB2312" w:cs="仿宋"/>
          <w:sz w:val="28"/>
          <w:szCs w:val="28"/>
          <w:highlight w:val="none"/>
        </w:rPr>
        <w:t>】月【</w:t>
      </w:r>
      <w:r>
        <w:rPr>
          <w:rFonts w:ascii="仿宋_GB2312" w:hAnsi="仿宋" w:eastAsia="仿宋_GB2312" w:cs="仿宋"/>
          <w:sz w:val="28"/>
          <w:szCs w:val="28"/>
          <w:highlight w:val="none"/>
        </w:rPr>
        <w:t xml:space="preserve">  </w:t>
      </w:r>
      <w:r>
        <w:rPr>
          <w:rFonts w:hint="eastAsia" w:ascii="仿宋_GB2312" w:hAnsi="仿宋" w:eastAsia="仿宋_GB2312" w:cs="仿宋"/>
          <w:sz w:val="28"/>
          <w:szCs w:val="28"/>
          <w:highlight w:val="none"/>
        </w:rPr>
        <w:t>】日起，至【</w:t>
      </w:r>
      <w:r>
        <w:rPr>
          <w:rFonts w:hint="eastAsia" w:ascii="仿宋_GB2312" w:hAnsi="仿宋" w:eastAsia="仿宋_GB2312" w:cs="仿宋"/>
          <w:sz w:val="28"/>
          <w:szCs w:val="28"/>
          <w:highlight w:val="none"/>
          <w:lang w:val="en-US" w:eastAsia="zh-CN"/>
        </w:rPr>
        <w:t xml:space="preserve">   </w:t>
      </w:r>
      <w:r>
        <w:rPr>
          <w:rFonts w:hint="eastAsia" w:ascii="仿宋_GB2312" w:hAnsi="仿宋" w:eastAsia="仿宋_GB2312" w:cs="仿宋"/>
          <w:sz w:val="28"/>
          <w:szCs w:val="28"/>
          <w:highlight w:val="none"/>
        </w:rPr>
        <w:t>】年【</w:t>
      </w:r>
      <w:r>
        <w:rPr>
          <w:rFonts w:hint="eastAsia" w:ascii="仿宋_GB2312" w:hAnsi="仿宋" w:eastAsia="仿宋_GB2312" w:cs="仿宋"/>
          <w:sz w:val="28"/>
          <w:szCs w:val="28"/>
          <w:highlight w:val="none"/>
          <w:lang w:val="en-US" w:eastAsia="zh-CN"/>
        </w:rPr>
        <w:t xml:space="preserve">  </w:t>
      </w:r>
      <w:r>
        <w:rPr>
          <w:rFonts w:hint="eastAsia" w:ascii="仿宋_GB2312" w:hAnsi="仿宋" w:eastAsia="仿宋_GB2312" w:cs="仿宋"/>
          <w:sz w:val="28"/>
          <w:szCs w:val="28"/>
          <w:highlight w:val="none"/>
        </w:rPr>
        <w:t>】月【</w:t>
      </w:r>
      <w:r>
        <w:rPr>
          <w:rFonts w:ascii="仿宋_GB2312" w:hAnsi="仿宋" w:eastAsia="仿宋_GB2312" w:cs="仿宋"/>
          <w:sz w:val="28"/>
          <w:szCs w:val="28"/>
          <w:highlight w:val="none"/>
        </w:rPr>
        <w:t xml:space="preserve">  </w:t>
      </w:r>
      <w:r>
        <w:rPr>
          <w:rFonts w:hint="eastAsia" w:ascii="仿宋_GB2312" w:hAnsi="仿宋" w:eastAsia="仿宋_GB2312" w:cs="仿宋"/>
          <w:sz w:val="28"/>
          <w:szCs w:val="28"/>
          <w:highlight w:val="none"/>
        </w:rPr>
        <w:t>】日止。本公司有权随时变更或撤销本授权。</w:t>
      </w:r>
    </w:p>
    <w:p w14:paraId="2AEE7F2D">
      <w:pPr>
        <w:spacing w:line="480" w:lineRule="exact"/>
        <w:ind w:firstLine="560" w:firstLineChars="200"/>
        <w:rPr>
          <w:rFonts w:ascii="仿宋_GB2312" w:hAnsi="仿宋" w:eastAsia="仿宋_GB2312" w:cs="仿宋"/>
          <w:sz w:val="28"/>
          <w:szCs w:val="28"/>
          <w:highlight w:val="none"/>
        </w:rPr>
      </w:pPr>
    </w:p>
    <w:p w14:paraId="23C304B8">
      <w:pPr>
        <w:spacing w:line="480" w:lineRule="exact"/>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预留项目部公章印鉴：</w:t>
      </w:r>
    </w:p>
    <w:p w14:paraId="0008FA2D">
      <w:pPr>
        <w:spacing w:line="480" w:lineRule="exact"/>
        <w:rPr>
          <w:rFonts w:hint="eastAsia" w:ascii="仿宋_GB2312" w:hAnsi="仿宋" w:eastAsia="仿宋_GB2312" w:cs="仿宋"/>
          <w:sz w:val="28"/>
          <w:szCs w:val="28"/>
          <w:highlight w:val="none"/>
        </w:rPr>
      </w:pPr>
      <w:r>
        <w:rPr>
          <w:rFonts w:hint="eastAsia" w:ascii="仿宋_GB2312" w:hAnsi="仿宋" w:eastAsia="仿宋_GB2312" w:cs="仿宋"/>
          <w:sz w:val="28"/>
          <w:szCs w:val="28"/>
          <w:highlight w:val="none"/>
        </w:rPr>
        <w:t>甲方现场代表签字样式：</w:t>
      </w:r>
    </w:p>
    <w:p w14:paraId="2418CCE5">
      <w:pPr>
        <w:spacing w:line="480" w:lineRule="exact"/>
        <w:rPr>
          <w:rFonts w:hint="eastAsia" w:ascii="仿宋_GB2312" w:hAnsi="仿宋" w:eastAsia="仿宋_GB2312" w:cs="仿宋"/>
          <w:sz w:val="28"/>
          <w:szCs w:val="28"/>
          <w:highlight w:val="none"/>
        </w:rPr>
      </w:pPr>
    </w:p>
    <w:p w14:paraId="2D721E0B">
      <w:pPr>
        <w:spacing w:line="480" w:lineRule="exact"/>
        <w:rPr>
          <w:rFonts w:ascii="仿宋_GB2312" w:eastAsia="仿宋_GB2312"/>
          <w:sz w:val="28"/>
          <w:szCs w:val="36"/>
          <w:highlight w:val="none"/>
        </w:rPr>
      </w:pPr>
      <w:r>
        <w:rPr>
          <w:rFonts w:hint="eastAsia" w:ascii="仿宋_GB2312" w:hAnsi="仿宋" w:eastAsia="仿宋_GB2312" w:cs="仿宋"/>
          <w:sz w:val="28"/>
          <w:szCs w:val="28"/>
          <w:highlight w:val="none"/>
        </w:rPr>
        <w:t>授权单位（承包人盖章）：</w:t>
      </w:r>
    </w:p>
    <w:p w14:paraId="2E7746D4">
      <w:pPr>
        <w:rPr>
          <w:rFonts w:ascii="仿宋_GB2312" w:eastAsia="仿宋_GB2312"/>
          <w:sz w:val="28"/>
          <w:szCs w:val="36"/>
          <w:highlight w:val="none"/>
        </w:rPr>
      </w:pPr>
      <w:r>
        <w:rPr>
          <w:highlight w:val="none"/>
        </w:rPr>
        <w:br w:type="page"/>
      </w:r>
    </w:p>
    <w:p w14:paraId="06E938BD">
      <w:pPr>
        <w:pStyle w:val="5"/>
        <w:ind w:left="0" w:leftChars="0" w:firstLine="562" w:firstLineChars="200"/>
        <w:rPr>
          <w:bCs w:val="0"/>
          <w:color w:val="000000"/>
          <w:highlight w:val="none"/>
        </w:rPr>
      </w:pPr>
      <w:bookmarkStart w:id="867" w:name="_Toc4228"/>
      <w:r>
        <w:rPr>
          <w:rFonts w:hint="eastAsia"/>
          <w:bCs w:val="0"/>
          <w:color w:val="000000"/>
          <w:highlight w:val="none"/>
        </w:rPr>
        <w:t>附件3</w:t>
      </w:r>
      <w:bookmarkEnd w:id="867"/>
      <w:bookmarkStart w:id="868" w:name="_Toc132053712"/>
      <w:bookmarkStart w:id="869" w:name="_Hlk132271615"/>
      <w:r>
        <w:rPr>
          <w:rFonts w:hint="eastAsia"/>
          <w:bCs w:val="0"/>
          <w:color w:val="000000"/>
          <w:highlight w:val="none"/>
        </w:rPr>
        <w:t xml:space="preserve">  </w:t>
      </w:r>
    </w:p>
    <w:p w14:paraId="4B611032">
      <w:pPr>
        <w:pStyle w:val="5"/>
        <w:ind w:left="0" w:leftChars="0"/>
        <w:jc w:val="center"/>
        <w:rPr>
          <w:bCs w:val="0"/>
          <w:color w:val="000000"/>
          <w:highlight w:val="none"/>
        </w:rPr>
      </w:pPr>
      <w:bookmarkStart w:id="870" w:name="_Toc31219"/>
      <w:bookmarkStart w:id="871" w:name="_Toc18382"/>
      <w:r>
        <w:rPr>
          <w:rFonts w:hint="eastAsia"/>
          <w:bCs w:val="0"/>
          <w:color w:val="000000"/>
          <w:highlight w:val="none"/>
        </w:rPr>
        <w:t>授 权 委 托 书</w:t>
      </w:r>
      <w:bookmarkEnd w:id="868"/>
      <w:r>
        <w:rPr>
          <w:rFonts w:hint="eastAsia"/>
          <w:bCs w:val="0"/>
          <w:color w:val="000000"/>
          <w:highlight w:val="none"/>
        </w:rPr>
        <w:t>（乙方）</w:t>
      </w:r>
      <w:bookmarkEnd w:id="869"/>
      <w:bookmarkEnd w:id="870"/>
      <w:bookmarkEnd w:id="871"/>
    </w:p>
    <w:p w14:paraId="66C9BADC">
      <w:pPr>
        <w:spacing w:line="360" w:lineRule="auto"/>
        <w:ind w:firstLine="420" w:firstLineChars="200"/>
        <w:rPr>
          <w:rFonts w:hint="eastAsia" w:asciiTheme="minorEastAsia" w:hAnsiTheme="minorEastAsia" w:cstheme="minorEastAsia"/>
          <w:szCs w:val="21"/>
          <w:highlight w:val="none"/>
        </w:rPr>
      </w:pPr>
      <w:r>
        <w:rPr>
          <w:rFonts w:hint="eastAsia" w:asciiTheme="minorEastAsia" w:hAnsiTheme="minorEastAsia" w:cstheme="minorEastAsia"/>
          <w:szCs w:val="21"/>
          <w:highlight w:val="none"/>
        </w:rPr>
        <w:t xml:space="preserve"> </w:t>
      </w:r>
    </w:p>
    <w:p w14:paraId="5660B7F8">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兹授权我单位员工【</w:t>
      </w:r>
      <w:r>
        <w:rPr>
          <w:rFonts w:hint="eastAsia" w:ascii="仿宋_GB2312" w:eastAsia="仿宋_GB2312" w:hAnsiTheme="minorEastAsia" w:cstheme="minorEastAsia"/>
          <w:color w:val="C00000"/>
          <w:sz w:val="28"/>
          <w:szCs w:val="28"/>
          <w:highlight w:val="none"/>
        </w:rPr>
        <w:t>（姓名+身份证号）</w:t>
      </w:r>
      <w:r>
        <w:rPr>
          <w:rFonts w:hint="eastAsia" w:ascii="仿宋_GB2312" w:eastAsia="仿宋_GB2312" w:hAnsiTheme="minorEastAsia" w:cstheme="minorEastAsia"/>
          <w:sz w:val="28"/>
          <w:szCs w:val="28"/>
          <w:highlight w:val="none"/>
        </w:rPr>
        <w:t>】作为我单位代理人。该委托代理人的授权范围为：作为我单位中标的【广西泛铝件先进制造（迁江）基地一期A区工程市政工程专业分包】工程（项目）现场负责人，负责合同谈判、签订、履行、办理结算</w:t>
      </w:r>
      <w:r>
        <w:rPr>
          <w:rFonts w:hint="eastAsia" w:ascii="仿宋_GB2312" w:eastAsia="仿宋_GB2312" w:hAnsiTheme="minorEastAsia" w:cstheme="minorEastAsia"/>
          <w:sz w:val="28"/>
          <w:szCs w:val="28"/>
          <w:highlight w:val="none"/>
          <w:lang w:eastAsia="zh-CN"/>
        </w:rPr>
        <w:t>、</w:t>
      </w:r>
      <w:r>
        <w:rPr>
          <w:rFonts w:hint="eastAsia" w:ascii="仿宋_GB2312" w:hAnsi="仿宋_GB2312" w:eastAsia="仿宋_GB2312" w:cs="仿宋_GB2312"/>
          <w:sz w:val="28"/>
          <w:szCs w:val="28"/>
          <w:highlight w:val="none"/>
        </w:rPr>
        <w:t>收集上报本单位所属工人的讨薪线索并代表分包人进行欠款和解协商</w:t>
      </w:r>
      <w:r>
        <w:rPr>
          <w:rFonts w:hint="eastAsia" w:ascii="仿宋_GB2312" w:eastAsia="仿宋_GB2312" w:hAnsiTheme="minorEastAsia" w:cstheme="minorEastAsia"/>
          <w:sz w:val="28"/>
          <w:szCs w:val="28"/>
          <w:highlight w:val="none"/>
        </w:rPr>
        <w:t>以及合同履行过程中签署的一切文件和处理与之有关的一切事务。</w:t>
      </w:r>
    </w:p>
    <w:p w14:paraId="51C695CF">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该代理人与本项目有关的一切行为，均代表我单位，我单位均予承认并视同我单位行为，由我单位承担该代理人行为的全部法律责任和后果。</w:t>
      </w:r>
    </w:p>
    <w:p w14:paraId="5CDFBD5D">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代理人无转委托权。</w:t>
      </w:r>
    </w:p>
    <w:p w14:paraId="48FFC6A7">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有效期限：自授权委托书签发之日起至分包合同履行结束。</w:t>
      </w:r>
    </w:p>
    <w:p w14:paraId="397A4F66">
      <w:pPr>
        <w:spacing w:line="480" w:lineRule="exact"/>
        <w:ind w:firstLine="560" w:firstLineChars="200"/>
        <w:rPr>
          <w:rFonts w:hint="eastAsia" w:ascii="仿宋_GB2312" w:eastAsia="仿宋_GB2312" w:hAnsiTheme="minorEastAsia" w:cstheme="minorEastAsia"/>
          <w:sz w:val="28"/>
          <w:szCs w:val="28"/>
          <w:highlight w:val="none"/>
        </w:rPr>
      </w:pPr>
    </w:p>
    <w:p w14:paraId="24407AF2">
      <w:pPr>
        <w:spacing w:line="480" w:lineRule="exact"/>
        <w:ind w:firstLine="560" w:firstLineChars="200"/>
        <w:rPr>
          <w:rFonts w:hint="eastAsia" w:ascii="仿宋_GB2312" w:eastAsia="仿宋_GB2312" w:hAnsiTheme="minorEastAsia" w:cstheme="minorEastAsia"/>
          <w:sz w:val="28"/>
          <w:szCs w:val="28"/>
          <w:highlight w:val="none"/>
        </w:rPr>
      </w:pPr>
    </w:p>
    <w:p w14:paraId="437AF654">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授权单位：（公章）</w:t>
      </w:r>
    </w:p>
    <w:p w14:paraId="61FFB599">
      <w:pPr>
        <w:spacing w:line="480" w:lineRule="exact"/>
        <w:ind w:firstLine="560" w:firstLineChars="200"/>
        <w:rPr>
          <w:rFonts w:hint="eastAsia" w:ascii="仿宋_GB2312" w:eastAsia="仿宋_GB2312" w:hAnsiTheme="minorEastAsia" w:cstheme="minorEastAsia"/>
          <w:sz w:val="28"/>
          <w:szCs w:val="28"/>
          <w:highlight w:val="none"/>
        </w:rPr>
      </w:pPr>
    </w:p>
    <w:p w14:paraId="51786CF8">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法定代表人：（签字）</w:t>
      </w:r>
    </w:p>
    <w:p w14:paraId="69B63D80">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委托代理人：（签字）</w:t>
      </w:r>
    </w:p>
    <w:p w14:paraId="401DFCD1">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年    月   日 </w:t>
      </w:r>
    </w:p>
    <w:p w14:paraId="37DD4FCA">
      <w:pPr>
        <w:spacing w:line="480" w:lineRule="exac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附：法定代表人及委托代理人身份证正反面复印件（复印件要加盖授权单位公章）  </w:t>
      </w:r>
    </w:p>
    <w:p w14:paraId="412002C3">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w:t>
      </w:r>
    </w:p>
    <w:p w14:paraId="2ED28E18">
      <w:pPr>
        <w:spacing w:line="480" w:lineRule="exac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（身份证粘贴处）</w:t>
      </w:r>
    </w:p>
    <w:p w14:paraId="5BFE7482">
      <w:pPr>
        <w:spacing w:line="480" w:lineRule="exac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w:t>
      </w:r>
    </w:p>
    <w:p w14:paraId="24CC6E05">
      <w:pPr>
        <w:spacing w:line="480" w:lineRule="exact"/>
        <w:rPr>
          <w:rFonts w:hint="eastAsia" w:ascii="仿宋_GB2312" w:eastAsia="仿宋_GB2312" w:hAnsiTheme="minorEastAsia" w:cstheme="minorEastAsia"/>
          <w:b/>
          <w:bCs/>
          <w:sz w:val="28"/>
          <w:szCs w:val="28"/>
          <w:highlight w:val="none"/>
        </w:rPr>
      </w:pPr>
      <w:r>
        <w:rPr>
          <w:rFonts w:hint="eastAsia" w:ascii="仿宋_GB2312" w:eastAsia="仿宋_GB2312" w:hAnsiTheme="minorEastAsia" w:cstheme="minorEastAsia"/>
          <w:sz w:val="28"/>
          <w:szCs w:val="28"/>
          <w:highlight w:val="none"/>
        </w:rPr>
        <w:t xml:space="preserve">  </w:t>
      </w:r>
    </w:p>
    <w:p w14:paraId="1523BCBE">
      <w:pPr>
        <w:widowControl/>
        <w:spacing w:line="480" w:lineRule="exact"/>
        <w:jc w:val="left"/>
        <w:rPr>
          <w:rFonts w:hint="eastAsia" w:ascii="仿宋_GB2312" w:eastAsia="仿宋_GB2312" w:hAnsiTheme="minorEastAsia" w:cstheme="minorEastAsia"/>
          <w:b/>
          <w:bCs/>
          <w:sz w:val="28"/>
          <w:szCs w:val="28"/>
          <w:highlight w:val="none"/>
        </w:rPr>
      </w:pPr>
      <w:r>
        <w:rPr>
          <w:rFonts w:hint="eastAsia" w:ascii="仿宋_GB2312" w:eastAsia="仿宋_GB2312" w:hAnsiTheme="minorEastAsia" w:cstheme="minorEastAsia"/>
          <w:b/>
          <w:bCs/>
          <w:sz w:val="28"/>
          <w:szCs w:val="28"/>
          <w:highlight w:val="none"/>
        </w:rPr>
        <w:t xml:space="preserve"> </w:t>
      </w:r>
    </w:p>
    <w:p w14:paraId="2F579570">
      <w:pPr>
        <w:rPr>
          <w:rFonts w:hint="eastAsia" w:asciiTheme="minorEastAsia" w:hAnsiTheme="minorEastAsia" w:cstheme="minorEastAsia"/>
          <w:b/>
          <w:bCs/>
          <w:highlight w:val="none"/>
        </w:rPr>
      </w:pPr>
      <w:r>
        <w:rPr>
          <w:highlight w:val="none"/>
        </w:rPr>
        <w:br w:type="page"/>
      </w:r>
    </w:p>
    <w:p w14:paraId="6E2B27CA">
      <w:pPr>
        <w:pStyle w:val="5"/>
        <w:ind w:left="0" w:leftChars="0" w:firstLine="562" w:firstLineChars="200"/>
        <w:rPr>
          <w:bCs w:val="0"/>
          <w:color w:val="000000"/>
          <w:highlight w:val="none"/>
        </w:rPr>
      </w:pPr>
      <w:bookmarkStart w:id="872" w:name="_Toc31932"/>
      <w:r>
        <w:rPr>
          <w:rFonts w:hint="eastAsia"/>
          <w:bCs w:val="0"/>
          <w:color w:val="000000"/>
          <w:highlight w:val="none"/>
        </w:rPr>
        <w:t>附件4</w:t>
      </w:r>
      <w:bookmarkEnd w:id="872"/>
      <w:bookmarkStart w:id="873" w:name="_Toc132053713"/>
      <w:r>
        <w:rPr>
          <w:rFonts w:hint="eastAsia"/>
          <w:bCs w:val="0"/>
          <w:color w:val="000000"/>
          <w:highlight w:val="none"/>
        </w:rPr>
        <w:t xml:space="preserve">  </w:t>
      </w:r>
    </w:p>
    <w:p w14:paraId="30A88915">
      <w:pPr>
        <w:pStyle w:val="5"/>
        <w:ind w:left="0" w:leftChars="0"/>
        <w:jc w:val="center"/>
        <w:rPr>
          <w:bCs w:val="0"/>
          <w:color w:val="000000"/>
          <w:highlight w:val="none"/>
        </w:rPr>
      </w:pPr>
      <w:bookmarkStart w:id="874" w:name="_Toc31135"/>
      <w:bookmarkStart w:id="875" w:name="_Toc29443"/>
      <w:r>
        <w:rPr>
          <w:rFonts w:hint="eastAsia"/>
          <w:bCs w:val="0"/>
          <w:color w:val="000000"/>
          <w:highlight w:val="none"/>
        </w:rPr>
        <w:t>乙方现场管理人员名单</w:t>
      </w:r>
      <w:bookmarkEnd w:id="873"/>
      <w:bookmarkEnd w:id="874"/>
      <w:bookmarkEnd w:id="875"/>
    </w:p>
    <w:p w14:paraId="02E7DFC4">
      <w:pPr>
        <w:adjustRightInd w:val="0"/>
        <w:snapToGrid w:val="0"/>
        <w:spacing w:line="440" w:lineRule="exact"/>
        <w:jc w:val="center"/>
        <w:rPr>
          <w:rFonts w:hint="eastAsia" w:asciiTheme="minorEastAsia" w:hAnsiTheme="minorEastAsia" w:cstheme="minorEastAsia"/>
          <w:b/>
          <w:sz w:val="30"/>
          <w:szCs w:val="30"/>
          <w:highlight w:val="none"/>
        </w:rPr>
      </w:pPr>
    </w:p>
    <w:tbl>
      <w:tblPr>
        <w:tblStyle w:val="26"/>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078"/>
        <w:gridCol w:w="1358"/>
        <w:gridCol w:w="1350"/>
        <w:gridCol w:w="1583"/>
        <w:gridCol w:w="1854"/>
      </w:tblGrid>
      <w:tr w14:paraId="656F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0D07B59E">
            <w:pPr>
              <w:adjustRightInd w:val="0"/>
              <w:snapToGrid w:val="0"/>
              <w:spacing w:line="480" w:lineRule="exact"/>
              <w:jc w:val="center"/>
              <w:rPr>
                <w:rFonts w:hint="eastAsia" w:ascii="仿宋_GB2312" w:eastAsia="仿宋_GB2312" w:hAnsiTheme="minorEastAsia" w:cstheme="minorEastAsia"/>
                <w:b/>
                <w:sz w:val="28"/>
                <w:szCs w:val="28"/>
                <w:highlight w:val="none"/>
              </w:rPr>
            </w:pPr>
            <w:r>
              <w:rPr>
                <w:rFonts w:hint="eastAsia" w:ascii="仿宋_GB2312" w:eastAsia="仿宋_GB2312" w:hAnsiTheme="minorEastAsia" w:cstheme="minorEastAsia"/>
                <w:b/>
                <w:sz w:val="28"/>
                <w:szCs w:val="28"/>
                <w:highlight w:val="none"/>
              </w:rPr>
              <w:t>姓名</w:t>
            </w:r>
          </w:p>
        </w:tc>
        <w:tc>
          <w:tcPr>
            <w:tcW w:w="1078" w:type="dxa"/>
          </w:tcPr>
          <w:p w14:paraId="5CDFE7DB">
            <w:pPr>
              <w:adjustRightInd w:val="0"/>
              <w:snapToGrid w:val="0"/>
              <w:spacing w:line="480" w:lineRule="exact"/>
              <w:jc w:val="center"/>
              <w:rPr>
                <w:rFonts w:hint="eastAsia" w:ascii="仿宋_GB2312" w:eastAsia="仿宋_GB2312" w:hAnsiTheme="minorEastAsia" w:cstheme="minorEastAsia"/>
                <w:b/>
                <w:sz w:val="28"/>
                <w:szCs w:val="28"/>
                <w:highlight w:val="none"/>
              </w:rPr>
            </w:pPr>
            <w:r>
              <w:rPr>
                <w:rFonts w:hint="eastAsia" w:ascii="仿宋_GB2312" w:eastAsia="仿宋_GB2312" w:hAnsiTheme="minorEastAsia" w:cstheme="minorEastAsia"/>
                <w:b/>
                <w:sz w:val="28"/>
                <w:szCs w:val="28"/>
                <w:highlight w:val="none"/>
              </w:rPr>
              <w:t>职务</w:t>
            </w:r>
          </w:p>
        </w:tc>
        <w:tc>
          <w:tcPr>
            <w:tcW w:w="1358" w:type="dxa"/>
          </w:tcPr>
          <w:p w14:paraId="5B9FF92E">
            <w:pPr>
              <w:adjustRightInd w:val="0"/>
              <w:snapToGrid w:val="0"/>
              <w:spacing w:line="480" w:lineRule="exact"/>
              <w:jc w:val="center"/>
              <w:rPr>
                <w:rFonts w:hint="eastAsia" w:ascii="仿宋_GB2312" w:eastAsia="仿宋_GB2312" w:hAnsiTheme="minorEastAsia" w:cstheme="minorEastAsia"/>
                <w:b/>
                <w:sz w:val="28"/>
                <w:szCs w:val="28"/>
                <w:highlight w:val="none"/>
              </w:rPr>
            </w:pPr>
            <w:r>
              <w:rPr>
                <w:rFonts w:hint="eastAsia" w:ascii="仿宋_GB2312" w:eastAsia="仿宋_GB2312" w:hAnsiTheme="minorEastAsia" w:cstheme="minorEastAsia"/>
                <w:b/>
                <w:sz w:val="28"/>
                <w:szCs w:val="28"/>
                <w:highlight w:val="none"/>
              </w:rPr>
              <w:t>职责权限</w:t>
            </w:r>
          </w:p>
        </w:tc>
        <w:tc>
          <w:tcPr>
            <w:tcW w:w="1350" w:type="dxa"/>
          </w:tcPr>
          <w:p w14:paraId="6F857566">
            <w:pPr>
              <w:adjustRightInd w:val="0"/>
              <w:snapToGrid w:val="0"/>
              <w:spacing w:line="480" w:lineRule="exact"/>
              <w:jc w:val="center"/>
              <w:rPr>
                <w:rFonts w:hint="eastAsia" w:ascii="仿宋_GB2312" w:eastAsia="仿宋_GB2312" w:hAnsiTheme="minorEastAsia" w:cstheme="minorEastAsia"/>
                <w:b/>
                <w:sz w:val="28"/>
                <w:szCs w:val="28"/>
                <w:highlight w:val="none"/>
              </w:rPr>
            </w:pPr>
            <w:r>
              <w:rPr>
                <w:rFonts w:hint="eastAsia" w:ascii="仿宋_GB2312" w:eastAsia="仿宋_GB2312" w:hAnsiTheme="minorEastAsia" w:cstheme="minorEastAsia"/>
                <w:b/>
                <w:sz w:val="28"/>
                <w:szCs w:val="28"/>
                <w:highlight w:val="none"/>
              </w:rPr>
              <w:t>联系方式</w:t>
            </w:r>
          </w:p>
        </w:tc>
        <w:tc>
          <w:tcPr>
            <w:tcW w:w="1583" w:type="dxa"/>
          </w:tcPr>
          <w:p w14:paraId="3A9BF507">
            <w:pPr>
              <w:adjustRightInd w:val="0"/>
              <w:snapToGrid w:val="0"/>
              <w:spacing w:line="480" w:lineRule="exact"/>
              <w:jc w:val="center"/>
              <w:rPr>
                <w:rFonts w:hint="eastAsia" w:ascii="仿宋_GB2312" w:eastAsia="仿宋_GB2312" w:hAnsiTheme="minorEastAsia" w:cstheme="minorEastAsia"/>
                <w:b/>
                <w:sz w:val="28"/>
                <w:szCs w:val="28"/>
                <w:highlight w:val="none"/>
              </w:rPr>
            </w:pPr>
            <w:r>
              <w:rPr>
                <w:rFonts w:hint="eastAsia" w:ascii="仿宋_GB2312" w:eastAsia="仿宋_GB2312" w:hAnsiTheme="minorEastAsia" w:cstheme="minorEastAsia"/>
                <w:b/>
                <w:sz w:val="28"/>
                <w:szCs w:val="28"/>
                <w:highlight w:val="none"/>
              </w:rPr>
              <w:t>通讯地址</w:t>
            </w:r>
          </w:p>
        </w:tc>
        <w:tc>
          <w:tcPr>
            <w:tcW w:w="1854" w:type="dxa"/>
          </w:tcPr>
          <w:p w14:paraId="43E7827E">
            <w:pPr>
              <w:adjustRightInd w:val="0"/>
              <w:snapToGrid w:val="0"/>
              <w:spacing w:line="480" w:lineRule="exact"/>
              <w:jc w:val="center"/>
              <w:rPr>
                <w:rFonts w:hint="eastAsia" w:ascii="仿宋_GB2312" w:eastAsia="仿宋_GB2312" w:hAnsiTheme="minorEastAsia" w:cstheme="minorEastAsia"/>
                <w:b/>
                <w:sz w:val="28"/>
                <w:szCs w:val="28"/>
                <w:highlight w:val="none"/>
              </w:rPr>
            </w:pPr>
            <w:r>
              <w:rPr>
                <w:rFonts w:hint="eastAsia" w:ascii="仿宋_GB2312" w:eastAsia="仿宋_GB2312" w:hAnsiTheme="minorEastAsia" w:cstheme="minorEastAsia"/>
                <w:b/>
                <w:sz w:val="28"/>
                <w:szCs w:val="28"/>
                <w:highlight w:val="none"/>
              </w:rPr>
              <w:t>电子邮箱</w:t>
            </w:r>
          </w:p>
        </w:tc>
      </w:tr>
      <w:tr w14:paraId="69D1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5CC7A3E1">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02B499A7">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32DFD63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6D47B2F9">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26254080">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1F2CEEAD">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3745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507F9981">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7496A369">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27F5C43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7B7BCA7B">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0ECBBCB8">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436B51F1">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79F6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3FCBAA3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0EA5B437">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138D6253">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57E9A0EB">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1A75F4F7">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225171A2">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184D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65D021DD">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52059756">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07E9278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054C6C98">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767ABD87">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161D64F1">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533F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2FF73819">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5851C294">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39D94D10">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15F1A810">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4E5E4D6A">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66D92B5E">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189A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2114780E">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371DAF81">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0949AD1E">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44CD9B7F">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5FBA8409">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205C47CE">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45FF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3F776B5F">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08AD583F">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5C19E7F5">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3E3A5C42">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3B5C7174">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286290D1">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1702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0A7167D8">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703C904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0F92128F">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1A83C60E">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7966310D">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5098A6DF">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r w14:paraId="06CCD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dxa"/>
          </w:tcPr>
          <w:p w14:paraId="594347E7">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078" w:type="dxa"/>
          </w:tcPr>
          <w:p w14:paraId="11007FB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8" w:type="dxa"/>
          </w:tcPr>
          <w:p w14:paraId="22552E8A">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350" w:type="dxa"/>
          </w:tcPr>
          <w:p w14:paraId="5B2DEBFC">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583" w:type="dxa"/>
          </w:tcPr>
          <w:p w14:paraId="23D92073">
            <w:pPr>
              <w:adjustRightInd w:val="0"/>
              <w:snapToGrid w:val="0"/>
              <w:spacing w:line="480" w:lineRule="exact"/>
              <w:jc w:val="center"/>
              <w:rPr>
                <w:rFonts w:hint="eastAsia" w:ascii="仿宋_GB2312" w:eastAsia="仿宋_GB2312" w:hAnsiTheme="minorEastAsia" w:cstheme="minorEastAsia"/>
                <w:b/>
                <w:sz w:val="28"/>
                <w:szCs w:val="28"/>
                <w:highlight w:val="none"/>
              </w:rPr>
            </w:pPr>
          </w:p>
        </w:tc>
        <w:tc>
          <w:tcPr>
            <w:tcW w:w="1854" w:type="dxa"/>
          </w:tcPr>
          <w:p w14:paraId="458308AC">
            <w:pPr>
              <w:adjustRightInd w:val="0"/>
              <w:snapToGrid w:val="0"/>
              <w:spacing w:line="480" w:lineRule="exact"/>
              <w:jc w:val="center"/>
              <w:rPr>
                <w:rFonts w:hint="eastAsia" w:ascii="仿宋_GB2312" w:eastAsia="仿宋_GB2312" w:hAnsiTheme="minorEastAsia" w:cstheme="minorEastAsia"/>
                <w:b/>
                <w:sz w:val="28"/>
                <w:szCs w:val="28"/>
                <w:highlight w:val="none"/>
              </w:rPr>
            </w:pPr>
          </w:p>
        </w:tc>
      </w:tr>
    </w:tbl>
    <w:p w14:paraId="28629938">
      <w:pPr>
        <w:adjustRightInd w:val="0"/>
        <w:snapToGrid w:val="0"/>
        <w:spacing w:line="480" w:lineRule="exac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备注：</w:t>
      </w:r>
    </w:p>
    <w:p w14:paraId="08E789E1">
      <w:pPr>
        <w:widowControl/>
        <w:spacing w:after="120" w:afterLines="50" w:line="480" w:lineRule="exact"/>
        <w:ind w:left="505" w:hanging="505"/>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1.上表所列乙方现场管理人员，未经甲方事先书面同意，不得更换，甲方对上述人员进行现场考勤。</w:t>
      </w:r>
    </w:p>
    <w:p w14:paraId="5F9EA8BA">
      <w:pPr>
        <w:widowControl/>
        <w:spacing w:after="120" w:afterLines="50" w:line="480" w:lineRule="exact"/>
        <w:ind w:left="505" w:hanging="505"/>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2.上表所列乙方现场管理人员均有权代表乙方签署往来函件，履行乙方权利和义务。</w:t>
      </w:r>
    </w:p>
    <w:p w14:paraId="193303A5">
      <w:pPr>
        <w:adjustRightInd w:val="0"/>
        <w:snapToGrid w:val="0"/>
        <w:spacing w:before="120" w:beforeLines="50" w:after="120" w:afterLines="50" w:line="480" w:lineRule="exact"/>
        <w:ind w:left="5145" w:leftChars="2450" w:firstLine="5040" w:firstLineChars="18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乙方（盖章）</w:t>
      </w:r>
    </w:p>
    <w:p w14:paraId="0A4489AB">
      <w:pPr>
        <w:adjustRightInd w:val="0"/>
        <w:snapToGrid w:val="0"/>
        <w:spacing w:line="480" w:lineRule="exact"/>
        <w:ind w:left="5147" w:leftChars="2451" w:firstLine="5880" w:firstLineChars="21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法定代表人</w:t>
      </w:r>
    </w:p>
    <w:p w14:paraId="33409790">
      <w:pPr>
        <w:adjustRightInd w:val="0"/>
        <w:snapToGrid w:val="0"/>
        <w:spacing w:line="480" w:lineRule="exact"/>
        <w:ind w:left="5147" w:leftChars="2451"/>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或受委托人</w:t>
      </w:r>
    </w:p>
    <w:p w14:paraId="76310913">
      <w:pPr>
        <w:adjustRightInd w:val="0"/>
        <w:snapToGrid w:val="0"/>
        <w:spacing w:line="480" w:lineRule="exact"/>
        <w:ind w:left="5147" w:leftChars="2451" w:firstLine="5880" w:firstLineChars="21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 xml:space="preserve">      日期：    年  月    日 </w:t>
      </w:r>
    </w:p>
    <w:p w14:paraId="1B246FF4">
      <w:pPr>
        <w:spacing w:line="480" w:lineRule="exact"/>
        <w:rPr>
          <w:rFonts w:hint="eastAsia" w:ascii="仿宋_GB2312" w:eastAsia="仿宋_GB2312" w:hAnsiTheme="minorEastAsia" w:cstheme="minorEastAsia"/>
          <w:b/>
          <w:bCs/>
          <w:sz w:val="28"/>
          <w:szCs w:val="28"/>
          <w:highlight w:val="none"/>
        </w:rPr>
      </w:pPr>
    </w:p>
    <w:p w14:paraId="24F640DB">
      <w:pPr>
        <w:rPr>
          <w:rFonts w:hint="eastAsia" w:asciiTheme="minorEastAsia" w:hAnsiTheme="minorEastAsia" w:cstheme="minorEastAsia"/>
          <w:b/>
          <w:bCs/>
          <w:sz w:val="24"/>
          <w:highlight w:val="none"/>
        </w:rPr>
      </w:pPr>
      <w:r>
        <w:rPr>
          <w:highlight w:val="none"/>
        </w:rPr>
        <w:br w:type="page"/>
      </w:r>
    </w:p>
    <w:p w14:paraId="7B5540F0">
      <w:pPr>
        <w:pStyle w:val="5"/>
        <w:ind w:left="0" w:leftChars="0" w:firstLine="562" w:firstLineChars="200"/>
        <w:rPr>
          <w:bCs w:val="0"/>
          <w:color w:val="000000"/>
          <w:highlight w:val="none"/>
        </w:rPr>
      </w:pPr>
      <w:bookmarkStart w:id="876" w:name="_Toc8366"/>
      <w:r>
        <w:rPr>
          <w:rFonts w:hint="eastAsia"/>
          <w:bCs w:val="0"/>
          <w:color w:val="000000"/>
          <w:highlight w:val="none"/>
        </w:rPr>
        <w:t>附件5</w:t>
      </w:r>
      <w:bookmarkEnd w:id="876"/>
      <w:bookmarkStart w:id="877" w:name="_Toc132053714"/>
      <w:r>
        <w:rPr>
          <w:rFonts w:hint="eastAsia"/>
          <w:bCs w:val="0"/>
          <w:color w:val="000000"/>
          <w:highlight w:val="none"/>
        </w:rPr>
        <w:t xml:space="preserve">  </w:t>
      </w:r>
    </w:p>
    <w:p w14:paraId="52492843">
      <w:pPr>
        <w:pStyle w:val="5"/>
        <w:ind w:left="0" w:leftChars="0"/>
        <w:jc w:val="center"/>
        <w:rPr>
          <w:bCs w:val="0"/>
          <w:color w:val="000000"/>
          <w:highlight w:val="none"/>
        </w:rPr>
      </w:pPr>
      <w:bookmarkStart w:id="878" w:name="_Toc14110"/>
      <w:bookmarkStart w:id="879" w:name="_Toc1317"/>
      <w:r>
        <w:rPr>
          <w:rFonts w:hint="eastAsia"/>
          <w:bCs w:val="0"/>
          <w:color w:val="000000"/>
          <w:highlight w:val="none"/>
        </w:rPr>
        <w:t>工程承包人供应材料与设备明细表</w:t>
      </w:r>
      <w:bookmarkEnd w:id="877"/>
      <w:bookmarkEnd w:id="878"/>
      <w:bookmarkEnd w:id="879"/>
    </w:p>
    <w:p w14:paraId="05203ABF">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工程名称：【广西泛铝件先进制造（迁江）基地一期A区工程市政工程专业分包</w:t>
      </w:r>
    </w:p>
    <w:p w14:paraId="7355ECFD">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单位：元</w:t>
      </w:r>
    </w:p>
    <w:tbl>
      <w:tblPr>
        <w:tblStyle w:val="26"/>
        <w:tblW w:w="920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963"/>
        <w:gridCol w:w="992"/>
        <w:gridCol w:w="1025"/>
        <w:gridCol w:w="1340"/>
        <w:gridCol w:w="1530"/>
        <w:gridCol w:w="1547"/>
      </w:tblGrid>
      <w:tr w14:paraId="777BB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03" w:type="dxa"/>
            <w:vAlign w:val="center"/>
          </w:tcPr>
          <w:p w14:paraId="63119435">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序号</w:t>
            </w:r>
          </w:p>
        </w:tc>
        <w:tc>
          <w:tcPr>
            <w:tcW w:w="1963" w:type="dxa"/>
            <w:vAlign w:val="center"/>
          </w:tcPr>
          <w:p w14:paraId="2416D32F">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材料设备名称</w:t>
            </w:r>
          </w:p>
        </w:tc>
        <w:tc>
          <w:tcPr>
            <w:tcW w:w="992" w:type="dxa"/>
            <w:vAlign w:val="center"/>
          </w:tcPr>
          <w:p w14:paraId="0B34BD60">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规格</w:t>
            </w:r>
          </w:p>
        </w:tc>
        <w:tc>
          <w:tcPr>
            <w:tcW w:w="1025" w:type="dxa"/>
            <w:vAlign w:val="center"/>
          </w:tcPr>
          <w:p w14:paraId="7A73AEA8">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单位</w:t>
            </w:r>
          </w:p>
        </w:tc>
        <w:tc>
          <w:tcPr>
            <w:tcW w:w="1340" w:type="dxa"/>
            <w:vAlign w:val="center"/>
          </w:tcPr>
          <w:p w14:paraId="7F62E477">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数量</w:t>
            </w:r>
          </w:p>
        </w:tc>
        <w:tc>
          <w:tcPr>
            <w:tcW w:w="1530" w:type="dxa"/>
            <w:vAlign w:val="center"/>
          </w:tcPr>
          <w:p w14:paraId="14B334B9">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扣款单价</w:t>
            </w:r>
          </w:p>
        </w:tc>
        <w:tc>
          <w:tcPr>
            <w:tcW w:w="1547" w:type="dxa"/>
            <w:vAlign w:val="center"/>
          </w:tcPr>
          <w:p w14:paraId="0020E531">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备注</w:t>
            </w:r>
          </w:p>
        </w:tc>
      </w:tr>
      <w:tr w14:paraId="175A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28846402">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1</w:t>
            </w:r>
          </w:p>
        </w:tc>
        <w:tc>
          <w:tcPr>
            <w:tcW w:w="1963" w:type="dxa"/>
            <w:vAlign w:val="center"/>
          </w:tcPr>
          <w:p w14:paraId="433EA06D">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p w14:paraId="57C2FAD9">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992" w:type="dxa"/>
            <w:vAlign w:val="center"/>
          </w:tcPr>
          <w:p w14:paraId="1E899F14">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025" w:type="dxa"/>
            <w:vAlign w:val="center"/>
          </w:tcPr>
          <w:p w14:paraId="7DFD9941">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340" w:type="dxa"/>
            <w:vAlign w:val="center"/>
          </w:tcPr>
          <w:p w14:paraId="75479734">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530" w:type="dxa"/>
            <w:vAlign w:val="center"/>
          </w:tcPr>
          <w:p w14:paraId="05DB0CA1">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547" w:type="dxa"/>
            <w:vAlign w:val="center"/>
          </w:tcPr>
          <w:p w14:paraId="4B3B75B8">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r>
      <w:tr w14:paraId="7D5F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05CB614E">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2</w:t>
            </w:r>
          </w:p>
        </w:tc>
        <w:tc>
          <w:tcPr>
            <w:tcW w:w="1963" w:type="dxa"/>
            <w:vAlign w:val="center"/>
          </w:tcPr>
          <w:p w14:paraId="5902CA49">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p w14:paraId="4DB4AA18">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992" w:type="dxa"/>
            <w:vAlign w:val="center"/>
          </w:tcPr>
          <w:p w14:paraId="0330E812">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025" w:type="dxa"/>
            <w:vAlign w:val="center"/>
          </w:tcPr>
          <w:p w14:paraId="6726AAB5">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340" w:type="dxa"/>
            <w:vAlign w:val="center"/>
          </w:tcPr>
          <w:p w14:paraId="3BC771C0">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530" w:type="dxa"/>
            <w:vAlign w:val="center"/>
          </w:tcPr>
          <w:p w14:paraId="6B096524">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547" w:type="dxa"/>
            <w:vAlign w:val="center"/>
          </w:tcPr>
          <w:p w14:paraId="1FAEE54D">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r>
      <w:tr w14:paraId="75E6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22759A8E">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3</w:t>
            </w:r>
          </w:p>
        </w:tc>
        <w:tc>
          <w:tcPr>
            <w:tcW w:w="1963" w:type="dxa"/>
            <w:vAlign w:val="center"/>
          </w:tcPr>
          <w:p w14:paraId="13848DA0">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p w14:paraId="27C19DDE">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992" w:type="dxa"/>
            <w:vAlign w:val="center"/>
          </w:tcPr>
          <w:p w14:paraId="7A93CC55">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025" w:type="dxa"/>
            <w:vAlign w:val="center"/>
          </w:tcPr>
          <w:p w14:paraId="2EEBFFC5">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340" w:type="dxa"/>
            <w:vAlign w:val="center"/>
          </w:tcPr>
          <w:p w14:paraId="32F586E2">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530" w:type="dxa"/>
            <w:vAlign w:val="center"/>
          </w:tcPr>
          <w:p w14:paraId="2C695069">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c>
          <w:tcPr>
            <w:tcW w:w="1547" w:type="dxa"/>
            <w:vAlign w:val="center"/>
          </w:tcPr>
          <w:p w14:paraId="46762CFF">
            <w:pPr>
              <w:widowControl/>
              <w:spacing w:after="120" w:afterLines="50" w:line="480" w:lineRule="exact"/>
              <w:ind w:left="505" w:hanging="505"/>
              <w:jc w:val="left"/>
              <w:rPr>
                <w:rFonts w:hint="eastAsia" w:ascii="仿宋_GB2312" w:eastAsia="仿宋_GB2312" w:hAnsiTheme="minorEastAsia" w:cstheme="minorEastAsia"/>
                <w:sz w:val="28"/>
                <w:szCs w:val="28"/>
                <w:highlight w:val="none"/>
              </w:rPr>
            </w:pPr>
          </w:p>
        </w:tc>
      </w:tr>
    </w:tbl>
    <w:p w14:paraId="43B8D998">
      <w:pPr>
        <w:widowControl/>
        <w:spacing w:line="480" w:lineRule="exac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注：此表中未明确的材料、设备，按照工程承包人与建设单位最终确认的材料、设备单价乘以1.2，作为专业分包人超用材料、设备扣款的单价。</w:t>
      </w:r>
    </w:p>
    <w:p w14:paraId="60D563DF">
      <w:pPr>
        <w:spacing w:line="480" w:lineRule="exact"/>
        <w:rPr>
          <w:rFonts w:hint="eastAsia" w:ascii="仿宋_GB2312" w:eastAsia="仿宋_GB2312" w:hAnsiTheme="minorEastAsia" w:cstheme="minorEastAsia"/>
          <w:b/>
          <w:bCs/>
          <w:sz w:val="28"/>
          <w:szCs w:val="28"/>
          <w:highlight w:val="none"/>
        </w:rPr>
      </w:pPr>
    </w:p>
    <w:p w14:paraId="65CA936C">
      <w:pPr>
        <w:spacing w:line="480" w:lineRule="exact"/>
        <w:rPr>
          <w:rFonts w:hint="eastAsia" w:ascii="仿宋_GB2312" w:eastAsia="仿宋_GB2312" w:hAnsiTheme="minorEastAsia" w:cstheme="minorEastAsia"/>
          <w:b/>
          <w:bCs/>
          <w:sz w:val="28"/>
          <w:szCs w:val="28"/>
          <w:highlight w:val="none"/>
        </w:rPr>
      </w:pPr>
    </w:p>
    <w:p w14:paraId="13C7057D">
      <w:pPr>
        <w:spacing w:line="480" w:lineRule="exact"/>
        <w:rPr>
          <w:rFonts w:hint="eastAsia" w:ascii="仿宋_GB2312" w:eastAsia="仿宋_GB2312" w:hAnsiTheme="minorEastAsia" w:cstheme="minorEastAsia"/>
          <w:b/>
          <w:bCs/>
          <w:sz w:val="28"/>
          <w:szCs w:val="28"/>
          <w:highlight w:val="none"/>
        </w:rPr>
      </w:pPr>
    </w:p>
    <w:p w14:paraId="00C4645B">
      <w:pPr>
        <w:widowControl/>
        <w:tabs>
          <w:tab w:val="left" w:pos="5610"/>
        </w:tabs>
        <w:spacing w:before="240" w:beforeLines="100" w:after="240" w:afterLines="100" w:line="480" w:lineRule="exact"/>
        <w:jc w:val="left"/>
        <w:rPr>
          <w:rFonts w:hint="eastAsia" w:ascii="仿宋_GB2312" w:eastAsia="仿宋_GB2312" w:hAnsiTheme="minorEastAsia" w:cstheme="minorEastAsia"/>
          <w:kern w:val="0"/>
          <w:sz w:val="28"/>
          <w:szCs w:val="28"/>
          <w:highlight w:val="none"/>
        </w:rPr>
      </w:pPr>
      <w:r>
        <w:rPr>
          <w:rFonts w:hint="eastAsia" w:ascii="仿宋_GB2312" w:eastAsia="仿宋_GB2312" w:hAnsiTheme="minorEastAsia" w:cstheme="minorEastAsia"/>
          <w:kern w:val="0"/>
          <w:sz w:val="28"/>
          <w:szCs w:val="28"/>
          <w:highlight w:val="none"/>
        </w:rPr>
        <w:t>专业分包人：【盖章】</w:t>
      </w:r>
    </w:p>
    <w:p w14:paraId="15B4E667">
      <w:pPr>
        <w:widowControl/>
        <w:tabs>
          <w:tab w:val="left" w:pos="5610"/>
        </w:tabs>
        <w:spacing w:before="240" w:beforeLines="100" w:after="240" w:afterLines="100" w:line="480" w:lineRule="exact"/>
        <w:jc w:val="left"/>
        <w:rPr>
          <w:rFonts w:hint="eastAsia" w:ascii="仿宋_GB2312" w:eastAsia="仿宋_GB2312" w:hAnsiTheme="minorEastAsia" w:cstheme="minorEastAsia"/>
          <w:kern w:val="0"/>
          <w:sz w:val="28"/>
          <w:szCs w:val="28"/>
          <w:highlight w:val="none"/>
        </w:rPr>
      </w:pPr>
      <w:r>
        <w:rPr>
          <w:rFonts w:hint="eastAsia" w:ascii="仿宋_GB2312" w:eastAsia="仿宋_GB2312" w:hAnsiTheme="minorEastAsia" w:cstheme="minorEastAsia"/>
          <w:kern w:val="0"/>
          <w:sz w:val="28"/>
          <w:szCs w:val="28"/>
          <w:highlight w:val="none"/>
        </w:rPr>
        <w:t>法定代表人：【盖章】</w:t>
      </w:r>
    </w:p>
    <w:p w14:paraId="55104A89">
      <w:pPr>
        <w:widowControl/>
        <w:tabs>
          <w:tab w:val="left" w:pos="5610"/>
        </w:tabs>
        <w:spacing w:before="240" w:beforeLines="100" w:after="240" w:afterLines="100" w:line="480" w:lineRule="exact"/>
        <w:jc w:val="left"/>
        <w:rPr>
          <w:rFonts w:hint="eastAsia" w:asciiTheme="minorEastAsia" w:hAnsiTheme="minorEastAsia" w:cstheme="minorEastAsia"/>
          <w:b/>
          <w:bCs/>
          <w:sz w:val="24"/>
          <w:highlight w:val="none"/>
        </w:rPr>
      </w:pPr>
      <w:r>
        <w:rPr>
          <w:rFonts w:hint="eastAsia" w:ascii="仿宋_GB2312" w:eastAsia="仿宋_GB2312" w:hAnsiTheme="minorEastAsia" w:cstheme="minorEastAsia"/>
          <w:kern w:val="0"/>
          <w:sz w:val="28"/>
          <w:szCs w:val="28"/>
          <w:highlight w:val="none"/>
        </w:rPr>
        <w:t>委托代理人：【签字】</w:t>
      </w:r>
    </w:p>
    <w:p w14:paraId="349569C4">
      <w:pPr>
        <w:widowControl/>
        <w:jc w:val="left"/>
        <w:rPr>
          <w:rFonts w:hint="eastAsia" w:asciiTheme="minorEastAsia" w:hAnsiTheme="minorEastAsia" w:cstheme="minorEastAsia"/>
          <w:b/>
          <w:bCs/>
          <w:sz w:val="24"/>
          <w:highlight w:val="none"/>
        </w:rPr>
      </w:pPr>
      <w:r>
        <w:rPr>
          <w:highlight w:val="none"/>
        </w:rPr>
        <w:br w:type="page"/>
      </w:r>
    </w:p>
    <w:p w14:paraId="3E7285C8">
      <w:pPr>
        <w:pStyle w:val="5"/>
        <w:ind w:left="0" w:leftChars="0" w:firstLine="1124" w:firstLineChars="400"/>
        <w:rPr>
          <w:bCs w:val="0"/>
          <w:color w:val="000000"/>
          <w:highlight w:val="none"/>
        </w:rPr>
      </w:pPr>
      <w:r>
        <w:rPr>
          <w:rFonts w:hint="eastAsia"/>
          <w:bCs w:val="0"/>
          <w:color w:val="000000"/>
          <w:highlight w:val="none"/>
        </w:rPr>
        <w:t>附件6</w:t>
      </w:r>
      <w:bookmarkStart w:id="880" w:name="_Toc132053715"/>
      <w:r>
        <w:rPr>
          <w:rFonts w:hint="eastAsia"/>
          <w:bCs w:val="0"/>
          <w:color w:val="000000"/>
          <w:highlight w:val="none"/>
        </w:rPr>
        <w:t xml:space="preserve">  </w:t>
      </w:r>
    </w:p>
    <w:p w14:paraId="2868507A">
      <w:pPr>
        <w:pStyle w:val="5"/>
        <w:ind w:left="0" w:leftChars="0" w:firstLine="562" w:firstLineChars="200"/>
        <w:jc w:val="center"/>
        <w:rPr>
          <w:bCs w:val="0"/>
          <w:color w:val="000000"/>
          <w:highlight w:val="none"/>
        </w:rPr>
      </w:pPr>
      <w:bookmarkStart w:id="881" w:name="_Toc27620"/>
      <w:bookmarkStart w:id="882" w:name="_Toc11167"/>
      <w:r>
        <w:rPr>
          <w:rFonts w:hint="eastAsia"/>
          <w:bCs w:val="0"/>
          <w:color w:val="000000"/>
          <w:highlight w:val="none"/>
        </w:rPr>
        <w:t>项目廉政合同书</w:t>
      </w:r>
      <w:bookmarkEnd w:id="880"/>
      <w:bookmarkEnd w:id="881"/>
      <w:bookmarkEnd w:id="882"/>
    </w:p>
    <w:p w14:paraId="63CB93BC">
      <w:pPr>
        <w:spacing w:line="480" w:lineRule="exact"/>
        <w:ind w:firstLine="562" w:firstLineChars="200"/>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承包人（全称）：【</w:t>
      </w:r>
      <w:r>
        <w:rPr>
          <w:rFonts w:hint="eastAsia" w:ascii="仿宋_GB2312" w:hAnsi="仿宋_GB2312" w:eastAsia="仿宋_GB2312" w:cs="仿宋_GB2312"/>
          <w:b/>
          <w:color w:val="000000"/>
          <w:sz w:val="28"/>
          <w:szCs w:val="28"/>
          <w:highlight w:val="none"/>
          <w:lang w:eastAsia="zh-CN"/>
        </w:rPr>
        <w:t xml:space="preserve">        </w:t>
      </w:r>
      <w:r>
        <w:rPr>
          <w:rFonts w:hint="eastAsia" w:ascii="仿宋_GB2312" w:hAnsi="仿宋_GB2312" w:eastAsia="仿宋_GB2312" w:cs="仿宋_GB2312"/>
          <w:b/>
          <w:color w:val="000000"/>
          <w:sz w:val="28"/>
          <w:szCs w:val="28"/>
          <w:highlight w:val="none"/>
        </w:rPr>
        <w:t>】（以下简称甲方）</w:t>
      </w:r>
    </w:p>
    <w:p w14:paraId="1A329B7B">
      <w:pPr>
        <w:spacing w:line="480" w:lineRule="exact"/>
        <w:ind w:firstLine="562" w:firstLineChars="200"/>
        <w:rPr>
          <w:rFonts w:hint="eastAsia" w:ascii="仿宋_GB2312" w:hAnsi="仿宋_GB2312" w:eastAsia="仿宋_GB2312" w:cs="仿宋_GB2312"/>
          <w:b/>
          <w:color w:val="000000"/>
          <w:sz w:val="28"/>
          <w:szCs w:val="28"/>
          <w:highlight w:val="none"/>
          <w:u w:val="single"/>
        </w:rPr>
      </w:pPr>
      <w:r>
        <w:rPr>
          <w:rFonts w:hint="eastAsia" w:ascii="仿宋_GB2312" w:hAnsi="仿宋_GB2312" w:eastAsia="仿宋_GB2312" w:cs="仿宋_GB2312"/>
          <w:b/>
          <w:color w:val="000000"/>
          <w:sz w:val="28"/>
          <w:szCs w:val="28"/>
          <w:highlight w:val="none"/>
        </w:rPr>
        <w:t>分包人（全称）：【                       】（以下简称乙方）</w:t>
      </w:r>
    </w:p>
    <w:p w14:paraId="02451898">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为确保甲方对建设单位的承诺，高效、优质共同完成施工任务，争创优质工程，保证合同双方能够高效廉洁地履行，维护双方合法权益，经双方协商，特订立如下廉政合同书。</w:t>
      </w:r>
    </w:p>
    <w:p w14:paraId="2123E7D1">
      <w:pPr>
        <w:spacing w:line="480" w:lineRule="exact"/>
        <w:ind w:firstLine="560" w:firstLineChars="200"/>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第一条 甲乙双方的权利和义务</w:t>
      </w:r>
    </w:p>
    <w:p w14:paraId="476003DF">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1.甲乙双方应本着“公开、公平、公正、诚信、透明”的原则开展工作，自觉遵守党和国家、工程项目所在省、市、区工程建设有关法律法规以及廉政建设的各项规定。</w:t>
      </w:r>
    </w:p>
    <w:p w14:paraId="43197901">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2.甲乙双方应建立健全廉政教育制度，开展经常性教育活动，积极宣贯“合规诚信 自律清正”的廉洁从业核心理念，加强廉政教育。</w:t>
      </w:r>
    </w:p>
    <w:p w14:paraId="1FCE3EAC">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3.加强相互监督，发现对方有违反廉政合同书规定的行为，应及时提醒对方纠正。</w:t>
      </w:r>
    </w:p>
    <w:p w14:paraId="0E09B852">
      <w:pPr>
        <w:spacing w:line="480" w:lineRule="exact"/>
        <w:ind w:firstLine="560" w:firstLineChars="200"/>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第二条 甲方的责任</w:t>
      </w:r>
    </w:p>
    <w:p w14:paraId="10B1B658">
      <w:pPr>
        <w:spacing w:line="480" w:lineRule="exact"/>
        <w:ind w:firstLine="560" w:firstLineChars="200"/>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甲方工作人员不得有以下行为：</w:t>
      </w:r>
    </w:p>
    <w:p w14:paraId="72DB7495">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（1）</w:t>
      </w:r>
      <w:r>
        <w:rPr>
          <w:rFonts w:hint="eastAsia" w:ascii="仿宋_GB2312" w:eastAsia="仿宋_GB2312" w:hAnsiTheme="minorEastAsia" w:cstheme="minorEastAsia"/>
          <w:kern w:val="0"/>
          <w:sz w:val="28"/>
          <w:szCs w:val="28"/>
          <w:highlight w:val="none"/>
        </w:rPr>
        <w:t>为乙方多结算工程量、多签证、多付工程款等，并</w:t>
      </w:r>
      <w:r>
        <w:rPr>
          <w:rFonts w:hint="eastAsia" w:ascii="仿宋_GB2312" w:eastAsia="仿宋_GB2312" w:hAnsiTheme="minorEastAsia" w:cstheme="minorEastAsia"/>
          <w:sz w:val="28"/>
          <w:szCs w:val="28"/>
          <w:highlight w:val="none"/>
        </w:rPr>
        <w:t>向乙方索要或接受贿赂、回扣、礼金、有价证券（卡）、贵重物品和好处费等；</w:t>
      </w:r>
    </w:p>
    <w:p w14:paraId="65962C8F">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（2）在乙方报销任何应由甲方或个人支付的费用；</w:t>
      </w:r>
    </w:p>
    <w:p w14:paraId="65EA20EB">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（3）参加有可能影响公正执行公务的超标准宴请和娱乐、健身等活动；</w:t>
      </w:r>
    </w:p>
    <w:p w14:paraId="1F93E092">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（4）接受乙方提供的通讯工具、交通工具和高档办公用品；</w:t>
      </w:r>
    </w:p>
    <w:p w14:paraId="56F56634">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（5）要求、暗示或接受乙方为个人住房装修、婚丧嫁娶、配偶子女工作的安排以及出国（境）、旅游提供的方便；</w:t>
      </w:r>
    </w:p>
    <w:p w14:paraId="68B1BCB1">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（6）向乙方介绍或推荐配偶、子女、亲属参与的工程施工合同有关的设备、材料、工程分包、劳务等；</w:t>
      </w:r>
    </w:p>
    <w:p w14:paraId="4B83E24E">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（7）向乙方推荐分包单位或要求乙方购买合同规定以外的材料、机具设备等；</w:t>
      </w:r>
    </w:p>
    <w:p w14:paraId="5E2CF54C">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（8）因乙方拒绝本人的不合理要求，而故意刁难乙方。</w:t>
      </w:r>
    </w:p>
    <w:p w14:paraId="5DC2A94F">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第三条乙方的责任</w:t>
      </w:r>
    </w:p>
    <w:p w14:paraId="35CFE36D">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乙方应当通过正常途径开展业务，不得有以下行为：</w:t>
      </w:r>
    </w:p>
    <w:p w14:paraId="35124601">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（1）为</w:t>
      </w:r>
      <w:r>
        <w:rPr>
          <w:rFonts w:hint="eastAsia" w:ascii="仿宋_GB2312" w:eastAsia="仿宋_GB2312" w:hAnsiTheme="minorEastAsia" w:cstheme="minorEastAsia"/>
          <w:kern w:val="0"/>
          <w:sz w:val="28"/>
          <w:szCs w:val="28"/>
          <w:highlight w:val="none"/>
        </w:rPr>
        <w:t>多结算工程量、多签证、多收工程款等，</w:t>
      </w:r>
      <w:r>
        <w:rPr>
          <w:rFonts w:hint="eastAsia" w:ascii="仿宋_GB2312" w:eastAsia="仿宋_GB2312" w:hAnsiTheme="minorEastAsia" w:cstheme="minorEastAsia"/>
          <w:sz w:val="28"/>
          <w:szCs w:val="28"/>
          <w:highlight w:val="none"/>
        </w:rPr>
        <w:t>向甲方及其管理人员行贿或馈赠礼金、有价证券（卡）、贵重礼品；</w:t>
      </w:r>
    </w:p>
    <w:p w14:paraId="149E807A">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（2）为甲方及其工作人员报销应由甲方单位或个人支付的任何费用；</w:t>
      </w:r>
    </w:p>
    <w:p w14:paraId="23A1979F">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（3）安排甲方人员参加超标准宴请、娱乐活动及带有黄、赌性质的娱乐活动；</w:t>
      </w:r>
    </w:p>
    <w:p w14:paraId="29B71213">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（4）为甲方人员购置或提供通讯工具、交通工具和高档办公用品等；</w:t>
      </w:r>
    </w:p>
    <w:p w14:paraId="368D1935">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（5）乙方向甲方工作人员及其家属或者亲友介绍从事与甲乙双方工程有关的工程分包及材料设备、周转工具的供应、租赁等经营活动。</w:t>
      </w:r>
    </w:p>
    <w:p w14:paraId="4BE5ACCA">
      <w:pPr>
        <w:spacing w:line="480" w:lineRule="exact"/>
        <w:ind w:firstLine="560" w:firstLineChars="200"/>
        <w:jc w:val="left"/>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第四条 违约责任</w:t>
      </w:r>
    </w:p>
    <w:p w14:paraId="17BCA67F">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1.如甲方工作人员有违反本廉政合同书的行为，由甲方纪委查处，追究相应的党纪、政务责任，涉嫌犯罪的，移交司法机关追究刑事责任；对实名举报的，甲方要立即调查，并采取有效措施保障乙方的合法权益，防止报复事件发生。</w:t>
      </w:r>
    </w:p>
    <w:p w14:paraId="6578B339">
      <w:pPr>
        <w:spacing w:line="480" w:lineRule="exact"/>
        <w:ind w:firstLine="560" w:firstLineChars="200"/>
        <w:rPr>
          <w:rFonts w:hint="eastAsia" w:ascii="仿宋_GB2312" w:eastAsia="仿宋_GB2312" w:hAnsiTheme="minorEastAsia" w:cstheme="minorEastAsia"/>
          <w:sz w:val="28"/>
          <w:szCs w:val="28"/>
          <w:highlight w:val="none"/>
        </w:rPr>
      </w:pPr>
      <w:r>
        <w:rPr>
          <w:rFonts w:hint="eastAsia" w:ascii="仿宋_GB2312" w:eastAsia="仿宋_GB2312" w:hAnsiTheme="minorEastAsia" w:cstheme="minorEastAsia"/>
          <w:sz w:val="28"/>
          <w:szCs w:val="28"/>
          <w:highlight w:val="none"/>
        </w:rPr>
        <w:t>2.如乙方单位或个人有违反本廉政合同书的行为，甲方视情节对乙方处以签约合同价0.5%—1%的罚款，情节较重并给甲方造成损失的，乙方另需赔偿甲方全部经济损失，并取消乙方工程分包资格。</w:t>
      </w:r>
    </w:p>
    <w:p w14:paraId="4D823FB4">
      <w:pPr>
        <w:spacing w:line="480" w:lineRule="exact"/>
        <w:ind w:firstLine="560" w:firstLineChars="200"/>
        <w:rPr>
          <w:rFonts w:hint="eastAsia" w:ascii="仿宋_GB2312" w:eastAsia="仿宋_GB2312" w:hAnsiTheme="minorEastAsia" w:cstheme="minorEastAsia"/>
          <w:sz w:val="28"/>
          <w:szCs w:val="28"/>
          <w:highlight w:val="none"/>
        </w:rPr>
      </w:pPr>
      <w:bookmarkStart w:id="883" w:name="_Hlk117694496"/>
      <w:r>
        <w:rPr>
          <w:rFonts w:hint="eastAsia" w:ascii="仿宋_GB2312" w:eastAsia="仿宋_GB2312" w:hAnsiTheme="minorEastAsia" w:cstheme="minorEastAsia"/>
          <w:sz w:val="28"/>
          <w:szCs w:val="28"/>
          <w:highlight w:val="none"/>
        </w:rPr>
        <w:t xml:space="preserve">第五条 </w:t>
      </w:r>
      <w:bookmarkEnd w:id="883"/>
      <w:r>
        <w:rPr>
          <w:rFonts w:hint="eastAsia" w:ascii="仿宋_GB2312" w:eastAsia="仿宋_GB2312" w:hAnsiTheme="minorEastAsia" w:cstheme="minorEastAsia"/>
          <w:sz w:val="28"/>
          <w:szCs w:val="28"/>
          <w:highlight w:val="none"/>
        </w:rPr>
        <w:t>甲方举报电话：纪委书记【</w:t>
      </w:r>
      <w:r>
        <w:rPr>
          <w:rFonts w:hint="eastAsia" w:ascii="仿宋_GB2312" w:eastAsia="仿宋_GB2312" w:hAnsiTheme="minorEastAsia" w:cstheme="minorEastAsia"/>
          <w:sz w:val="28"/>
          <w:szCs w:val="28"/>
          <w:highlight w:val="none"/>
          <w:lang w:val="en-US" w:eastAsia="zh-CN"/>
        </w:rPr>
        <w:t>/</w:t>
      </w:r>
      <w:r>
        <w:rPr>
          <w:rFonts w:hint="eastAsia" w:ascii="仿宋_GB2312" w:eastAsia="仿宋_GB2312" w:hAnsiTheme="minorEastAsia" w:cstheme="minorEastAsia"/>
          <w:sz w:val="28"/>
          <w:szCs w:val="28"/>
          <w:highlight w:val="none"/>
        </w:rPr>
        <w:t>】，纪检监察部【020-89300106】。</w:t>
      </w:r>
    </w:p>
    <w:p w14:paraId="5F6E6204">
      <w:pPr>
        <w:pStyle w:val="5"/>
        <w:spacing w:before="120" w:beforeLines="50" w:after="120" w:afterLines="50"/>
        <w:ind w:left="0" w:leftChars="0" w:firstLine="562" w:firstLineChars="200"/>
        <w:rPr>
          <w:rFonts w:hint="eastAsia"/>
        </w:rPr>
      </w:pPr>
      <w:bookmarkStart w:id="884" w:name="_Toc25418"/>
      <w:r>
        <w:rPr>
          <w:rFonts w:hint="eastAsia" w:ascii="仿宋_GB2312" w:eastAsia="仿宋_GB2312" w:hAnsiTheme="minorEastAsia" w:cstheme="minorEastAsia"/>
          <w:sz w:val="28"/>
          <w:szCs w:val="28"/>
          <w:highlight w:val="none"/>
        </w:rPr>
        <w:t>第六条 本廉政合同书作为分包合同的附件，具有同等法律效力，本协议与合同同日生效,至甲乙双方工程合同履约完止。</w:t>
      </w:r>
      <w:r>
        <w:rPr>
          <w:highlight w:val="none"/>
        </w:rPr>
        <w:br w:type="page"/>
      </w:r>
      <w:r>
        <w:rPr>
          <w:rFonts w:hint="eastAsia" w:ascii="黑体" w:hAnsi="黑体" w:eastAsia="黑体" w:cs="黑体"/>
        </w:rPr>
        <w:t>附件</w:t>
      </w:r>
      <w:bookmarkStart w:id="885" w:name="_Toc132053716"/>
      <w:r>
        <w:rPr>
          <w:rFonts w:hint="eastAsia" w:ascii="黑体" w:hAnsi="黑体" w:eastAsia="黑体" w:cs="黑体"/>
        </w:rPr>
        <w:t>7</w:t>
      </w:r>
      <w:bookmarkEnd w:id="884"/>
      <w:r>
        <w:rPr>
          <w:rFonts w:hint="eastAsia" w:ascii="黑体" w:hAnsi="黑体" w:eastAsia="黑体" w:cs="黑体"/>
        </w:rPr>
        <w:t xml:space="preserve"> </w:t>
      </w:r>
      <w:r>
        <w:rPr>
          <w:rFonts w:hint="eastAsia"/>
        </w:rPr>
        <w:t xml:space="preserve"> </w:t>
      </w:r>
    </w:p>
    <w:p w14:paraId="590EBB95">
      <w:pPr>
        <w:pStyle w:val="5"/>
        <w:spacing w:before="120" w:beforeLines="50" w:after="120" w:afterLines="50"/>
        <w:ind w:left="0" w:leftChars="0" w:firstLine="562" w:firstLineChars="200"/>
        <w:jc w:val="center"/>
        <w:rPr>
          <w:rFonts w:hint="eastAsia"/>
        </w:rPr>
      </w:pPr>
      <w:bookmarkStart w:id="886" w:name="_Toc23414"/>
      <w:bookmarkStart w:id="887" w:name="_Toc24519"/>
      <w:r>
        <w:rPr>
          <w:rFonts w:hint="eastAsia"/>
        </w:rPr>
        <w:t>工程质量专项管理协议书</w:t>
      </w:r>
      <w:bookmarkEnd w:id="885"/>
      <w:bookmarkEnd w:id="886"/>
      <w:bookmarkEnd w:id="887"/>
      <w:bookmarkStart w:id="888" w:name="_Hlk132359272"/>
    </w:p>
    <w:bookmarkEnd w:id="888"/>
    <w:p w14:paraId="07F0B3E5">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工程名称：【</w:t>
      </w:r>
      <w:r>
        <w:rPr>
          <w:rFonts w:hint="eastAsia" w:ascii="仿宋_GB2312" w:eastAsia="仿宋_GB2312" w:hAnsiTheme="minorEastAsia" w:cstheme="minorEastAsia"/>
          <w:bCs/>
          <w:sz w:val="28"/>
          <w:szCs w:val="28"/>
          <w:lang w:eastAsia="zh-CN"/>
        </w:rPr>
        <w:t>广西泛铝件先进制造（迁江）基地一期A区工程市政工程专业分包</w:t>
      </w:r>
      <w:r>
        <w:rPr>
          <w:rFonts w:hint="eastAsia" w:ascii="仿宋_GB2312" w:eastAsia="仿宋_GB2312" w:hAnsiTheme="minorEastAsia" w:cstheme="minorEastAsia"/>
          <w:b/>
          <w:sz w:val="28"/>
          <w:szCs w:val="28"/>
        </w:rPr>
        <w:t>】</w:t>
      </w:r>
    </w:p>
    <w:p w14:paraId="479623C7">
      <w:pPr>
        <w:spacing w:line="480" w:lineRule="exact"/>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承包人（全称）：【</w:t>
      </w:r>
      <w:r>
        <w:rPr>
          <w:rFonts w:hint="eastAsia" w:ascii="仿宋_GB2312" w:hAnsi="仿宋_GB2312" w:eastAsia="仿宋_GB2312" w:cs="仿宋_GB2312"/>
          <w:b/>
          <w:color w:val="000000"/>
          <w:sz w:val="28"/>
          <w:szCs w:val="28"/>
          <w:lang w:eastAsia="zh-CN"/>
        </w:rPr>
        <w:t xml:space="preserve">        </w:t>
      </w:r>
      <w:r>
        <w:rPr>
          <w:rFonts w:hint="eastAsia" w:ascii="仿宋_GB2312" w:hAnsi="仿宋_GB2312" w:eastAsia="仿宋_GB2312" w:cs="仿宋_GB2312"/>
          <w:b/>
          <w:color w:val="000000"/>
          <w:sz w:val="28"/>
          <w:szCs w:val="28"/>
        </w:rPr>
        <w:t>】（以下简称甲方）</w:t>
      </w:r>
    </w:p>
    <w:p w14:paraId="26499BF0">
      <w:pPr>
        <w:spacing w:line="480" w:lineRule="exact"/>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7C6ACAB9">
      <w:pPr>
        <w:spacing w:line="480" w:lineRule="exact"/>
        <w:rPr>
          <w:rFonts w:ascii="仿宋_GB2312" w:eastAsia="仿宋_GB2312" w:hAnsiTheme="minorEastAsia" w:cstheme="minorEastAsia"/>
          <w:bCs/>
          <w:sz w:val="28"/>
          <w:szCs w:val="28"/>
        </w:rPr>
      </w:pPr>
      <w:r>
        <w:rPr>
          <w:rFonts w:hint="eastAsia" w:ascii="仿宋_GB2312" w:eastAsia="仿宋_GB2312" w:hAnsiTheme="minorEastAsia" w:cstheme="minorEastAsia"/>
          <w:sz w:val="28"/>
          <w:szCs w:val="28"/>
        </w:rPr>
        <w:t xml:space="preserve">   </w:t>
      </w:r>
      <w:r>
        <w:rPr>
          <w:rFonts w:hint="eastAsia" w:ascii="仿宋_GB2312" w:eastAsia="仿宋_GB2312" w:hAnsiTheme="minorEastAsia" w:cstheme="minorEastAsia"/>
          <w:bCs/>
          <w:sz w:val="28"/>
          <w:szCs w:val="28"/>
        </w:rPr>
        <w:t xml:space="preserve"> 为明确双方质量责任，加强施工质量过程管控，进一步促进分包人在质量管理和质量效果上的有效落实，提高项目质量管理水平；经双方协商一致，订立本协议：</w:t>
      </w:r>
    </w:p>
    <w:p w14:paraId="1A4B94A8">
      <w:pPr>
        <w:spacing w:line="480" w:lineRule="exact"/>
        <w:rPr>
          <w:rFonts w:ascii="仿宋_GB2312" w:eastAsia="仿宋_GB2312" w:hAnsiTheme="minorEastAsia" w:cstheme="minorEastAsia"/>
          <w:bCs/>
          <w:sz w:val="28"/>
          <w:szCs w:val="28"/>
        </w:rPr>
      </w:pPr>
      <w:r>
        <w:rPr>
          <w:rFonts w:hint="eastAsia" w:ascii="仿宋_GB2312" w:eastAsia="仿宋_GB2312" w:hAnsiTheme="minorEastAsia" w:cstheme="minorEastAsia"/>
          <w:b/>
          <w:sz w:val="28"/>
          <w:szCs w:val="28"/>
        </w:rPr>
        <w:t>第一条：甲乙双方都必须严格执行以下法律法规及规章制度。</w:t>
      </w:r>
    </w:p>
    <w:p w14:paraId="111BF8C6">
      <w:pPr>
        <w:spacing w:line="480" w:lineRule="exact"/>
        <w:ind w:firstLine="420" w:firstLineChars="15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《中华人民共和国建筑法》《中华人民共和国民法典》《中华人民共和国招投标法》《建设工程质量管理条例》《建筑工程质量验收统一标准》（GB50300</w:t>
      </w:r>
      <w:r>
        <w:rPr>
          <w:rFonts w:hint="eastAsia" w:ascii="仿宋_GB2312" w:eastAsia="仿宋_GB2312" w:hAnsiTheme="minorEastAsia" w:cstheme="minorEastAsia"/>
          <w:bCs/>
          <w:sz w:val="28"/>
          <w:szCs w:val="28"/>
        </w:rPr>
        <w:softHyphen/>
      </w:r>
      <w:r>
        <w:rPr>
          <w:rFonts w:hint="eastAsia" w:ascii="仿宋_GB2312" w:eastAsia="仿宋_GB2312" w:hAnsiTheme="minorEastAsia" w:cstheme="minorEastAsia"/>
          <w:bCs/>
          <w:sz w:val="28"/>
          <w:szCs w:val="28"/>
        </w:rPr>
        <w:t>-2013）、《建筑工程施工质量评价标准》（GB／T50375-2016）等相关法律法规或规范性文件。</w:t>
      </w:r>
    </w:p>
    <w:p w14:paraId="7CA57458">
      <w:pPr>
        <w:spacing w:line="480" w:lineRule="exact"/>
        <w:ind w:firstLine="490" w:firstLineChars="175"/>
        <w:rPr>
          <w:rFonts w:ascii="仿宋_GB2312" w:eastAsia="仿宋_GB2312" w:hAnsiTheme="minorEastAsia" w:cstheme="minorEastAsia"/>
          <w:b/>
          <w:bCs/>
          <w:sz w:val="28"/>
          <w:szCs w:val="28"/>
        </w:rPr>
      </w:pPr>
      <w:r>
        <w:rPr>
          <w:rFonts w:hint="eastAsia" w:ascii="仿宋_GB2312" w:eastAsia="仿宋_GB2312" w:hAnsiTheme="minorEastAsia" w:cstheme="minorEastAsia"/>
          <w:bCs/>
          <w:sz w:val="28"/>
          <w:szCs w:val="28"/>
        </w:rPr>
        <w:t>涉及分包工程的相关标准、规范、规程等：【</w:t>
      </w:r>
      <w:r>
        <w:rPr>
          <w:rFonts w:hint="eastAsia" w:ascii="仿宋_GB2312" w:eastAsia="仿宋_GB2312" w:hAnsiTheme="minorEastAsia" w:cstheme="minorEastAsia"/>
          <w:color w:val="C00000"/>
          <w:sz w:val="28"/>
          <w:szCs w:val="28"/>
        </w:rPr>
        <w:t>（总包项目部根据实际填写）</w:t>
      </w:r>
      <w:r>
        <w:rPr>
          <w:rFonts w:hint="eastAsia" w:ascii="仿宋_GB2312" w:eastAsia="仿宋_GB2312" w:hAnsiTheme="minorEastAsia" w:cstheme="minorEastAsia"/>
          <w:sz w:val="28"/>
          <w:szCs w:val="28"/>
        </w:rPr>
        <w:t>】</w:t>
      </w:r>
    </w:p>
    <w:p w14:paraId="41933571">
      <w:pPr>
        <w:spacing w:line="480" w:lineRule="exact"/>
        <w:ind w:firstLine="490" w:firstLineChars="175"/>
        <w:rPr>
          <w:rFonts w:ascii="仿宋_GB2312" w:eastAsia="仿宋_GB2312" w:hAnsiTheme="minorEastAsia" w:cstheme="minorEastAsia"/>
          <w:b/>
          <w:bCs/>
          <w:sz w:val="28"/>
          <w:szCs w:val="28"/>
        </w:rPr>
      </w:pPr>
      <w:r>
        <w:rPr>
          <w:rFonts w:hint="eastAsia" w:ascii="仿宋_GB2312" w:eastAsia="仿宋_GB2312" w:hAnsiTheme="minorEastAsia" w:cstheme="minorEastAsia"/>
          <w:bCs/>
          <w:sz w:val="28"/>
          <w:szCs w:val="28"/>
        </w:rPr>
        <w:t>公司的各项规章制度：【</w:t>
      </w:r>
      <w:r>
        <w:rPr>
          <w:rFonts w:hint="eastAsia" w:ascii="仿宋_GB2312" w:eastAsia="仿宋_GB2312" w:hAnsiTheme="minorEastAsia" w:cstheme="minorEastAsia"/>
          <w:color w:val="C00000"/>
          <w:sz w:val="28"/>
          <w:szCs w:val="28"/>
        </w:rPr>
        <w:t>（总包项目部根据实际填写）</w:t>
      </w:r>
      <w:r>
        <w:rPr>
          <w:rFonts w:hint="eastAsia" w:ascii="仿宋_GB2312" w:eastAsia="仿宋_GB2312" w:hAnsiTheme="minorEastAsia" w:cstheme="minorEastAsia"/>
          <w:b/>
          <w:bCs/>
          <w:sz w:val="28"/>
          <w:szCs w:val="28"/>
        </w:rPr>
        <w:t>】</w:t>
      </w:r>
    </w:p>
    <w:p w14:paraId="3D570EF0">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第二条：本协议的期限自分包工程开工之日起至分包工程质量保修期结束止。</w:t>
      </w:r>
    </w:p>
    <w:p w14:paraId="5D14EF52">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第三条：质量管理：</w:t>
      </w:r>
    </w:p>
    <w:p w14:paraId="4B6F4314">
      <w:pPr>
        <w:spacing w:line="480" w:lineRule="exact"/>
        <w:ind w:firstLine="492" w:firstLineChars="175"/>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3.1  项目负责人及专职质量管理人员</w:t>
      </w:r>
    </w:p>
    <w:p w14:paraId="6083D09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甲方委派【           】为甲方现场代表（身份证号：【          】）、【         】为质量检查员（身份证号：【          】），代表甲方对工程质量进行全面管理。</w:t>
      </w:r>
    </w:p>
    <w:p w14:paraId="020C1F8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乙方委派【           】为乙方现场代表（身份证号：【           】）、【           】为质量检查员（身份证号：【           】），代表乙方对工程质量进行全面管理。</w:t>
      </w:r>
    </w:p>
    <w:p w14:paraId="1AF8B2D4">
      <w:pPr>
        <w:spacing w:line="480" w:lineRule="exact"/>
        <w:ind w:firstLine="490"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甲方技术质量部门对工程质量的控制过程进行监督检查。</w:t>
      </w:r>
    </w:p>
    <w:p w14:paraId="6CBC072A">
      <w:pPr>
        <w:spacing w:line="480" w:lineRule="exact"/>
        <w:ind w:firstLine="490"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乙方进场后，不按要求配备专职质量管理人员的，限七日内改正，逾期不改的，每缺少一人，按照【</w:t>
      </w:r>
      <w:r>
        <w:rPr>
          <w:rFonts w:hint="eastAsia" w:ascii="仿宋_GB2312" w:eastAsia="仿宋_GB2312" w:hAnsiTheme="minorEastAsia" w:cstheme="minorEastAsia"/>
          <w:bCs/>
          <w:sz w:val="28"/>
          <w:szCs w:val="28"/>
          <w:lang w:val="en-US" w:eastAsia="zh-CN"/>
        </w:rPr>
        <w:t>500</w:t>
      </w:r>
      <w:r>
        <w:rPr>
          <w:rFonts w:hint="eastAsia" w:ascii="仿宋_GB2312" w:eastAsia="仿宋_GB2312" w:hAnsiTheme="minorEastAsia" w:cstheme="minorEastAsia"/>
          <w:bCs/>
          <w:sz w:val="28"/>
          <w:szCs w:val="28"/>
        </w:rPr>
        <w:t>】元/天承担违约金。乙方进行专职质量管理人员变动（更换或调离）必须得到甲方现场代表事先同意并书面确认，否则按缺少人员承担违约金。</w:t>
      </w:r>
    </w:p>
    <w:p w14:paraId="49EC83E0">
      <w:pPr>
        <w:spacing w:line="480" w:lineRule="exact"/>
        <w:ind w:firstLine="492" w:firstLineChars="175"/>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3.2  本项目质量管理目标</w:t>
      </w:r>
    </w:p>
    <w:p w14:paraId="7FC3D084">
      <w:pPr>
        <w:spacing w:line="480" w:lineRule="exact"/>
        <w:ind w:firstLine="490"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3.2.1  工程质量目标：合格、创【</w:t>
      </w:r>
      <w:r>
        <w:rPr>
          <w:rFonts w:hint="eastAsia" w:ascii="仿宋_GB2312" w:eastAsia="仿宋_GB2312" w:hAnsiTheme="minorEastAsia" w:cstheme="minorEastAsia"/>
          <w:bCs/>
          <w:sz w:val="28"/>
          <w:szCs w:val="28"/>
          <w:lang w:val="en-US" w:eastAsia="zh-CN"/>
        </w:rPr>
        <w:t>/</w:t>
      </w:r>
      <w:r>
        <w:rPr>
          <w:rFonts w:hint="eastAsia" w:ascii="仿宋_GB2312" w:eastAsia="仿宋_GB2312" w:hAnsiTheme="minorEastAsia" w:cstheme="minorEastAsia"/>
          <w:bCs/>
          <w:sz w:val="28"/>
          <w:szCs w:val="28"/>
        </w:rPr>
        <w:t xml:space="preserve"> 】工程（如国优、鲁班奖、詹天佑奖等，最高创优目标）</w:t>
      </w:r>
    </w:p>
    <w:p w14:paraId="2FF34071">
      <w:pPr>
        <w:spacing w:line="480" w:lineRule="exact"/>
        <w:ind w:firstLine="490"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3.2.2  土建质量目标：【</w:t>
      </w:r>
      <w:r>
        <w:rPr>
          <w:rFonts w:hint="eastAsia" w:ascii="仿宋_GB2312" w:eastAsia="仿宋_GB2312" w:hAnsiTheme="minorEastAsia" w:cstheme="minorEastAsia"/>
          <w:bCs/>
          <w:sz w:val="28"/>
          <w:szCs w:val="28"/>
          <w:lang w:val="en-US" w:eastAsia="zh-CN"/>
        </w:rPr>
        <w:t>来宾市</w:t>
      </w:r>
      <w:r>
        <w:rPr>
          <w:rFonts w:hint="eastAsia" w:ascii="仿宋_GB2312" w:eastAsia="仿宋_GB2312" w:hAnsiTheme="minorEastAsia" w:cstheme="minorEastAsia"/>
          <w:bCs/>
          <w:sz w:val="28"/>
          <w:szCs w:val="28"/>
        </w:rPr>
        <w:t>】优质结构奖</w:t>
      </w:r>
    </w:p>
    <w:p w14:paraId="28C58F98">
      <w:pPr>
        <w:spacing w:line="480" w:lineRule="exact"/>
        <w:ind w:firstLine="490"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 xml:space="preserve">3.2.3  钢结构专业目标：【 </w:t>
      </w:r>
      <w:r>
        <w:rPr>
          <w:rFonts w:hint="eastAsia" w:ascii="仿宋_GB2312" w:eastAsia="仿宋_GB2312" w:hAnsiTheme="minorEastAsia" w:cstheme="minorEastAsia"/>
          <w:bCs/>
          <w:sz w:val="28"/>
          <w:szCs w:val="28"/>
          <w:lang w:val="en-US" w:eastAsia="zh-CN"/>
        </w:rPr>
        <w:t>/</w:t>
      </w:r>
      <w:r>
        <w:rPr>
          <w:rFonts w:hint="eastAsia" w:ascii="仿宋_GB2312" w:eastAsia="仿宋_GB2312" w:hAnsiTheme="minorEastAsia" w:cstheme="minorEastAsia"/>
          <w:bCs/>
          <w:sz w:val="28"/>
          <w:szCs w:val="28"/>
        </w:rPr>
        <w:t>】奖</w:t>
      </w:r>
    </w:p>
    <w:p w14:paraId="1EADB81D">
      <w:pPr>
        <w:spacing w:line="480" w:lineRule="exact"/>
        <w:ind w:firstLine="490"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3.2.4  装饰装修目标：【</w:t>
      </w:r>
      <w:r>
        <w:rPr>
          <w:rFonts w:hint="eastAsia" w:ascii="仿宋_GB2312" w:eastAsia="仿宋_GB2312" w:hAnsiTheme="minorEastAsia" w:cstheme="minorEastAsia"/>
          <w:bCs/>
          <w:sz w:val="28"/>
          <w:szCs w:val="28"/>
          <w:lang w:val="en-US" w:eastAsia="zh-CN"/>
        </w:rPr>
        <w:t>来宾市</w:t>
      </w:r>
      <w:r>
        <w:rPr>
          <w:rFonts w:hint="eastAsia" w:ascii="仿宋_GB2312" w:eastAsia="仿宋_GB2312" w:hAnsiTheme="minorEastAsia" w:cstheme="minorEastAsia"/>
          <w:bCs/>
          <w:sz w:val="28"/>
          <w:szCs w:val="28"/>
        </w:rPr>
        <w:t xml:space="preserve"> 】优质工程奖</w:t>
      </w:r>
    </w:p>
    <w:p w14:paraId="28297272">
      <w:pPr>
        <w:spacing w:line="480" w:lineRule="exact"/>
        <w:ind w:firstLine="490" w:firstLineChars="175"/>
        <w:rPr>
          <w:rFonts w:hint="eastAsia"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3.2.5  安装专业目标：【</w:t>
      </w:r>
      <w:r>
        <w:rPr>
          <w:rFonts w:hint="eastAsia" w:ascii="仿宋_GB2312" w:eastAsia="仿宋_GB2312" w:hAnsiTheme="minorEastAsia" w:cstheme="minorEastAsia"/>
          <w:bCs/>
          <w:sz w:val="28"/>
          <w:szCs w:val="28"/>
          <w:lang w:val="en-US" w:eastAsia="zh-CN"/>
        </w:rPr>
        <w:t>/</w:t>
      </w:r>
      <w:r>
        <w:rPr>
          <w:rFonts w:hint="eastAsia" w:ascii="仿宋_GB2312" w:eastAsia="仿宋_GB2312" w:hAnsiTheme="minorEastAsia" w:cstheme="minorEastAsia"/>
          <w:bCs/>
          <w:sz w:val="28"/>
          <w:szCs w:val="28"/>
        </w:rPr>
        <w:t>】奖</w:t>
      </w:r>
    </w:p>
    <w:p w14:paraId="647CF961">
      <w:pPr>
        <w:spacing w:line="480" w:lineRule="exact"/>
        <w:ind w:firstLine="492" w:firstLineChars="175"/>
        <w:rPr>
          <w:rFonts w:ascii="仿宋_GB2312" w:eastAsia="仿宋_GB2312" w:hAnsiTheme="minorEastAsia" w:cstheme="minorEastAsia"/>
          <w:bCs/>
          <w:sz w:val="28"/>
          <w:szCs w:val="28"/>
        </w:rPr>
      </w:pPr>
      <w:r>
        <w:rPr>
          <w:rFonts w:hint="eastAsia" w:ascii="仿宋_GB2312" w:eastAsia="仿宋_GB2312" w:hAnsiTheme="minorEastAsia" w:cstheme="minorEastAsia"/>
          <w:b/>
          <w:sz w:val="28"/>
          <w:szCs w:val="28"/>
        </w:rPr>
        <w:t>第四条：甲方责任及义务：</w:t>
      </w:r>
    </w:p>
    <w:p w14:paraId="3D536282">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4.1  甲方负责施工现场工程质量的统一管理，负责监督检查乙方在工程质量控制过程中的一切活动。</w:t>
      </w:r>
    </w:p>
    <w:p w14:paraId="4B6AF824">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4.2  甲方负责组织协调各单位在工程开工前，编制完成施工组织总设计及工程质量保证措施、创优策划、验收程序等，并进行现场指导。</w:t>
      </w:r>
    </w:p>
    <w:p w14:paraId="31B41AE3">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4.3  甲方负责向乙方发放图纸、设计变更等。甲方为乙方提供每个楼层（按楼座或功能分区考虑）的标高、定位的基准点（线），乙方应严格按甲方提供的标高、定位的基准点（线）进行工程细部放线。</w:t>
      </w:r>
    </w:p>
    <w:p w14:paraId="63B150C3">
      <w:pPr>
        <w:spacing w:line="480" w:lineRule="exact"/>
        <w:ind w:firstLine="560"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Cs/>
          <w:sz w:val="28"/>
          <w:szCs w:val="28"/>
        </w:rPr>
        <w:t>4.4  甲方在施工过程中，发现乙方不按设计图纸、施工方案、技术交底组织施工，违章操作，严重危害工程质量时，有权要求立即停止施工，并对乙方进行经济处罚；</w:t>
      </w:r>
      <w:r>
        <w:rPr>
          <w:rFonts w:hint="eastAsia" w:ascii="仿宋_GB2312" w:eastAsia="仿宋_GB2312" w:hAnsiTheme="minorEastAsia" w:cstheme="minorEastAsia"/>
          <w:b/>
          <w:bCs/>
          <w:sz w:val="28"/>
          <w:szCs w:val="28"/>
        </w:rPr>
        <w:t>情节严重的，甲方有权终止合同。</w:t>
      </w:r>
    </w:p>
    <w:p w14:paraId="4767BAD2">
      <w:pPr>
        <w:spacing w:line="480" w:lineRule="exact"/>
        <w:ind w:firstLine="560"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Cs/>
          <w:sz w:val="28"/>
          <w:szCs w:val="28"/>
        </w:rPr>
        <w:t>4.5  经甲方质检员口头要求，或下发整改通知单后，未整改或整改后达不到合格标准的，甲方有权按照甲方项目部所制订的《工程项目质量奖罚管理规定》进行质量罚款，对质量管理较好的项目根据质量评比情况进行奖励，质量奖罚由甲方向乙方出具书面质量奖罚单。</w:t>
      </w:r>
      <w:r>
        <w:rPr>
          <w:rFonts w:hint="eastAsia" w:ascii="仿宋_GB2312" w:eastAsia="仿宋_GB2312" w:hAnsiTheme="minorEastAsia" w:cstheme="minorEastAsia"/>
          <w:b/>
          <w:bCs/>
          <w:sz w:val="28"/>
          <w:szCs w:val="28"/>
        </w:rPr>
        <w:t>对于甲方出具的罚款通知单，以罚款通知单下发之日为生效之日。</w:t>
      </w:r>
    </w:p>
    <w:p w14:paraId="38D95732">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4.6  甲方有权对乙方未经自检的工程拒绝验收，由此产生的费用由乙方自行承担。</w:t>
      </w:r>
    </w:p>
    <w:p w14:paraId="244944E4">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第五条：乙方的责任及义务</w:t>
      </w:r>
    </w:p>
    <w:p w14:paraId="2B6D321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  乙方必须遵守甲方相关质量管理制度。</w:t>
      </w:r>
    </w:p>
    <w:p w14:paraId="23A04E7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5.2  乙方在施工过程中必须严格按照设计图纸、现行有效规程、规范施工，工程质量必须达到本协议约定的质量目标。</w:t>
      </w:r>
    </w:p>
    <w:p w14:paraId="51531D4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5.3  在工程开工前，乙方须建立健全现场质量管理体系，并将质量管理体系、质量保证措施等报甲方确认备案。乙方备案质量管理人员必须与在现场质量管理人员相符，必须持证上岗。</w:t>
      </w:r>
    </w:p>
    <w:p w14:paraId="552D24FB">
      <w:pPr>
        <w:spacing w:line="480" w:lineRule="exact"/>
        <w:ind w:firstLine="560"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Cs/>
          <w:sz w:val="28"/>
          <w:szCs w:val="28"/>
        </w:rPr>
        <w:t>5.4  乙方必须按照</w:t>
      </w:r>
      <w:r>
        <w:rPr>
          <w:rFonts w:hint="eastAsia" w:ascii="仿宋_GB2312" w:eastAsia="仿宋_GB2312" w:hAnsiTheme="minorEastAsia" w:cstheme="minorEastAsia"/>
          <w:b/>
          <w:bCs/>
          <w:sz w:val="28"/>
          <w:szCs w:val="28"/>
        </w:rPr>
        <w:t>甲方的“样板引路”制度</w:t>
      </w:r>
      <w:r>
        <w:rPr>
          <w:rFonts w:hint="eastAsia" w:ascii="仿宋_GB2312" w:eastAsia="仿宋_GB2312" w:hAnsiTheme="minorEastAsia" w:cstheme="minorEastAsia"/>
          <w:bCs/>
          <w:sz w:val="28"/>
          <w:szCs w:val="28"/>
        </w:rPr>
        <w:t>进行施工，任何分项工程施工前，乙方要先做好样板，经甲方、监理或建设单位验收批准后方可大面积施工，未经验收批准不得进行大面积施工；</w:t>
      </w:r>
      <w:r>
        <w:rPr>
          <w:rFonts w:hint="eastAsia" w:ascii="仿宋_GB2312" w:eastAsia="仿宋_GB2312" w:hAnsiTheme="minorEastAsia" w:cstheme="minorEastAsia"/>
          <w:b/>
          <w:bCs/>
          <w:sz w:val="28"/>
          <w:szCs w:val="28"/>
        </w:rPr>
        <w:t>无样板验收而擅自施工的分项工程，不计入乙方工程量。</w:t>
      </w:r>
    </w:p>
    <w:p w14:paraId="0E15D47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5.5  乙方班组进入现场施工前，乙方班组长必须对工人进行技术交底。乙方项目专业技术负责人自行组织对专项施工作业人员进行操作交底。内容应符合现行、有效的各类法规、规范及文件、甲方项目部技术质量要求，交底材料和内容应签字并交甲方项目部备案。</w:t>
      </w:r>
    </w:p>
    <w:p w14:paraId="06385447">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5.6  乙方在施工过程中必须严格按照施工组织设计及方案、技术交底施工，要随时接受政府、建设单位、监理、甲方的质量监督检查。</w:t>
      </w:r>
    </w:p>
    <w:p w14:paraId="25DF2A7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5.7  施工过程各阶段要严格执行自检、互检、交接检制度，逐道工序由操作和验收人员签字确认。乙方不按要求落实自检、互检、交接检制度并填报相应资料的，按照【</w:t>
      </w:r>
      <w:r>
        <w:rPr>
          <w:rFonts w:hint="eastAsia" w:ascii="仿宋_GB2312" w:eastAsia="仿宋_GB2312" w:hAnsiTheme="minorEastAsia" w:cstheme="minorEastAsia"/>
          <w:bCs/>
          <w:sz w:val="28"/>
          <w:szCs w:val="28"/>
          <w:lang w:val="en-US" w:eastAsia="zh-CN"/>
        </w:rPr>
        <w:t>500</w:t>
      </w:r>
      <w:r>
        <w:rPr>
          <w:rFonts w:hint="eastAsia" w:ascii="仿宋_GB2312" w:eastAsia="仿宋_GB2312" w:hAnsiTheme="minorEastAsia" w:cstheme="minorEastAsia"/>
          <w:bCs/>
          <w:sz w:val="28"/>
          <w:szCs w:val="28"/>
        </w:rPr>
        <w:t>】元/次承担违约金。乙方不履行质量交接检查程序，擅自进行下一道工序施工的按照【</w:t>
      </w:r>
      <w:r>
        <w:rPr>
          <w:rFonts w:hint="eastAsia" w:ascii="仿宋_GB2312" w:eastAsia="仿宋_GB2312" w:hAnsiTheme="minorEastAsia" w:cstheme="minorEastAsia"/>
          <w:bCs/>
          <w:sz w:val="28"/>
          <w:szCs w:val="28"/>
          <w:lang w:val="en-US" w:eastAsia="zh-CN"/>
        </w:rPr>
        <w:t>20000-50000</w:t>
      </w:r>
      <w:r>
        <w:rPr>
          <w:rFonts w:hint="eastAsia" w:ascii="仿宋_GB2312" w:eastAsia="仿宋_GB2312" w:hAnsiTheme="minorEastAsia" w:cstheme="minorEastAsia"/>
          <w:bCs/>
          <w:sz w:val="28"/>
          <w:szCs w:val="28"/>
        </w:rPr>
        <w:t>】元/次承担违约金。</w:t>
      </w:r>
    </w:p>
    <w:p w14:paraId="0DB9956C">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5.8  工程的隐蔽工程、检验批等验收，乙方自检合格后，报甲方验收，乙方质检员、乙方技术人员参加验收，监理确认后签字。过程验收检验不合格时，甲方质检员行使否决权，检验验收不予通过。乙方要服从甲方质检员的意见组织返修，直至合格后，重新组织检验验收。</w:t>
      </w:r>
    </w:p>
    <w:p w14:paraId="0873BC8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5.9  未经验收合格，不得擅自进入下道工序施工，否则，责令其拆除并无条件重新施工，所发生的费用及损失，均由乙方承担，并对相关人员进行罚款处理。</w:t>
      </w:r>
    </w:p>
    <w:p w14:paraId="4C8F8009">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5.10  乙方必须配合甲方和监理工程师做好验收工作，及时处理验收过程中存在的问题。</w:t>
      </w:r>
    </w:p>
    <w:p w14:paraId="6BBE7BA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5.11  工程实体在具备实测实量条件后一周内乙方应完成实测实量工作，并对工程实体实测实量数据进行统计，查找问题、分析原因和制定改进措施，逐步提高实测实量合格率。对连续三次实体质量实测实量合格率低于80%的乙方要被清理出场。</w:t>
      </w:r>
    </w:p>
    <w:p w14:paraId="7DF0D9F4">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5.12  乙方在施工过程中，必须服从甲方的质量管理，按时参加甲方组织的质量检查和质量专题会议，接受甲方的质量罚款，并对质量问题按甲方的要求及时整改，直至达到合格标准；</w:t>
      </w:r>
    </w:p>
    <w:p w14:paraId="4FE041D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5.13  如出现质量问题或严重缺陷，乙方要及时通知甲方，不得隐瞒，必须按处理措施或方案进行整改，严禁私自处理。</w:t>
      </w:r>
    </w:p>
    <w:p w14:paraId="10E921C5">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5.14  当甲方要求对已经隐蔽的工程重新检验时，乙方应按要求进行剥离或开孔，并在检验后重新覆盖或修复。</w:t>
      </w:r>
    </w:p>
    <w:p w14:paraId="4738B952">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5.15  乙方符合甲方《工程项目质量奖罚管理规定》奖励条款的，有权获得奖励。</w:t>
      </w:r>
    </w:p>
    <w:p w14:paraId="7F4D162F">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5.16  对于甲方不按协议或规范要求违章指挥，乙方有权拒绝进行施工。</w:t>
      </w:r>
    </w:p>
    <w:p w14:paraId="5014FF69">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5.17  材料、设备进场验收必须按照要求进行验收，严禁材料、设备未经验收而进场使用。乙方施工现场的检验、试验、测量器具应按有关规定使用、管理和校验，并建立台账报甲方现场技术管理部门备案，严禁使用未经鉴定或鉴定不合格的试检验及测量设备。</w:t>
      </w:r>
    </w:p>
    <w:p w14:paraId="7698CE97">
      <w:pPr>
        <w:spacing w:line="480" w:lineRule="exact"/>
        <w:ind w:firstLine="562" w:firstLineChars="200"/>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第六条：违反规定的处罚细则</w:t>
      </w:r>
    </w:p>
    <w:p w14:paraId="10989663">
      <w:pPr>
        <w:spacing w:line="480" w:lineRule="exact"/>
        <w:ind w:left="42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  违反建设工程强制性条文规定，每次处罚2000元。</w:t>
      </w:r>
    </w:p>
    <w:p w14:paraId="4EE52145">
      <w:pPr>
        <w:spacing w:line="480" w:lineRule="exact"/>
        <w:ind w:left="42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6.2  不按设计图进行施工或擅自改变设计图纸施工的，处罚5000元/次。</w:t>
      </w:r>
    </w:p>
    <w:p w14:paraId="354FE81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6.3  违反施工方案、技术交底要求野蛮施工，处罚2000元/次。造成质量与安全隐患的按照5000元/次承担违约金，并且承担相应的经济损失。</w:t>
      </w:r>
    </w:p>
    <w:p w14:paraId="21130E5E">
      <w:pPr>
        <w:spacing w:line="480" w:lineRule="exact"/>
        <w:ind w:left="42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6.4  分项工程（工序）未经验收而擅自进行下道工序施工的，处罚1000元/次。</w:t>
      </w:r>
    </w:p>
    <w:p w14:paraId="30C86937">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6.5  未落实“三检”验收制度，处罚500元/次，未经自检合格报验的，处罚500元/次。</w:t>
      </w:r>
    </w:p>
    <w:p w14:paraId="3681A22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6.6  分包材料进场前必须按要求进行报验，未按程序报验或使用不合格材料的，罚款1000～5000元/次。</w:t>
      </w:r>
    </w:p>
    <w:p w14:paraId="26790650">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6.7  乙方违背合同约定，材料以次充好，检验弄虚作假，施工偷工减料，将不合格物资用于工程的按照5000-20000元/次承担违约金，并且承担相应经济损失。</w:t>
      </w:r>
    </w:p>
    <w:p w14:paraId="41E66773">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6.8  未经事先书面同意擅自修补，隐瞒施工质量问题，处罚1000～2000元/处。</w:t>
      </w:r>
    </w:p>
    <w:p w14:paraId="2FCB4A2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6.9  出现质量问题未及时按甲方要求进行整改或修复，处罚1000元/次。</w:t>
      </w:r>
    </w:p>
    <w:p w14:paraId="1E4B21D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6.10  不服从甲方及上级单位质量管理和要求，处罚2000元/次。</w:t>
      </w:r>
    </w:p>
    <w:p w14:paraId="64471D3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6.11  未按时参加甲方组织的验收和检查，处罚2000元/次。</w:t>
      </w:r>
    </w:p>
    <w:p w14:paraId="7B485F4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6.12  对质量整改通知单必须在限定时间内整改及书面回复（回复附整改后照片），如不按要求整改或不落实整改，处罚500～2000元/次。</w:t>
      </w:r>
    </w:p>
    <w:p w14:paraId="08D46E8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6.13  连续两次出现同种质量问题，每增加一次罚款金额增加1000～2000元（以甲方发出的质量整改通知单中存在的问题为准）。</w:t>
      </w:r>
    </w:p>
    <w:p w14:paraId="712FE81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6.14  施工样板未经确认而大面积施工或未按照要求进行样板施工的，处罚2000元。</w:t>
      </w:r>
    </w:p>
    <w:p w14:paraId="1131E86B">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6.15  未按规定对施工成品采取保护措施，根据损坏程度赔偿，并处罚500～1000元/处。</w:t>
      </w:r>
    </w:p>
    <w:p w14:paraId="1E95102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6.16  甲方发出的质量整改通知单，必须及时落实整改，如发现班组反应缓慢或者不落实整改，每次处罚500～3000元。</w:t>
      </w:r>
    </w:p>
    <w:p w14:paraId="754C399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6.17 因质量原因出现以下情形的，乙方按照下述承担违约责任。</w:t>
      </w:r>
    </w:p>
    <w:p w14:paraId="080348B9">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1、被建设单位、甲方公司及其上级单位质量检查通报排名倒数后两名的，乙方按照3000～5000元/次承担违约金。同一项目，被连续通报倒数后两名的，违约金加倍。</w:t>
      </w:r>
    </w:p>
    <w:p w14:paraId="17795880">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2、被建设单位投诉到公司及其上级单位主管部门的，乙方按照10000～50000元/次承担违约金。同一项目，半年期内连续被投诉，违约金加倍。</w:t>
      </w:r>
    </w:p>
    <w:p w14:paraId="68FBC1B0">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3、被新闻媒体曝光的，乙方按照20000～100000元/次承担违约金。</w:t>
      </w:r>
    </w:p>
    <w:p w14:paraId="508B7942">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4、被政府主管部门行政处罚的，分包单位除按处罚金额交款外，另外按照罚款金额的两倍承担违约金。</w:t>
      </w:r>
    </w:p>
    <w:p w14:paraId="73147C84">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5、被政府主管部门责令停工、限制投标以及降低资质的，乙方按照100000～500000元/次承担违约金。</w:t>
      </w:r>
    </w:p>
    <w:p w14:paraId="7AABB26B">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6、被国家、地方政府建设主管部门在执法检查中典型通报，违反国家强制性标准，或质量较差造成恶劣影响的，乙方按照100000～500000元/次承担违约金。</w:t>
      </w:r>
    </w:p>
    <w:p w14:paraId="2C7ABB7F">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6.18发生质量事故的，乙方按照下述承担违约责任。</w:t>
      </w:r>
    </w:p>
    <w:p w14:paraId="4CCB53B7">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1、特别重大质量事故</w:t>
      </w:r>
    </w:p>
    <w:p w14:paraId="2C9D225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特别重大质量事故的直接责任人应依法追究其刑事责任及民事责任。乙方按照500000～1000000元/次承担违约金。</w:t>
      </w:r>
    </w:p>
    <w:p w14:paraId="2152AE02">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2、重大质量事故</w:t>
      </w:r>
    </w:p>
    <w:p w14:paraId="798D18E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重大质量事故的直接责任人应依法追究其刑事责任及民事责任。乙方按照100000～200000元/次承担违约金。</w:t>
      </w:r>
    </w:p>
    <w:p w14:paraId="1404C7F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3、较大质量事故</w:t>
      </w:r>
    </w:p>
    <w:p w14:paraId="15F72442">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较大质量事故的直接责任人应依法追究其民事责任，因事故造成人员死亡时应依法追究其刑事责任。乙方按照50000～200000元/次承担违约金。</w:t>
      </w:r>
    </w:p>
    <w:p w14:paraId="3766DD0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4、一般质量事故</w:t>
      </w:r>
    </w:p>
    <w:p w14:paraId="600C4BDF">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一般质量事故的直接责任人违约金额度不应低于事故直接经济损失的5%，亦不应低于100000元。乙方按照10000～50000元/次承担违约金。</w:t>
      </w:r>
    </w:p>
    <w:p w14:paraId="5C5B0B38">
      <w:pPr>
        <w:spacing w:line="480" w:lineRule="exact"/>
        <w:ind w:firstLine="562" w:firstLineChars="200"/>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注：上述罚款行为视为乙方的违约行为，罚款视为乙方应支付的违约金，甲方可选择在当期工程款中扣除，也可在最终结算后在应支付乙方工程款中扣除。</w:t>
      </w:r>
    </w:p>
    <w:p w14:paraId="65291FA9">
      <w:pPr>
        <w:spacing w:line="480" w:lineRule="exact"/>
        <w:ind w:firstLine="422" w:firstLineChars="150"/>
        <w:rPr>
          <w:rFonts w:ascii="仿宋_GB2312" w:eastAsia="仿宋_GB2312" w:hAnsiTheme="minorEastAsia" w:cstheme="minorEastAsia"/>
          <w:b/>
          <w:bCs/>
          <w:sz w:val="28"/>
          <w:szCs w:val="28"/>
        </w:rPr>
      </w:pPr>
      <w:r>
        <w:rPr>
          <w:rFonts w:hint="eastAsia" w:ascii="仿宋_GB2312" w:eastAsia="仿宋_GB2312" w:hAnsiTheme="minorEastAsia" w:cstheme="minorEastAsia"/>
          <w:b/>
          <w:bCs/>
          <w:sz w:val="28"/>
          <w:szCs w:val="28"/>
        </w:rPr>
        <w:t>（质量奖罚部分，项目部根据以上内容及实际情况进行细化）</w:t>
      </w:r>
    </w:p>
    <w:p w14:paraId="7B5B6492">
      <w:pPr>
        <w:spacing w:line="480" w:lineRule="exact"/>
        <w:ind w:firstLine="562" w:firstLineChars="200"/>
        <w:rPr>
          <w:rFonts w:ascii="仿宋_GB2312" w:eastAsia="仿宋_GB2312" w:hAnsiTheme="minorEastAsia" w:cstheme="minorEastAsia"/>
          <w:sz w:val="28"/>
          <w:szCs w:val="28"/>
        </w:rPr>
      </w:pPr>
      <w:r>
        <w:rPr>
          <w:rFonts w:hint="eastAsia" w:ascii="仿宋_GB2312" w:eastAsia="仿宋_GB2312" w:hAnsiTheme="minorEastAsia" w:cstheme="minorEastAsia"/>
          <w:b/>
          <w:sz w:val="28"/>
          <w:szCs w:val="28"/>
        </w:rPr>
        <w:t>第七条：</w:t>
      </w:r>
      <w:r>
        <w:rPr>
          <w:rFonts w:hint="eastAsia" w:ascii="仿宋_GB2312" w:eastAsia="仿宋_GB2312" w:hAnsiTheme="minorEastAsia" w:cstheme="minorEastAsia"/>
          <w:bCs/>
          <w:sz w:val="28"/>
          <w:szCs w:val="28"/>
        </w:rPr>
        <w:t>本协议作为附件与分包合同同时签订，自乙方于分包合同盖章之日起生效，乙方必须严格执行，由于乙方违反本协议而造成质量问题，由乙方承担经济损失。</w:t>
      </w:r>
    </w:p>
    <w:p w14:paraId="1A20BB94">
      <w:pPr>
        <w:rPr>
          <w:rFonts w:asciiTheme="minorEastAsia" w:hAnsiTheme="minorEastAsia" w:cstheme="minorEastAsia"/>
          <w:szCs w:val="21"/>
        </w:rPr>
      </w:pPr>
    </w:p>
    <w:p w14:paraId="129D40DA">
      <w:pPr>
        <w:rPr>
          <w:rFonts w:asciiTheme="minorEastAsia" w:hAnsiTheme="minorEastAsia" w:cstheme="minorEastAsia"/>
          <w:szCs w:val="21"/>
        </w:rPr>
      </w:pPr>
    </w:p>
    <w:p w14:paraId="73FDD224">
      <w:pPr>
        <w:rPr>
          <w:rFonts w:asciiTheme="minorEastAsia" w:hAnsiTheme="minorEastAsia" w:cstheme="minorEastAsia"/>
          <w:b/>
          <w:bCs/>
          <w:sz w:val="24"/>
        </w:rPr>
      </w:pPr>
      <w:r>
        <w:rPr>
          <w:rFonts w:hint="eastAsia" w:asciiTheme="minorEastAsia" w:hAnsiTheme="minorEastAsia" w:cstheme="minorEastAsia"/>
          <w:b/>
          <w:bCs/>
          <w:sz w:val="24"/>
        </w:rPr>
        <w:br w:type="page"/>
      </w:r>
    </w:p>
    <w:p w14:paraId="2D62BEB3">
      <w:pPr>
        <w:pStyle w:val="5"/>
        <w:spacing w:before="120" w:beforeLines="50" w:after="120" w:afterLines="50"/>
        <w:ind w:left="0" w:leftChars="0" w:firstLine="562" w:firstLineChars="200"/>
        <w:rPr>
          <w:rFonts w:hint="eastAsia"/>
        </w:rPr>
      </w:pPr>
      <w:bookmarkStart w:id="889" w:name="_Toc11895"/>
      <w:r>
        <w:rPr>
          <w:rFonts w:hint="eastAsia" w:ascii="黑体" w:hAnsi="黑体" w:eastAsia="黑体" w:cs="黑体"/>
        </w:rPr>
        <w:t>附件8</w:t>
      </w:r>
      <w:bookmarkEnd w:id="889"/>
      <w:bookmarkStart w:id="890" w:name="_Toc132053717"/>
      <w:r>
        <w:rPr>
          <w:rFonts w:hint="eastAsia"/>
        </w:rPr>
        <w:t xml:space="preserve">  </w:t>
      </w:r>
    </w:p>
    <w:p w14:paraId="036E583E">
      <w:pPr>
        <w:pStyle w:val="5"/>
        <w:spacing w:before="120" w:beforeLines="50" w:after="120" w:afterLines="50"/>
        <w:ind w:left="0" w:leftChars="0" w:firstLine="562" w:firstLineChars="200"/>
        <w:jc w:val="center"/>
        <w:rPr>
          <w:rFonts w:hint="eastAsia"/>
        </w:rPr>
      </w:pPr>
      <w:bookmarkStart w:id="891" w:name="_Toc12395"/>
      <w:bookmarkStart w:id="892" w:name="_Toc29022"/>
      <w:r>
        <w:rPr>
          <w:rFonts w:hint="eastAsia"/>
        </w:rPr>
        <w:t>施工现场安全生产管理协议</w:t>
      </w:r>
      <w:bookmarkEnd w:id="890"/>
      <w:bookmarkEnd w:id="891"/>
      <w:bookmarkEnd w:id="892"/>
    </w:p>
    <w:p w14:paraId="3B3E822C">
      <w:pPr>
        <w:pStyle w:val="5"/>
        <w:spacing w:before="120" w:beforeLines="50" w:after="120" w:afterLines="50"/>
        <w:ind w:left="0" w:leftChars="0" w:firstLine="560" w:firstLineChars="200"/>
        <w:rPr>
          <w:b w:val="0"/>
          <w:bCs w:val="0"/>
        </w:rPr>
      </w:pPr>
      <w:bookmarkStart w:id="893" w:name="_Toc13793"/>
      <w:bookmarkStart w:id="894" w:name="_Toc26994"/>
      <w:r>
        <w:rPr>
          <w:rFonts w:hint="eastAsia" w:ascii="仿宋_GB2312" w:eastAsia="仿宋_GB2312" w:hAnsiTheme="minorEastAsia" w:cstheme="minorEastAsia"/>
          <w:b w:val="0"/>
          <w:bCs w:val="0"/>
          <w:color w:val="C00000"/>
        </w:rPr>
        <w:t>（条款说明：该协议书中具体违约金金额由各单位根据实际情况调整，注意避免与协议书、合同条款中对应违约金的冲突）</w:t>
      </w:r>
      <w:bookmarkEnd w:id="893"/>
      <w:bookmarkEnd w:id="894"/>
    </w:p>
    <w:p w14:paraId="6681CA94">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承包人（全称）：【</w:t>
      </w:r>
      <w:r>
        <w:rPr>
          <w:rFonts w:hint="eastAsia" w:ascii="仿宋_GB2312" w:hAnsi="仿宋_GB2312" w:eastAsia="仿宋_GB2312" w:cs="仿宋_GB2312"/>
          <w:b/>
          <w:color w:val="000000"/>
          <w:sz w:val="28"/>
          <w:szCs w:val="28"/>
          <w:lang w:eastAsia="zh-CN"/>
        </w:rPr>
        <w:t xml:space="preserve">        </w:t>
      </w:r>
      <w:r>
        <w:rPr>
          <w:rFonts w:hint="eastAsia" w:ascii="仿宋_GB2312" w:hAnsi="仿宋_GB2312" w:eastAsia="仿宋_GB2312" w:cs="仿宋_GB2312"/>
          <w:b/>
          <w:color w:val="000000"/>
          <w:sz w:val="28"/>
          <w:szCs w:val="28"/>
        </w:rPr>
        <w:t>】（以下简称甲方）</w:t>
      </w:r>
    </w:p>
    <w:p w14:paraId="3B4E0FA6">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7DB1A944">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 xml:space="preserve">工程名称：【 </w:t>
      </w:r>
      <w:r>
        <w:rPr>
          <w:rFonts w:hint="eastAsia" w:ascii="仿宋_GB2312" w:eastAsia="仿宋_GB2312" w:hAnsiTheme="minorEastAsia" w:cstheme="minorEastAsia"/>
          <w:sz w:val="28"/>
          <w:szCs w:val="28"/>
          <w:lang w:eastAsia="zh-CN"/>
        </w:rPr>
        <w:t>广西泛铝件先进制造（迁江）基地一期A区工程市政工程专业分包</w:t>
      </w:r>
      <w:r>
        <w:rPr>
          <w:rFonts w:hint="eastAsia" w:ascii="仿宋_GB2312" w:eastAsia="仿宋_GB2312" w:hAnsiTheme="minorEastAsia" w:cstheme="minorEastAsia"/>
          <w:sz w:val="28"/>
          <w:szCs w:val="28"/>
        </w:rPr>
        <w:t>】</w:t>
      </w:r>
    </w:p>
    <w:p w14:paraId="4BAFA729">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工程地点：【</w:t>
      </w:r>
      <w:r>
        <w:rPr>
          <w:rFonts w:hint="eastAsia" w:ascii="仿宋_GB2312" w:eastAsia="仿宋_GB2312" w:hAnsiTheme="minorEastAsia" w:cstheme="minorEastAsia"/>
          <w:sz w:val="28"/>
          <w:szCs w:val="28"/>
          <w:lang w:val="en-US" w:eastAsia="zh-CN"/>
        </w:rPr>
        <w:t>来宾迁江工业园</w:t>
      </w:r>
      <w:r>
        <w:rPr>
          <w:rFonts w:hint="eastAsia" w:ascii="仿宋_GB2312" w:eastAsia="仿宋_GB2312" w:hAnsiTheme="minorEastAsia" w:cstheme="minorEastAsia"/>
          <w:sz w:val="28"/>
          <w:szCs w:val="28"/>
        </w:rPr>
        <w:t>】</w:t>
      </w:r>
    </w:p>
    <w:p w14:paraId="4089BD8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根据现行的《中华人民共和国安全生产法》《中华人民共和国建筑法》《建筑工程安全生产管理条例》等法律、法规和建筑施工行业安全生产管理标准、规范等，甲、乙双方就本工程现场的安全生产、职业健康、文明施工管理工作达成如下协议。</w:t>
      </w:r>
    </w:p>
    <w:p w14:paraId="37BE4F3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一、双方权责</w:t>
      </w:r>
    </w:p>
    <w:p w14:paraId="05CF4325">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（一）甲乙双方共同的责任：</w:t>
      </w:r>
    </w:p>
    <w:p w14:paraId="123EAFDA">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严格执行国家、地方有关安全生产的法律、法规，坚持“安全第一、预防为主、综合治理”的方针，全面落实国家、地方和行业管理部门有关安全生产的标准规范，严格落实各项安全生产管理措施，消除生产安全事故隐患，确保员工生命、财产安全。</w:t>
      </w:r>
    </w:p>
    <w:p w14:paraId="6287E040">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（二）甲方的权责</w:t>
      </w:r>
    </w:p>
    <w:p w14:paraId="21EEBF0C">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 对施工现场所有施工生产活动进行全面安全管理，制定全员安全生产责任制、安全生产规章制度和安全操作规程，督促乙方落实。</w:t>
      </w:r>
    </w:p>
    <w:p w14:paraId="6C2832F5">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 建立安全例会制度。组织召开安全生产周例会，研究、部署和落实项目安全生产有关工作。遇有特殊情况时，随时召开安全会议。</w:t>
      </w:r>
    </w:p>
    <w:p w14:paraId="7B05A155">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 建立安全生产检查制度。组织开展安全生产周检查工作和定期安全生产隐患排查工作，发出整改通知单，督促乙方完成整改事项。对乙方现场施工生产活动进行日常监督检查，纠正违章作业、违章指挥和违反劳动纪律的现象。</w:t>
      </w:r>
    </w:p>
    <w:p w14:paraId="312155F8">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4. 建立安全教育培训制度。组织乙方进场工人进行入场安全教育。组织进行乙方特种作业人员月度安全教育。在节假日及季节转换时，进行专题教育。督促乙方开展每日早班会安全教育活动。督促乙方开展三级安全教育活动。收集有关安全生产教育培训资料。督促乙方清退安全生产教育培训考核不合格的人员。</w:t>
      </w:r>
    </w:p>
    <w:p w14:paraId="07E99BBA">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5. 负责编制工程施工组织设计，审查乙方编制的危大工程和超危工程等安全专项方案，组织开展超危工程方案专家论证。督促乙方开展安全技术交底工作，并留存安全技术交底资料。</w:t>
      </w:r>
    </w:p>
    <w:p w14:paraId="7375B932">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监督乙方按照施工组织设计和安全专项施工方案要求组织施工生产，落实安全保障措施。</w:t>
      </w:r>
    </w:p>
    <w:p w14:paraId="631758AA">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6. 足额投入安全生产措施费用，督促乙方按规定足额使用安全措施费。</w:t>
      </w:r>
    </w:p>
    <w:p w14:paraId="415CB188">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7. 督促乙方按照规定配齐安全管理人员，监督乙方现场代表、安全员、班组长和作业人员履行安全生产责任和义务，定期对乙方现场代表、安全员、班组长进行安全生产履职考核。为乙方专职安全生产管理人员提供办公场所。</w:t>
      </w:r>
    </w:p>
    <w:p w14:paraId="4E7DF25B">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8. 编制施工现场应急救援预案，根据方案要求储备应急救援物资、设备，并定期组织演练。</w:t>
      </w:r>
    </w:p>
    <w:p w14:paraId="3DE1671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9. 组织基坑工程、模板工程、临时用电、机械设备、防护设施、防护用品、高处作业、脚手架等分部分项工程的安全验收，提出验收意见，督促乙方对不合格项进行整改。</w:t>
      </w:r>
    </w:p>
    <w:p w14:paraId="08BC461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10. 在施工现场显要位置公布施工现场危险源，在施工现场危险作业部位设置警示标识。</w:t>
      </w:r>
    </w:p>
    <w:p w14:paraId="5FDA7F0E">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（三）乙方的权责</w:t>
      </w:r>
    </w:p>
    <w:p w14:paraId="15A5BDC2">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 层层落实安全生产责任，杜绝死亡、重伤、火灾、交通、职业病、食品中毒等事故。</w:t>
      </w:r>
    </w:p>
    <w:p w14:paraId="53A23E88">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 加强自身安全管理工作，服从甲方的管理，按照甲方的管理制度、操作规程、安全施工方案、安全策划、安全交底等开展现场的施工生产工作。若不服从甲方管理，导致事故的，承担事故主要责任。</w:t>
      </w:r>
    </w:p>
    <w:p w14:paraId="569A4FD5">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 按国家有关规定配足安全管理人员，安全管理人员需持建设行政主管部门颁发的安全生产考核合格证，且注册单位与用人单位一致。安全管理人员应当先于作业人员进场并晚于施工人员退场。</w:t>
      </w:r>
    </w:p>
    <w:p w14:paraId="5C3F199E">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乙方未按照建质〔2008〕91号文件规定配备专职安全管理人员的，或专职安全管理人员配备不足的，按照合同条款进行处置。乙方专职安全管理人员应当与甲方专职安全管理人员合署办公，乙方专职安全生产管理人员应当服从甲方的统一管理。</w:t>
      </w:r>
    </w:p>
    <w:p w14:paraId="3528CD28">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4. 新工人进场前，应当完成所有工人的三级安全教育工作，并向甲方提供教育培训档案。</w:t>
      </w:r>
    </w:p>
    <w:p w14:paraId="067EA13D">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工人进场前，应当向甲方提供现场管理人员和工人的花名册、特种作业人员台账。调出和调进人员应提前向甲方报告。</w:t>
      </w:r>
    </w:p>
    <w:p w14:paraId="7031FBCE">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乙方应当在新工人进场3天内，安排所有新工人接受甲方组织的入场安全教育，清退入场安全教育考核不合格的工人。未经三级安全教育和入场安全教育的工人不得进入施工现场工作，否则产生的后果由乙方承担。</w:t>
      </w:r>
    </w:p>
    <w:p w14:paraId="61E21B94">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每日组织开展安全生产早班会。督促每一个班组、每一名参加当天生产活动的工人接受早班会教育。每天早班会教育活动完成后，应及时向甲方报送早班会活动相关资料。</w:t>
      </w:r>
    </w:p>
    <w:p w14:paraId="37199BB1">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工人进场前，乙方应对工人年龄、健康状况进行筛查，不得安排60周岁以</w:t>
      </w:r>
      <w:bookmarkStart w:id="895" w:name="_Hlk132056563"/>
      <w:r>
        <w:rPr>
          <w:rFonts w:hint="eastAsia" w:ascii="仿宋_GB2312" w:eastAsia="仿宋_GB2312" w:hAnsiTheme="minorEastAsia" w:cstheme="minorEastAsia"/>
          <w:sz w:val="28"/>
          <w:szCs w:val="28"/>
        </w:rPr>
        <w:t>上</w:t>
      </w:r>
      <w:bookmarkEnd w:id="895"/>
      <w:r>
        <w:rPr>
          <w:rFonts w:hint="eastAsia" w:ascii="仿宋_GB2312" w:eastAsia="仿宋_GB2312" w:hAnsiTheme="minorEastAsia" w:cstheme="minorEastAsia"/>
          <w:sz w:val="28"/>
          <w:szCs w:val="28"/>
        </w:rPr>
        <w:t>男普通工人、50周岁以上女普通工人、55周岁以上男特殊工种、45周岁以上女特殊工种、有身体残疾、有不适合施工现场作业疾病（心脏病、精神疾病、癫痫病等）的人员进入施工现场。不得安排年龄超过55周岁的工人从事登高、有限空间作业等高危险作业。为预防传染病，在进场前，需提供最近三个月内的体检报告。若因乙方筛查工作不到位或刻意隐瞒作业人员身体疾病，导致出现意外的，相应责任由乙方承担。</w:t>
      </w:r>
    </w:p>
    <w:p w14:paraId="276B6ABD">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5.配备齐全各专业特种作业人员，特种作业人员数量和操作技能应当满足现场生产安全需要。不得安排无证人员从事现场特种作业，特种作业人员进场前应当主动向甲方提供特种作业人员操作证，并对证件的有效性、真实性负责。施工期间，乙方特殊工种工人应每季度体检一次，并将体检报告提供至甲方。乙方要按照甲方管理要求对工人进行安全教育培训，完善考核及签字手续，未经安全教育即进场施工的，责令停工整改的同时，按照【</w:t>
      </w:r>
      <w:r>
        <w:rPr>
          <w:rFonts w:hint="eastAsia" w:ascii="仿宋_GB2312" w:eastAsia="仿宋_GB2312" w:hAnsiTheme="minorEastAsia" w:cstheme="minorEastAsia"/>
          <w:sz w:val="28"/>
          <w:szCs w:val="28"/>
          <w:lang w:val="en-US" w:eastAsia="zh-CN"/>
        </w:rPr>
        <w:t>500</w:t>
      </w:r>
      <w:r>
        <w:rPr>
          <w:rFonts w:hint="eastAsia" w:ascii="仿宋_GB2312" w:eastAsia="仿宋_GB2312" w:hAnsiTheme="minorEastAsia" w:cstheme="minorEastAsia"/>
          <w:sz w:val="28"/>
          <w:szCs w:val="28"/>
        </w:rPr>
        <w:t>】元/人次收取违约金。</w:t>
      </w:r>
    </w:p>
    <w:p w14:paraId="2B14D352">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6. 项目负责人和安全管理人员应参加甲方组织的安全检查、巡查工作，参加甲方组织的安全生产会议，认真落实甲方做出的有关决定。在规定的期限内完成甲方发出的整改事项。</w:t>
      </w:r>
    </w:p>
    <w:p w14:paraId="4D99DC66">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7. 进行受限空间作业、防护设施拆除、脚手架拆除作业、动火作业、爆破作业、起重机械安装、拆除及顶升作业、建（构）筑物拆除作业、电梯井内施工作业、起重吊装作业等危险作业时，应当经过甲方的批准，并办理审批手续。危险作业实施过程中，乙方应当安排专人进行全程监护，督促作业人员按章作业。</w:t>
      </w:r>
    </w:p>
    <w:p w14:paraId="782330F3">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8. 应当使用甲方提供的合格防护用品。督促所属的每一名工人规范佩戴和使用防护用品，防护用品包括安全帽、安全带、马甲、绑腿、护目镜、劳保鞋等。现场工人使用的安全帽、马甲等应当样式统一，执行甲方的标准。工人进行高处作业、电梯井作业等有高处坠落风险的作业时，乙方应当督促工人佩戴并正确使用安全带。</w:t>
      </w:r>
    </w:p>
    <w:p w14:paraId="314229F0">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9. 加强自带起重机械、吊篮、运输工具、电箱、电缆、工具、器具等设备设施的检查和验收，不使用无合格证、不能满足规范要求、安全性能不足或存在明显安全缺陷的工具、器具、设备和设施等。</w:t>
      </w:r>
    </w:p>
    <w:p w14:paraId="55DC87E4">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特种设备、吊篮等必须经过具备相应资质的第三方单位进行安装检测和定期检测，检测合格后，经现场建设单位、监理单位、总承包单位、安装单位和使用单位联合验收合格后，方可投入使用。</w:t>
      </w:r>
    </w:p>
    <w:p w14:paraId="7BB351D3">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10. 加强工人交通安全法制观念的教育，督促工人在上、下班途中遵守交通安全法律、法规，及时发现和制止工人的交通违法和违规行为。</w:t>
      </w:r>
    </w:p>
    <w:p w14:paraId="69CCBC09">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11. 加强零散、突击用工安全管理，零散和突击用工进场前，应当向甲方报告，由甲方进行入场安全教育和安全作业能力审查，未经三级教育、入场教育和安全技术交底的人员，不得安排进入施工现场施工。零散、突击用工施工时，要安排专人进行旁站监督，要加强巡视检查。</w:t>
      </w:r>
    </w:p>
    <w:p w14:paraId="6ED8B914">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12. 不得超时间、超强度、超能力安排工人进行生产作业活动。应当根据甲方制定的作息时间表安排工人上、下班，禁止工人在非正常工作时段进入施工现场，应当督促工人在下班后及时离开施工现场。</w:t>
      </w:r>
    </w:p>
    <w:p w14:paraId="08984757">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加班期间，乙方应当每天安排专人负责值班，在所有工人撤场后，值班人员方可离开现场。施工现场禁止工人午休及留宿。</w:t>
      </w:r>
    </w:p>
    <w:p w14:paraId="1F56D612">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13. 负责编制合同范围内的危险性较大的工程和超过一定规模的危险性较大的分部分项工程安全专项施工方案，履行内部审核程序，将危大工程和超危工程方案报送总承包单位审查。按照超危工程方案专家论证意见，对专项方案进行修改。</w:t>
      </w:r>
    </w:p>
    <w:p w14:paraId="325A83E0">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组织作业工人进行书面安全技术交底，所有作业工人均应当接受安全技术交底。安全技术交底活动应当接受甲方安全生产监督管理人员的监督。技术交底工作完成后，应当及时将相关资料（安全技术交底表、工人签名、交底图片等）交甲方留存备查。</w:t>
      </w:r>
    </w:p>
    <w:p w14:paraId="64127103">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14. 工人作业时，应当安排专职安全管理人员在施工区域范围内进行不间断安全巡查，巡查应当以发现和制止工人的违章操作和违反劳动纪律行为为重点。巡查部位、巡查内容、巡查反馈等巡查要求应当按照甲方的要求执行。在巡查过程中，发现不能立即消除的安全隐患时，应当向甲方报告。发现危及工人安全的险情时，应当安排工人立即撤离，并立即向甲方报告。</w:t>
      </w:r>
    </w:p>
    <w:p w14:paraId="3B443A92">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参加甲方组织的周检查、日巡查、季节性检查等安全检查，负责对自身所属范围内容的隐患问题进行整改，在规定的期限内完成整改，并向甲方反馈整改情况。</w:t>
      </w:r>
    </w:p>
    <w:p w14:paraId="04381838">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15. 现场危大工程和超危工程实施到一定阶段时，应当向总承包单位提出验收申请，经建设单位、监理单位、总承包单位等验收合格后，方可进入下一道工序。</w:t>
      </w:r>
    </w:p>
    <w:p w14:paraId="19A8DE1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16. 参加甲方组织的生产安全事故应急救援演练，掌握应急救援相关要求。</w:t>
      </w:r>
    </w:p>
    <w:p w14:paraId="411F5FC7">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17. 按照甲方的要求和施工现场的具体情况，足额使用本单位掌握的安全措施费用。</w:t>
      </w:r>
    </w:p>
    <w:p w14:paraId="46E6A244">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18. 在同一场地与其他分包单位交叉作业，有可能危及对方安全时，应主动向甲方报告，听从甲方的统一指挥，按照甲方指定的施工顺序进行施工，并安排专职安全生产管理人员进行监护。</w:t>
      </w:r>
    </w:p>
    <w:p w14:paraId="18A9CB45">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19. 不得在建的建筑物内布置工人宿舍。按照甲方的生活区管理制度，配合甲方做好生活区的卫生、防火、防盗和治安管理等工作。严禁在工人生活区私自使用大功率电器、私拉乱接、破坏临时消防设施；严禁在工人宿舍区聚众赌博。</w:t>
      </w:r>
    </w:p>
    <w:p w14:paraId="0A2EE65C">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20. 食堂工作人员须持健康证上岗；每半年检查一次身体，做好饭菜留样，落实各项预防食物中毒的制度和措施。</w:t>
      </w:r>
    </w:p>
    <w:p w14:paraId="40D236C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二、事故处理</w:t>
      </w:r>
    </w:p>
    <w:p w14:paraId="6EA680D9">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一旦发生生产安全事故，要依据《生产安全事故报告和调查处理条例》的规定进行处理。保护事故现场，及时抢救伤员，防止事故扩大，减少事故损失。由甲方安排向有关方面报告。事故调查处理期间，配合有关部门进行事故调查，按照“四不放过”原则进行事故处理。</w:t>
      </w:r>
    </w:p>
    <w:p w14:paraId="518872DD">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事故发生后，乙方应调动一切资源，做好家属的接待和服务工作，并负责洽谈有关赔偿事宜。乙方在事故中负有责任的，乙方应赔偿甲方在安全事故中支出的各种费用和所遭受的各种损失，相关费用直接从结算价款中直接扣除。</w:t>
      </w:r>
    </w:p>
    <w:p w14:paraId="4D68B551">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三、其他</w:t>
      </w:r>
    </w:p>
    <w:p w14:paraId="11BD4040">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乙方不执行本协议的有关要求，由甲方按照本协议附件：《专业分包现场安全生产违约处罚细则》进行处罚，处罚由甲方管理人员发出书面告知，乙方收到书面告知后，可在7天内提出书面异议。乙方对甲方的处罚有异议时，可书面向甲方现场代表提出复议；对甲方现场代表的决定仍然有异议时，可向甲方上级安全管理部门书面申请复议，甲方上级安全管理部门的决定是最终决定。若在规定的时间内不提出书面异议，处罚自动生效，在乙方当月工程款中直接扣除。</w:t>
      </w:r>
    </w:p>
    <w:p w14:paraId="6CD3644A">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甲方鼓励乙方采取创新举措加强现场安全生产管理工作，提出改进安全生产工作的有效措施建议，乙方对项目安全生产工作有突出贡献的，由甲方进行奖励，奖励经甲方现场代表事先签字同意后，按照甲方商务、财务有关规定办理。</w:t>
      </w:r>
    </w:p>
    <w:p w14:paraId="602E4DC6">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在施工过程中遇有本协议未约定情况，甲乙双方需共同遵守国家、地方的有关现行法律、法规、规范、标准等的要求，共同做好现场安全生产工作，确保生产安全。</w:t>
      </w:r>
    </w:p>
    <w:p w14:paraId="4AAFFDF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本协议适用范围：（1）人员：甲乙双方所有进入施工现场、项目部、生活区的人员；（2）区域：工程地点围墙以内，大门处门边3米以内；（3）时间：自本协议书签字之日起至乙方完成合同约定工程量之日止。</w:t>
      </w:r>
    </w:p>
    <w:p w14:paraId="004CF63D">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甲方现场安全生产监督管理负责人：</w:t>
      </w:r>
    </w:p>
    <w:p w14:paraId="2470389F">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安全员：1.【      】2.【      】3.【      】4.【      】5.【      】</w:t>
      </w:r>
    </w:p>
    <w:p w14:paraId="3479AB82">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乙方现场安全负责人：</w:t>
      </w:r>
    </w:p>
    <w:p w14:paraId="21B67D0E">
      <w:pPr>
        <w:spacing w:line="480" w:lineRule="exact"/>
        <w:ind w:left="105" w:leftChars="50" w:right="28" w:firstLine="482"/>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安全员：1.【      】2.【      】3.【      】4.【      】5.【      】</w:t>
      </w:r>
    </w:p>
    <w:p w14:paraId="1E55AB43">
      <w:pPr>
        <w:spacing w:line="480" w:lineRule="exact"/>
        <w:ind w:left="105" w:leftChars="50" w:right="28" w:firstLine="482"/>
        <w:rPr>
          <w:rFonts w:asciiTheme="minorEastAsia" w:hAnsiTheme="minorEastAsia" w:cstheme="minorEastAsia"/>
          <w:szCs w:val="21"/>
        </w:rPr>
      </w:pPr>
      <w:r>
        <w:rPr>
          <w:rFonts w:hint="eastAsia" w:ascii="仿宋_GB2312" w:eastAsia="仿宋_GB2312" w:hAnsiTheme="minorEastAsia" w:cstheme="minorEastAsia"/>
          <w:sz w:val="28"/>
          <w:szCs w:val="28"/>
        </w:rPr>
        <w:t>本协议作为附件与分包合同同时签订。</w:t>
      </w:r>
    </w:p>
    <w:p w14:paraId="0929FE90">
      <w:pPr>
        <w:spacing w:line="360" w:lineRule="auto"/>
        <w:ind w:right="28"/>
        <w:jc w:val="center"/>
        <w:rPr>
          <w:rFonts w:ascii="仿宋_GB2312" w:eastAsia="仿宋_GB2312" w:hAnsiTheme="minorEastAsia" w:cstheme="minorEastAsia"/>
          <w:b/>
          <w:bCs/>
          <w:sz w:val="30"/>
          <w:szCs w:val="30"/>
        </w:rPr>
      </w:pPr>
      <w:r>
        <w:rPr>
          <w:rFonts w:hint="eastAsia" w:asciiTheme="minorEastAsia" w:hAnsiTheme="minorEastAsia" w:cstheme="minorEastAsia"/>
          <w:szCs w:val="21"/>
        </w:rPr>
        <w:br w:type="page"/>
      </w:r>
      <w:r>
        <w:rPr>
          <w:rFonts w:hint="eastAsia" w:ascii="仿宋_GB2312" w:eastAsia="仿宋_GB2312" w:hAnsiTheme="minorEastAsia" w:cstheme="minorEastAsia"/>
          <w:b/>
          <w:bCs/>
          <w:sz w:val="30"/>
          <w:szCs w:val="30"/>
        </w:rPr>
        <w:t>专业分包现场安全生产违约责任承担细则</w:t>
      </w:r>
    </w:p>
    <w:tbl>
      <w:tblPr>
        <w:tblStyle w:val="27"/>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245"/>
        <w:gridCol w:w="1559"/>
        <w:gridCol w:w="788"/>
      </w:tblGrid>
      <w:tr w14:paraId="4507F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555608A">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b/>
                <w:bCs/>
              </w:rPr>
              <w:t>序号</w:t>
            </w:r>
          </w:p>
        </w:tc>
        <w:tc>
          <w:tcPr>
            <w:tcW w:w="5245" w:type="dxa"/>
            <w:vAlign w:val="center"/>
          </w:tcPr>
          <w:p w14:paraId="430AF288">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b/>
                <w:bCs/>
              </w:rPr>
              <w:t>违约情形</w:t>
            </w:r>
          </w:p>
        </w:tc>
        <w:tc>
          <w:tcPr>
            <w:tcW w:w="1559" w:type="dxa"/>
            <w:vAlign w:val="center"/>
          </w:tcPr>
          <w:p w14:paraId="756BD858">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b/>
                <w:bCs/>
              </w:rPr>
              <w:t>违约金</w:t>
            </w:r>
          </w:p>
        </w:tc>
        <w:tc>
          <w:tcPr>
            <w:tcW w:w="788" w:type="dxa"/>
            <w:vAlign w:val="center"/>
          </w:tcPr>
          <w:p w14:paraId="1C5101D1">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b/>
                <w:bCs/>
              </w:rPr>
              <w:t>备注</w:t>
            </w:r>
          </w:p>
        </w:tc>
      </w:tr>
      <w:tr w14:paraId="243C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7122DDD">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w:t>
            </w:r>
          </w:p>
        </w:tc>
        <w:tc>
          <w:tcPr>
            <w:tcW w:w="5245" w:type="dxa"/>
          </w:tcPr>
          <w:p w14:paraId="03C431D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未按照规定配齐专职安全生产管理人员</w:t>
            </w:r>
          </w:p>
        </w:tc>
        <w:tc>
          <w:tcPr>
            <w:tcW w:w="1559" w:type="dxa"/>
            <w:vAlign w:val="center"/>
          </w:tcPr>
          <w:p w14:paraId="7D2E014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1000元/天/人</w:t>
            </w:r>
          </w:p>
        </w:tc>
        <w:tc>
          <w:tcPr>
            <w:tcW w:w="788" w:type="dxa"/>
          </w:tcPr>
          <w:p w14:paraId="69376EBA">
            <w:pPr>
              <w:spacing w:line="360" w:lineRule="auto"/>
              <w:ind w:right="28"/>
              <w:jc w:val="center"/>
              <w:rPr>
                <w:rFonts w:ascii="仿宋_GB2312" w:eastAsia="仿宋_GB2312" w:hAnsiTheme="minorEastAsia" w:cstheme="minorEastAsia"/>
              </w:rPr>
            </w:pPr>
          </w:p>
        </w:tc>
      </w:tr>
      <w:tr w14:paraId="30C9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4024C8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w:t>
            </w:r>
          </w:p>
        </w:tc>
        <w:tc>
          <w:tcPr>
            <w:tcW w:w="5245" w:type="dxa"/>
          </w:tcPr>
          <w:p w14:paraId="70DF27AD">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专职安全生产管理人员兼职其他工作</w:t>
            </w:r>
          </w:p>
        </w:tc>
        <w:tc>
          <w:tcPr>
            <w:tcW w:w="1559" w:type="dxa"/>
            <w:vAlign w:val="center"/>
          </w:tcPr>
          <w:p w14:paraId="09F74348">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1BE85E3E">
            <w:pPr>
              <w:spacing w:line="360" w:lineRule="auto"/>
              <w:ind w:right="28"/>
              <w:jc w:val="center"/>
              <w:rPr>
                <w:rFonts w:ascii="仿宋_GB2312" w:eastAsia="仿宋_GB2312" w:hAnsiTheme="minorEastAsia" w:cstheme="minorEastAsia"/>
              </w:rPr>
            </w:pPr>
          </w:p>
        </w:tc>
      </w:tr>
      <w:tr w14:paraId="5ECA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1E29F0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w:t>
            </w:r>
          </w:p>
        </w:tc>
        <w:tc>
          <w:tcPr>
            <w:tcW w:w="5245" w:type="dxa"/>
          </w:tcPr>
          <w:p w14:paraId="70B22EE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安全管理人员未持有效执业资格证</w:t>
            </w:r>
          </w:p>
        </w:tc>
        <w:tc>
          <w:tcPr>
            <w:tcW w:w="1559" w:type="dxa"/>
            <w:vAlign w:val="center"/>
          </w:tcPr>
          <w:p w14:paraId="1E27B42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w:t>
            </w:r>
          </w:p>
        </w:tc>
        <w:tc>
          <w:tcPr>
            <w:tcW w:w="788" w:type="dxa"/>
          </w:tcPr>
          <w:p w14:paraId="7C0C28B5">
            <w:pPr>
              <w:spacing w:line="360" w:lineRule="auto"/>
              <w:ind w:right="28"/>
              <w:jc w:val="center"/>
              <w:rPr>
                <w:rFonts w:ascii="仿宋_GB2312" w:eastAsia="仿宋_GB2312" w:hAnsiTheme="minorEastAsia" w:cstheme="minorEastAsia"/>
              </w:rPr>
            </w:pPr>
          </w:p>
        </w:tc>
      </w:tr>
      <w:tr w14:paraId="5FDA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B771CF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4</w:t>
            </w:r>
          </w:p>
        </w:tc>
        <w:tc>
          <w:tcPr>
            <w:tcW w:w="5245" w:type="dxa"/>
          </w:tcPr>
          <w:p w14:paraId="4A74439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未完成合同约定工程量，专职安全员提前退场</w:t>
            </w:r>
          </w:p>
        </w:tc>
        <w:tc>
          <w:tcPr>
            <w:tcW w:w="1559" w:type="dxa"/>
            <w:vAlign w:val="center"/>
          </w:tcPr>
          <w:p w14:paraId="126D7F9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1000元/天/人</w:t>
            </w:r>
          </w:p>
        </w:tc>
        <w:tc>
          <w:tcPr>
            <w:tcW w:w="788" w:type="dxa"/>
          </w:tcPr>
          <w:p w14:paraId="7C8534F2">
            <w:pPr>
              <w:spacing w:line="360" w:lineRule="auto"/>
              <w:ind w:right="28"/>
              <w:jc w:val="center"/>
              <w:rPr>
                <w:rFonts w:ascii="仿宋_GB2312" w:eastAsia="仿宋_GB2312" w:hAnsiTheme="minorEastAsia" w:cstheme="minorEastAsia"/>
              </w:rPr>
            </w:pPr>
          </w:p>
        </w:tc>
      </w:tr>
      <w:tr w14:paraId="33B8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0C6885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w:t>
            </w:r>
          </w:p>
        </w:tc>
        <w:tc>
          <w:tcPr>
            <w:tcW w:w="5245" w:type="dxa"/>
          </w:tcPr>
          <w:p w14:paraId="09DF4E7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专职安全生产管理人员未与甲方合并办公</w:t>
            </w:r>
          </w:p>
        </w:tc>
        <w:tc>
          <w:tcPr>
            <w:tcW w:w="1559" w:type="dxa"/>
            <w:vAlign w:val="center"/>
          </w:tcPr>
          <w:p w14:paraId="0DC59B2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01C0873B">
            <w:pPr>
              <w:spacing w:line="360" w:lineRule="auto"/>
              <w:ind w:right="28"/>
              <w:jc w:val="center"/>
              <w:rPr>
                <w:rFonts w:ascii="仿宋_GB2312" w:eastAsia="仿宋_GB2312" w:hAnsiTheme="minorEastAsia" w:cstheme="minorEastAsia"/>
              </w:rPr>
            </w:pPr>
          </w:p>
        </w:tc>
      </w:tr>
      <w:tr w14:paraId="2395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831FEE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6</w:t>
            </w:r>
          </w:p>
        </w:tc>
        <w:tc>
          <w:tcPr>
            <w:tcW w:w="5245" w:type="dxa"/>
          </w:tcPr>
          <w:p w14:paraId="2E3F0A7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专职安全生产管理人员未按照甲方要求开展工作</w:t>
            </w:r>
          </w:p>
        </w:tc>
        <w:tc>
          <w:tcPr>
            <w:tcW w:w="1559" w:type="dxa"/>
            <w:vAlign w:val="center"/>
          </w:tcPr>
          <w:p w14:paraId="3E0D1DB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717F6262">
            <w:pPr>
              <w:spacing w:line="360" w:lineRule="auto"/>
              <w:ind w:right="28"/>
              <w:jc w:val="center"/>
              <w:rPr>
                <w:rFonts w:ascii="仿宋_GB2312" w:eastAsia="仿宋_GB2312" w:hAnsiTheme="minorEastAsia" w:cstheme="minorEastAsia"/>
              </w:rPr>
            </w:pPr>
          </w:p>
        </w:tc>
      </w:tr>
      <w:tr w14:paraId="39122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8E39E39">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7</w:t>
            </w:r>
          </w:p>
        </w:tc>
        <w:tc>
          <w:tcPr>
            <w:tcW w:w="5245" w:type="dxa"/>
          </w:tcPr>
          <w:p w14:paraId="1B20F0D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未安排专职安全生产管理人员在现场巡查</w:t>
            </w:r>
          </w:p>
        </w:tc>
        <w:tc>
          <w:tcPr>
            <w:tcW w:w="1559" w:type="dxa"/>
            <w:vAlign w:val="center"/>
          </w:tcPr>
          <w:p w14:paraId="54B6BE0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1000元/次</w:t>
            </w:r>
          </w:p>
        </w:tc>
        <w:tc>
          <w:tcPr>
            <w:tcW w:w="788" w:type="dxa"/>
          </w:tcPr>
          <w:p w14:paraId="5DB42DE5">
            <w:pPr>
              <w:spacing w:line="360" w:lineRule="auto"/>
              <w:ind w:right="28"/>
              <w:jc w:val="center"/>
              <w:rPr>
                <w:rFonts w:ascii="仿宋_GB2312" w:eastAsia="仿宋_GB2312" w:hAnsiTheme="minorEastAsia" w:cstheme="minorEastAsia"/>
              </w:rPr>
            </w:pPr>
          </w:p>
        </w:tc>
      </w:tr>
      <w:tr w14:paraId="7C77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7CF29E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8</w:t>
            </w:r>
          </w:p>
        </w:tc>
        <w:tc>
          <w:tcPr>
            <w:tcW w:w="5245" w:type="dxa"/>
          </w:tcPr>
          <w:p w14:paraId="6E11ABC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未向甲方提供进场人员名单、身份证复印件</w:t>
            </w:r>
          </w:p>
        </w:tc>
        <w:tc>
          <w:tcPr>
            <w:tcW w:w="1559" w:type="dxa"/>
            <w:vAlign w:val="center"/>
          </w:tcPr>
          <w:p w14:paraId="3A2ED8E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200元/人</w:t>
            </w:r>
          </w:p>
        </w:tc>
        <w:tc>
          <w:tcPr>
            <w:tcW w:w="788" w:type="dxa"/>
          </w:tcPr>
          <w:p w14:paraId="7FE9307A">
            <w:pPr>
              <w:spacing w:line="360" w:lineRule="auto"/>
              <w:ind w:right="28"/>
              <w:jc w:val="center"/>
              <w:rPr>
                <w:rFonts w:ascii="仿宋_GB2312" w:eastAsia="仿宋_GB2312" w:hAnsiTheme="minorEastAsia" w:cstheme="minorEastAsia"/>
              </w:rPr>
            </w:pPr>
          </w:p>
        </w:tc>
      </w:tr>
      <w:tr w14:paraId="6059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1C34D8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9</w:t>
            </w:r>
          </w:p>
        </w:tc>
        <w:tc>
          <w:tcPr>
            <w:tcW w:w="5245" w:type="dxa"/>
          </w:tcPr>
          <w:p w14:paraId="4F2DDE7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未提供进场工人进行三级安全教育资料</w:t>
            </w:r>
          </w:p>
        </w:tc>
        <w:tc>
          <w:tcPr>
            <w:tcW w:w="1559" w:type="dxa"/>
            <w:vAlign w:val="center"/>
          </w:tcPr>
          <w:p w14:paraId="3C01B828">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200元/人</w:t>
            </w:r>
          </w:p>
        </w:tc>
        <w:tc>
          <w:tcPr>
            <w:tcW w:w="788" w:type="dxa"/>
          </w:tcPr>
          <w:p w14:paraId="091A0F4E">
            <w:pPr>
              <w:spacing w:line="360" w:lineRule="auto"/>
              <w:ind w:right="28"/>
              <w:jc w:val="center"/>
              <w:rPr>
                <w:rFonts w:ascii="仿宋_GB2312" w:eastAsia="仿宋_GB2312" w:hAnsiTheme="minorEastAsia" w:cstheme="minorEastAsia"/>
              </w:rPr>
            </w:pPr>
          </w:p>
        </w:tc>
      </w:tr>
      <w:tr w14:paraId="7092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F1A7F2B">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w:t>
            </w:r>
          </w:p>
        </w:tc>
        <w:tc>
          <w:tcPr>
            <w:tcW w:w="5245" w:type="dxa"/>
          </w:tcPr>
          <w:p w14:paraId="410B8E5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安排超过60周岁的工人进入现场作业</w:t>
            </w:r>
          </w:p>
        </w:tc>
        <w:tc>
          <w:tcPr>
            <w:tcW w:w="1559" w:type="dxa"/>
            <w:vAlign w:val="center"/>
          </w:tcPr>
          <w:p w14:paraId="26D5B318">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500元/人</w:t>
            </w:r>
          </w:p>
        </w:tc>
        <w:tc>
          <w:tcPr>
            <w:tcW w:w="788" w:type="dxa"/>
          </w:tcPr>
          <w:p w14:paraId="2329A8F2">
            <w:pPr>
              <w:spacing w:line="360" w:lineRule="auto"/>
              <w:ind w:right="28"/>
              <w:jc w:val="center"/>
              <w:rPr>
                <w:rFonts w:ascii="仿宋_GB2312" w:eastAsia="仿宋_GB2312" w:hAnsiTheme="minorEastAsia" w:cstheme="minorEastAsia"/>
              </w:rPr>
            </w:pPr>
          </w:p>
        </w:tc>
      </w:tr>
      <w:tr w14:paraId="3D476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3BEAA1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11</w:t>
            </w:r>
          </w:p>
        </w:tc>
        <w:tc>
          <w:tcPr>
            <w:tcW w:w="5245" w:type="dxa"/>
          </w:tcPr>
          <w:p w14:paraId="5F7621A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特种作业人员未持有效证件</w:t>
            </w:r>
          </w:p>
        </w:tc>
        <w:tc>
          <w:tcPr>
            <w:tcW w:w="1559" w:type="dxa"/>
            <w:vAlign w:val="center"/>
          </w:tcPr>
          <w:p w14:paraId="3542927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2000元/人</w:t>
            </w:r>
          </w:p>
        </w:tc>
        <w:tc>
          <w:tcPr>
            <w:tcW w:w="788" w:type="dxa"/>
          </w:tcPr>
          <w:p w14:paraId="52DDE8A0">
            <w:pPr>
              <w:spacing w:line="360" w:lineRule="auto"/>
              <w:ind w:right="28"/>
              <w:jc w:val="center"/>
              <w:rPr>
                <w:rFonts w:ascii="仿宋_GB2312" w:eastAsia="仿宋_GB2312" w:hAnsiTheme="minorEastAsia" w:cstheme="minorEastAsia"/>
              </w:rPr>
            </w:pPr>
          </w:p>
        </w:tc>
      </w:tr>
      <w:tr w14:paraId="4ED1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81CB297">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12</w:t>
            </w:r>
          </w:p>
        </w:tc>
        <w:tc>
          <w:tcPr>
            <w:tcW w:w="5245" w:type="dxa"/>
          </w:tcPr>
          <w:p w14:paraId="5768C15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不参加甲方组织的安全生产检查</w:t>
            </w:r>
          </w:p>
        </w:tc>
        <w:tc>
          <w:tcPr>
            <w:tcW w:w="1559" w:type="dxa"/>
            <w:vAlign w:val="center"/>
          </w:tcPr>
          <w:p w14:paraId="22E1771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1000元/次</w:t>
            </w:r>
          </w:p>
        </w:tc>
        <w:tc>
          <w:tcPr>
            <w:tcW w:w="788" w:type="dxa"/>
          </w:tcPr>
          <w:p w14:paraId="332FCDB7">
            <w:pPr>
              <w:spacing w:line="360" w:lineRule="auto"/>
              <w:ind w:right="28"/>
              <w:jc w:val="center"/>
              <w:rPr>
                <w:rFonts w:ascii="仿宋_GB2312" w:eastAsia="仿宋_GB2312" w:hAnsiTheme="minorEastAsia" w:cstheme="minorEastAsia"/>
              </w:rPr>
            </w:pPr>
          </w:p>
        </w:tc>
      </w:tr>
      <w:tr w14:paraId="6195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8E2487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13</w:t>
            </w:r>
          </w:p>
        </w:tc>
        <w:tc>
          <w:tcPr>
            <w:tcW w:w="5245" w:type="dxa"/>
          </w:tcPr>
          <w:p w14:paraId="517DB13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不参加甲方组织的安全会议</w:t>
            </w:r>
          </w:p>
        </w:tc>
        <w:tc>
          <w:tcPr>
            <w:tcW w:w="1559" w:type="dxa"/>
            <w:vAlign w:val="center"/>
          </w:tcPr>
          <w:p w14:paraId="551DF81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1000元/次</w:t>
            </w:r>
          </w:p>
        </w:tc>
        <w:tc>
          <w:tcPr>
            <w:tcW w:w="788" w:type="dxa"/>
          </w:tcPr>
          <w:p w14:paraId="2CAD73BD">
            <w:pPr>
              <w:spacing w:line="360" w:lineRule="auto"/>
              <w:ind w:right="28"/>
              <w:jc w:val="center"/>
              <w:rPr>
                <w:rFonts w:ascii="仿宋_GB2312" w:eastAsia="仿宋_GB2312" w:hAnsiTheme="minorEastAsia" w:cstheme="minorEastAsia"/>
              </w:rPr>
            </w:pPr>
          </w:p>
        </w:tc>
      </w:tr>
      <w:tr w14:paraId="7B54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82587FB">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14</w:t>
            </w:r>
          </w:p>
        </w:tc>
        <w:tc>
          <w:tcPr>
            <w:tcW w:w="5245" w:type="dxa"/>
          </w:tcPr>
          <w:p w14:paraId="53096F2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未在规定的期限内，完成隐患整改（一般隐患）</w:t>
            </w:r>
          </w:p>
        </w:tc>
        <w:tc>
          <w:tcPr>
            <w:tcW w:w="1559" w:type="dxa"/>
            <w:vAlign w:val="center"/>
          </w:tcPr>
          <w:p w14:paraId="657205C9">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500元/条</w:t>
            </w:r>
          </w:p>
        </w:tc>
        <w:tc>
          <w:tcPr>
            <w:tcW w:w="788" w:type="dxa"/>
          </w:tcPr>
          <w:p w14:paraId="4ECCB250">
            <w:pPr>
              <w:spacing w:line="360" w:lineRule="auto"/>
              <w:ind w:right="28"/>
              <w:jc w:val="center"/>
              <w:rPr>
                <w:rFonts w:ascii="仿宋_GB2312" w:eastAsia="仿宋_GB2312" w:hAnsiTheme="minorEastAsia" w:cstheme="minorEastAsia"/>
              </w:rPr>
            </w:pPr>
          </w:p>
        </w:tc>
      </w:tr>
      <w:tr w14:paraId="18667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9D1B5E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15</w:t>
            </w:r>
          </w:p>
        </w:tc>
        <w:tc>
          <w:tcPr>
            <w:tcW w:w="5245" w:type="dxa"/>
          </w:tcPr>
          <w:p w14:paraId="6E70FB9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出现三大“攻坚”隐患</w:t>
            </w:r>
          </w:p>
        </w:tc>
        <w:tc>
          <w:tcPr>
            <w:tcW w:w="1559" w:type="dxa"/>
            <w:vAlign w:val="center"/>
          </w:tcPr>
          <w:p w14:paraId="4CBA4DB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1000元/条</w:t>
            </w:r>
          </w:p>
        </w:tc>
        <w:tc>
          <w:tcPr>
            <w:tcW w:w="788" w:type="dxa"/>
          </w:tcPr>
          <w:p w14:paraId="091BA396">
            <w:pPr>
              <w:spacing w:line="360" w:lineRule="auto"/>
              <w:ind w:right="28"/>
              <w:jc w:val="center"/>
              <w:rPr>
                <w:rFonts w:ascii="仿宋_GB2312" w:eastAsia="仿宋_GB2312" w:hAnsiTheme="minorEastAsia" w:cstheme="minorEastAsia"/>
              </w:rPr>
            </w:pPr>
          </w:p>
        </w:tc>
      </w:tr>
      <w:tr w14:paraId="39F0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233F61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16</w:t>
            </w:r>
          </w:p>
        </w:tc>
        <w:tc>
          <w:tcPr>
            <w:tcW w:w="5245" w:type="dxa"/>
          </w:tcPr>
          <w:p w14:paraId="7E23652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不安排工人接受甲方入场安全教育</w:t>
            </w:r>
          </w:p>
        </w:tc>
        <w:tc>
          <w:tcPr>
            <w:tcW w:w="1559" w:type="dxa"/>
            <w:vAlign w:val="center"/>
          </w:tcPr>
          <w:p w14:paraId="179714E9">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200元/人</w:t>
            </w:r>
          </w:p>
        </w:tc>
        <w:tc>
          <w:tcPr>
            <w:tcW w:w="788" w:type="dxa"/>
          </w:tcPr>
          <w:p w14:paraId="713C510A">
            <w:pPr>
              <w:spacing w:line="360" w:lineRule="auto"/>
              <w:ind w:right="28"/>
              <w:jc w:val="center"/>
              <w:rPr>
                <w:rFonts w:ascii="仿宋_GB2312" w:eastAsia="仿宋_GB2312" w:hAnsiTheme="minorEastAsia" w:cstheme="minorEastAsia"/>
              </w:rPr>
            </w:pPr>
          </w:p>
        </w:tc>
      </w:tr>
      <w:tr w14:paraId="7850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6B0CF2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17</w:t>
            </w:r>
          </w:p>
        </w:tc>
        <w:tc>
          <w:tcPr>
            <w:tcW w:w="5245" w:type="dxa"/>
          </w:tcPr>
          <w:p w14:paraId="4E92015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经过入场安全教育工人安全帽未贴标识</w:t>
            </w:r>
          </w:p>
        </w:tc>
        <w:tc>
          <w:tcPr>
            <w:tcW w:w="1559" w:type="dxa"/>
            <w:vAlign w:val="center"/>
          </w:tcPr>
          <w:p w14:paraId="10E3C79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50元/人</w:t>
            </w:r>
          </w:p>
        </w:tc>
        <w:tc>
          <w:tcPr>
            <w:tcW w:w="788" w:type="dxa"/>
          </w:tcPr>
          <w:p w14:paraId="73606920">
            <w:pPr>
              <w:spacing w:line="360" w:lineRule="auto"/>
              <w:ind w:right="28"/>
              <w:jc w:val="center"/>
              <w:rPr>
                <w:rFonts w:ascii="仿宋_GB2312" w:eastAsia="仿宋_GB2312" w:hAnsiTheme="minorEastAsia" w:cstheme="minorEastAsia"/>
              </w:rPr>
            </w:pPr>
          </w:p>
        </w:tc>
      </w:tr>
      <w:tr w14:paraId="64D2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D91304B">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18</w:t>
            </w:r>
          </w:p>
        </w:tc>
        <w:tc>
          <w:tcPr>
            <w:tcW w:w="5245" w:type="dxa"/>
          </w:tcPr>
          <w:p w14:paraId="675A382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使用未经安全教育培训考核合格的工人</w:t>
            </w:r>
          </w:p>
        </w:tc>
        <w:tc>
          <w:tcPr>
            <w:tcW w:w="1559" w:type="dxa"/>
            <w:vAlign w:val="center"/>
          </w:tcPr>
          <w:p w14:paraId="20D5CF1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1000元/人</w:t>
            </w:r>
          </w:p>
        </w:tc>
        <w:tc>
          <w:tcPr>
            <w:tcW w:w="788" w:type="dxa"/>
          </w:tcPr>
          <w:p w14:paraId="6A878203">
            <w:pPr>
              <w:spacing w:line="360" w:lineRule="auto"/>
              <w:ind w:right="28"/>
              <w:jc w:val="center"/>
              <w:rPr>
                <w:rFonts w:ascii="仿宋_GB2312" w:eastAsia="仿宋_GB2312" w:hAnsiTheme="minorEastAsia" w:cstheme="minorEastAsia"/>
              </w:rPr>
            </w:pPr>
          </w:p>
        </w:tc>
      </w:tr>
      <w:tr w14:paraId="71ED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BB0CC41">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19</w:t>
            </w:r>
          </w:p>
        </w:tc>
        <w:tc>
          <w:tcPr>
            <w:tcW w:w="5245" w:type="dxa"/>
          </w:tcPr>
          <w:p w14:paraId="7C828A5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未组织开展安全生产早班会</w:t>
            </w:r>
          </w:p>
        </w:tc>
        <w:tc>
          <w:tcPr>
            <w:tcW w:w="1559" w:type="dxa"/>
            <w:vAlign w:val="center"/>
          </w:tcPr>
          <w:p w14:paraId="70115FB9">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49A0910B">
            <w:pPr>
              <w:spacing w:line="360" w:lineRule="auto"/>
              <w:ind w:right="28"/>
              <w:jc w:val="center"/>
              <w:rPr>
                <w:rFonts w:ascii="仿宋_GB2312" w:eastAsia="仿宋_GB2312" w:hAnsiTheme="minorEastAsia" w:cstheme="minorEastAsia"/>
              </w:rPr>
            </w:pPr>
          </w:p>
        </w:tc>
      </w:tr>
      <w:tr w14:paraId="61D2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B9CD34D">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w:t>
            </w:r>
          </w:p>
        </w:tc>
        <w:tc>
          <w:tcPr>
            <w:tcW w:w="5245" w:type="dxa"/>
          </w:tcPr>
          <w:p w14:paraId="0869246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参加早班会人员不全</w:t>
            </w:r>
          </w:p>
        </w:tc>
        <w:tc>
          <w:tcPr>
            <w:tcW w:w="1559" w:type="dxa"/>
            <w:vAlign w:val="center"/>
          </w:tcPr>
          <w:p w14:paraId="0E78827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50元/人</w:t>
            </w:r>
          </w:p>
        </w:tc>
        <w:tc>
          <w:tcPr>
            <w:tcW w:w="788" w:type="dxa"/>
          </w:tcPr>
          <w:p w14:paraId="56A51B5D">
            <w:pPr>
              <w:spacing w:line="360" w:lineRule="auto"/>
              <w:ind w:right="28"/>
              <w:jc w:val="center"/>
              <w:rPr>
                <w:rFonts w:ascii="仿宋_GB2312" w:eastAsia="仿宋_GB2312" w:hAnsiTheme="minorEastAsia" w:cstheme="minorEastAsia"/>
              </w:rPr>
            </w:pPr>
          </w:p>
        </w:tc>
      </w:tr>
      <w:tr w14:paraId="25AA6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65619BF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21</w:t>
            </w:r>
          </w:p>
        </w:tc>
        <w:tc>
          <w:tcPr>
            <w:tcW w:w="5245" w:type="dxa"/>
          </w:tcPr>
          <w:p w14:paraId="1564789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未及时向甲方报送安全生产早班会资料</w:t>
            </w:r>
          </w:p>
        </w:tc>
        <w:tc>
          <w:tcPr>
            <w:tcW w:w="1559" w:type="dxa"/>
            <w:vAlign w:val="center"/>
          </w:tcPr>
          <w:p w14:paraId="0DB1ECA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200元/次</w:t>
            </w:r>
          </w:p>
        </w:tc>
        <w:tc>
          <w:tcPr>
            <w:tcW w:w="788" w:type="dxa"/>
          </w:tcPr>
          <w:p w14:paraId="0036CDD7">
            <w:pPr>
              <w:spacing w:line="360" w:lineRule="auto"/>
              <w:ind w:right="28"/>
              <w:jc w:val="center"/>
              <w:rPr>
                <w:rFonts w:ascii="仿宋_GB2312" w:eastAsia="仿宋_GB2312" w:hAnsiTheme="minorEastAsia" w:cstheme="minorEastAsia"/>
              </w:rPr>
            </w:pPr>
          </w:p>
        </w:tc>
      </w:tr>
      <w:tr w14:paraId="47BC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CDBB0A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22</w:t>
            </w:r>
          </w:p>
        </w:tc>
        <w:tc>
          <w:tcPr>
            <w:tcW w:w="5245" w:type="dxa"/>
          </w:tcPr>
          <w:p w14:paraId="45326131">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高风险作业未经许可</w:t>
            </w:r>
          </w:p>
        </w:tc>
        <w:tc>
          <w:tcPr>
            <w:tcW w:w="1559" w:type="dxa"/>
            <w:vAlign w:val="center"/>
          </w:tcPr>
          <w:p w14:paraId="0A05778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51293C5C">
            <w:pPr>
              <w:spacing w:line="360" w:lineRule="auto"/>
              <w:ind w:right="28"/>
              <w:jc w:val="center"/>
              <w:rPr>
                <w:rFonts w:ascii="仿宋_GB2312" w:eastAsia="仿宋_GB2312" w:hAnsiTheme="minorEastAsia" w:cstheme="minorEastAsia"/>
              </w:rPr>
            </w:pPr>
          </w:p>
        </w:tc>
      </w:tr>
      <w:tr w14:paraId="27B5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1997EC1">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23</w:t>
            </w:r>
          </w:p>
        </w:tc>
        <w:tc>
          <w:tcPr>
            <w:tcW w:w="5245" w:type="dxa"/>
          </w:tcPr>
          <w:p w14:paraId="63FB7C0D">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拆除现场防护后，未采取临时措施防护或及时恢复</w:t>
            </w:r>
          </w:p>
        </w:tc>
        <w:tc>
          <w:tcPr>
            <w:tcW w:w="1559" w:type="dxa"/>
            <w:vAlign w:val="center"/>
          </w:tcPr>
          <w:p w14:paraId="7F0FC6F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284D3DFA">
            <w:pPr>
              <w:spacing w:line="360" w:lineRule="auto"/>
              <w:ind w:right="28"/>
              <w:jc w:val="center"/>
              <w:rPr>
                <w:rFonts w:ascii="仿宋_GB2312" w:eastAsia="仿宋_GB2312" w:hAnsiTheme="minorEastAsia" w:cstheme="minorEastAsia"/>
              </w:rPr>
            </w:pPr>
          </w:p>
        </w:tc>
      </w:tr>
      <w:tr w14:paraId="3ABC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E9B0E0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24</w:t>
            </w:r>
          </w:p>
        </w:tc>
        <w:tc>
          <w:tcPr>
            <w:tcW w:w="5245" w:type="dxa"/>
          </w:tcPr>
          <w:p w14:paraId="08144CA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高风险作业未安排专人进行监护</w:t>
            </w:r>
          </w:p>
        </w:tc>
        <w:tc>
          <w:tcPr>
            <w:tcW w:w="1559" w:type="dxa"/>
            <w:vAlign w:val="center"/>
          </w:tcPr>
          <w:p w14:paraId="49C9E699">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w:t>
            </w:r>
          </w:p>
        </w:tc>
        <w:tc>
          <w:tcPr>
            <w:tcW w:w="788" w:type="dxa"/>
          </w:tcPr>
          <w:p w14:paraId="6B4EF9CB">
            <w:pPr>
              <w:spacing w:line="360" w:lineRule="auto"/>
              <w:ind w:right="28"/>
              <w:jc w:val="center"/>
              <w:rPr>
                <w:rFonts w:ascii="仿宋_GB2312" w:eastAsia="仿宋_GB2312" w:hAnsiTheme="minorEastAsia" w:cstheme="minorEastAsia"/>
              </w:rPr>
            </w:pPr>
          </w:p>
        </w:tc>
      </w:tr>
      <w:tr w14:paraId="495F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F161D5D">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25</w:t>
            </w:r>
          </w:p>
        </w:tc>
        <w:tc>
          <w:tcPr>
            <w:tcW w:w="5245" w:type="dxa"/>
          </w:tcPr>
          <w:p w14:paraId="34EBA3A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高处作业人员未佩戴和使用安全带</w:t>
            </w:r>
          </w:p>
        </w:tc>
        <w:tc>
          <w:tcPr>
            <w:tcW w:w="1559" w:type="dxa"/>
            <w:vAlign w:val="center"/>
          </w:tcPr>
          <w:p w14:paraId="14A7E2D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500元/次</w:t>
            </w:r>
          </w:p>
        </w:tc>
        <w:tc>
          <w:tcPr>
            <w:tcW w:w="788" w:type="dxa"/>
          </w:tcPr>
          <w:p w14:paraId="41ED92D7">
            <w:pPr>
              <w:spacing w:line="360" w:lineRule="auto"/>
              <w:ind w:right="28"/>
              <w:jc w:val="center"/>
              <w:rPr>
                <w:rFonts w:ascii="仿宋_GB2312" w:eastAsia="仿宋_GB2312" w:hAnsiTheme="minorEastAsia" w:cstheme="minorEastAsia"/>
              </w:rPr>
            </w:pPr>
          </w:p>
        </w:tc>
      </w:tr>
      <w:tr w14:paraId="049F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6C5F528">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rPr>
              <w:t>26</w:t>
            </w:r>
          </w:p>
        </w:tc>
        <w:tc>
          <w:tcPr>
            <w:tcW w:w="5245" w:type="dxa"/>
          </w:tcPr>
          <w:p w14:paraId="34A6B598">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rPr>
              <w:t>工人未佩戴安全帽或规范佩戴安全帽</w:t>
            </w:r>
          </w:p>
        </w:tc>
        <w:tc>
          <w:tcPr>
            <w:tcW w:w="1559" w:type="dxa"/>
            <w:vAlign w:val="center"/>
          </w:tcPr>
          <w:p w14:paraId="1E4E552D">
            <w:pPr>
              <w:spacing w:line="360" w:lineRule="auto"/>
              <w:ind w:right="28"/>
              <w:jc w:val="center"/>
              <w:rPr>
                <w:rFonts w:ascii="仿宋_GB2312" w:eastAsia="仿宋_GB2312" w:hAnsiTheme="minorEastAsia" w:cstheme="minorEastAsia"/>
                <w:b/>
                <w:bCs/>
              </w:rPr>
            </w:pPr>
            <w:r>
              <w:rPr>
                <w:rFonts w:hint="eastAsia" w:ascii="仿宋_GB2312" w:eastAsia="仿宋_GB2312" w:hAnsiTheme="minorEastAsia" w:cstheme="minorEastAsia"/>
              </w:rPr>
              <w:t>100元/次</w:t>
            </w:r>
          </w:p>
        </w:tc>
        <w:tc>
          <w:tcPr>
            <w:tcW w:w="788" w:type="dxa"/>
          </w:tcPr>
          <w:p w14:paraId="10384E13">
            <w:pPr>
              <w:spacing w:line="360" w:lineRule="auto"/>
              <w:ind w:right="28"/>
              <w:jc w:val="center"/>
              <w:rPr>
                <w:rFonts w:ascii="仿宋_GB2312" w:eastAsia="仿宋_GB2312" w:hAnsiTheme="minorEastAsia" w:cstheme="minorEastAsia"/>
                <w:b/>
                <w:bCs/>
              </w:rPr>
            </w:pPr>
          </w:p>
        </w:tc>
      </w:tr>
      <w:tr w14:paraId="6877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65DCDEBB">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27</w:t>
            </w:r>
          </w:p>
        </w:tc>
        <w:tc>
          <w:tcPr>
            <w:tcW w:w="5245" w:type="dxa"/>
          </w:tcPr>
          <w:p w14:paraId="7EB8CAC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工人未穿马甲</w:t>
            </w:r>
          </w:p>
        </w:tc>
        <w:tc>
          <w:tcPr>
            <w:tcW w:w="1559" w:type="dxa"/>
            <w:vAlign w:val="center"/>
          </w:tcPr>
          <w:p w14:paraId="35B4DBC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50元/次</w:t>
            </w:r>
          </w:p>
        </w:tc>
        <w:tc>
          <w:tcPr>
            <w:tcW w:w="788" w:type="dxa"/>
          </w:tcPr>
          <w:p w14:paraId="68ED46F3">
            <w:pPr>
              <w:spacing w:line="360" w:lineRule="auto"/>
              <w:ind w:right="28"/>
              <w:jc w:val="center"/>
              <w:rPr>
                <w:rFonts w:ascii="仿宋_GB2312" w:eastAsia="仿宋_GB2312" w:hAnsiTheme="minorEastAsia" w:cstheme="minorEastAsia"/>
              </w:rPr>
            </w:pPr>
          </w:p>
        </w:tc>
      </w:tr>
      <w:tr w14:paraId="548D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5B1C64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28</w:t>
            </w:r>
          </w:p>
        </w:tc>
        <w:tc>
          <w:tcPr>
            <w:tcW w:w="5245" w:type="dxa"/>
          </w:tcPr>
          <w:p w14:paraId="526046C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使用自带不合格电箱、电缆、配电盘等电气设备</w:t>
            </w:r>
          </w:p>
        </w:tc>
        <w:tc>
          <w:tcPr>
            <w:tcW w:w="1559" w:type="dxa"/>
            <w:vAlign w:val="center"/>
          </w:tcPr>
          <w:p w14:paraId="1833FF72">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200元/次</w:t>
            </w:r>
          </w:p>
        </w:tc>
        <w:tc>
          <w:tcPr>
            <w:tcW w:w="788" w:type="dxa"/>
          </w:tcPr>
          <w:p w14:paraId="46D15DE4">
            <w:pPr>
              <w:spacing w:line="360" w:lineRule="auto"/>
              <w:ind w:right="28"/>
              <w:jc w:val="center"/>
              <w:rPr>
                <w:rFonts w:ascii="仿宋_GB2312" w:eastAsia="仿宋_GB2312" w:hAnsiTheme="minorEastAsia" w:cstheme="minorEastAsia"/>
              </w:rPr>
            </w:pPr>
          </w:p>
        </w:tc>
      </w:tr>
      <w:tr w14:paraId="0901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AFFBDE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29</w:t>
            </w:r>
          </w:p>
        </w:tc>
        <w:tc>
          <w:tcPr>
            <w:tcW w:w="5245" w:type="dxa"/>
          </w:tcPr>
          <w:p w14:paraId="651C62E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自带工具、器具、设备未经验收即使用</w:t>
            </w:r>
          </w:p>
        </w:tc>
        <w:tc>
          <w:tcPr>
            <w:tcW w:w="1559" w:type="dxa"/>
            <w:vAlign w:val="center"/>
          </w:tcPr>
          <w:p w14:paraId="1500430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200元/次</w:t>
            </w:r>
          </w:p>
        </w:tc>
        <w:tc>
          <w:tcPr>
            <w:tcW w:w="788" w:type="dxa"/>
          </w:tcPr>
          <w:p w14:paraId="233A4857">
            <w:pPr>
              <w:spacing w:line="360" w:lineRule="auto"/>
              <w:ind w:right="28"/>
              <w:jc w:val="center"/>
              <w:rPr>
                <w:rFonts w:ascii="仿宋_GB2312" w:eastAsia="仿宋_GB2312" w:hAnsiTheme="minorEastAsia" w:cstheme="minorEastAsia"/>
              </w:rPr>
            </w:pPr>
          </w:p>
        </w:tc>
      </w:tr>
      <w:tr w14:paraId="77D3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E800B2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30</w:t>
            </w:r>
          </w:p>
        </w:tc>
        <w:tc>
          <w:tcPr>
            <w:tcW w:w="5245" w:type="dxa"/>
          </w:tcPr>
          <w:p w14:paraId="65A0852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使用自带安全性能明显不足的工具、器具、设备等</w:t>
            </w:r>
          </w:p>
        </w:tc>
        <w:tc>
          <w:tcPr>
            <w:tcW w:w="1559" w:type="dxa"/>
            <w:vAlign w:val="center"/>
          </w:tcPr>
          <w:p w14:paraId="1DFD50F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500元/次</w:t>
            </w:r>
          </w:p>
        </w:tc>
        <w:tc>
          <w:tcPr>
            <w:tcW w:w="788" w:type="dxa"/>
          </w:tcPr>
          <w:p w14:paraId="353C85C6">
            <w:pPr>
              <w:spacing w:line="360" w:lineRule="auto"/>
              <w:ind w:right="28"/>
              <w:jc w:val="center"/>
              <w:rPr>
                <w:rFonts w:ascii="仿宋_GB2312" w:eastAsia="仿宋_GB2312" w:hAnsiTheme="minorEastAsia" w:cstheme="minorEastAsia"/>
              </w:rPr>
            </w:pPr>
          </w:p>
        </w:tc>
      </w:tr>
      <w:tr w14:paraId="3979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014F24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31</w:t>
            </w:r>
          </w:p>
        </w:tc>
        <w:tc>
          <w:tcPr>
            <w:tcW w:w="5245" w:type="dxa"/>
          </w:tcPr>
          <w:p w14:paraId="2EA42F73">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未安排工人接受安全技术交底</w:t>
            </w:r>
          </w:p>
        </w:tc>
        <w:tc>
          <w:tcPr>
            <w:tcW w:w="1559" w:type="dxa"/>
            <w:vAlign w:val="center"/>
          </w:tcPr>
          <w:p w14:paraId="09AE5CE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200元/人</w:t>
            </w:r>
          </w:p>
        </w:tc>
        <w:tc>
          <w:tcPr>
            <w:tcW w:w="788" w:type="dxa"/>
          </w:tcPr>
          <w:p w14:paraId="24389F58">
            <w:pPr>
              <w:spacing w:line="360" w:lineRule="auto"/>
              <w:ind w:right="28"/>
              <w:jc w:val="center"/>
              <w:rPr>
                <w:rFonts w:ascii="仿宋_GB2312" w:eastAsia="仿宋_GB2312" w:hAnsiTheme="minorEastAsia" w:cstheme="minorEastAsia"/>
              </w:rPr>
            </w:pPr>
          </w:p>
        </w:tc>
      </w:tr>
      <w:tr w14:paraId="7D5B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C37341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32</w:t>
            </w:r>
          </w:p>
        </w:tc>
        <w:tc>
          <w:tcPr>
            <w:tcW w:w="5245" w:type="dxa"/>
          </w:tcPr>
          <w:p w14:paraId="54A4FC9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零散用工、突击用工未经入场安全教育</w:t>
            </w:r>
          </w:p>
        </w:tc>
        <w:tc>
          <w:tcPr>
            <w:tcW w:w="1559" w:type="dxa"/>
            <w:vAlign w:val="center"/>
          </w:tcPr>
          <w:p w14:paraId="34FADE7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200元/人</w:t>
            </w:r>
          </w:p>
        </w:tc>
        <w:tc>
          <w:tcPr>
            <w:tcW w:w="788" w:type="dxa"/>
          </w:tcPr>
          <w:p w14:paraId="7BBC4FA3">
            <w:pPr>
              <w:spacing w:line="360" w:lineRule="auto"/>
              <w:ind w:right="28"/>
              <w:jc w:val="center"/>
              <w:rPr>
                <w:rFonts w:ascii="仿宋_GB2312" w:eastAsia="仿宋_GB2312" w:hAnsiTheme="minorEastAsia" w:cstheme="minorEastAsia"/>
              </w:rPr>
            </w:pPr>
          </w:p>
        </w:tc>
      </w:tr>
      <w:tr w14:paraId="2F80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4FDD71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33</w:t>
            </w:r>
          </w:p>
        </w:tc>
        <w:tc>
          <w:tcPr>
            <w:tcW w:w="5245" w:type="dxa"/>
          </w:tcPr>
          <w:p w14:paraId="537DA90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零散用工、突击用工作业时，无专人监护</w:t>
            </w:r>
          </w:p>
        </w:tc>
        <w:tc>
          <w:tcPr>
            <w:tcW w:w="1559" w:type="dxa"/>
            <w:vAlign w:val="center"/>
          </w:tcPr>
          <w:p w14:paraId="79F4454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1000元/次</w:t>
            </w:r>
          </w:p>
        </w:tc>
        <w:tc>
          <w:tcPr>
            <w:tcW w:w="788" w:type="dxa"/>
          </w:tcPr>
          <w:p w14:paraId="0BFBEF4F">
            <w:pPr>
              <w:spacing w:line="360" w:lineRule="auto"/>
              <w:ind w:right="28"/>
              <w:jc w:val="center"/>
              <w:rPr>
                <w:rFonts w:ascii="仿宋_GB2312" w:eastAsia="仿宋_GB2312" w:hAnsiTheme="minorEastAsia" w:cstheme="minorEastAsia"/>
              </w:rPr>
            </w:pPr>
          </w:p>
        </w:tc>
      </w:tr>
      <w:tr w14:paraId="2DDF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A42565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34</w:t>
            </w:r>
          </w:p>
        </w:tc>
        <w:tc>
          <w:tcPr>
            <w:tcW w:w="5245" w:type="dxa"/>
          </w:tcPr>
          <w:p w14:paraId="5E5EA95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加班时段，现场无专人值班</w:t>
            </w:r>
          </w:p>
        </w:tc>
        <w:tc>
          <w:tcPr>
            <w:tcW w:w="1559" w:type="dxa"/>
            <w:vAlign w:val="center"/>
          </w:tcPr>
          <w:p w14:paraId="113BD377">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2000元/次</w:t>
            </w:r>
          </w:p>
        </w:tc>
        <w:tc>
          <w:tcPr>
            <w:tcW w:w="788" w:type="dxa"/>
          </w:tcPr>
          <w:p w14:paraId="6E98BFF8">
            <w:pPr>
              <w:spacing w:line="360" w:lineRule="auto"/>
              <w:ind w:right="28"/>
              <w:jc w:val="center"/>
              <w:rPr>
                <w:rFonts w:ascii="仿宋_GB2312" w:eastAsia="仿宋_GB2312" w:hAnsiTheme="minorEastAsia" w:cstheme="minorEastAsia"/>
              </w:rPr>
            </w:pPr>
          </w:p>
        </w:tc>
      </w:tr>
      <w:tr w14:paraId="6B09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0A3F738">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35</w:t>
            </w:r>
          </w:p>
        </w:tc>
        <w:tc>
          <w:tcPr>
            <w:tcW w:w="5245" w:type="dxa"/>
          </w:tcPr>
          <w:p w14:paraId="1F3455E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不执行交叉作业安全管理有关规定</w:t>
            </w:r>
          </w:p>
        </w:tc>
        <w:tc>
          <w:tcPr>
            <w:tcW w:w="1559" w:type="dxa"/>
            <w:vAlign w:val="center"/>
          </w:tcPr>
          <w:p w14:paraId="2145530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1000元/次</w:t>
            </w:r>
          </w:p>
        </w:tc>
        <w:tc>
          <w:tcPr>
            <w:tcW w:w="788" w:type="dxa"/>
          </w:tcPr>
          <w:p w14:paraId="6A1A8207">
            <w:pPr>
              <w:spacing w:line="360" w:lineRule="auto"/>
              <w:ind w:right="28"/>
              <w:jc w:val="center"/>
              <w:rPr>
                <w:rFonts w:ascii="仿宋_GB2312" w:eastAsia="仿宋_GB2312" w:hAnsiTheme="minorEastAsia" w:cstheme="minorEastAsia"/>
              </w:rPr>
            </w:pPr>
          </w:p>
        </w:tc>
      </w:tr>
      <w:tr w14:paraId="6123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D4CF16B">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36</w:t>
            </w:r>
          </w:p>
        </w:tc>
        <w:tc>
          <w:tcPr>
            <w:tcW w:w="5245" w:type="dxa"/>
          </w:tcPr>
          <w:p w14:paraId="149F21F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不参加甲方组织的应急演练</w:t>
            </w:r>
          </w:p>
        </w:tc>
        <w:tc>
          <w:tcPr>
            <w:tcW w:w="1559" w:type="dxa"/>
            <w:vAlign w:val="center"/>
          </w:tcPr>
          <w:p w14:paraId="70FF58E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5000元/次</w:t>
            </w:r>
          </w:p>
        </w:tc>
        <w:tc>
          <w:tcPr>
            <w:tcW w:w="788" w:type="dxa"/>
          </w:tcPr>
          <w:p w14:paraId="66A903A1">
            <w:pPr>
              <w:spacing w:line="360" w:lineRule="auto"/>
              <w:ind w:right="28"/>
              <w:jc w:val="center"/>
              <w:rPr>
                <w:rFonts w:ascii="仿宋_GB2312" w:eastAsia="仿宋_GB2312" w:hAnsiTheme="minorEastAsia" w:cstheme="minorEastAsia"/>
              </w:rPr>
            </w:pPr>
          </w:p>
        </w:tc>
      </w:tr>
      <w:tr w14:paraId="489F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F3F6DAD">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37</w:t>
            </w:r>
          </w:p>
        </w:tc>
        <w:tc>
          <w:tcPr>
            <w:tcW w:w="5245" w:type="dxa"/>
          </w:tcPr>
          <w:p w14:paraId="7D085A6A">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危大工程和超危工程，关键节点未经甲方验收，即进入下一道工序施工</w:t>
            </w:r>
          </w:p>
        </w:tc>
        <w:tc>
          <w:tcPr>
            <w:tcW w:w="1559" w:type="dxa"/>
            <w:vAlign w:val="center"/>
          </w:tcPr>
          <w:p w14:paraId="5A738360">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20000元/次</w:t>
            </w:r>
          </w:p>
        </w:tc>
        <w:tc>
          <w:tcPr>
            <w:tcW w:w="788" w:type="dxa"/>
          </w:tcPr>
          <w:p w14:paraId="0D74C173">
            <w:pPr>
              <w:spacing w:line="360" w:lineRule="auto"/>
              <w:ind w:right="28"/>
              <w:jc w:val="center"/>
              <w:rPr>
                <w:rFonts w:ascii="仿宋_GB2312" w:eastAsia="仿宋_GB2312" w:hAnsiTheme="minorEastAsia" w:cstheme="minorEastAsia"/>
              </w:rPr>
            </w:pPr>
          </w:p>
        </w:tc>
      </w:tr>
      <w:tr w14:paraId="0F64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8D623AB">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38</w:t>
            </w:r>
          </w:p>
        </w:tc>
        <w:tc>
          <w:tcPr>
            <w:tcW w:w="5245" w:type="dxa"/>
          </w:tcPr>
          <w:p w14:paraId="7C201FE8">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生活区无专人负责安全管理</w:t>
            </w:r>
          </w:p>
        </w:tc>
        <w:tc>
          <w:tcPr>
            <w:tcW w:w="1559" w:type="dxa"/>
            <w:vAlign w:val="center"/>
          </w:tcPr>
          <w:p w14:paraId="5643758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3000元</w:t>
            </w:r>
          </w:p>
        </w:tc>
        <w:tc>
          <w:tcPr>
            <w:tcW w:w="788" w:type="dxa"/>
          </w:tcPr>
          <w:p w14:paraId="55FF50EF">
            <w:pPr>
              <w:spacing w:line="360" w:lineRule="auto"/>
              <w:ind w:right="28"/>
              <w:jc w:val="center"/>
              <w:rPr>
                <w:rFonts w:ascii="仿宋_GB2312" w:eastAsia="仿宋_GB2312" w:hAnsiTheme="minorEastAsia" w:cstheme="minorEastAsia"/>
              </w:rPr>
            </w:pPr>
          </w:p>
        </w:tc>
      </w:tr>
      <w:tr w14:paraId="462F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C37AA1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39</w:t>
            </w:r>
          </w:p>
        </w:tc>
        <w:tc>
          <w:tcPr>
            <w:tcW w:w="5245" w:type="dxa"/>
          </w:tcPr>
          <w:p w14:paraId="437B9E2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不执行动火作业有关规定，导致现场火灾</w:t>
            </w:r>
          </w:p>
        </w:tc>
        <w:tc>
          <w:tcPr>
            <w:tcW w:w="1559" w:type="dxa"/>
            <w:vAlign w:val="center"/>
          </w:tcPr>
          <w:p w14:paraId="693B8C4C">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50000元/次</w:t>
            </w:r>
          </w:p>
        </w:tc>
        <w:tc>
          <w:tcPr>
            <w:tcW w:w="788" w:type="dxa"/>
          </w:tcPr>
          <w:p w14:paraId="6C8FBBDA">
            <w:pPr>
              <w:spacing w:line="360" w:lineRule="auto"/>
              <w:ind w:right="28"/>
              <w:jc w:val="center"/>
              <w:rPr>
                <w:rFonts w:ascii="仿宋_GB2312" w:eastAsia="仿宋_GB2312" w:hAnsiTheme="minorEastAsia" w:cstheme="minorEastAsia"/>
              </w:rPr>
            </w:pPr>
          </w:p>
        </w:tc>
      </w:tr>
      <w:tr w14:paraId="5EBC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3D63FEF">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40</w:t>
            </w:r>
          </w:p>
        </w:tc>
        <w:tc>
          <w:tcPr>
            <w:tcW w:w="5245" w:type="dxa"/>
          </w:tcPr>
          <w:p w14:paraId="097B01E6">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违反生活区消防管理规定，导致生活区火灾</w:t>
            </w:r>
          </w:p>
        </w:tc>
        <w:tc>
          <w:tcPr>
            <w:tcW w:w="1559" w:type="dxa"/>
            <w:vAlign w:val="center"/>
          </w:tcPr>
          <w:p w14:paraId="60D60957">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50000元/次</w:t>
            </w:r>
          </w:p>
        </w:tc>
        <w:tc>
          <w:tcPr>
            <w:tcW w:w="788" w:type="dxa"/>
          </w:tcPr>
          <w:p w14:paraId="4761A6C8">
            <w:pPr>
              <w:spacing w:line="360" w:lineRule="auto"/>
              <w:ind w:right="28"/>
              <w:jc w:val="center"/>
              <w:rPr>
                <w:rFonts w:ascii="仿宋_GB2312" w:eastAsia="仿宋_GB2312" w:hAnsiTheme="minorEastAsia" w:cstheme="minorEastAsia"/>
              </w:rPr>
            </w:pPr>
          </w:p>
        </w:tc>
      </w:tr>
      <w:tr w14:paraId="0F54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E8B7DAE">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41</w:t>
            </w:r>
          </w:p>
        </w:tc>
        <w:tc>
          <w:tcPr>
            <w:tcW w:w="5245" w:type="dxa"/>
          </w:tcPr>
          <w:p w14:paraId="60B4584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违反食堂卫生制度，发生食物中毒事件</w:t>
            </w:r>
          </w:p>
        </w:tc>
        <w:tc>
          <w:tcPr>
            <w:tcW w:w="1559" w:type="dxa"/>
            <w:vAlign w:val="center"/>
          </w:tcPr>
          <w:p w14:paraId="661B9DF5">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50000元/次</w:t>
            </w:r>
          </w:p>
        </w:tc>
        <w:tc>
          <w:tcPr>
            <w:tcW w:w="788" w:type="dxa"/>
          </w:tcPr>
          <w:p w14:paraId="08282A60">
            <w:pPr>
              <w:spacing w:line="360" w:lineRule="auto"/>
              <w:ind w:right="28"/>
              <w:jc w:val="center"/>
              <w:rPr>
                <w:rFonts w:ascii="仿宋_GB2312" w:eastAsia="仿宋_GB2312" w:hAnsiTheme="minorEastAsia" w:cstheme="minorEastAsia"/>
              </w:rPr>
            </w:pPr>
          </w:p>
        </w:tc>
      </w:tr>
      <w:tr w14:paraId="173D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307D9834">
            <w:pPr>
              <w:spacing w:line="360" w:lineRule="auto"/>
              <w:ind w:right="28"/>
              <w:jc w:val="center"/>
              <w:rPr>
                <w:rFonts w:ascii="仿宋_GB2312" w:eastAsia="仿宋_GB2312" w:hAnsiTheme="minorEastAsia" w:cstheme="minorEastAsia"/>
              </w:rPr>
            </w:pPr>
            <w:r>
              <w:rPr>
                <w:rFonts w:hint="eastAsia" w:ascii="仿宋_GB2312" w:eastAsia="仿宋_GB2312" w:hAnsiTheme="minorEastAsia" w:cstheme="minorEastAsia"/>
              </w:rPr>
              <w:t>...</w:t>
            </w:r>
          </w:p>
        </w:tc>
        <w:tc>
          <w:tcPr>
            <w:tcW w:w="5245" w:type="dxa"/>
          </w:tcPr>
          <w:p w14:paraId="74EBBA49">
            <w:pPr>
              <w:spacing w:line="360" w:lineRule="auto"/>
              <w:ind w:right="28"/>
              <w:jc w:val="center"/>
              <w:rPr>
                <w:rFonts w:ascii="仿宋_GB2312" w:eastAsia="仿宋_GB2312" w:hAnsiTheme="minorEastAsia" w:cstheme="minorEastAsia"/>
              </w:rPr>
            </w:pPr>
          </w:p>
        </w:tc>
        <w:tc>
          <w:tcPr>
            <w:tcW w:w="1559" w:type="dxa"/>
          </w:tcPr>
          <w:p w14:paraId="1C01B771">
            <w:pPr>
              <w:spacing w:line="360" w:lineRule="auto"/>
              <w:ind w:right="28"/>
              <w:jc w:val="center"/>
              <w:rPr>
                <w:rFonts w:ascii="仿宋_GB2312" w:eastAsia="仿宋_GB2312" w:hAnsiTheme="minorEastAsia" w:cstheme="minorEastAsia"/>
              </w:rPr>
            </w:pPr>
          </w:p>
        </w:tc>
        <w:tc>
          <w:tcPr>
            <w:tcW w:w="788" w:type="dxa"/>
          </w:tcPr>
          <w:p w14:paraId="5D2F4B0E">
            <w:pPr>
              <w:spacing w:line="360" w:lineRule="auto"/>
              <w:ind w:right="28"/>
              <w:jc w:val="center"/>
              <w:rPr>
                <w:rFonts w:ascii="仿宋_GB2312" w:eastAsia="仿宋_GB2312" w:hAnsiTheme="minorEastAsia" w:cstheme="minorEastAsia"/>
              </w:rPr>
            </w:pPr>
          </w:p>
        </w:tc>
      </w:tr>
    </w:tbl>
    <w:p w14:paraId="16776090">
      <w:pPr>
        <w:widowControl/>
        <w:jc w:val="center"/>
        <w:rPr>
          <w:rFonts w:asciiTheme="minorEastAsia" w:hAnsiTheme="minorEastAsia" w:cstheme="minorEastAsia"/>
          <w:b/>
          <w:bCs/>
          <w:sz w:val="24"/>
        </w:rPr>
      </w:pPr>
    </w:p>
    <w:p w14:paraId="2EC08993">
      <w:pPr>
        <w:widowControl/>
        <w:jc w:val="left"/>
        <w:rPr>
          <w:rFonts w:asciiTheme="minorEastAsia" w:hAnsiTheme="minorEastAsia" w:cstheme="minorEastAsia"/>
          <w:b/>
          <w:bCs/>
          <w:sz w:val="24"/>
        </w:rPr>
      </w:pPr>
      <w:r>
        <w:rPr>
          <w:rFonts w:asciiTheme="minorEastAsia" w:hAnsiTheme="minorEastAsia" w:cstheme="minorEastAsia"/>
          <w:b/>
          <w:bCs/>
          <w:sz w:val="24"/>
        </w:rPr>
        <w:br w:type="page"/>
      </w:r>
    </w:p>
    <w:p w14:paraId="44ADF13D">
      <w:pPr>
        <w:pStyle w:val="5"/>
        <w:spacing w:before="120" w:beforeLines="50" w:after="120" w:afterLines="50"/>
        <w:ind w:left="0" w:leftChars="0" w:firstLine="562" w:firstLineChars="200"/>
        <w:rPr>
          <w:rFonts w:hint="eastAsia" w:ascii="黑体" w:hAnsi="黑体" w:eastAsia="黑体" w:cs="黑体"/>
        </w:rPr>
      </w:pPr>
      <w:bookmarkStart w:id="896" w:name="_Toc5581"/>
      <w:r>
        <w:rPr>
          <w:rFonts w:hint="eastAsia" w:ascii="黑体" w:hAnsi="黑体" w:eastAsia="黑体" w:cs="黑体"/>
        </w:rPr>
        <w:t>附件</w:t>
      </w:r>
      <w:bookmarkStart w:id="897" w:name="_Toc132053719"/>
      <w:r>
        <w:rPr>
          <w:rFonts w:hint="eastAsia" w:ascii="黑体" w:hAnsi="黑体" w:eastAsia="黑体" w:cs="黑体"/>
        </w:rPr>
        <w:t>9</w:t>
      </w:r>
      <w:bookmarkEnd w:id="896"/>
      <w:r>
        <w:rPr>
          <w:rFonts w:hint="eastAsia" w:ascii="黑体" w:hAnsi="黑体" w:eastAsia="黑体" w:cs="黑体"/>
        </w:rPr>
        <w:t xml:space="preserve">  </w:t>
      </w:r>
    </w:p>
    <w:bookmarkEnd w:id="897"/>
    <w:p w14:paraId="252E8C89">
      <w:pPr>
        <w:pStyle w:val="5"/>
        <w:spacing w:before="120" w:beforeLines="50" w:after="120" w:afterLines="50"/>
        <w:ind w:left="0" w:leftChars="0" w:firstLine="562" w:firstLineChars="200"/>
        <w:jc w:val="center"/>
        <w:rPr>
          <w:rFonts w:hint="eastAsia"/>
          <w:lang w:val="zh-CN"/>
        </w:rPr>
      </w:pPr>
      <w:bookmarkStart w:id="898" w:name="_Toc3627"/>
      <w:bookmarkStart w:id="899" w:name="_Toc5604"/>
      <w:r>
        <w:rPr>
          <w:rFonts w:hint="eastAsia"/>
          <w:lang w:val="zh-CN"/>
        </w:rPr>
        <w:t>项目后勤管理协议</w:t>
      </w:r>
      <w:bookmarkEnd w:id="898"/>
      <w:bookmarkEnd w:id="899"/>
    </w:p>
    <w:p w14:paraId="21FA155A">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 xml:space="preserve">承包人（全称）：【 </w:t>
      </w:r>
      <w:r>
        <w:rPr>
          <w:rFonts w:hint="eastAsia" w:ascii="仿宋_GB2312" w:hAnsi="仿宋_GB2312" w:eastAsia="仿宋_GB2312" w:cs="仿宋_GB2312"/>
          <w:b/>
          <w:color w:val="000000"/>
          <w:sz w:val="28"/>
          <w:szCs w:val="28"/>
          <w:lang w:val="en-US" w:eastAsia="zh-CN"/>
        </w:rPr>
        <w:t xml:space="preserve">        </w:t>
      </w:r>
      <w:r>
        <w:rPr>
          <w:rFonts w:hint="eastAsia" w:ascii="仿宋_GB2312" w:hAnsi="仿宋_GB2312" w:eastAsia="仿宋_GB2312" w:cs="仿宋_GB2312"/>
          <w:b/>
          <w:color w:val="000000"/>
          <w:sz w:val="28"/>
          <w:szCs w:val="28"/>
        </w:rPr>
        <w:t>】（以下简称甲方）</w:t>
      </w:r>
    </w:p>
    <w:p w14:paraId="217CB8A5">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71C4526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为保证工人生活区生活质量，规范项目临设管理，明确双方权利和义务，规定如下：</w:t>
      </w:r>
    </w:p>
    <w:p w14:paraId="3F5A2732">
      <w:pPr>
        <w:numPr>
          <w:ilvl w:val="0"/>
          <w:numId w:val="1"/>
        </w:numPr>
        <w:spacing w:line="480" w:lineRule="exact"/>
        <w:ind w:firstLine="560" w:firstLineChars="200"/>
        <w:rPr>
          <w:rFonts w:hint="eastAsia" w:ascii="仿宋_GB2312" w:eastAsia="仿宋_GB2312" w:hAnsiTheme="minorEastAsia" w:cstheme="minorEastAsia"/>
          <w:bCs/>
          <w:sz w:val="28"/>
          <w:szCs w:val="28"/>
          <w:highlight w:val="yellow"/>
          <w:lang w:eastAsia="zh-CN"/>
        </w:rPr>
      </w:pPr>
      <w:r>
        <w:rPr>
          <w:rFonts w:hint="eastAsia" w:ascii="仿宋_GB2312" w:eastAsia="仿宋_GB2312" w:hAnsiTheme="minorEastAsia" w:cstheme="minorEastAsia"/>
          <w:bCs/>
          <w:sz w:val="28"/>
          <w:szCs w:val="28"/>
        </w:rPr>
        <w:t>甲方将自有的坐落在【广西泛铝件先进制造（迁江）基地一期A区工程市政工程专业分包】项目部</w:t>
      </w:r>
      <w:r>
        <w:rPr>
          <w:rFonts w:hint="eastAsia" w:ascii="仿宋_GB2312" w:eastAsia="仿宋_GB2312" w:hAnsiTheme="minorEastAsia" w:cstheme="minorEastAsia"/>
          <w:bCs/>
          <w:sz w:val="28"/>
          <w:szCs w:val="28"/>
          <w:lang w:eastAsia="zh-CN"/>
        </w:rPr>
        <w:t>，</w:t>
      </w:r>
      <w:r>
        <w:rPr>
          <w:rFonts w:hint="eastAsia" w:ascii="仿宋_GB2312" w:eastAsia="仿宋_GB2312" w:hAnsiTheme="minorEastAsia" w:cstheme="minorEastAsia"/>
          <w:bCs/>
          <w:sz w:val="28"/>
          <w:szCs w:val="28"/>
          <w:highlight w:val="yellow"/>
          <w:lang w:eastAsia="zh-CN"/>
        </w:rPr>
        <w:t>因场地受限，无法提供临建工人生活区板房，租房分包自行考虑在综合报价中。</w:t>
      </w:r>
    </w:p>
    <w:p w14:paraId="155234A3">
      <w:pPr>
        <w:numPr>
          <w:ilvl w:val="0"/>
          <w:numId w:val="0"/>
        </w:numPr>
        <w:spacing w:line="480" w:lineRule="exact"/>
        <w:ind w:firstLine="560" w:firstLineChars="200"/>
        <w:rPr>
          <w:rFonts w:ascii="仿宋_GB2312" w:eastAsia="仿宋_GB2312" w:hAnsiTheme="minorEastAsia" w:cstheme="minorEastAsia"/>
          <w:bCs/>
          <w:strike/>
          <w:sz w:val="28"/>
          <w:szCs w:val="28"/>
        </w:rPr>
      </w:pPr>
      <w:r>
        <w:rPr>
          <w:rFonts w:hint="eastAsia" w:ascii="仿宋_GB2312" w:eastAsia="仿宋_GB2312" w:hAnsiTheme="minorEastAsia" w:cstheme="minorEastAsia"/>
          <w:bCs/>
          <w:sz w:val="28"/>
          <w:szCs w:val="28"/>
        </w:rPr>
        <w:t>二、</w:t>
      </w:r>
      <w:r>
        <w:rPr>
          <w:rFonts w:hint="eastAsia" w:ascii="仿宋_GB2312" w:eastAsia="仿宋_GB2312" w:hAnsiTheme="minorEastAsia" w:cstheme="minorEastAsia"/>
          <w:bCs/>
          <w:sz w:val="28"/>
          <w:szCs w:val="28"/>
          <w:highlight w:val="yellow"/>
        </w:rPr>
        <w:t>甲方</w:t>
      </w:r>
      <w:r>
        <w:rPr>
          <w:rFonts w:hint="eastAsia" w:ascii="仿宋_GB2312" w:eastAsia="仿宋_GB2312" w:hAnsiTheme="minorEastAsia" w:cstheme="minorEastAsia"/>
          <w:bCs/>
          <w:sz w:val="28"/>
          <w:szCs w:val="28"/>
          <w:highlight w:val="yellow"/>
          <w:lang w:val="en-US" w:eastAsia="zh-CN"/>
        </w:rPr>
        <w:t>不</w:t>
      </w:r>
      <w:r>
        <w:rPr>
          <w:rFonts w:hint="eastAsia" w:ascii="仿宋_GB2312" w:eastAsia="仿宋_GB2312" w:hAnsiTheme="minorEastAsia" w:cstheme="minorEastAsia"/>
          <w:bCs/>
          <w:sz w:val="28"/>
          <w:szCs w:val="28"/>
          <w:highlight w:val="yellow"/>
        </w:rPr>
        <w:t>设立工人食堂、工友超市等基础生活设施，乙方及乙方所属工人或其他关系人</w:t>
      </w:r>
      <w:r>
        <w:rPr>
          <w:rFonts w:hint="eastAsia" w:ascii="仿宋_GB2312" w:eastAsia="仿宋_GB2312" w:hAnsiTheme="minorEastAsia" w:cstheme="minorEastAsia"/>
          <w:bCs/>
          <w:sz w:val="28"/>
          <w:szCs w:val="28"/>
          <w:highlight w:val="yellow"/>
          <w:lang w:val="en-US" w:eastAsia="zh-CN"/>
        </w:rPr>
        <w:t>需自行解决</w:t>
      </w:r>
      <w:r>
        <w:rPr>
          <w:rFonts w:hint="eastAsia" w:ascii="仿宋_GB2312" w:eastAsia="仿宋_GB2312" w:hAnsiTheme="minorEastAsia" w:cstheme="minorEastAsia"/>
          <w:bCs/>
          <w:sz w:val="28"/>
          <w:szCs w:val="28"/>
          <w:highlight w:val="yellow"/>
        </w:rPr>
        <w:t>。</w:t>
      </w:r>
    </w:p>
    <w:p w14:paraId="682479A3">
      <w:pPr>
        <w:pStyle w:val="5"/>
        <w:spacing w:before="120" w:beforeLines="50" w:after="120" w:afterLines="50"/>
        <w:ind w:left="0" w:leftChars="0" w:firstLine="562" w:firstLineChars="200"/>
        <w:rPr>
          <w:rFonts w:hint="eastAsia" w:ascii="黑体" w:hAnsi="黑体" w:eastAsia="黑体" w:cs="黑体"/>
        </w:rPr>
      </w:pPr>
    </w:p>
    <w:p w14:paraId="52769699">
      <w:pPr>
        <w:rPr>
          <w:rFonts w:hint="eastAsia" w:ascii="黑体" w:hAnsi="黑体" w:eastAsia="黑体" w:cs="黑体"/>
        </w:rPr>
      </w:pPr>
    </w:p>
    <w:p w14:paraId="0F24393C">
      <w:pPr>
        <w:rPr>
          <w:rFonts w:hint="eastAsia" w:ascii="黑体" w:hAnsi="黑体" w:eastAsia="黑体" w:cs="黑体"/>
        </w:rPr>
      </w:pPr>
    </w:p>
    <w:p w14:paraId="4DAF85CB">
      <w:pPr>
        <w:rPr>
          <w:rFonts w:hint="eastAsia" w:ascii="黑体" w:hAnsi="黑体" w:eastAsia="黑体" w:cs="黑体"/>
        </w:rPr>
      </w:pPr>
    </w:p>
    <w:p w14:paraId="70AFDD4F">
      <w:pPr>
        <w:rPr>
          <w:rFonts w:hint="eastAsia" w:ascii="黑体" w:hAnsi="黑体" w:eastAsia="黑体" w:cs="黑体"/>
        </w:rPr>
      </w:pPr>
    </w:p>
    <w:p w14:paraId="50091550">
      <w:pPr>
        <w:rPr>
          <w:rFonts w:hint="eastAsia" w:ascii="黑体" w:hAnsi="黑体" w:eastAsia="黑体" w:cs="黑体"/>
        </w:rPr>
      </w:pPr>
    </w:p>
    <w:p w14:paraId="655DB975">
      <w:pPr>
        <w:rPr>
          <w:rFonts w:hint="eastAsia" w:ascii="黑体" w:hAnsi="黑体" w:eastAsia="黑体" w:cs="黑体"/>
        </w:rPr>
      </w:pPr>
    </w:p>
    <w:p w14:paraId="1A598A09">
      <w:pPr>
        <w:rPr>
          <w:rFonts w:hint="eastAsia" w:ascii="黑体" w:hAnsi="黑体" w:eastAsia="黑体" w:cs="黑体"/>
        </w:rPr>
      </w:pPr>
    </w:p>
    <w:p w14:paraId="1AE35401">
      <w:pPr>
        <w:rPr>
          <w:rFonts w:hint="eastAsia" w:ascii="黑体" w:hAnsi="黑体" w:eastAsia="黑体" w:cs="黑体"/>
        </w:rPr>
      </w:pPr>
    </w:p>
    <w:p w14:paraId="658046AB">
      <w:pPr>
        <w:rPr>
          <w:rFonts w:hint="eastAsia" w:ascii="黑体" w:hAnsi="黑体" w:eastAsia="黑体" w:cs="黑体"/>
        </w:rPr>
      </w:pPr>
    </w:p>
    <w:p w14:paraId="02CE5362">
      <w:pPr>
        <w:rPr>
          <w:rFonts w:hint="eastAsia" w:ascii="黑体" w:hAnsi="黑体" w:eastAsia="黑体" w:cs="黑体"/>
        </w:rPr>
      </w:pPr>
    </w:p>
    <w:p w14:paraId="278C8315">
      <w:pPr>
        <w:rPr>
          <w:rFonts w:hint="eastAsia" w:ascii="黑体" w:hAnsi="黑体" w:eastAsia="黑体" w:cs="黑体"/>
        </w:rPr>
      </w:pPr>
    </w:p>
    <w:p w14:paraId="6780C993">
      <w:pPr>
        <w:rPr>
          <w:rFonts w:hint="eastAsia" w:ascii="黑体" w:hAnsi="黑体" w:eastAsia="黑体" w:cs="黑体"/>
        </w:rPr>
      </w:pPr>
    </w:p>
    <w:p w14:paraId="41DBDD82">
      <w:pPr>
        <w:rPr>
          <w:rFonts w:hint="eastAsia" w:ascii="黑体" w:hAnsi="黑体" w:eastAsia="黑体" w:cs="黑体"/>
        </w:rPr>
      </w:pPr>
    </w:p>
    <w:p w14:paraId="5D39426B">
      <w:pPr>
        <w:rPr>
          <w:rFonts w:hint="eastAsia" w:ascii="黑体" w:hAnsi="黑体" w:eastAsia="黑体" w:cs="黑体"/>
        </w:rPr>
      </w:pPr>
    </w:p>
    <w:p w14:paraId="18D99C5E">
      <w:pPr>
        <w:pStyle w:val="5"/>
        <w:spacing w:before="120" w:beforeLines="50" w:after="120" w:afterLines="50"/>
        <w:ind w:left="0" w:leftChars="0" w:firstLine="562" w:firstLineChars="200"/>
        <w:rPr>
          <w:rFonts w:hint="eastAsia" w:ascii="黑体" w:hAnsi="黑体" w:eastAsia="黑体" w:cs="黑体"/>
        </w:rPr>
      </w:pPr>
    </w:p>
    <w:p w14:paraId="215DABE2">
      <w:pPr>
        <w:rPr>
          <w:rFonts w:hint="eastAsia" w:ascii="黑体" w:hAnsi="黑体" w:eastAsia="黑体" w:cs="黑体"/>
        </w:rPr>
      </w:pPr>
      <w:bookmarkStart w:id="900" w:name="_Toc15150"/>
      <w:r>
        <w:rPr>
          <w:rFonts w:hint="eastAsia" w:ascii="黑体" w:hAnsi="黑体" w:eastAsia="黑体" w:cs="黑体"/>
        </w:rPr>
        <w:br w:type="page"/>
      </w:r>
    </w:p>
    <w:p w14:paraId="2A9CB796">
      <w:pPr>
        <w:pStyle w:val="5"/>
        <w:spacing w:before="120" w:beforeLines="50" w:after="120" w:afterLines="50"/>
        <w:ind w:left="0" w:leftChars="0" w:firstLine="562" w:firstLineChars="200"/>
        <w:rPr>
          <w:rFonts w:hint="eastAsia" w:ascii="黑体" w:hAnsi="黑体" w:eastAsia="黑体" w:cs="黑体"/>
        </w:rPr>
      </w:pPr>
      <w:r>
        <w:rPr>
          <w:rFonts w:hint="eastAsia" w:ascii="黑体" w:hAnsi="黑体" w:eastAsia="黑体" w:cs="黑体"/>
        </w:rPr>
        <w:t>附件10</w:t>
      </w:r>
      <w:bookmarkEnd w:id="900"/>
      <w:bookmarkStart w:id="901" w:name="_Toc132053720"/>
      <w:r>
        <w:rPr>
          <w:rFonts w:hint="eastAsia" w:ascii="黑体" w:hAnsi="黑体" w:eastAsia="黑体" w:cs="黑体"/>
        </w:rPr>
        <w:t xml:space="preserve">  </w:t>
      </w:r>
    </w:p>
    <w:p w14:paraId="4023C44E">
      <w:pPr>
        <w:pStyle w:val="5"/>
        <w:spacing w:before="120" w:beforeLines="50" w:after="120" w:afterLines="50"/>
        <w:ind w:left="0" w:leftChars="0"/>
        <w:jc w:val="center"/>
      </w:pPr>
      <w:bookmarkStart w:id="902" w:name="_Toc1661"/>
      <w:bookmarkStart w:id="903" w:name="_Toc27105"/>
      <w:r>
        <w:rPr>
          <w:rFonts w:hint="eastAsia"/>
        </w:rPr>
        <w:t>质量保修书</w:t>
      </w:r>
      <w:bookmarkEnd w:id="901"/>
      <w:bookmarkEnd w:id="902"/>
      <w:bookmarkEnd w:id="903"/>
    </w:p>
    <w:p w14:paraId="79A7CA43">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承包人（全称）：【</w:t>
      </w:r>
      <w:r>
        <w:rPr>
          <w:rFonts w:hint="eastAsia" w:ascii="仿宋_GB2312" w:hAnsi="仿宋_GB2312" w:eastAsia="仿宋_GB2312" w:cs="仿宋_GB2312"/>
          <w:b/>
          <w:color w:val="000000"/>
          <w:sz w:val="28"/>
          <w:szCs w:val="28"/>
          <w:lang w:eastAsia="zh-CN"/>
        </w:rPr>
        <w:t xml:space="preserve">        </w:t>
      </w:r>
      <w:r>
        <w:rPr>
          <w:rFonts w:hint="eastAsia" w:ascii="仿宋_GB2312" w:hAnsi="仿宋_GB2312" w:eastAsia="仿宋_GB2312" w:cs="仿宋_GB2312"/>
          <w:b/>
          <w:color w:val="000000"/>
          <w:sz w:val="28"/>
          <w:szCs w:val="28"/>
        </w:rPr>
        <w:t>】（以下简称甲方）</w:t>
      </w:r>
    </w:p>
    <w:p w14:paraId="4A3D22A2">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23B83CC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为保证【</w:t>
      </w:r>
      <w:r>
        <w:rPr>
          <w:rFonts w:hint="eastAsia" w:ascii="仿宋_GB2312" w:eastAsia="仿宋_GB2312" w:hAnsiTheme="minorEastAsia" w:cstheme="minorEastAsia"/>
          <w:bCs/>
          <w:sz w:val="28"/>
          <w:szCs w:val="28"/>
          <w:lang w:eastAsia="zh-CN"/>
        </w:rPr>
        <w:t>广西泛铝件先进制造（迁江）基地一期A区工程市政工程专业分包</w:t>
      </w:r>
      <w:r>
        <w:rPr>
          <w:rFonts w:hint="eastAsia" w:ascii="仿宋_GB2312" w:eastAsia="仿宋_GB2312" w:hAnsiTheme="minorEastAsia" w:cstheme="minorEastAsia"/>
          <w:bCs/>
          <w:sz w:val="28"/>
          <w:szCs w:val="28"/>
        </w:rPr>
        <w:t>】工程（下称“本工程”）的正常使用，甲方与乙方协商一致，按《建设工程质量管理条例》及相关法律法规，就乙方的分包工程签订本质量保修书。</w:t>
      </w:r>
    </w:p>
    <w:p w14:paraId="3D023DE2">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一、质量保修期</w:t>
      </w:r>
    </w:p>
    <w:p w14:paraId="6431CE6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本工程的质量保修期从本工程竣工验收合格之日起算。</w:t>
      </w:r>
    </w:p>
    <w:p w14:paraId="7A17B6E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本工程的质量保修期不少于《建设工程质量管理条例》、相关法律法规规定及本保修书约定的质量保修期，其中：</w:t>
      </w:r>
    </w:p>
    <w:p w14:paraId="1E99978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1、地基基础工程与主体结构工程的质量保修期为设计文件规定的本工程的合理使用年限；</w:t>
      </w:r>
    </w:p>
    <w:p w14:paraId="22AE98A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2、屋面、厨房、卫生间、地下室、外墙面、门窗框以及其他有防水要求工程项目的防渗漏的质量保修期为5年；</w:t>
      </w:r>
    </w:p>
    <w:p w14:paraId="39E3ABAB">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3、装修工程的质量保修期为2年；</w:t>
      </w:r>
    </w:p>
    <w:p w14:paraId="3DF48733">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4、电气管线、给排水管道、设备安装工程的质量保修期为2年；</w:t>
      </w:r>
    </w:p>
    <w:p w14:paraId="1E6E7047">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5、供热系统的质量保修期为2个采暖期，供冷系统的质量保修期为2个供冷期；</w:t>
      </w:r>
    </w:p>
    <w:p w14:paraId="7D35A4EF">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6、室外道路、地下污水管道等工程的质量保修期为2年；</w:t>
      </w:r>
    </w:p>
    <w:p w14:paraId="3152528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7、其他工程的质量保修期按照国家《建设工程质量管理条例》及相关法律法规执行，但不得少于2年。</w:t>
      </w:r>
    </w:p>
    <w:p w14:paraId="268F5BE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若总承包合同或法律法规对分部分项工程有更长的质量保修期规定，则乙方应以较长的质量保修期为准承担质量保修责任。</w:t>
      </w:r>
    </w:p>
    <w:p w14:paraId="717B07A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在质量保修期内，若某项经过维修，则该项的质量保修期自其维修完毕并经甲方验收合格之日起重新计算。若某项经过多次维修，则该项的质量保修期自其最后一次维修完毕并经甲方验收合格之日起重新计算。</w:t>
      </w:r>
    </w:p>
    <w:p w14:paraId="0C3D3C29">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二、保修范围</w:t>
      </w:r>
    </w:p>
    <w:p w14:paraId="203677AF">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1、乙方承担保修责任的范围包括其依据本合同（含本合同的补充协议）所承接的施工项目和所供应的全部物料。</w:t>
      </w:r>
    </w:p>
    <w:p w14:paraId="454EE310">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2、除建设单位使用不当或不可抗力造成的损坏外，分包合同范围内的所有工程质量问题均属乙方的保修责任范围。</w:t>
      </w:r>
    </w:p>
    <w:p w14:paraId="74FBCEED">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三、保修费用</w:t>
      </w:r>
    </w:p>
    <w:p w14:paraId="22EE20B0">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1、分包工程在质量保修期内，发生质量问题，乙方应当履行保修义务。</w:t>
      </w:r>
    </w:p>
    <w:p w14:paraId="32AA6E1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2、由于分包工程质量问题造成甲方，建设单位的全部直接和间接损失，由乙方无条件承担。</w:t>
      </w:r>
    </w:p>
    <w:p w14:paraId="529B38F3">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3、乙方无正当理由拒绝或者怠于履行保修义务，或者履行保修义务不符合约定，致使甲方承担侵权责任或违约责任以及连带责任的，乙方应赔偿甲方的损失。</w:t>
      </w:r>
    </w:p>
    <w:p w14:paraId="4FCCC3F0">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4、乙方应当遵照甲方发出的维修通知，具体负责维修工作。若乙方无正当理由拒绝或者怠于履行保修义务，甲方有权自行委托第三方维修，乙方应承担全部费用；每出现一次前述行为，甲方有权要求乙方承担【</w:t>
      </w:r>
      <w:r>
        <w:rPr>
          <w:rFonts w:hint="eastAsia" w:ascii="仿宋_GB2312" w:eastAsia="仿宋_GB2312" w:hAnsiTheme="minorEastAsia" w:cstheme="minorEastAsia"/>
          <w:bCs/>
          <w:sz w:val="28"/>
          <w:szCs w:val="28"/>
          <w:lang w:val="en-US" w:eastAsia="zh-CN"/>
        </w:rPr>
        <w:t>1000</w:t>
      </w:r>
      <w:r>
        <w:rPr>
          <w:rFonts w:hint="eastAsia" w:ascii="仿宋_GB2312" w:eastAsia="仿宋_GB2312" w:hAnsiTheme="minorEastAsia" w:cstheme="minorEastAsia"/>
          <w:bCs/>
          <w:sz w:val="28"/>
          <w:szCs w:val="28"/>
        </w:rPr>
        <w:t>】元违约金。</w:t>
      </w:r>
    </w:p>
    <w:p w14:paraId="07A76107">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四、保修处理时限</w:t>
      </w:r>
    </w:p>
    <w:p w14:paraId="0600470F">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1、分包工程出现影响本项目正常使用的质量问题时，包括但不限于渗水，漏水，给排水、供电设施和线路故障，乙方承诺在收到甲方通知后4小时内赶到现场并于12小时内完成维修。</w:t>
      </w:r>
    </w:p>
    <w:p w14:paraId="76537993">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2、发生其他紧急抢修事故的，乙方在接到甲方的通知后，应当立即到达事故现场抢修。</w:t>
      </w:r>
    </w:p>
    <w:p w14:paraId="642B8E9D">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3、其他情况下，乙方须在甲方通知后24小时内赶到现场，并于48小时内完成通知所涉及之保修、维修项目。</w:t>
      </w:r>
    </w:p>
    <w:p w14:paraId="701835DE">
      <w:pPr>
        <w:spacing w:line="480" w:lineRule="exact"/>
        <w:rPr>
          <w:rFonts w:ascii="仿宋_GB2312" w:eastAsia="仿宋_GB2312" w:hAnsiTheme="minorEastAsia" w:cstheme="minorEastAsia"/>
          <w:b/>
          <w:sz w:val="28"/>
          <w:szCs w:val="28"/>
        </w:rPr>
      </w:pPr>
      <w:r>
        <w:rPr>
          <w:rFonts w:hint="eastAsia" w:ascii="仿宋_GB2312" w:eastAsia="仿宋_GB2312" w:hAnsiTheme="minorEastAsia" w:cstheme="minorEastAsia"/>
          <w:b/>
          <w:sz w:val="28"/>
          <w:szCs w:val="28"/>
        </w:rPr>
        <w:t>五、其他约定</w:t>
      </w:r>
    </w:p>
    <w:p w14:paraId="100D371D">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1、对于涉及结构安全的质量问题，乙方应当按照《建设工程质量管理条例》的规定，立即向甲方报告，并采取安全防范措施；由甲方和建设单位协商提出维修方案，由乙方负责实施。</w:t>
      </w:r>
    </w:p>
    <w:p w14:paraId="2C71DFD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2、每次维修完毕后，乙方应填写维修单交甲方、建设单位签字验收。</w:t>
      </w:r>
    </w:p>
    <w:p w14:paraId="58E8D234">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 xml:space="preserve">3、质保期内，如发生下列情况之一，甲方有权自行或另行聘请第三方进行维修，由此引起的费用、损失和责任由乙方承担，甲方有权直接从质量保修金或其他应付款项中扣除，不足部分仍可向乙方追偿： </w:t>
      </w:r>
    </w:p>
    <w:p w14:paraId="42DFDB53">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1）接到报修通知（口头或书面）后，明示或暗示拒不履行保修义务的；</w:t>
      </w:r>
    </w:p>
    <w:p w14:paraId="6A572F0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2）无正当理由，在规定的时间内未履行或未完成保修义务而又不能提供解决方案的；</w:t>
      </w:r>
    </w:p>
    <w:p w14:paraId="785FE6E5">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3）紧急情况下，不履行保修义务，将严重影响生产或生活的；</w:t>
      </w:r>
    </w:p>
    <w:p w14:paraId="6FD2FA3B">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 xml:space="preserve">4）对同一位置或部件经过三次维修仍未彻底解决问题的； </w:t>
      </w:r>
    </w:p>
    <w:p w14:paraId="771FBF0D">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5）因现场保修人员的服务行为引起投诉的；</w:t>
      </w:r>
    </w:p>
    <w:p w14:paraId="00F3FED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6）乙方破产或丧失相应资质，而又不能提出解决方案的；</w:t>
      </w:r>
    </w:p>
    <w:p w14:paraId="79BBB4AE">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7）出现其他违反本保修书及合同约定保修义务行为的。</w:t>
      </w:r>
    </w:p>
    <w:p w14:paraId="6245C188">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4、无论工程质量问题是何种原因造成的，乙方均应在接到通知后，进行维修。经判定，不属乙方责任的，由责任方向乙方支付合理的材料及人工费用。</w:t>
      </w:r>
    </w:p>
    <w:p w14:paraId="21618726">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5、乙方同意在质量保修期满后至本工程有效使用年限内，按甲方的要求继续提供适当维修服务，并按最优惠价格收取费用。</w:t>
      </w:r>
    </w:p>
    <w:p w14:paraId="6BFA1C8A">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6、本质量保修书中约定的、乙方应当支付给甲方的各种款项，包括但不限于违约金、赔偿金和委托整改费用，甲方有权从质保金或从其他应付乙方的款项中直接扣除。如质保金金额不足，甲方有权继续要求乙方承担（包括从其他应付乙方款项中扣除或是直接向乙方追偿）。</w:t>
      </w:r>
    </w:p>
    <w:p w14:paraId="639A6DC1">
      <w:pPr>
        <w:spacing w:line="480" w:lineRule="exact"/>
        <w:ind w:firstLine="560" w:firstLineChars="200"/>
        <w:rPr>
          <w:rFonts w:ascii="仿宋_GB2312" w:eastAsia="仿宋_GB2312" w:hAnsiTheme="minorEastAsia" w:cstheme="minorEastAsia"/>
          <w:bCs/>
          <w:sz w:val="28"/>
          <w:szCs w:val="28"/>
        </w:rPr>
      </w:pPr>
      <w:r>
        <w:rPr>
          <w:rFonts w:hint="eastAsia" w:ascii="仿宋_GB2312" w:eastAsia="仿宋_GB2312" w:hAnsiTheme="minorEastAsia" w:cstheme="minorEastAsia"/>
          <w:bCs/>
          <w:sz w:val="28"/>
          <w:szCs w:val="28"/>
        </w:rPr>
        <w:t>本质量保修书作为分包合同的附件，具有同等法律效力，与合同同日生效,至分包工程保修期满为止。</w:t>
      </w:r>
    </w:p>
    <w:p w14:paraId="3A71B696">
      <w:pPr>
        <w:widowControl/>
        <w:jc w:val="left"/>
        <w:rPr>
          <w:rFonts w:asciiTheme="minorEastAsia" w:hAnsiTheme="minorEastAsia" w:cstheme="minorEastAsia"/>
          <w:bCs/>
          <w:szCs w:val="21"/>
        </w:rPr>
      </w:pPr>
      <w:r>
        <w:rPr>
          <w:rFonts w:asciiTheme="minorEastAsia" w:hAnsiTheme="minorEastAsia" w:cstheme="minorEastAsia"/>
          <w:bCs/>
          <w:szCs w:val="21"/>
        </w:rPr>
        <w:br w:type="page"/>
      </w:r>
    </w:p>
    <w:p w14:paraId="3B10A252">
      <w:pPr>
        <w:pStyle w:val="5"/>
        <w:spacing w:before="120" w:beforeLines="50" w:after="120" w:afterLines="50"/>
        <w:ind w:left="0" w:leftChars="0" w:firstLine="562" w:firstLineChars="200"/>
        <w:rPr>
          <w:rFonts w:hint="eastAsia" w:ascii="黑体" w:hAnsi="黑体" w:eastAsia="黑体" w:cs="黑体"/>
        </w:rPr>
      </w:pPr>
      <w:bookmarkStart w:id="904" w:name="_Toc12153"/>
      <w:r>
        <w:rPr>
          <w:rFonts w:hint="eastAsia" w:ascii="黑体" w:hAnsi="黑体" w:eastAsia="黑体" w:cs="黑体"/>
        </w:rPr>
        <w:t>附件11</w:t>
      </w:r>
      <w:bookmarkEnd w:id="904"/>
      <w:bookmarkStart w:id="905" w:name="_Toc132053721"/>
      <w:r>
        <w:rPr>
          <w:rFonts w:hint="eastAsia" w:ascii="黑体" w:hAnsi="黑体" w:eastAsia="黑体" w:cs="黑体"/>
        </w:rPr>
        <w:t xml:space="preserve">  </w:t>
      </w:r>
    </w:p>
    <w:p w14:paraId="4E8860DE">
      <w:pPr>
        <w:pStyle w:val="5"/>
        <w:spacing w:before="120" w:beforeLines="50" w:after="120" w:afterLines="50"/>
        <w:ind w:left="0" w:leftChars="0"/>
        <w:jc w:val="center"/>
      </w:pPr>
      <w:bookmarkStart w:id="906" w:name="_Toc19964"/>
      <w:bookmarkStart w:id="907" w:name="_Toc7978"/>
      <w:r>
        <w:rPr>
          <w:rFonts w:hint="eastAsia"/>
        </w:rPr>
        <w:t>农民工工资委托支付协议</w:t>
      </w:r>
      <w:bookmarkEnd w:id="905"/>
      <w:bookmarkEnd w:id="906"/>
      <w:bookmarkEnd w:id="907"/>
    </w:p>
    <w:p w14:paraId="6DBE2AD0">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承包人（全称）：【</w:t>
      </w:r>
      <w:r>
        <w:rPr>
          <w:rFonts w:hint="eastAsia" w:ascii="仿宋_GB2312" w:hAnsi="仿宋_GB2312" w:eastAsia="仿宋_GB2312" w:cs="仿宋_GB2312"/>
          <w:b/>
          <w:color w:val="000000"/>
          <w:sz w:val="28"/>
          <w:szCs w:val="28"/>
          <w:lang w:eastAsia="zh-CN"/>
        </w:rPr>
        <w:t xml:space="preserve">        </w:t>
      </w:r>
      <w:r>
        <w:rPr>
          <w:rFonts w:hint="eastAsia" w:ascii="仿宋_GB2312" w:hAnsi="仿宋_GB2312" w:eastAsia="仿宋_GB2312" w:cs="仿宋_GB2312"/>
          <w:b/>
          <w:color w:val="000000"/>
          <w:sz w:val="28"/>
          <w:szCs w:val="28"/>
        </w:rPr>
        <w:t>】（以下简称甲方）</w:t>
      </w:r>
    </w:p>
    <w:p w14:paraId="3C07B622">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35F0C131">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为保障工程建设顺利实施，保障农民工合法权益，现甲乙双方根据国家对农民工工资专项支付的相关要求，在公平公正、友好协商的基础上，就【</w:t>
      </w:r>
      <w:r>
        <w:rPr>
          <w:rFonts w:hint="eastAsia" w:ascii="仿宋_GB2312" w:eastAsia="仿宋_GB2312" w:hAnsiTheme="minorEastAsia" w:cstheme="minorEastAsia"/>
          <w:sz w:val="28"/>
          <w:szCs w:val="28"/>
          <w:lang w:eastAsia="zh-CN"/>
        </w:rPr>
        <w:t>广西泛铝件先进制造（迁江）基地一期A区工程市政工程专业分包</w:t>
      </w:r>
      <w:r>
        <w:rPr>
          <w:rFonts w:hint="eastAsia" w:ascii="仿宋_GB2312" w:eastAsia="仿宋_GB2312" w:hAnsiTheme="minorEastAsia" w:cstheme="minorEastAsia"/>
          <w:sz w:val="28"/>
          <w:szCs w:val="28"/>
        </w:rPr>
        <w:t>】项目农民工工资委托支付事宜签订本协议。</w:t>
      </w:r>
    </w:p>
    <w:p w14:paraId="3E6A8501">
      <w:pPr>
        <w:spacing w:line="480" w:lineRule="exact"/>
        <w:ind w:firstLine="562"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
          <w:bCs/>
          <w:sz w:val="28"/>
          <w:szCs w:val="28"/>
        </w:rPr>
        <w:t>1.实名登记与考勤管理</w:t>
      </w:r>
    </w:p>
    <w:p w14:paraId="1081C30F">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1.1 甲方委派【           】为本工程劳资专管员（劳务管理员），全面负责劳务实名制工资管理。</w:t>
      </w:r>
    </w:p>
    <w:p w14:paraId="1A168F82">
      <w:pPr>
        <w:spacing w:line="480" w:lineRule="exact"/>
        <w:ind w:firstLine="1120" w:firstLineChars="4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乙方委派【           】（须与原合同授权委托书中</w:t>
      </w:r>
      <w:r>
        <w:rPr>
          <w:rFonts w:hint="eastAsia" w:ascii="仿宋_GB2312" w:eastAsia="仿宋_GB2312" w:hAnsiTheme="minorEastAsia" w:cstheme="minorEastAsia"/>
          <w:b/>
          <w:bCs/>
          <w:sz w:val="28"/>
          <w:szCs w:val="28"/>
        </w:rPr>
        <w:t>受委托人</w:t>
      </w:r>
      <w:r>
        <w:rPr>
          <w:rFonts w:hint="eastAsia" w:ascii="仿宋_GB2312" w:eastAsia="仿宋_GB2312" w:hAnsiTheme="minorEastAsia" w:cstheme="minorEastAsia"/>
          <w:sz w:val="28"/>
          <w:szCs w:val="28"/>
        </w:rPr>
        <w:t>保持一致）（身份证号【           】）为本工程项目劳资管理负责人，负责乙方农民工进退场信息登记、日常考勤、工资发放等劳务实名制工资管理工作。</w:t>
      </w:r>
    </w:p>
    <w:p w14:paraId="2864F5B9">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1.2 乙方应向甲方提供如下资料并确保其真实性：农民工花名册、身份证原件及其复印件、工资卡信息（开户行和卡号）、合法劳动用工合同（或加盖乙方公章的复印件）、操作证件等资料。由甲方项目劳资专管员（劳务管理员）逐一核实、登记、建立基础信息，并办理进入施工现场的门禁（考勤）卡。</w:t>
      </w:r>
    </w:p>
    <w:p w14:paraId="50BEE32E">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1.3乙方须对进入工程施工现场的农民工进行登记造册，注明工种、所在班组、工资标准等，并及时报甲方审核。</w:t>
      </w:r>
    </w:p>
    <w:p w14:paraId="1223F2B0">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1.4 甲方应根据施工现场实际需要配备考勤刷卡系统。乙方需指派管理人员督导农民工刷卡（考勤）进出施工现场，并及时确认当期（月）考勤记录。由乙方项目劳资管理负责人对出勤统计确认，并经甲、乙双方会签，视为当日农民工出勤。乙方不确认或者延迟确认的，以考勤系统数据为准，乙方对此无异议。</w:t>
      </w:r>
    </w:p>
    <w:p w14:paraId="5FF11A7D">
      <w:pPr>
        <w:spacing w:line="480" w:lineRule="exact"/>
        <w:ind w:firstLine="562"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
          <w:bCs/>
          <w:sz w:val="28"/>
          <w:szCs w:val="28"/>
        </w:rPr>
        <w:t>2.农民工工资发放管理</w:t>
      </w:r>
    </w:p>
    <w:p w14:paraId="671C44D0">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2.1 乙方委托甲方通过《【广西泛铝件先进制造（迁江）基地一期A区工程市政工程专业分包】项目农民工工资专用账户》代发农民工工资，承诺每月【</w:t>
      </w:r>
      <w:r>
        <w:rPr>
          <w:rFonts w:hint="eastAsia" w:ascii="仿宋_GB2312" w:eastAsia="仿宋_GB2312" w:hAnsiTheme="minorEastAsia" w:cstheme="minorEastAsia"/>
          <w:sz w:val="28"/>
          <w:szCs w:val="28"/>
          <w:lang w:val="en-US" w:eastAsia="zh-CN"/>
        </w:rPr>
        <w:t>10</w:t>
      </w:r>
      <w:r>
        <w:rPr>
          <w:rFonts w:hint="eastAsia" w:ascii="仿宋_GB2312" w:eastAsia="仿宋_GB2312" w:hAnsiTheme="minorEastAsia" w:cstheme="minorEastAsia"/>
          <w:sz w:val="28"/>
          <w:szCs w:val="28"/>
        </w:rPr>
        <w:t>】日按时将上月施工班组及农民工本人签字确认（捺指印）的农民工工资清单报甲方项目部审核，农民工实名登记、工资金额、农民工个人银行卡申请资料等信息真实性、完整性、有效性由乙方负责。</w:t>
      </w:r>
    </w:p>
    <w:p w14:paraId="185D17CC">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2.2甲方农民工工资专用账户信息：以甲方财务部门发布的账户信息为准。</w:t>
      </w:r>
    </w:p>
    <w:p w14:paraId="076AF03E">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2.3 每月【</w:t>
      </w:r>
      <w:r>
        <w:rPr>
          <w:rFonts w:hint="eastAsia" w:ascii="仿宋_GB2312" w:eastAsia="仿宋_GB2312" w:hAnsiTheme="minorEastAsia" w:cstheme="minorEastAsia"/>
          <w:sz w:val="28"/>
          <w:szCs w:val="28"/>
          <w:lang w:val="en-US" w:eastAsia="zh-CN"/>
        </w:rPr>
        <w:t>10</w:t>
      </w:r>
      <w:r>
        <w:rPr>
          <w:rFonts w:hint="eastAsia" w:ascii="仿宋_GB2312" w:eastAsia="仿宋_GB2312" w:hAnsiTheme="minorEastAsia" w:cstheme="minorEastAsia"/>
          <w:sz w:val="28"/>
          <w:szCs w:val="28"/>
        </w:rPr>
        <w:t>】日前，乙方须按劳动合同及相关约定，对照考勤记录，核算当期农民工工资（税后工资），并汇总造册，在农民工本人签字捺指印确认并由乙方项目劳资管理负责人签字并加盖公章后，提交甲方作为农民工工资发放依据。</w:t>
      </w:r>
    </w:p>
    <w:p w14:paraId="5557CC08">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2.4甲方根据本协议2.3条中乙方提供的农民工工资表计算出当期乙方应付农民工工资总额，乙方委托甲方通过项目农民工工资专用账户逐一向每名农民工的银行卡支付工资，乙方对此无异议。</w:t>
      </w:r>
    </w:p>
    <w:p w14:paraId="6D94215E">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如2.3条中所列当期农民工工资高于甲方当期应付款，甲方以当期应付款为限，不足部分由乙方支付，另有约定的按书面确认后的约定执行（应加盖甲方单位公章，仅由甲方人员签字、加盖甲方项目印章的对甲方不发生效力）。</w:t>
      </w:r>
    </w:p>
    <w:p w14:paraId="021FC10D">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当乙方与农民工有协议先支付一定比例的部分工资，最后按节点工期一次性结算时，乙方应将双方确认的书面协议，提交一份至甲方备案，甲方将以此为依据，按照双方确认的工资表和协商比例支付农民工工资。</w:t>
      </w:r>
    </w:p>
    <w:p w14:paraId="38B2B0BE">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2.5 甲方对支付的每笔工资，都要留存支付记录，并将支付信息传送给乙方核实。当期农民工工资发放结束后【</w:t>
      </w:r>
      <w:r>
        <w:rPr>
          <w:rFonts w:hint="eastAsia" w:ascii="仿宋_GB2312" w:eastAsia="仿宋_GB2312" w:hAnsiTheme="minorEastAsia" w:cstheme="minorEastAsia"/>
          <w:sz w:val="28"/>
          <w:szCs w:val="28"/>
          <w:lang w:val="en-US" w:eastAsia="zh-CN"/>
        </w:rPr>
        <w:t>5</w:t>
      </w:r>
      <w:r>
        <w:rPr>
          <w:rFonts w:hint="eastAsia" w:ascii="仿宋_GB2312" w:eastAsia="仿宋_GB2312" w:hAnsiTheme="minorEastAsia" w:cstheme="minorEastAsia"/>
          <w:sz w:val="28"/>
          <w:szCs w:val="28"/>
        </w:rPr>
        <w:t>】天内，由乙方向甲方提供所有农民工工资全部发放完毕的确认书。逾期不确认，视为乙方默认当期农民工工资全部发放完毕，乙方无异议。</w:t>
      </w:r>
    </w:p>
    <w:p w14:paraId="6DD2AF11">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2.6 甲方支付到农民工个人银行账户，即视为乙方已收到相应款项，甲乙双方进行工程结算时，乙方应无条件予以认可。所支付的农民工工资从乙方每月工程进度款中扣除，并视为已向乙方支付相应工程款。</w:t>
      </w:r>
    </w:p>
    <w:p w14:paraId="259CB605">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2.7 乙方承担其农民工工人相关税费（包括但不限于个人所得税、五险一金等）的代扣代缴义务，具体缴纳方式由乙方与农民工工人协商确定，由此引发的纠纷与甲方无关。</w:t>
      </w:r>
    </w:p>
    <w:p w14:paraId="1AD76431">
      <w:pPr>
        <w:spacing w:line="480" w:lineRule="exact"/>
        <w:ind w:firstLine="560"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sz w:val="28"/>
          <w:szCs w:val="28"/>
        </w:rPr>
        <w:t>2.8乙方农民工工人退场应及时到甲方办理退场手续，在退还门禁卡和领用物资、结算当期工资等手续后方可退场。乙方应督促农民工办理退场手续。</w:t>
      </w:r>
    </w:p>
    <w:p w14:paraId="7FCDB79B">
      <w:pPr>
        <w:spacing w:line="480" w:lineRule="exact"/>
        <w:ind w:firstLine="562"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
          <w:bCs/>
          <w:sz w:val="28"/>
          <w:szCs w:val="28"/>
        </w:rPr>
        <w:t>3.违约责任</w:t>
      </w:r>
    </w:p>
    <w:p w14:paraId="10042964">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3.1 甲方未按照乙方项目劳资管理负责人确认盖章后的农民工工资表进行及时支付，由相关部门按规定进行处罚。</w:t>
      </w:r>
    </w:p>
    <w:p w14:paraId="718BCEE8">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3.2 乙方须积极按本委托协议的约定，做好劳务用工合同签订、农民工信息收集更新、工资计量等工作，并对以上信息的真实完整性负责。因乙方伪造出勤信息、提供虚假身份信息套取、高估冒算农民工工资的，一经核实，乙方需按高估冒算部分金额的两倍向甲方承担违约金，该违约金从乙方剩余工程款中扣除，且该违约金不需经乙方同意或确认。</w:t>
      </w:r>
    </w:p>
    <w:p w14:paraId="5CA18FF4">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3.3 因乙方给甲方提供的资料不准确导致甲方代发工资超过或小于实际应代发工资，产生的相应后果由乙方承担。</w:t>
      </w:r>
    </w:p>
    <w:p w14:paraId="097C6057">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3.4 因乙方不服从实名制管理致使农民工工人登记、考勤遗漏，导致农民工工资无法通过农民工工资专用账户发放，由乙方补发工资，产生的后果由乙方承担。</w:t>
      </w:r>
    </w:p>
    <w:p w14:paraId="222C7E95">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3.5 甲方依照本协议约定支付农民工工资后，若乙方与农民工因工资问题发生争议的，乙方应积极妥善处理，甲方有权敦促乙方及时解决相关问题，但不承担任何责任。</w:t>
      </w:r>
    </w:p>
    <w:p w14:paraId="3ED79282">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3.6 乙方应赔偿因此给甲方造成的损失（包括但不限于罚款、利息、律师费、诉讼费、甲方为处理相关事宜支出的合理费用等）。</w:t>
      </w:r>
    </w:p>
    <w:p w14:paraId="0FD8851A">
      <w:pPr>
        <w:spacing w:line="480" w:lineRule="exact"/>
        <w:ind w:firstLine="562" w:firstLineChars="200"/>
        <w:rPr>
          <w:rFonts w:ascii="仿宋_GB2312" w:eastAsia="仿宋_GB2312" w:hAnsiTheme="minorEastAsia" w:cstheme="minorEastAsia"/>
          <w:b/>
          <w:bCs/>
          <w:sz w:val="28"/>
          <w:szCs w:val="28"/>
        </w:rPr>
      </w:pPr>
      <w:r>
        <w:rPr>
          <w:rFonts w:hint="eastAsia" w:ascii="仿宋_GB2312" w:eastAsia="仿宋_GB2312" w:hAnsiTheme="minorEastAsia" w:cstheme="minorEastAsia"/>
          <w:b/>
          <w:bCs/>
          <w:sz w:val="28"/>
          <w:szCs w:val="28"/>
        </w:rPr>
        <w:t>4.其他</w:t>
      </w:r>
    </w:p>
    <w:p w14:paraId="73E53D1A">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4.1 乙方须积极配合执行甲方及甲方上级单位制定的关于推动劳务实名制工资管理的各项制度和办法。</w:t>
      </w:r>
    </w:p>
    <w:p w14:paraId="221C40F8">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4.2甲乙双方对本协议及相关文件均负有保密责任，任何一方或其雇员或代理人获得的本协议及本协议所有资料和文件，未经甲方事先书面同意，不得对外透露或公开，并承诺在本协议终止后仍然有效。</w:t>
      </w:r>
    </w:p>
    <w:p w14:paraId="7B4F20F5">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本农民工工资委托支付协议作为分包合同的附件，具有同等法律效力，与合同同日生效。</w:t>
      </w:r>
    </w:p>
    <w:p w14:paraId="27047EBC">
      <w:pPr>
        <w:widowControl/>
        <w:jc w:val="left"/>
        <w:rPr>
          <w:rFonts w:ascii="仿宋_GB2312" w:eastAsia="仿宋_GB2312" w:hAnsiTheme="minorEastAsia" w:cstheme="minorEastAsia"/>
          <w:sz w:val="28"/>
          <w:szCs w:val="28"/>
        </w:rPr>
      </w:pPr>
      <w:r>
        <w:rPr>
          <w:rFonts w:ascii="仿宋_GB2312" w:eastAsia="仿宋_GB2312" w:hAnsiTheme="minorEastAsia" w:cstheme="minorEastAsia"/>
          <w:sz w:val="28"/>
          <w:szCs w:val="28"/>
        </w:rPr>
        <w:br w:type="page"/>
      </w:r>
    </w:p>
    <w:p w14:paraId="46B3C6D5">
      <w:pPr>
        <w:pStyle w:val="5"/>
        <w:spacing w:before="120" w:beforeLines="50" w:after="120" w:afterLines="50"/>
        <w:ind w:left="0" w:leftChars="0" w:firstLine="562" w:firstLineChars="200"/>
        <w:rPr>
          <w:rFonts w:hint="eastAsia"/>
        </w:rPr>
      </w:pPr>
      <w:bookmarkStart w:id="908" w:name="_Toc14208"/>
      <w:bookmarkStart w:id="909" w:name="_Hlk117691612"/>
      <w:r>
        <w:rPr>
          <w:rFonts w:hint="eastAsia" w:ascii="黑体" w:hAnsi="黑体" w:eastAsia="黑体" w:cs="黑体"/>
        </w:rPr>
        <w:t>附件12</w:t>
      </w:r>
      <w:bookmarkEnd w:id="908"/>
      <w:bookmarkStart w:id="910" w:name="_Toc132053722"/>
      <w:r>
        <w:rPr>
          <w:rFonts w:hint="eastAsia" w:ascii="黑体" w:hAnsi="黑体" w:eastAsia="黑体" w:cs="黑体"/>
        </w:rPr>
        <w:t xml:space="preserve"> </w:t>
      </w:r>
      <w:r>
        <w:rPr>
          <w:rFonts w:hint="eastAsia"/>
        </w:rPr>
        <w:t xml:space="preserve"> </w:t>
      </w:r>
    </w:p>
    <w:p w14:paraId="547E40C7">
      <w:pPr>
        <w:pStyle w:val="5"/>
        <w:spacing w:before="120" w:beforeLines="50" w:after="120" w:afterLines="50"/>
        <w:ind w:left="0" w:leftChars="0" w:firstLine="562" w:firstLineChars="200"/>
        <w:jc w:val="center"/>
      </w:pPr>
      <w:bookmarkStart w:id="911" w:name="_Toc28151"/>
      <w:bookmarkStart w:id="912" w:name="_Toc14199"/>
      <w:r>
        <w:rPr>
          <w:rFonts w:hint="eastAsia"/>
        </w:rPr>
        <w:t>施工现场消防安全管理协议</w:t>
      </w:r>
      <w:bookmarkEnd w:id="910"/>
      <w:bookmarkEnd w:id="911"/>
      <w:bookmarkEnd w:id="912"/>
    </w:p>
    <w:p w14:paraId="3C8C0C2E">
      <w:pPr>
        <w:spacing w:line="480" w:lineRule="exact"/>
        <w:ind w:firstLine="562" w:firstLineChars="200"/>
        <w:rPr>
          <w:rFonts w:hint="eastAsia" w:ascii="仿宋_GB2312" w:hAnsi="仿宋_GB2312" w:eastAsia="仿宋_GB2312" w:cs="仿宋_GB2312"/>
          <w:b/>
          <w:color w:val="000000"/>
          <w:sz w:val="28"/>
          <w:szCs w:val="28"/>
        </w:rPr>
      </w:pPr>
    </w:p>
    <w:p w14:paraId="52D89A69">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承包人（全称）：【</w:t>
      </w:r>
      <w:r>
        <w:rPr>
          <w:rFonts w:hint="eastAsia" w:ascii="仿宋_GB2312" w:hAnsi="仿宋_GB2312" w:eastAsia="仿宋_GB2312" w:cs="仿宋_GB2312"/>
          <w:b/>
          <w:color w:val="000000"/>
          <w:sz w:val="28"/>
          <w:szCs w:val="28"/>
          <w:lang w:eastAsia="zh-CN"/>
        </w:rPr>
        <w:t xml:space="preserve">        </w:t>
      </w:r>
      <w:r>
        <w:rPr>
          <w:rFonts w:hint="eastAsia" w:ascii="仿宋_GB2312" w:hAnsi="仿宋_GB2312" w:eastAsia="仿宋_GB2312" w:cs="仿宋_GB2312"/>
          <w:b/>
          <w:color w:val="000000"/>
          <w:sz w:val="28"/>
          <w:szCs w:val="28"/>
        </w:rPr>
        <w:t>】（以下简称甲方）</w:t>
      </w:r>
    </w:p>
    <w:p w14:paraId="68CA88DF">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6A76AD0C">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为了加强和规范施工现场消防安全管理，落实逐级消防安全责任制，依据《中华人民共和国消防法》《机关、团体、企业、事业单位消防安全管理规定》（公安部令第61号）等法律、法规，本着“谁主管，谁负责”的原则，就【</w:t>
      </w:r>
      <w:r>
        <w:rPr>
          <w:rFonts w:hint="eastAsia" w:ascii="仿宋_GB2312" w:eastAsia="仿宋_GB2312" w:hAnsiTheme="minorEastAsia" w:cstheme="minorEastAsia"/>
          <w:kern w:val="0"/>
          <w:sz w:val="28"/>
          <w:szCs w:val="28"/>
          <w:lang w:eastAsia="zh-CN"/>
        </w:rPr>
        <w:t>广西泛铝件先进制造（迁江）基地一期A区工程市政工程专业分包</w:t>
      </w:r>
      <w:r>
        <w:rPr>
          <w:rFonts w:hint="eastAsia" w:ascii="仿宋_GB2312" w:eastAsia="仿宋_GB2312" w:hAnsiTheme="minorEastAsia" w:cstheme="minorEastAsia"/>
          <w:kern w:val="0"/>
          <w:sz w:val="28"/>
          <w:szCs w:val="28"/>
        </w:rPr>
        <w:t>】工程消防安全管理等签订本协议书，双方应严格遵守和执行本协议书规定的权利、责任和义务，确保施工现场的消防安全。</w:t>
      </w:r>
    </w:p>
    <w:p w14:paraId="3632E11F">
      <w:pPr>
        <w:autoSpaceDE w:val="0"/>
        <w:autoSpaceDN w:val="0"/>
        <w:adjustRightInd w:val="0"/>
        <w:snapToGrid w:val="0"/>
        <w:spacing w:line="480" w:lineRule="exact"/>
        <w:ind w:firstLine="562" w:firstLineChars="200"/>
        <w:rPr>
          <w:rFonts w:ascii="仿宋_GB2312" w:eastAsia="仿宋_GB2312" w:hAnsiTheme="minorEastAsia" w:cstheme="minorEastAsia"/>
          <w:b/>
          <w:bCs/>
          <w:kern w:val="0"/>
          <w:sz w:val="28"/>
          <w:szCs w:val="28"/>
        </w:rPr>
      </w:pPr>
      <w:r>
        <w:rPr>
          <w:rFonts w:hint="eastAsia" w:ascii="仿宋_GB2312" w:eastAsia="仿宋_GB2312" w:hAnsiTheme="minorEastAsia" w:cstheme="minorEastAsia"/>
          <w:b/>
          <w:bCs/>
          <w:kern w:val="0"/>
          <w:sz w:val="28"/>
          <w:szCs w:val="28"/>
        </w:rPr>
        <w:t>一、甲方的权利、责任和义务</w:t>
      </w:r>
    </w:p>
    <w:p w14:paraId="5CFE40B8">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1.贯彻落实国家消防安全法规和总包的消防安全管理制度，总包单位对施工现场、生活区的消防安全负总责，对施工现场、生活区的消防安全进行全面管理、监督、检查和指导。</w:t>
      </w:r>
    </w:p>
    <w:p w14:paraId="66E12E0D">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2.运用多种形式开展经常性的消防安全宣传教育，对现场所有人员每年至少进行一次消防安全培训，并有培训记录和登记；对采用新工艺、新技术、新材料或者使用新设备有火灾危险的，要对从业人员进行专门的消防安全教育和培训；对不接受培训、教育、考核或考核不合格以及经审查有其他不符合规定要求的人员，有权拒绝其进入施工现场或清退出现场。</w:t>
      </w:r>
    </w:p>
    <w:p w14:paraId="197C1CFB">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3.建立健全各项消防安全管理制度和操作规程，并督促落实。明确逐级和岗位消防安全职责，确定现场各栋号、分包、外包单位和各职能部门、各工种和各区域、层段等各级别和岗位的消防安全责任人；建立健全施工现场各级消防安全组织机构和义务消防队组织；对重点工种人员如电气焊人员、防水作业人员进行登记，建立档案。</w:t>
      </w:r>
    </w:p>
    <w:p w14:paraId="42E14C21">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strike/>
          <w:kern w:val="0"/>
          <w:sz w:val="28"/>
          <w:szCs w:val="28"/>
        </w:rPr>
      </w:pPr>
      <w:r>
        <w:rPr>
          <w:rFonts w:hint="eastAsia" w:ascii="仿宋_GB2312" w:eastAsia="仿宋_GB2312" w:hAnsiTheme="minorEastAsia" w:cstheme="minorEastAsia"/>
          <w:kern w:val="0"/>
          <w:sz w:val="28"/>
          <w:szCs w:val="28"/>
        </w:rPr>
        <w:t>4.严格落实有关运用明火的管理制度，做到“四不动火”。施工现场动用明火，应当按照规定事先办理审批手续；用火操作前，须对乙方电气焊工作业人员以班组或分包为单位进行用火操作交底，对乙方填写的《动火作业审批表及动火证》，由甲方项目主管负责人审批签字，并开具当天动火证。开具动火证人员必须符合甲方公司管理手册要求，其他人员代理应有书面委托；开具动火证时应严格把关，根据施工情况提出有针对性的防火措施。高层、外檐和孔洞周围作业，必须要求乙方和有关作业人员配备接挡工具，并在动火证上注明具体要求和措施。</w:t>
      </w:r>
    </w:p>
    <w:p w14:paraId="22F6EA76">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5.负责对乙方在施工现场、生活区的用火、用电、使用易燃易爆化学危险物品、防水作业及材料存储进行审查、批准和监督、检查。做到工程内不设置宿舍和住人，不做仓库使用和存放易燃易爆化学危险物品可燃材料；对违章指挥、违规操作等违章、违纪行为进行制止、纠正，并按有关规定进行处理。</w:t>
      </w:r>
    </w:p>
    <w:p w14:paraId="0BE0E9D1">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6.负责在施工现场、生活区、办公区内，按有关规定设置、配备相应的消防设施和灭火器材，设置消防应急疏散通道和指示标志；制定整体的灭火和应急疏散预案，并至少每半年进行一次演练。</w:t>
      </w:r>
    </w:p>
    <w:p w14:paraId="3A491A01">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7.定期召开施工现场安全会议，组织防火检查，督促落实火灾隐患整改；有针对性地部署做好施工各阶段的防火工作；协调和处理本施工现场的有关消防安全问题。</w:t>
      </w:r>
    </w:p>
    <w:p w14:paraId="71F3F600">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8.发生火灾，应及时报警、迅速组织扑救和人员疏散。紧急情况下甲方有权调用乙方的相关人员及物资。</w:t>
      </w:r>
    </w:p>
    <w:p w14:paraId="017F01E3">
      <w:pPr>
        <w:tabs>
          <w:tab w:val="left" w:pos="312"/>
        </w:tabs>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9.积极配合各级消防监督检查机关进行消防安全检查，参与对火灾事故的调查、处理。</w:t>
      </w:r>
    </w:p>
    <w:p w14:paraId="7E523D3A">
      <w:pPr>
        <w:tabs>
          <w:tab w:val="left" w:pos="312"/>
        </w:tabs>
        <w:autoSpaceDE w:val="0"/>
        <w:autoSpaceDN w:val="0"/>
        <w:adjustRightInd w:val="0"/>
        <w:snapToGrid w:val="0"/>
        <w:spacing w:line="480" w:lineRule="exact"/>
        <w:ind w:left="422"/>
        <w:rPr>
          <w:rFonts w:ascii="仿宋_GB2312" w:eastAsia="仿宋_GB2312" w:hAnsiTheme="minorEastAsia" w:cstheme="minorEastAsia"/>
          <w:kern w:val="0"/>
          <w:sz w:val="28"/>
          <w:szCs w:val="28"/>
        </w:rPr>
      </w:pPr>
      <w:r>
        <w:rPr>
          <w:rFonts w:hint="eastAsia" w:ascii="仿宋_GB2312" w:eastAsia="仿宋_GB2312" w:hAnsiTheme="minorEastAsia" w:cstheme="minorEastAsia"/>
          <w:b/>
          <w:bCs/>
          <w:kern w:val="0"/>
          <w:sz w:val="28"/>
          <w:szCs w:val="28"/>
        </w:rPr>
        <w:t>二、乙方的权利、责任和义务</w:t>
      </w:r>
    </w:p>
    <w:p w14:paraId="7A0AD9D5">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1.贯彻落实各级政府及相关部门有关施工现场消防安全的法规和总包的消防安全管理制度，对所属施工区域、生活区宿舍、办公区的消防安全管理负全面责任。</w:t>
      </w:r>
    </w:p>
    <w:p w14:paraId="160F2633">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2.负责建立健全本单位的防火组织，明确消防安全责任人、消防安全管理人、义务消防队伍。负责在施工现场内，按有关规定设置、配备相应的消防设施和灭火器材，设置消防应急疏散通道和指示标志；按照甲方的要求提供施工人员花名册及特殊工种的证件复印件及有关资料，在本施工区域内，尤其是重点部位按规定配备相应的灭火器材，并保证灵敏有效。</w:t>
      </w:r>
    </w:p>
    <w:p w14:paraId="239B8F06">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3.电气焊等特种作业人员必须持证上岗。用火操作前，必须到甲方用火审批部门办理动火证，不得由他人代理。在操作中应确保高层、外檐和孔洞周围作业对电气焊割产生的火花、焊渣有接挡和封堵措施，并避免与易燃危险性作业同时交叉进行；要清除周围易燃可燃物，配备灭火器材、灭火用水，设专人看火监护。禁止非焊工进行电气焊操作。</w:t>
      </w:r>
    </w:p>
    <w:p w14:paraId="4EB48D84">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4.负责对本单位在施人员进行消防法规、制度、操作规程和施工现场火灾危险性教育；进行报火警、扑救初起火灾和自救逃生知识、技能教育。对施工现场采用的新工艺、新技术、新材料或使用的新设备必须了解、掌握其安全消防技术特性，经培训教育后方可上岗作业。在消防安全教育或安全活动中，可要求甲方提供帮助。</w:t>
      </w:r>
    </w:p>
    <w:p w14:paraId="03C40ADF">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5.工程不准作为仓库使用，不准存放易燃、易爆化学危险物品和易燃可燃材料，不得在建设工程内设置宿舍。甲方指令乙方违反上述规定的，乙方有权拒绝。在建设工程外设置宿舍和库房的，禁止使用可燃材料做分割和围挡。严禁在宿舍内私接乱拉电线，严禁使用“热得快”、电饭锅、电褥子等大功率电热器具。乙方使用或存储易燃易爆化学危险品，应向甲方有关部门提出申请，经甲方批准和登记，并有可靠的防火安全措施后才准许使用和存储。</w:t>
      </w:r>
    </w:p>
    <w:p w14:paraId="7C8F79F3">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6.负责所在施工区域及所属生活区宿舍内的消防安全管理，制定消防应急预案，保证所施工区域内的消防设施、器材等配置到位、完好无损、灵敏有效，确保消防应急通道畅通，并有权拒绝甲方违反消防安全法规的指令。</w:t>
      </w:r>
    </w:p>
    <w:p w14:paraId="186FB90E">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7.落实日检及周检要求，进行自我防火安全检查，及时制止、纠正各种违章用火、用电和违章操作行为，在防火安全检查中发现的消防隐患及问题，应及时整改或采取必要的安全措施，并及时通报甲方有关部门共同协商解决，消除消防隐患。</w:t>
      </w:r>
    </w:p>
    <w:p w14:paraId="2106BF52">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8.积极配合、服从各级消防机关、部门及甲方消防安全监督、检查和管理，对于查出的防火安全问题及时进行整改，并将整改情况书面报甲方备案。</w:t>
      </w:r>
    </w:p>
    <w:p w14:paraId="21F333AB">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9.发生火灾事故，立即向甲方报告，并迅速组织扑救，事后积极协助有关部门进行调查，迟报或隐瞒不报造成严重后果的，要承担相应责任。</w:t>
      </w:r>
    </w:p>
    <w:p w14:paraId="328981EF">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10.因乙方责任造成火灾事故，导致甲方或第三方人身伤亡和经济损失的，乙方承担全部经济损失和法律责任。</w:t>
      </w:r>
    </w:p>
    <w:p w14:paraId="0EA10F92">
      <w:pPr>
        <w:autoSpaceDE w:val="0"/>
        <w:autoSpaceDN w:val="0"/>
        <w:adjustRightInd w:val="0"/>
        <w:snapToGrid w:val="0"/>
        <w:spacing w:line="480" w:lineRule="exact"/>
        <w:ind w:firstLine="562"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b/>
          <w:bCs/>
          <w:kern w:val="0"/>
          <w:sz w:val="28"/>
          <w:szCs w:val="28"/>
        </w:rPr>
        <w:t>三、补充条款</w:t>
      </w:r>
    </w:p>
    <w:p w14:paraId="7957E484">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补充条款如下：</w:t>
      </w:r>
    </w:p>
    <w:p w14:paraId="15B61FB9">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乙方认真执行甲方项目部的消防要求，如有违反规定的按甲方安全奖罚制度处罚。</w:t>
      </w:r>
    </w:p>
    <w:p w14:paraId="072515C5">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本协议作为合同一部分，自合同签订之日起生效，到退场协议终止。</w:t>
      </w:r>
    </w:p>
    <w:p w14:paraId="634CF495">
      <w:pPr>
        <w:widowControl/>
        <w:jc w:val="left"/>
        <w:rPr>
          <w:rFonts w:asciiTheme="minorEastAsia" w:hAnsiTheme="minorEastAsia" w:cstheme="minorEastAsia"/>
          <w:szCs w:val="21"/>
        </w:rPr>
      </w:pPr>
      <w:r>
        <w:rPr>
          <w:rFonts w:asciiTheme="minorEastAsia" w:hAnsiTheme="minorEastAsia" w:cstheme="minorEastAsia"/>
          <w:szCs w:val="21"/>
        </w:rPr>
        <w:br w:type="page"/>
      </w:r>
    </w:p>
    <w:p w14:paraId="6210054C">
      <w:pPr>
        <w:pStyle w:val="5"/>
        <w:spacing w:before="120" w:beforeLines="50" w:after="120" w:afterLines="50"/>
        <w:ind w:left="0" w:leftChars="0" w:firstLine="562" w:firstLineChars="200"/>
        <w:rPr>
          <w:rFonts w:hint="eastAsia"/>
        </w:rPr>
      </w:pPr>
      <w:bookmarkStart w:id="913" w:name="_Toc7931"/>
      <w:bookmarkStart w:id="914" w:name="_Toc132053723"/>
      <w:r>
        <w:rPr>
          <w:rFonts w:hint="eastAsia" w:ascii="黑体" w:hAnsi="黑体" w:eastAsia="黑体" w:cs="黑体"/>
        </w:rPr>
        <w:t>附件13</w:t>
      </w:r>
      <w:bookmarkEnd w:id="913"/>
      <w:r>
        <w:rPr>
          <w:rFonts w:hint="eastAsia" w:ascii="黑体" w:hAnsi="黑体" w:eastAsia="黑体" w:cs="黑体"/>
        </w:rPr>
        <w:t xml:space="preserve"> </w:t>
      </w:r>
      <w:r>
        <w:rPr>
          <w:rFonts w:hint="eastAsia"/>
        </w:rPr>
        <w:t xml:space="preserve"> </w:t>
      </w:r>
    </w:p>
    <w:p w14:paraId="3EA3BB9E">
      <w:pPr>
        <w:pStyle w:val="5"/>
        <w:spacing w:before="120" w:beforeLines="50" w:after="120" w:afterLines="50"/>
        <w:ind w:left="0" w:leftChars="0" w:firstLine="562" w:firstLineChars="200"/>
        <w:jc w:val="center"/>
      </w:pPr>
      <w:bookmarkStart w:id="915" w:name="_Toc21139"/>
      <w:bookmarkStart w:id="916" w:name="_Toc7013"/>
      <w:r>
        <w:rPr>
          <w:rFonts w:hint="eastAsia"/>
        </w:rPr>
        <w:t>施工现场临时用电安全管理协议</w:t>
      </w:r>
      <w:bookmarkEnd w:id="914"/>
      <w:bookmarkEnd w:id="915"/>
      <w:bookmarkEnd w:id="916"/>
    </w:p>
    <w:p w14:paraId="54F697D8">
      <w:pPr>
        <w:spacing w:line="480" w:lineRule="exact"/>
        <w:ind w:firstLine="562" w:firstLineChars="200"/>
        <w:rPr>
          <w:rFonts w:hint="eastAsia" w:ascii="仿宋_GB2312" w:hAnsi="仿宋_GB2312" w:eastAsia="仿宋_GB2312" w:cs="仿宋_GB2312"/>
          <w:b/>
          <w:color w:val="000000"/>
          <w:sz w:val="28"/>
          <w:szCs w:val="28"/>
        </w:rPr>
      </w:pPr>
    </w:p>
    <w:p w14:paraId="211BE742">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承包人（全称）：【</w:t>
      </w:r>
      <w:r>
        <w:rPr>
          <w:rFonts w:hint="eastAsia" w:ascii="仿宋_GB2312" w:hAnsi="仿宋_GB2312" w:eastAsia="仿宋_GB2312" w:cs="仿宋_GB2312"/>
          <w:b/>
          <w:color w:val="000000"/>
          <w:sz w:val="28"/>
          <w:szCs w:val="28"/>
          <w:lang w:eastAsia="zh-CN"/>
        </w:rPr>
        <w:t xml:space="preserve">        </w:t>
      </w:r>
      <w:r>
        <w:rPr>
          <w:rFonts w:hint="eastAsia" w:ascii="仿宋_GB2312" w:hAnsi="仿宋_GB2312" w:eastAsia="仿宋_GB2312" w:cs="仿宋_GB2312"/>
          <w:b/>
          <w:color w:val="000000"/>
          <w:sz w:val="28"/>
          <w:szCs w:val="28"/>
        </w:rPr>
        <w:t>】（以下简称甲方）</w:t>
      </w:r>
    </w:p>
    <w:p w14:paraId="354642B5">
      <w:pPr>
        <w:spacing w:line="480" w:lineRule="exact"/>
        <w:ind w:firstLine="562" w:firstLineChars="200"/>
        <w:rPr>
          <w:rFonts w:ascii="仿宋_GB2312" w:hAnsi="仿宋_GB2312" w:eastAsia="仿宋_GB2312" w:cs="仿宋_GB2312"/>
          <w:b/>
          <w:color w:val="000000"/>
          <w:sz w:val="28"/>
          <w:szCs w:val="28"/>
          <w:u w:val="single"/>
        </w:rPr>
      </w:pPr>
      <w:r>
        <w:rPr>
          <w:rFonts w:hint="eastAsia" w:ascii="仿宋_GB2312" w:hAnsi="仿宋_GB2312" w:eastAsia="仿宋_GB2312" w:cs="仿宋_GB2312"/>
          <w:b/>
          <w:color w:val="000000"/>
          <w:sz w:val="28"/>
          <w:szCs w:val="28"/>
        </w:rPr>
        <w:t>分包人（全称）：【                       】（以下简称乙方）</w:t>
      </w:r>
    </w:p>
    <w:p w14:paraId="2FA942D1">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为了确保施工现场临时用电安全，防止触电事故的发生，依据《中华人民共和国安全生产法》《建设工程安全生产管理条例》《建设工程施工现场供用电安全规范》（GB50194-2014）、《施工现场临时用电安全技术规范》（JGJ46—2005）、《建筑施工安全检查标准》（JGJ59—2011）等有关规定，就【</w:t>
      </w:r>
      <w:r>
        <w:rPr>
          <w:rFonts w:hint="eastAsia" w:ascii="仿宋_GB2312" w:eastAsia="仿宋_GB2312" w:hAnsiTheme="minorEastAsia" w:cstheme="minorEastAsia"/>
          <w:sz w:val="28"/>
          <w:szCs w:val="28"/>
          <w:lang w:eastAsia="zh-CN"/>
        </w:rPr>
        <w:t>广西泛铝件先进制造（迁江）基地一期A区工程市政工程专业分包</w:t>
      </w:r>
      <w:r>
        <w:rPr>
          <w:rFonts w:hint="eastAsia" w:ascii="仿宋_GB2312" w:eastAsia="仿宋_GB2312" w:hAnsiTheme="minorEastAsia" w:cstheme="minorEastAsia"/>
          <w:sz w:val="28"/>
          <w:szCs w:val="28"/>
        </w:rPr>
        <w:t>】工程施工现场临时用电安全制定本协议书。甲方和乙方应当按照各自职责，对临时用电进行监督管理，严格遵守本协议书规定的权利、责任和义务，保障施工现场临时用电安全。</w:t>
      </w:r>
    </w:p>
    <w:p w14:paraId="0389169B">
      <w:pPr>
        <w:autoSpaceDE w:val="0"/>
        <w:autoSpaceDN w:val="0"/>
        <w:adjustRightInd w:val="0"/>
        <w:snapToGrid w:val="0"/>
        <w:spacing w:line="480" w:lineRule="exact"/>
        <w:ind w:firstLine="562" w:firstLineChars="200"/>
        <w:rPr>
          <w:rFonts w:ascii="仿宋_GB2312" w:eastAsia="仿宋_GB2312" w:hAnsiTheme="minorEastAsia" w:cstheme="minorEastAsia"/>
          <w:b/>
          <w:bCs/>
          <w:kern w:val="0"/>
          <w:sz w:val="28"/>
          <w:szCs w:val="28"/>
        </w:rPr>
      </w:pPr>
      <w:r>
        <w:rPr>
          <w:rFonts w:hint="eastAsia" w:ascii="仿宋_GB2312" w:eastAsia="仿宋_GB2312" w:hAnsiTheme="minorEastAsia" w:cstheme="minorEastAsia"/>
          <w:b/>
          <w:bCs/>
          <w:kern w:val="0"/>
          <w:sz w:val="28"/>
          <w:szCs w:val="28"/>
        </w:rPr>
        <w:t>一、甲方的权利、责任和义务</w:t>
      </w:r>
    </w:p>
    <w:p w14:paraId="2371A1CE">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1.贯彻落实国家施工现场临时用电的有关规定。负责对施工现场临时用电进行全面监督、管理，并对施工现场临时用电进行安全检查和指导。</w:t>
      </w:r>
    </w:p>
    <w:p w14:paraId="0D1091AD">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2.审阅乙方临时用电申请，并把乙方临时用电安全技术措施和电气防火措施进行备案。</w:t>
      </w:r>
    </w:p>
    <w:p w14:paraId="028A9C96">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3.负责提供施工电源，并把施工电源送到符合安全标准的二级配电箱。并对乙方的使用情况进行监督检查。</w:t>
      </w:r>
    </w:p>
    <w:p w14:paraId="20AF874F">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4.向乙方提供电源时，应与乙方办理交接验收手续。</w:t>
      </w:r>
    </w:p>
    <w:p w14:paraId="6DE4492C">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5.按照有关临时用电标准对乙方的临时用电设备、设施进行监督和检查。发现乙方在临时用电中存在隐患必须责成乙方予以整改，并监督整改落实情况。</w:t>
      </w:r>
    </w:p>
    <w:p w14:paraId="483F3438">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6.对乙方特种作业人员的花名册、操作证复印件及培训记录进行存档备案。未经安全生产教育培训和无证人员，不得允许上岗作业。</w:t>
      </w:r>
    </w:p>
    <w:p w14:paraId="529C4569">
      <w:pPr>
        <w:autoSpaceDE w:val="0"/>
        <w:autoSpaceDN w:val="0"/>
        <w:adjustRightInd w:val="0"/>
        <w:snapToGrid w:val="0"/>
        <w:spacing w:line="480" w:lineRule="exact"/>
        <w:ind w:firstLine="562" w:firstLineChars="200"/>
        <w:rPr>
          <w:rFonts w:ascii="仿宋_GB2312" w:eastAsia="仿宋_GB2312" w:hAnsiTheme="minorEastAsia" w:cstheme="minorEastAsia"/>
          <w:b/>
          <w:bCs/>
          <w:kern w:val="0"/>
          <w:sz w:val="28"/>
          <w:szCs w:val="28"/>
        </w:rPr>
      </w:pPr>
      <w:r>
        <w:rPr>
          <w:rFonts w:hint="eastAsia" w:ascii="仿宋_GB2312" w:eastAsia="仿宋_GB2312" w:hAnsiTheme="minorEastAsia" w:cstheme="minorEastAsia"/>
          <w:b/>
          <w:bCs/>
          <w:kern w:val="0"/>
          <w:sz w:val="28"/>
          <w:szCs w:val="28"/>
        </w:rPr>
        <w:t>二、乙方的权利、责任和义务</w:t>
      </w:r>
    </w:p>
    <w:p w14:paraId="044BAA52">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1.严格执行国家施工现场临时用电的有关技术规范和安全操作规程，对施工区域内自行管辖的临时用电负全面管理责任。</w:t>
      </w:r>
    </w:p>
    <w:p w14:paraId="03071015">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2.向甲方提供书面的临时用电申请。设备设施需要增容时，必须重新办理用电申请手续。</w:t>
      </w:r>
    </w:p>
    <w:p w14:paraId="2DF1B5BF">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3.保证二级配电箱以下管辖区域内各种用电设备、设施完好，临时用电设施和器材必须使用正规厂家的合格产品，严禁使用假冒伪劣等不合格产品。加强日常检查与维护保养工作，严禁各种机电设备带病运行，保证临时用电符合有关安全用电标准。</w:t>
      </w:r>
    </w:p>
    <w:p w14:paraId="10C0C25D">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4.执行临时用电安全技术交底制度，对施工区域内自行管辖的操作人员进行临时用电安全技术交底，避免违章指挥、违章操作和误操作，确保安全用电。</w:t>
      </w:r>
    </w:p>
    <w:p w14:paraId="3D815B01">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5.在使用甲方提供临时电源时，对不符合临时用电标准的电源，对甲方提出整改意见。有权拒绝在不符合临时用电标准的电源上拉接电源。对甲方在安全检查中提出的关于临时用电方面存在的问题或隐患，必须按要求认真落实整改。</w:t>
      </w:r>
    </w:p>
    <w:p w14:paraId="36F52C9F">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6.配置满足施工需要的特种作业人员，对特种作业人员进行上岗前的职业技能、安全生产等方面的培训，未经安全生产教育培训及培训不合格和无证人员，不得上岗作业。特种作业人员必须依照有关规定持证上岗。向甲方提供特种作业人员花名册、操作证复印件和培训记录。</w:t>
      </w:r>
    </w:p>
    <w:p w14:paraId="1466FEE4">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7.现场发生触电事故时，经主管部门鉴定属于乙方因违反上述协议和违章指挥、违章操作，对提供的电源线路设施未经甲方事先书面同意擅自拆、改、接，不服从甲方管理造成事故的，由乙方负全责。</w:t>
      </w:r>
    </w:p>
    <w:p w14:paraId="0434D530">
      <w:pPr>
        <w:autoSpaceDE w:val="0"/>
        <w:autoSpaceDN w:val="0"/>
        <w:adjustRightInd w:val="0"/>
        <w:snapToGrid w:val="0"/>
        <w:spacing w:line="480" w:lineRule="exact"/>
        <w:ind w:firstLine="562" w:firstLineChars="200"/>
        <w:rPr>
          <w:rFonts w:ascii="仿宋_GB2312" w:eastAsia="仿宋_GB2312" w:hAnsiTheme="minorEastAsia" w:cstheme="minorEastAsia"/>
          <w:b/>
          <w:bCs/>
          <w:kern w:val="0"/>
          <w:sz w:val="28"/>
          <w:szCs w:val="28"/>
        </w:rPr>
      </w:pPr>
      <w:r>
        <w:rPr>
          <w:rFonts w:hint="eastAsia" w:ascii="仿宋_GB2312" w:eastAsia="仿宋_GB2312" w:hAnsiTheme="minorEastAsia" w:cstheme="minorEastAsia"/>
          <w:b/>
          <w:bCs/>
          <w:kern w:val="0"/>
          <w:sz w:val="28"/>
          <w:szCs w:val="28"/>
        </w:rPr>
        <w:t>三、争议解决方式</w:t>
      </w:r>
    </w:p>
    <w:p w14:paraId="7980DBC9">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当甲、乙双方发生争议时，可以通过甲、乙双方上级主管部门协商解决。</w:t>
      </w:r>
    </w:p>
    <w:p w14:paraId="0E7266F9">
      <w:pPr>
        <w:autoSpaceDE w:val="0"/>
        <w:autoSpaceDN w:val="0"/>
        <w:adjustRightInd w:val="0"/>
        <w:snapToGrid w:val="0"/>
        <w:spacing w:line="480" w:lineRule="exact"/>
        <w:ind w:firstLine="562" w:firstLineChars="200"/>
        <w:rPr>
          <w:rFonts w:ascii="仿宋_GB2312" w:eastAsia="仿宋_GB2312" w:hAnsiTheme="minorEastAsia" w:cstheme="minorEastAsia"/>
          <w:b/>
          <w:bCs/>
          <w:kern w:val="0"/>
          <w:sz w:val="28"/>
          <w:szCs w:val="28"/>
        </w:rPr>
      </w:pPr>
      <w:r>
        <w:rPr>
          <w:rFonts w:hint="eastAsia" w:ascii="仿宋_GB2312" w:eastAsia="仿宋_GB2312" w:hAnsiTheme="minorEastAsia" w:cstheme="minorEastAsia"/>
          <w:b/>
          <w:bCs/>
          <w:kern w:val="0"/>
          <w:sz w:val="28"/>
          <w:szCs w:val="28"/>
        </w:rPr>
        <w:t>四、双方有关未尽事宜补充条款</w:t>
      </w:r>
    </w:p>
    <w:p w14:paraId="1C52489A">
      <w:pPr>
        <w:autoSpaceDE w:val="0"/>
        <w:autoSpaceDN w:val="0"/>
        <w:adjustRightInd w:val="0"/>
        <w:snapToGri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 xml:space="preserve">补充条款如下：乙方所有进入现场配电设备、设施（配电箱、电缆线、电器配件）等，必须报甲方项目部物资部、安全部验收，未经验收合格严禁使用。 </w:t>
      </w:r>
    </w:p>
    <w:p w14:paraId="0237DAEE">
      <w:pPr>
        <w:autoSpaceDE w:val="0"/>
        <w:autoSpaceDN w:val="0"/>
        <w:adjustRightInd w:val="0"/>
        <w:snapToGrid w:val="0"/>
        <w:spacing w:line="480" w:lineRule="exact"/>
        <w:ind w:firstLine="560" w:firstLineChars="200"/>
        <w:rPr>
          <w:rFonts w:ascii="仿宋_GB2312" w:eastAsia="仿宋_GB2312" w:hAnsiTheme="minorEastAsia" w:cstheme="minorEastAsia"/>
          <w:bCs/>
          <w:sz w:val="28"/>
          <w:szCs w:val="28"/>
          <w:u w:val="single"/>
        </w:rPr>
      </w:pPr>
      <w:r>
        <w:rPr>
          <w:rFonts w:hint="eastAsia" w:ascii="仿宋_GB2312" w:eastAsia="仿宋_GB2312" w:hAnsiTheme="minorEastAsia" w:cstheme="minorEastAsia"/>
          <w:kern w:val="0"/>
          <w:sz w:val="28"/>
          <w:szCs w:val="28"/>
        </w:rPr>
        <w:t>本协议作为合同一部分，自合同签订之日起生效，到退场协议终止。</w:t>
      </w:r>
      <w:bookmarkEnd w:id="909"/>
      <w:r>
        <w:rPr>
          <w:rFonts w:ascii="仿宋_GB2312" w:eastAsia="仿宋_GB2312" w:hAnsiTheme="minorEastAsia" w:cstheme="minorEastAsia"/>
          <w:bCs/>
          <w:sz w:val="28"/>
          <w:szCs w:val="28"/>
          <w:u w:val="single"/>
        </w:rPr>
        <w:br w:type="page"/>
      </w:r>
    </w:p>
    <w:p w14:paraId="46A84F3F">
      <w:pPr>
        <w:pStyle w:val="5"/>
        <w:spacing w:before="120" w:beforeLines="50" w:after="120" w:afterLines="50"/>
        <w:ind w:left="0" w:leftChars="0" w:firstLine="562" w:firstLineChars="200"/>
        <w:rPr>
          <w:rFonts w:hint="eastAsia" w:ascii="黑体" w:hAnsi="黑体" w:eastAsia="黑体" w:cs="黑体"/>
        </w:rPr>
      </w:pPr>
      <w:bookmarkStart w:id="917" w:name="_Toc4533"/>
      <w:bookmarkStart w:id="918" w:name="_Toc132053718"/>
      <w:r>
        <w:rPr>
          <w:rFonts w:hint="eastAsia" w:ascii="黑体" w:hAnsi="黑体" w:eastAsia="黑体" w:cs="黑体"/>
        </w:rPr>
        <w:t>附件14</w:t>
      </w:r>
      <w:bookmarkEnd w:id="917"/>
      <w:r>
        <w:rPr>
          <w:rFonts w:hint="eastAsia" w:ascii="黑体" w:hAnsi="黑体" w:eastAsia="黑体" w:cs="黑体"/>
        </w:rPr>
        <w:t xml:space="preserve">  </w:t>
      </w:r>
    </w:p>
    <w:p w14:paraId="5835DDBE">
      <w:pPr>
        <w:pStyle w:val="5"/>
        <w:spacing w:before="120" w:beforeLines="50" w:after="120" w:afterLines="50"/>
        <w:ind w:left="0" w:leftChars="0"/>
        <w:jc w:val="center"/>
      </w:pPr>
      <w:bookmarkStart w:id="919" w:name="_Toc7887"/>
      <w:bookmarkStart w:id="920" w:name="_Toc24868"/>
      <w:r>
        <w:rPr>
          <w:rFonts w:hint="eastAsia"/>
        </w:rPr>
        <w:t>承  诺  书</w:t>
      </w:r>
      <w:bookmarkEnd w:id="918"/>
      <w:bookmarkEnd w:id="919"/>
      <w:bookmarkEnd w:id="920"/>
    </w:p>
    <w:p w14:paraId="33504835">
      <w:pPr>
        <w:spacing w:line="480" w:lineRule="exact"/>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w:t>
      </w:r>
      <w:r>
        <w:rPr>
          <w:rFonts w:hint="eastAsia" w:ascii="仿宋_GB2312" w:eastAsia="仿宋_GB2312" w:hAnsiTheme="minorEastAsia" w:cstheme="minorEastAsia"/>
          <w:sz w:val="28"/>
          <w:szCs w:val="28"/>
          <w:lang w:eastAsia="zh-CN"/>
        </w:rPr>
        <w:t xml:space="preserve">        </w:t>
      </w:r>
      <w:r>
        <w:rPr>
          <w:rFonts w:hint="eastAsia" w:ascii="仿宋_GB2312" w:eastAsia="仿宋_GB2312" w:hAnsiTheme="minorEastAsia" w:cstheme="minorEastAsia"/>
          <w:sz w:val="28"/>
          <w:szCs w:val="28"/>
        </w:rPr>
        <w:t>】：</w:t>
      </w:r>
    </w:p>
    <w:p w14:paraId="1782A7BA">
      <w:pPr>
        <w:autoSpaceDE w:val="0"/>
        <w:autoSpaceDN w:val="0"/>
        <w:adjustRightInd w:val="0"/>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我公司参加贵司【</w:t>
      </w:r>
      <w:r>
        <w:rPr>
          <w:rFonts w:hint="eastAsia" w:ascii="仿宋_GB2312" w:eastAsia="仿宋_GB2312" w:hAnsiTheme="minorEastAsia" w:cstheme="minorEastAsia"/>
          <w:sz w:val="28"/>
          <w:szCs w:val="28"/>
          <w:lang w:eastAsia="zh-CN"/>
        </w:rPr>
        <w:t>广西泛铝件先进制造（迁江）基地一期A区工程市政工程专业分包</w:t>
      </w:r>
      <w:r>
        <w:rPr>
          <w:rFonts w:hint="eastAsia" w:ascii="仿宋_GB2312" w:eastAsia="仿宋_GB2312" w:hAnsiTheme="minorEastAsia" w:cstheme="minorEastAsia"/>
          <w:sz w:val="28"/>
          <w:szCs w:val="28"/>
        </w:rPr>
        <w:t>】工程投标并已中标，为更好地完成合同约定的工作内容，我公司承诺如下：</w:t>
      </w:r>
    </w:p>
    <w:p w14:paraId="32140CD6">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1.我公司严格执行国家、当地政府部门的法规、政策及总承包单位规章制度，依法进行用工管理，不搞挂靠和接受挂靠，不使用小包工队伍和未培训的社会闲散人员。</w:t>
      </w:r>
    </w:p>
    <w:p w14:paraId="46FD2B36">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2.依法与劳动者本人签订书面劳动合同，明确双方的权利和义务，并经双方签字（章）认可，合同文本同时报甲方项目部备案。</w:t>
      </w:r>
    </w:p>
    <w:p w14:paraId="1CC110BA">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3.我公司对员工实施实名制管理，做好工人的基本信息采集和考勤工作，并及时报总包项目部。</w:t>
      </w:r>
    </w:p>
    <w:p w14:paraId="56BCA9E7">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4.我公司使用劳务工人保证做到先培训，后上岗，持证上岗。</w:t>
      </w:r>
    </w:p>
    <w:p w14:paraId="3EF2E68A">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5.按时足额发放工资（包括现场施工工人及劳务用工、农民工等所有用工，以下均简称“员工工资”），不管在任何情况下，决不拖欠员工工资，每次发放员工工资经员工本人签字。</w:t>
      </w:r>
    </w:p>
    <w:p w14:paraId="22CC2404">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6.接受贵司的监督与管理。执行贵司对用工和员工工资支付的相关规定，按时足额缴纳员工工资保障基金，做好员工工资支付工作。并将员工工资支付情况统计表报送总承包方。</w:t>
      </w:r>
    </w:p>
    <w:p w14:paraId="7859C928">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7.在有条件的地区，委托总承包方在银行开设“工资专户”，建立工资卡，由银行代发员工工资，将员工工资直接打入员工个人卡中，并接受总包方对“工资专户”资金使用情况的监督管理。</w:t>
      </w:r>
    </w:p>
    <w:p w14:paraId="6B43547D">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8.发生资金矛盾时，无条件先行支付员工工资。</w:t>
      </w:r>
    </w:p>
    <w:p w14:paraId="6C60E6D5">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9.若拖欠员工工资，贵司有权直接终止分包合同，并按照分包合同的约定承担违约金。</w:t>
      </w:r>
    </w:p>
    <w:p w14:paraId="25558002">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10.我公司严格遵守总承包方安全管理规章制度，履行安全生产协议，做好劳务工人安全教育培训工作，接受贵司安全生产监督检查并承担相应的责任。</w:t>
      </w:r>
    </w:p>
    <w:p w14:paraId="061CD64A">
      <w:pPr>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11.我司根据贵司要求，进入施工现场的所有人员，按照总承包方规定要求，按照实名制要求做好基本信息采集工作，办理门禁卡，无门禁卡的人员，贵司有权拒绝其进入施工现场。</w:t>
      </w:r>
    </w:p>
    <w:p w14:paraId="281AC95E">
      <w:pPr>
        <w:autoSpaceDE w:val="0"/>
        <w:autoSpaceDN w:val="0"/>
        <w:adjustRightIn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12.在合同实施过程中因建设单位、政策性因素、不可抗力、瘟疫等其他原因造成工程停建、缓建或工期延后，我公司不向贵司提出索赔。</w:t>
      </w:r>
    </w:p>
    <w:p w14:paraId="7743F3E0">
      <w:pPr>
        <w:autoSpaceDE w:val="0"/>
        <w:autoSpaceDN w:val="0"/>
        <w:adjustRightInd w:val="0"/>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13.我公司从贵司收取的工程款首先支付工人工资，并每月将发放的劳务人员工资回执单上报贵司，如每月不按时上报，贵司可不支付下月工程款。如果出现我方范围内农民工、供货商经济纠纷事件干扰贵司正常工作或相关部门要求贵司解决，我方将及时解决，如半天内未解决，在第三方证明下或相关政府部门要求下，贵司可直接代为垫付，由此发生的费用贵司可直接自应支付我司的款项中扣除，并且按垫付数额的2倍由我司向贵司支付违约金。</w:t>
      </w:r>
    </w:p>
    <w:p w14:paraId="41615566">
      <w:pPr>
        <w:widowControl/>
        <w:spacing w:line="480" w:lineRule="exact"/>
        <w:ind w:firstLine="560" w:firstLineChars="200"/>
        <w:rPr>
          <w:rFonts w:ascii="仿宋_GB2312" w:eastAsia="仿宋_GB2312" w:hAnsiTheme="minorEastAsia" w:cstheme="minorEastAsia"/>
          <w:kern w:val="0"/>
          <w:sz w:val="28"/>
          <w:szCs w:val="28"/>
        </w:rPr>
      </w:pPr>
      <w:r>
        <w:rPr>
          <w:rFonts w:hint="eastAsia" w:ascii="仿宋_GB2312" w:eastAsia="仿宋_GB2312" w:hAnsiTheme="minorEastAsia" w:cstheme="minorEastAsia"/>
          <w:kern w:val="0"/>
          <w:sz w:val="28"/>
          <w:szCs w:val="28"/>
        </w:rPr>
        <w:t>14.我公司具有完成合同所有内容的垫资能力，如贵司对我公司付款不及时，我公司表示谅解，并承诺继续施工，不向贵司索赔任何费用。</w:t>
      </w:r>
    </w:p>
    <w:p w14:paraId="030A3EF6">
      <w:pPr>
        <w:autoSpaceDE w:val="0"/>
        <w:autoSpaceDN w:val="0"/>
        <w:adjustRightInd w:val="0"/>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 xml:space="preserve">15.本合同履行过程中，若由于现场实际情况、贵司或建设单位要求，需要抢工或提前完工的，我公司积极配合，不以费用未确定等任何借口拒绝或拖延执行；若我公司施工能力无法满足前述要求，贵司有权组织其他单位代我公司完成，我公司将提供配合并承担由此产生的费用（包括但不限于代为完成部分工程款（该部分工程款由贵司直接与代为完成者直接结算，我公司对结算结果完全予以认可）及贵司管理费等），此费用由贵司从我公司工程款中扣除。 </w:t>
      </w:r>
    </w:p>
    <w:p w14:paraId="242D806E">
      <w:pPr>
        <w:autoSpaceDE w:val="0"/>
        <w:autoSpaceDN w:val="0"/>
        <w:adjustRightInd w:val="0"/>
        <w:spacing w:line="480" w:lineRule="exact"/>
        <w:ind w:firstLine="560" w:firstLineChars="200"/>
        <w:rPr>
          <w:rFonts w:ascii="仿宋_GB2312" w:eastAsia="仿宋_GB2312" w:hAnsiTheme="minorEastAsia" w:cstheme="minorEastAsia"/>
          <w:sz w:val="28"/>
          <w:szCs w:val="28"/>
        </w:rPr>
      </w:pPr>
    </w:p>
    <w:p w14:paraId="79DC2C81">
      <w:pPr>
        <w:autoSpaceDE w:val="0"/>
        <w:autoSpaceDN w:val="0"/>
        <w:adjustRightInd w:val="0"/>
        <w:spacing w:line="480" w:lineRule="exact"/>
        <w:ind w:firstLine="560" w:firstLineChars="200"/>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特此承诺。</w:t>
      </w:r>
    </w:p>
    <w:p w14:paraId="11CAFDD4">
      <w:pPr>
        <w:snapToGrid w:val="0"/>
        <w:spacing w:line="480" w:lineRule="exact"/>
        <w:ind w:right="840" w:firstLine="280" w:firstLineChars="100"/>
        <w:jc w:val="right"/>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承诺单位（签字盖章）：</w:t>
      </w:r>
    </w:p>
    <w:p w14:paraId="6AAAFB2A">
      <w:pPr>
        <w:spacing w:line="480" w:lineRule="exact"/>
        <w:ind w:right="1120"/>
        <w:jc w:val="right"/>
        <w:rPr>
          <w:rFonts w:ascii="仿宋_GB2312" w:eastAsia="仿宋_GB2312" w:hAnsiTheme="minorEastAsia" w:cstheme="minorEastAsia"/>
          <w:sz w:val="28"/>
          <w:szCs w:val="28"/>
        </w:rPr>
      </w:pPr>
      <w:r>
        <w:rPr>
          <w:rFonts w:hint="eastAsia" w:ascii="仿宋_GB2312" w:eastAsia="仿宋_GB2312" w:hAnsiTheme="minorEastAsia" w:cstheme="minorEastAsia"/>
          <w:sz w:val="28"/>
          <w:szCs w:val="28"/>
        </w:rPr>
        <w:t>年    月    日</w:t>
      </w:r>
    </w:p>
    <w:p w14:paraId="26126DDF">
      <w:pPr>
        <w:spacing w:line="480" w:lineRule="exact"/>
        <w:ind w:firstLine="480" w:firstLineChars="200"/>
        <w:rPr>
          <w:rFonts w:hint="eastAsia" w:asciiTheme="minorEastAsia" w:hAnsiTheme="minorEastAsia" w:cstheme="minorEastAsia"/>
          <w:b/>
          <w:sz w:val="24"/>
          <w:highlight w:val="none"/>
        </w:rPr>
      </w:pPr>
    </w:p>
    <w:p w14:paraId="53FD9A86">
      <w:pPr>
        <w:spacing w:line="480" w:lineRule="exact"/>
        <w:ind w:firstLine="480" w:firstLineChars="200"/>
        <w:rPr>
          <w:rFonts w:hint="eastAsia" w:asciiTheme="minorEastAsia" w:hAnsiTheme="minorEastAsia" w:cstheme="minorEastAsia"/>
          <w:b/>
          <w:sz w:val="24"/>
          <w:highlight w:val="none"/>
        </w:rPr>
      </w:pPr>
    </w:p>
    <w:p w14:paraId="6EA7E53A">
      <w:pPr>
        <w:spacing w:line="480" w:lineRule="exact"/>
        <w:ind w:firstLine="480" w:firstLineChars="200"/>
        <w:rPr>
          <w:rFonts w:hint="eastAsia" w:asciiTheme="minorEastAsia" w:hAnsiTheme="minorEastAsia" w:cstheme="minorEastAsia"/>
          <w:b/>
          <w:sz w:val="24"/>
          <w:highlight w:val="none"/>
        </w:rPr>
      </w:pPr>
    </w:p>
    <w:p w14:paraId="2A2A24FE">
      <w:pPr>
        <w:spacing w:line="480" w:lineRule="exact"/>
        <w:ind w:firstLine="480" w:firstLineChars="200"/>
        <w:rPr>
          <w:rFonts w:hint="eastAsia" w:asciiTheme="minorEastAsia" w:hAnsiTheme="minorEastAsia" w:cstheme="minorEastAsia"/>
          <w:b/>
          <w:sz w:val="24"/>
          <w:highlight w:val="none"/>
        </w:rPr>
      </w:pPr>
    </w:p>
    <w:p w14:paraId="58B67C9B">
      <w:pPr>
        <w:spacing w:line="480" w:lineRule="exact"/>
        <w:ind w:firstLine="480" w:firstLineChars="200"/>
        <w:rPr>
          <w:rFonts w:hint="eastAsia" w:asciiTheme="minorEastAsia" w:hAnsiTheme="minorEastAsia" w:cstheme="minorEastAsia"/>
          <w:b/>
          <w:sz w:val="24"/>
          <w:highlight w:val="none"/>
        </w:rPr>
      </w:pPr>
    </w:p>
    <w:p w14:paraId="582E3F41">
      <w:pPr>
        <w:pStyle w:val="5"/>
        <w:bidi w:val="0"/>
        <w:rPr>
          <w:rFonts w:hint="eastAsia"/>
          <w:lang w:val="en-US" w:eastAsia="zh-CN"/>
        </w:rPr>
      </w:pPr>
      <w:bookmarkStart w:id="921" w:name="_Toc20308"/>
      <w:r>
        <w:rPr>
          <w:rFonts w:hint="eastAsia"/>
          <w:lang w:val="en-US" w:eastAsia="zh-CN"/>
        </w:rPr>
        <w:t>附件15 材料品牌表</w:t>
      </w:r>
      <w:bookmarkEnd w:id="921"/>
    </w:p>
    <w:tbl>
      <w:tblPr>
        <w:tblStyle w:val="26"/>
        <w:tblW w:w="97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83"/>
        <w:gridCol w:w="2905"/>
        <w:gridCol w:w="3253"/>
        <w:gridCol w:w="2157"/>
      </w:tblGrid>
      <w:tr w14:paraId="12C32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85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E5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设备一材料名称</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12A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品牌名称</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60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4F49B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97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2CC4B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一、土建装饰类</w:t>
            </w:r>
          </w:p>
        </w:tc>
      </w:tr>
      <w:tr w14:paraId="4D71D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8C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43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石膏板/轻钢龙骨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0EA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2AFE">
            <w:pPr>
              <w:jc w:val="center"/>
              <w:rPr>
                <w:rFonts w:hint="eastAsia" w:ascii="宋体" w:hAnsi="宋体" w:eastAsia="宋体" w:cs="宋体"/>
                <w:i w:val="0"/>
                <w:iCs w:val="0"/>
                <w:color w:val="000000"/>
                <w:sz w:val="21"/>
                <w:szCs w:val="21"/>
                <w:u w:val="none"/>
              </w:rPr>
            </w:pPr>
          </w:p>
        </w:tc>
      </w:tr>
      <w:tr w14:paraId="3BC31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9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EE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矿棉板吊顶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5C4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31E18">
            <w:pPr>
              <w:jc w:val="center"/>
              <w:rPr>
                <w:rFonts w:hint="eastAsia" w:ascii="宋体" w:hAnsi="宋体" w:eastAsia="宋体" w:cs="宋体"/>
                <w:i w:val="0"/>
                <w:iCs w:val="0"/>
                <w:color w:val="000000"/>
                <w:sz w:val="21"/>
                <w:szCs w:val="21"/>
                <w:u w:val="none"/>
              </w:rPr>
            </w:pPr>
          </w:p>
        </w:tc>
      </w:tr>
      <w:tr w14:paraId="173DF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10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24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浴厕隔断</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B7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32D7">
            <w:pPr>
              <w:jc w:val="center"/>
              <w:rPr>
                <w:rFonts w:hint="eastAsia" w:ascii="宋体" w:hAnsi="宋体" w:eastAsia="宋体" w:cs="宋体"/>
                <w:i w:val="0"/>
                <w:iCs w:val="0"/>
                <w:color w:val="000000"/>
                <w:sz w:val="21"/>
                <w:szCs w:val="21"/>
                <w:u w:val="none"/>
              </w:rPr>
            </w:pPr>
          </w:p>
        </w:tc>
      </w:tr>
      <w:tr w14:paraId="493CA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A1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1A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铝合金窗</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DEB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925E">
            <w:pPr>
              <w:jc w:val="center"/>
              <w:rPr>
                <w:rFonts w:hint="eastAsia" w:ascii="宋体" w:hAnsi="宋体" w:eastAsia="宋体" w:cs="宋体"/>
                <w:i w:val="0"/>
                <w:iCs w:val="0"/>
                <w:color w:val="000000"/>
                <w:sz w:val="21"/>
                <w:szCs w:val="21"/>
                <w:u w:val="none"/>
              </w:rPr>
            </w:pPr>
          </w:p>
        </w:tc>
      </w:tr>
      <w:tr w14:paraId="054E0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B2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72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工业提升门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FC5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053E">
            <w:pPr>
              <w:jc w:val="center"/>
              <w:rPr>
                <w:rFonts w:hint="eastAsia" w:ascii="宋体" w:hAnsi="宋体" w:eastAsia="宋体" w:cs="宋体"/>
                <w:i w:val="0"/>
                <w:iCs w:val="0"/>
                <w:color w:val="000000"/>
                <w:sz w:val="21"/>
                <w:szCs w:val="21"/>
                <w:u w:val="none"/>
              </w:rPr>
            </w:pPr>
          </w:p>
        </w:tc>
      </w:tr>
      <w:tr w14:paraId="5609D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FB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02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卷帘门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33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9DA6">
            <w:pPr>
              <w:jc w:val="center"/>
              <w:rPr>
                <w:rFonts w:hint="eastAsia" w:ascii="宋体" w:hAnsi="宋体" w:eastAsia="宋体" w:cs="宋体"/>
                <w:i w:val="0"/>
                <w:iCs w:val="0"/>
                <w:color w:val="000000"/>
                <w:sz w:val="21"/>
                <w:szCs w:val="21"/>
                <w:u w:val="none"/>
              </w:rPr>
            </w:pPr>
          </w:p>
        </w:tc>
      </w:tr>
      <w:tr w14:paraId="52D07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97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0C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防火门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D1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71077">
            <w:pPr>
              <w:jc w:val="left"/>
              <w:rPr>
                <w:rFonts w:hint="eastAsia" w:ascii="宋体" w:hAnsi="宋体" w:eastAsia="宋体" w:cs="宋体"/>
                <w:i w:val="0"/>
                <w:iCs w:val="0"/>
                <w:color w:val="000000"/>
                <w:sz w:val="21"/>
                <w:szCs w:val="21"/>
                <w:u w:val="none"/>
              </w:rPr>
            </w:pPr>
          </w:p>
        </w:tc>
      </w:tr>
      <w:tr w14:paraId="05AAC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A0A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7A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防盗门、室内进户门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A5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EE96">
            <w:pPr>
              <w:jc w:val="center"/>
              <w:rPr>
                <w:rFonts w:hint="eastAsia" w:ascii="宋体" w:hAnsi="宋体" w:eastAsia="宋体" w:cs="宋体"/>
                <w:i w:val="0"/>
                <w:iCs w:val="0"/>
                <w:color w:val="000000"/>
                <w:sz w:val="21"/>
                <w:szCs w:val="21"/>
                <w:u w:val="none"/>
              </w:rPr>
            </w:pPr>
          </w:p>
        </w:tc>
      </w:tr>
      <w:tr w14:paraId="03FE8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A1B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58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门五金配件(地弹簧、合页、门把手、门夹、闭门器等)</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56B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D700">
            <w:pPr>
              <w:jc w:val="center"/>
              <w:rPr>
                <w:rFonts w:hint="eastAsia" w:ascii="宋体" w:hAnsi="宋体" w:eastAsia="宋体" w:cs="宋体"/>
                <w:i w:val="0"/>
                <w:iCs w:val="0"/>
                <w:color w:val="000000"/>
                <w:sz w:val="21"/>
                <w:szCs w:val="21"/>
                <w:u w:val="none"/>
              </w:rPr>
            </w:pPr>
          </w:p>
        </w:tc>
      </w:tr>
      <w:tr w14:paraId="02985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C2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85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涂料</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537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4B2E">
            <w:pPr>
              <w:jc w:val="center"/>
              <w:rPr>
                <w:rFonts w:hint="eastAsia" w:ascii="宋体" w:hAnsi="宋体" w:eastAsia="宋体" w:cs="宋体"/>
                <w:i w:val="0"/>
                <w:iCs w:val="0"/>
                <w:color w:val="000000"/>
                <w:sz w:val="21"/>
                <w:szCs w:val="21"/>
                <w:u w:val="none"/>
              </w:rPr>
            </w:pPr>
          </w:p>
        </w:tc>
      </w:tr>
      <w:tr w14:paraId="6FFBA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AD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6EE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地砖、墙面砖</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9C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4083">
            <w:pPr>
              <w:jc w:val="center"/>
              <w:rPr>
                <w:rFonts w:hint="eastAsia" w:ascii="宋体" w:hAnsi="宋体" w:eastAsia="宋体" w:cs="宋体"/>
                <w:i w:val="0"/>
                <w:iCs w:val="0"/>
                <w:color w:val="000000"/>
                <w:sz w:val="21"/>
                <w:szCs w:val="21"/>
                <w:u w:val="none"/>
              </w:rPr>
            </w:pPr>
          </w:p>
        </w:tc>
      </w:tr>
      <w:tr w14:paraId="42C0C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C6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9A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钢材、钢管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A44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20A9">
            <w:pPr>
              <w:jc w:val="center"/>
              <w:rPr>
                <w:rFonts w:hint="eastAsia" w:ascii="宋体" w:hAnsi="宋体" w:eastAsia="宋体" w:cs="宋体"/>
                <w:i w:val="0"/>
                <w:iCs w:val="0"/>
                <w:color w:val="000000"/>
                <w:sz w:val="21"/>
                <w:szCs w:val="21"/>
                <w:u w:val="none"/>
              </w:rPr>
            </w:pPr>
          </w:p>
        </w:tc>
      </w:tr>
      <w:tr w14:paraId="28756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B4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43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水泥</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0B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8132">
            <w:pPr>
              <w:jc w:val="center"/>
              <w:rPr>
                <w:rFonts w:hint="eastAsia" w:ascii="宋体" w:hAnsi="宋体" w:eastAsia="宋体" w:cs="宋体"/>
                <w:i w:val="0"/>
                <w:iCs w:val="0"/>
                <w:color w:val="000000"/>
                <w:sz w:val="21"/>
                <w:szCs w:val="21"/>
                <w:u w:val="none"/>
              </w:rPr>
            </w:pPr>
          </w:p>
        </w:tc>
      </w:tr>
      <w:tr w14:paraId="7849D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0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838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外露结构混凝土及环氧涂料，半光饰面</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ED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1EA4">
            <w:pPr>
              <w:jc w:val="center"/>
              <w:rPr>
                <w:rFonts w:hint="eastAsia" w:ascii="宋体" w:hAnsi="宋体" w:eastAsia="宋体" w:cs="宋体"/>
                <w:i w:val="0"/>
                <w:iCs w:val="0"/>
                <w:color w:val="000000"/>
                <w:sz w:val="21"/>
                <w:szCs w:val="21"/>
                <w:u w:val="none"/>
              </w:rPr>
            </w:pPr>
          </w:p>
        </w:tc>
      </w:tr>
      <w:tr w14:paraId="400D7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6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E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防水卷材</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65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A9C8">
            <w:pPr>
              <w:jc w:val="center"/>
              <w:rPr>
                <w:rFonts w:hint="eastAsia" w:ascii="宋体" w:hAnsi="宋体" w:eastAsia="宋体" w:cs="宋体"/>
                <w:i w:val="0"/>
                <w:iCs w:val="0"/>
                <w:color w:val="000000"/>
                <w:sz w:val="21"/>
                <w:szCs w:val="21"/>
                <w:u w:val="none"/>
              </w:rPr>
            </w:pPr>
          </w:p>
        </w:tc>
      </w:tr>
      <w:tr w14:paraId="26871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F34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5E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卫生洁具</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1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F1D5">
            <w:pPr>
              <w:jc w:val="center"/>
              <w:rPr>
                <w:rFonts w:hint="eastAsia" w:ascii="宋体" w:hAnsi="宋体" w:eastAsia="宋体" w:cs="宋体"/>
                <w:i w:val="0"/>
                <w:iCs w:val="0"/>
                <w:color w:val="000000"/>
                <w:sz w:val="21"/>
                <w:szCs w:val="21"/>
                <w:u w:val="none"/>
              </w:rPr>
            </w:pPr>
          </w:p>
        </w:tc>
      </w:tr>
      <w:tr w14:paraId="6F586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8F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B7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水龙头、小便红外感应器、脚踏式冲洗阀等</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2B3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A845">
            <w:pPr>
              <w:jc w:val="left"/>
              <w:rPr>
                <w:rFonts w:hint="eastAsia" w:ascii="宋体" w:hAnsi="宋体" w:eastAsia="宋体" w:cs="宋体"/>
                <w:i w:val="0"/>
                <w:iCs w:val="0"/>
                <w:color w:val="000000"/>
                <w:sz w:val="21"/>
                <w:szCs w:val="21"/>
                <w:u w:val="none"/>
              </w:rPr>
            </w:pPr>
          </w:p>
        </w:tc>
      </w:tr>
      <w:tr w14:paraId="6B159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C8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35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钢结构维护系统</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6B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7ADF">
            <w:pPr>
              <w:jc w:val="center"/>
              <w:rPr>
                <w:rFonts w:hint="eastAsia" w:ascii="宋体" w:hAnsi="宋体" w:eastAsia="宋体" w:cs="宋体"/>
                <w:i w:val="0"/>
                <w:iCs w:val="0"/>
                <w:color w:val="000000"/>
                <w:sz w:val="21"/>
                <w:szCs w:val="21"/>
                <w:u w:val="none"/>
              </w:rPr>
            </w:pPr>
          </w:p>
        </w:tc>
      </w:tr>
      <w:tr w14:paraId="3BCCD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A76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8D0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屋面∕墙面钢板</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98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D8B0">
            <w:pPr>
              <w:jc w:val="center"/>
              <w:rPr>
                <w:rFonts w:hint="eastAsia" w:ascii="宋体" w:hAnsi="宋体" w:eastAsia="宋体" w:cs="宋体"/>
                <w:i w:val="0"/>
                <w:iCs w:val="0"/>
                <w:color w:val="000000"/>
                <w:sz w:val="21"/>
                <w:szCs w:val="21"/>
                <w:u w:val="none"/>
              </w:rPr>
            </w:pPr>
          </w:p>
        </w:tc>
      </w:tr>
      <w:tr w14:paraId="1807C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467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D8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钢结构屋面防水盖片</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1D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0EAE">
            <w:pPr>
              <w:jc w:val="center"/>
              <w:rPr>
                <w:rFonts w:hint="eastAsia" w:ascii="宋体" w:hAnsi="宋体" w:eastAsia="宋体" w:cs="宋体"/>
                <w:i w:val="0"/>
                <w:iCs w:val="0"/>
                <w:color w:val="000000"/>
                <w:sz w:val="21"/>
                <w:szCs w:val="21"/>
                <w:u w:val="none"/>
              </w:rPr>
            </w:pPr>
          </w:p>
        </w:tc>
      </w:tr>
      <w:tr w14:paraId="0056A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61B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14F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保温棉</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F55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3E1EE">
            <w:pPr>
              <w:jc w:val="center"/>
              <w:rPr>
                <w:rFonts w:hint="eastAsia" w:ascii="宋体" w:hAnsi="宋体" w:eastAsia="宋体" w:cs="宋体"/>
                <w:i w:val="0"/>
                <w:iCs w:val="0"/>
                <w:color w:val="000000"/>
                <w:sz w:val="21"/>
                <w:szCs w:val="21"/>
                <w:u w:val="none"/>
              </w:rPr>
            </w:pPr>
          </w:p>
        </w:tc>
      </w:tr>
      <w:tr w14:paraId="34100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3F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D1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屋面采光带</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F8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9001">
            <w:pPr>
              <w:jc w:val="center"/>
              <w:rPr>
                <w:rFonts w:hint="eastAsia" w:ascii="宋体" w:hAnsi="宋体" w:eastAsia="宋体" w:cs="宋体"/>
                <w:i w:val="0"/>
                <w:iCs w:val="0"/>
                <w:color w:val="000000"/>
                <w:sz w:val="21"/>
                <w:szCs w:val="21"/>
                <w:u w:val="none"/>
              </w:rPr>
            </w:pPr>
          </w:p>
        </w:tc>
      </w:tr>
      <w:tr w14:paraId="095CA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12A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60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幕墙耐候胶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21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B7ED0">
            <w:pPr>
              <w:jc w:val="center"/>
              <w:rPr>
                <w:rFonts w:hint="eastAsia" w:ascii="宋体" w:hAnsi="宋体" w:eastAsia="宋体" w:cs="宋体"/>
                <w:i w:val="0"/>
                <w:iCs w:val="0"/>
                <w:color w:val="000000"/>
                <w:sz w:val="21"/>
                <w:szCs w:val="21"/>
                <w:u w:val="none"/>
              </w:rPr>
            </w:pPr>
          </w:p>
        </w:tc>
      </w:tr>
      <w:tr w14:paraId="32810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2F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8C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屋面彩板密封胶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49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2853">
            <w:pPr>
              <w:jc w:val="center"/>
              <w:rPr>
                <w:rFonts w:hint="eastAsia" w:ascii="宋体" w:hAnsi="宋体" w:eastAsia="宋体" w:cs="宋体"/>
                <w:i w:val="0"/>
                <w:iCs w:val="0"/>
                <w:color w:val="000000"/>
                <w:sz w:val="21"/>
                <w:szCs w:val="21"/>
                <w:u w:val="none"/>
              </w:rPr>
            </w:pPr>
          </w:p>
        </w:tc>
      </w:tr>
      <w:tr w14:paraId="51A6F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97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9FC74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二、安装类</w:t>
            </w:r>
          </w:p>
        </w:tc>
      </w:tr>
      <w:tr w14:paraId="27038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11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B7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客梯/无障碍电梯</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B22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日立、通力、奥的斯</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8D982">
            <w:pPr>
              <w:jc w:val="center"/>
              <w:rPr>
                <w:rFonts w:hint="eastAsia" w:ascii="宋体" w:hAnsi="宋体" w:eastAsia="宋体" w:cs="宋体"/>
                <w:i w:val="0"/>
                <w:iCs w:val="0"/>
                <w:color w:val="000000"/>
                <w:sz w:val="21"/>
                <w:szCs w:val="21"/>
                <w:u w:val="none"/>
              </w:rPr>
            </w:pPr>
          </w:p>
        </w:tc>
      </w:tr>
      <w:tr w14:paraId="04BA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73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FC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各类阀门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B2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标一、冠龙、塘沽</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2610">
            <w:pPr>
              <w:jc w:val="center"/>
              <w:rPr>
                <w:rFonts w:hint="eastAsia" w:ascii="宋体" w:hAnsi="宋体" w:eastAsia="宋体" w:cs="宋体"/>
                <w:i w:val="0"/>
                <w:iCs w:val="0"/>
                <w:color w:val="000000"/>
                <w:sz w:val="21"/>
                <w:szCs w:val="21"/>
                <w:u w:val="none"/>
              </w:rPr>
            </w:pPr>
          </w:p>
        </w:tc>
      </w:tr>
      <w:tr w14:paraId="0ED6A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E70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7E7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热镀锌钢管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F4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4011">
            <w:pPr>
              <w:jc w:val="both"/>
              <w:rPr>
                <w:rFonts w:hint="eastAsia" w:ascii="宋体" w:hAnsi="宋体" w:eastAsia="宋体" w:cs="宋体"/>
                <w:i w:val="0"/>
                <w:iCs w:val="0"/>
                <w:color w:val="000000"/>
                <w:sz w:val="21"/>
                <w:szCs w:val="21"/>
                <w:u w:val="none"/>
              </w:rPr>
            </w:pPr>
          </w:p>
        </w:tc>
      </w:tr>
      <w:tr w14:paraId="7DCB8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C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CD0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无缝钢管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EC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EE2A">
            <w:pPr>
              <w:jc w:val="center"/>
              <w:rPr>
                <w:rFonts w:hint="eastAsia" w:ascii="宋体" w:hAnsi="宋体" w:eastAsia="宋体" w:cs="宋体"/>
                <w:i w:val="0"/>
                <w:iCs w:val="0"/>
                <w:color w:val="000000"/>
                <w:sz w:val="21"/>
                <w:szCs w:val="21"/>
                <w:u w:val="none"/>
              </w:rPr>
            </w:pPr>
          </w:p>
        </w:tc>
      </w:tr>
      <w:tr w14:paraId="785C3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F78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0F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离心球墨铸铁管管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8D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0B0E">
            <w:pPr>
              <w:jc w:val="center"/>
              <w:rPr>
                <w:rFonts w:hint="eastAsia" w:ascii="宋体" w:hAnsi="宋体" w:eastAsia="宋体" w:cs="宋体"/>
                <w:i w:val="0"/>
                <w:iCs w:val="0"/>
                <w:color w:val="000000"/>
                <w:sz w:val="21"/>
                <w:szCs w:val="21"/>
                <w:u w:val="none"/>
              </w:rPr>
            </w:pPr>
          </w:p>
        </w:tc>
      </w:tr>
      <w:tr w14:paraId="2C3C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EA0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E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卡箍配件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AD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5F5E0">
            <w:pPr>
              <w:jc w:val="center"/>
              <w:rPr>
                <w:rFonts w:hint="eastAsia" w:ascii="宋体" w:hAnsi="宋体" w:eastAsia="宋体" w:cs="宋体"/>
                <w:i w:val="0"/>
                <w:iCs w:val="0"/>
                <w:color w:val="000000"/>
                <w:sz w:val="21"/>
                <w:szCs w:val="21"/>
                <w:u w:val="none"/>
              </w:rPr>
            </w:pPr>
          </w:p>
        </w:tc>
      </w:tr>
      <w:tr w14:paraId="6F4DF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0DB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C3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湿式报警阀</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8B0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B77B5">
            <w:pPr>
              <w:jc w:val="center"/>
              <w:rPr>
                <w:rFonts w:hint="eastAsia" w:ascii="宋体" w:hAnsi="宋体" w:eastAsia="宋体" w:cs="宋体"/>
                <w:i w:val="0"/>
                <w:iCs w:val="0"/>
                <w:color w:val="000000"/>
                <w:sz w:val="21"/>
                <w:szCs w:val="21"/>
                <w:u w:val="none"/>
              </w:rPr>
            </w:pPr>
          </w:p>
        </w:tc>
      </w:tr>
      <w:tr w14:paraId="4CE1B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A1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5F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地漏</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3F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61D63">
            <w:pPr>
              <w:jc w:val="center"/>
              <w:rPr>
                <w:rFonts w:hint="eastAsia" w:ascii="宋体" w:hAnsi="宋体" w:eastAsia="宋体" w:cs="宋体"/>
                <w:i w:val="0"/>
                <w:iCs w:val="0"/>
                <w:color w:val="000000"/>
                <w:sz w:val="21"/>
                <w:szCs w:val="21"/>
                <w:u w:val="none"/>
              </w:rPr>
            </w:pPr>
          </w:p>
        </w:tc>
      </w:tr>
      <w:tr w14:paraId="159F9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F2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4F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吊顶/壁式排气扇</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E34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上虞、金羚、绿岛风</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2DDC">
            <w:pPr>
              <w:jc w:val="center"/>
              <w:rPr>
                <w:rFonts w:hint="eastAsia" w:ascii="宋体" w:hAnsi="宋体" w:eastAsia="宋体" w:cs="宋体"/>
                <w:i w:val="0"/>
                <w:iCs w:val="0"/>
                <w:color w:val="000000"/>
                <w:sz w:val="21"/>
                <w:szCs w:val="21"/>
                <w:u w:val="none"/>
              </w:rPr>
            </w:pPr>
          </w:p>
        </w:tc>
      </w:tr>
      <w:tr w14:paraId="417F9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25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18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压力表、远传水表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81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标一、冠龙、塘沽</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3619">
            <w:pPr>
              <w:jc w:val="center"/>
              <w:rPr>
                <w:rFonts w:hint="eastAsia" w:ascii="宋体" w:hAnsi="宋体" w:eastAsia="宋体" w:cs="宋体"/>
                <w:i w:val="0"/>
                <w:iCs w:val="0"/>
                <w:color w:val="000000"/>
                <w:sz w:val="21"/>
                <w:szCs w:val="21"/>
                <w:u w:val="none"/>
              </w:rPr>
            </w:pPr>
          </w:p>
        </w:tc>
      </w:tr>
      <w:tr w14:paraId="5B04C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0D5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5C6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消火栓给水钢管及管件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C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友发钢管、金州、利达消防</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20B1">
            <w:pPr>
              <w:jc w:val="center"/>
              <w:rPr>
                <w:rFonts w:hint="eastAsia" w:ascii="宋体" w:hAnsi="宋体" w:eastAsia="宋体" w:cs="宋体"/>
                <w:i w:val="0"/>
                <w:iCs w:val="0"/>
                <w:color w:val="000000"/>
                <w:sz w:val="21"/>
                <w:szCs w:val="21"/>
                <w:u w:val="none"/>
              </w:rPr>
            </w:pPr>
          </w:p>
        </w:tc>
      </w:tr>
      <w:tr w14:paraId="1BC7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11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09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虹吸雨水口/PVC溢流口/侧壁式雨水口</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732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48DB">
            <w:pPr>
              <w:jc w:val="center"/>
              <w:rPr>
                <w:rFonts w:hint="eastAsia" w:ascii="宋体" w:hAnsi="宋体" w:eastAsia="宋体" w:cs="宋体"/>
                <w:i w:val="0"/>
                <w:iCs w:val="0"/>
                <w:color w:val="000000"/>
                <w:sz w:val="21"/>
                <w:szCs w:val="21"/>
                <w:u w:val="none"/>
              </w:rPr>
            </w:pPr>
          </w:p>
        </w:tc>
      </w:tr>
      <w:tr w14:paraId="23890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2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EE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大便器/小便器/台式洗脸盆/污水池</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19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箭牌、惠达、恒洁</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3104">
            <w:pPr>
              <w:jc w:val="center"/>
              <w:rPr>
                <w:rFonts w:hint="eastAsia" w:ascii="宋体" w:hAnsi="宋体" w:eastAsia="宋体" w:cs="宋体"/>
                <w:i w:val="0"/>
                <w:iCs w:val="0"/>
                <w:color w:val="000000"/>
                <w:sz w:val="21"/>
                <w:szCs w:val="21"/>
                <w:u w:val="none"/>
              </w:rPr>
            </w:pPr>
          </w:p>
        </w:tc>
      </w:tr>
      <w:tr w14:paraId="54F66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13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B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PPR给水管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D8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D478">
            <w:pPr>
              <w:jc w:val="center"/>
              <w:rPr>
                <w:rFonts w:hint="eastAsia" w:ascii="宋体" w:hAnsi="宋体" w:eastAsia="宋体" w:cs="宋体"/>
                <w:i w:val="0"/>
                <w:iCs w:val="0"/>
                <w:color w:val="000000"/>
                <w:sz w:val="21"/>
                <w:szCs w:val="21"/>
                <w:u w:val="none"/>
              </w:rPr>
            </w:pPr>
          </w:p>
        </w:tc>
      </w:tr>
      <w:tr w14:paraId="76F04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7C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FD4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PVC—U排水管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77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CE0A">
            <w:pPr>
              <w:jc w:val="center"/>
              <w:rPr>
                <w:rFonts w:hint="eastAsia" w:ascii="宋体" w:hAnsi="宋体" w:eastAsia="宋体" w:cs="宋体"/>
                <w:i w:val="0"/>
                <w:iCs w:val="0"/>
                <w:color w:val="000000"/>
                <w:sz w:val="21"/>
                <w:szCs w:val="21"/>
                <w:u w:val="none"/>
              </w:rPr>
            </w:pPr>
          </w:p>
        </w:tc>
      </w:tr>
      <w:tr w14:paraId="513EE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4B5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6F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HDPE虹吸塑料雨水管及管件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64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CD69">
            <w:pPr>
              <w:jc w:val="center"/>
              <w:rPr>
                <w:rFonts w:hint="eastAsia" w:ascii="宋体" w:hAnsi="宋体" w:eastAsia="宋体" w:cs="宋体"/>
                <w:i w:val="0"/>
                <w:iCs w:val="0"/>
                <w:color w:val="000000"/>
                <w:sz w:val="21"/>
                <w:szCs w:val="21"/>
                <w:u w:val="none"/>
              </w:rPr>
            </w:pPr>
          </w:p>
        </w:tc>
      </w:tr>
      <w:tr w14:paraId="75558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64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68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PE给水管 钢丝骨架塑料复合管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44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75E4">
            <w:pPr>
              <w:jc w:val="both"/>
              <w:rPr>
                <w:rFonts w:hint="eastAsia" w:ascii="宋体" w:hAnsi="宋体" w:eastAsia="宋体" w:cs="宋体"/>
                <w:i w:val="0"/>
                <w:iCs w:val="0"/>
                <w:color w:val="000000"/>
                <w:sz w:val="21"/>
                <w:szCs w:val="21"/>
                <w:u w:val="none"/>
              </w:rPr>
            </w:pPr>
          </w:p>
        </w:tc>
      </w:tr>
      <w:tr w14:paraId="0681A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21E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A7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PE管给水管件 三通、法兰接头、弯头</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E6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6079D">
            <w:pPr>
              <w:rPr>
                <w:rFonts w:hint="eastAsia" w:ascii="宋体" w:hAnsi="宋体" w:eastAsia="宋体" w:cs="宋体"/>
                <w:i w:val="0"/>
                <w:iCs w:val="0"/>
                <w:color w:val="000000"/>
                <w:sz w:val="21"/>
                <w:szCs w:val="21"/>
                <w:u w:val="none"/>
              </w:rPr>
            </w:pPr>
          </w:p>
        </w:tc>
      </w:tr>
      <w:tr w14:paraId="4DD81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8D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55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高低压开关柜</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11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7A92">
            <w:pPr>
              <w:rPr>
                <w:rFonts w:hint="eastAsia" w:ascii="宋体" w:hAnsi="宋体" w:eastAsia="宋体" w:cs="宋体"/>
                <w:i w:val="0"/>
                <w:iCs w:val="0"/>
                <w:color w:val="000000"/>
                <w:sz w:val="21"/>
                <w:szCs w:val="21"/>
                <w:u w:val="none"/>
              </w:rPr>
            </w:pPr>
          </w:p>
        </w:tc>
      </w:tr>
      <w:tr w14:paraId="3420C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DE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21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开关</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8AA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TCL、欧普、雷士</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C542">
            <w:pPr>
              <w:rPr>
                <w:rFonts w:hint="eastAsia" w:ascii="宋体" w:hAnsi="宋体" w:eastAsia="宋体" w:cs="宋体"/>
                <w:i w:val="0"/>
                <w:iCs w:val="0"/>
                <w:color w:val="000000"/>
                <w:sz w:val="21"/>
                <w:szCs w:val="21"/>
                <w:u w:val="none"/>
              </w:rPr>
            </w:pPr>
          </w:p>
        </w:tc>
      </w:tr>
      <w:tr w14:paraId="106A5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7C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5C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厂房屋顶照明灯</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4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飞雕、TCL、三雄极光、佛山照明、欧普</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E942">
            <w:pPr>
              <w:jc w:val="both"/>
              <w:rPr>
                <w:rFonts w:hint="eastAsia" w:ascii="宋体" w:hAnsi="宋体" w:eastAsia="宋体" w:cs="宋体"/>
                <w:i w:val="0"/>
                <w:iCs w:val="0"/>
                <w:color w:val="000000"/>
                <w:sz w:val="21"/>
                <w:szCs w:val="21"/>
                <w:u w:val="none"/>
              </w:rPr>
            </w:pPr>
          </w:p>
        </w:tc>
      </w:tr>
      <w:tr w14:paraId="7452A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B1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6F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桥架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F476">
            <w:pPr>
              <w:jc w:val="center"/>
              <w:rPr>
                <w:rFonts w:hint="eastAsia" w:ascii="宋体" w:hAnsi="宋体" w:eastAsia="宋体" w:cs="宋体"/>
                <w:i w:val="0"/>
                <w:iCs w:val="0"/>
                <w:color w:val="000000"/>
                <w:sz w:val="21"/>
                <w:szCs w:val="21"/>
                <w:u w:val="none"/>
              </w:rPr>
            </w:pP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804B">
            <w:pPr>
              <w:jc w:val="both"/>
              <w:rPr>
                <w:rFonts w:hint="eastAsia" w:ascii="宋体" w:hAnsi="宋体" w:eastAsia="宋体" w:cs="宋体"/>
                <w:i w:val="0"/>
                <w:iCs w:val="0"/>
                <w:color w:val="000000"/>
                <w:sz w:val="21"/>
                <w:szCs w:val="21"/>
                <w:u w:val="none"/>
              </w:rPr>
            </w:pPr>
          </w:p>
        </w:tc>
      </w:tr>
      <w:tr w14:paraId="1AFAD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EA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1F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短路隔离器/感烟探测器/声光警报器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62B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海湾、北大青鸟、泰和安</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E0B9">
            <w:pPr>
              <w:jc w:val="both"/>
              <w:rPr>
                <w:rFonts w:hint="eastAsia" w:ascii="宋体" w:hAnsi="宋体" w:eastAsia="宋体" w:cs="宋体"/>
                <w:i w:val="0"/>
                <w:iCs w:val="0"/>
                <w:color w:val="000000"/>
                <w:sz w:val="21"/>
                <w:szCs w:val="21"/>
                <w:u w:val="none"/>
              </w:rPr>
            </w:pPr>
          </w:p>
        </w:tc>
      </w:tr>
      <w:tr w14:paraId="3BD3E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1B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80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电线/电缆/电缆头</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7B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桂林国际、银杉、纵览</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24B78">
            <w:pPr>
              <w:jc w:val="both"/>
              <w:rPr>
                <w:rFonts w:hint="eastAsia" w:ascii="宋体" w:hAnsi="宋体" w:eastAsia="宋体" w:cs="宋体"/>
                <w:i w:val="0"/>
                <w:iCs w:val="0"/>
                <w:color w:val="000000"/>
                <w:sz w:val="21"/>
                <w:szCs w:val="21"/>
                <w:u w:val="none"/>
              </w:rPr>
            </w:pPr>
          </w:p>
        </w:tc>
      </w:tr>
      <w:tr w14:paraId="28C29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D1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F85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照明电源</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87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正泰、常熟、广特电气</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81C5">
            <w:pPr>
              <w:jc w:val="both"/>
              <w:rPr>
                <w:rFonts w:hint="eastAsia" w:ascii="宋体" w:hAnsi="宋体" w:eastAsia="宋体" w:cs="宋体"/>
                <w:i w:val="0"/>
                <w:iCs w:val="0"/>
                <w:color w:val="000000"/>
                <w:sz w:val="21"/>
                <w:szCs w:val="21"/>
                <w:u w:val="none"/>
              </w:rPr>
            </w:pPr>
          </w:p>
        </w:tc>
      </w:tr>
      <w:tr w14:paraId="1AC05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12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2A8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电桩配电箱</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3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正泰、常熟、广特电气</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2CB7">
            <w:pPr>
              <w:jc w:val="both"/>
              <w:rPr>
                <w:rFonts w:hint="eastAsia" w:ascii="宋体" w:hAnsi="宋体" w:eastAsia="宋体" w:cs="宋体"/>
                <w:i w:val="0"/>
                <w:iCs w:val="0"/>
                <w:color w:val="000000"/>
                <w:sz w:val="21"/>
                <w:szCs w:val="21"/>
                <w:u w:val="none"/>
              </w:rPr>
            </w:pPr>
          </w:p>
        </w:tc>
      </w:tr>
      <w:tr w14:paraId="5EAAA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24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5A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光伏配电箱</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2C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正泰、锦浪、特变电工</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4BE5">
            <w:pPr>
              <w:jc w:val="both"/>
              <w:rPr>
                <w:rFonts w:hint="eastAsia" w:ascii="宋体" w:hAnsi="宋体" w:eastAsia="宋体" w:cs="宋体"/>
                <w:i w:val="0"/>
                <w:iCs w:val="0"/>
                <w:color w:val="000000"/>
                <w:sz w:val="21"/>
                <w:szCs w:val="21"/>
                <w:u w:val="none"/>
              </w:rPr>
            </w:pPr>
          </w:p>
        </w:tc>
      </w:tr>
      <w:tr w14:paraId="7DB95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11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16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光伏逆变器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EFD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正泰、锦浪、特变电工</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A853">
            <w:pPr>
              <w:jc w:val="center"/>
              <w:rPr>
                <w:rFonts w:hint="eastAsia" w:ascii="宋体" w:hAnsi="宋体" w:eastAsia="宋体" w:cs="宋体"/>
                <w:i w:val="0"/>
                <w:iCs w:val="0"/>
                <w:color w:val="000000"/>
                <w:sz w:val="21"/>
                <w:szCs w:val="21"/>
                <w:u w:val="none"/>
              </w:rPr>
            </w:pPr>
          </w:p>
        </w:tc>
      </w:tr>
      <w:tr w14:paraId="42C46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B2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59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其他配电箱</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EC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正泰、常熟、广特电气</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D871">
            <w:pPr>
              <w:jc w:val="both"/>
              <w:rPr>
                <w:rFonts w:hint="eastAsia" w:ascii="宋体" w:hAnsi="宋体" w:eastAsia="宋体" w:cs="宋体"/>
                <w:i w:val="0"/>
                <w:iCs w:val="0"/>
                <w:color w:val="000000"/>
                <w:sz w:val="21"/>
                <w:szCs w:val="21"/>
                <w:u w:val="none"/>
              </w:rPr>
            </w:pPr>
          </w:p>
        </w:tc>
      </w:tr>
      <w:tr w14:paraId="6F4B9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51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DD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变配电房配电箱</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2B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正泰、常熟、广特电气</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439B">
            <w:pPr>
              <w:jc w:val="both"/>
              <w:rPr>
                <w:rFonts w:hint="eastAsia" w:ascii="宋体" w:hAnsi="宋体" w:eastAsia="宋体" w:cs="宋体"/>
                <w:i w:val="0"/>
                <w:iCs w:val="0"/>
                <w:color w:val="000000"/>
                <w:sz w:val="21"/>
                <w:szCs w:val="21"/>
                <w:u w:val="none"/>
              </w:rPr>
            </w:pPr>
          </w:p>
        </w:tc>
      </w:tr>
      <w:tr w14:paraId="45618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E0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6A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行车吊车总配电箱</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81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正泰、常熟、广特电气</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A796">
            <w:pPr>
              <w:jc w:val="both"/>
              <w:rPr>
                <w:rFonts w:hint="eastAsia" w:ascii="宋体" w:hAnsi="宋体" w:eastAsia="宋体" w:cs="宋体"/>
                <w:i w:val="0"/>
                <w:iCs w:val="0"/>
                <w:color w:val="000000"/>
                <w:sz w:val="21"/>
                <w:szCs w:val="21"/>
                <w:u w:val="none"/>
              </w:rPr>
            </w:pPr>
          </w:p>
        </w:tc>
      </w:tr>
      <w:tr w14:paraId="0303D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6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F1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照明手动控制器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43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TCL、欧普、雷士</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0C5BF">
            <w:pPr>
              <w:jc w:val="both"/>
              <w:rPr>
                <w:rFonts w:hint="eastAsia" w:ascii="宋体" w:hAnsi="宋体" w:eastAsia="宋体" w:cs="宋体"/>
                <w:i w:val="0"/>
                <w:iCs w:val="0"/>
                <w:color w:val="000000"/>
                <w:sz w:val="21"/>
                <w:szCs w:val="21"/>
                <w:u w:val="none"/>
              </w:rPr>
            </w:pPr>
          </w:p>
        </w:tc>
      </w:tr>
      <w:tr w14:paraId="7034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EA5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D4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普通五孔插座</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E3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TCL、欧普、雷士</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20BC1">
            <w:pPr>
              <w:jc w:val="both"/>
              <w:rPr>
                <w:rFonts w:hint="eastAsia" w:ascii="宋体" w:hAnsi="宋体" w:eastAsia="宋体" w:cs="宋体"/>
                <w:i w:val="0"/>
                <w:iCs w:val="0"/>
                <w:color w:val="000000"/>
                <w:sz w:val="21"/>
                <w:szCs w:val="21"/>
                <w:u w:val="none"/>
              </w:rPr>
            </w:pPr>
          </w:p>
        </w:tc>
      </w:tr>
      <w:tr w14:paraId="4B379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99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69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消音弯头静压箱</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1D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A997">
            <w:pPr>
              <w:jc w:val="both"/>
              <w:rPr>
                <w:rFonts w:hint="eastAsia" w:ascii="宋体" w:hAnsi="宋体" w:eastAsia="宋体" w:cs="宋体"/>
                <w:i w:val="0"/>
                <w:iCs w:val="0"/>
                <w:color w:val="000000"/>
                <w:sz w:val="21"/>
                <w:szCs w:val="21"/>
                <w:u w:val="none"/>
              </w:rPr>
            </w:pPr>
          </w:p>
        </w:tc>
      </w:tr>
      <w:tr w14:paraId="27327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33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E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消防控制系统主机</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FA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D110">
            <w:pPr>
              <w:jc w:val="both"/>
              <w:rPr>
                <w:rFonts w:hint="eastAsia" w:ascii="宋体" w:hAnsi="宋体" w:eastAsia="宋体" w:cs="宋体"/>
                <w:i w:val="0"/>
                <w:iCs w:val="0"/>
                <w:color w:val="000000"/>
                <w:sz w:val="21"/>
                <w:szCs w:val="21"/>
                <w:u w:val="none"/>
              </w:rPr>
            </w:pPr>
          </w:p>
        </w:tc>
      </w:tr>
      <w:tr w14:paraId="588C3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86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60B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阻燃铜芯导线、双绞线、控制电缆</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58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72C3">
            <w:pPr>
              <w:jc w:val="center"/>
              <w:rPr>
                <w:rFonts w:hint="eastAsia" w:ascii="宋体" w:hAnsi="宋体" w:eastAsia="宋体" w:cs="宋体"/>
                <w:i w:val="0"/>
                <w:iCs w:val="0"/>
                <w:color w:val="000000"/>
                <w:sz w:val="21"/>
                <w:szCs w:val="21"/>
                <w:u w:val="none"/>
              </w:rPr>
            </w:pPr>
          </w:p>
        </w:tc>
      </w:tr>
      <w:tr w14:paraId="66F46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F8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BA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无缝钢管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B0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ECF4E">
            <w:pPr>
              <w:jc w:val="center"/>
              <w:rPr>
                <w:rFonts w:hint="eastAsia" w:ascii="宋体" w:hAnsi="宋体" w:eastAsia="宋体" w:cs="宋体"/>
                <w:i w:val="0"/>
                <w:iCs w:val="0"/>
                <w:color w:val="000000"/>
                <w:sz w:val="21"/>
                <w:szCs w:val="21"/>
                <w:u w:val="none"/>
              </w:rPr>
            </w:pPr>
          </w:p>
        </w:tc>
      </w:tr>
      <w:tr w14:paraId="18D6C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AF7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F1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热镀锌管DN65~200</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FDB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C142">
            <w:pPr>
              <w:jc w:val="center"/>
              <w:rPr>
                <w:rFonts w:hint="eastAsia" w:ascii="宋体" w:hAnsi="宋体" w:eastAsia="宋体" w:cs="宋体"/>
                <w:i w:val="0"/>
                <w:iCs w:val="0"/>
                <w:color w:val="000000"/>
                <w:sz w:val="21"/>
                <w:szCs w:val="21"/>
                <w:u w:val="none"/>
              </w:rPr>
            </w:pPr>
          </w:p>
        </w:tc>
      </w:tr>
      <w:tr w14:paraId="5BF3E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758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5C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沟槽管件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66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98F9">
            <w:pPr>
              <w:jc w:val="center"/>
              <w:rPr>
                <w:rFonts w:hint="eastAsia" w:ascii="宋体" w:hAnsi="宋体" w:eastAsia="宋体" w:cs="宋体"/>
                <w:i w:val="0"/>
                <w:iCs w:val="0"/>
                <w:color w:val="000000"/>
                <w:sz w:val="21"/>
                <w:szCs w:val="21"/>
                <w:u w:val="none"/>
              </w:rPr>
            </w:pPr>
          </w:p>
        </w:tc>
      </w:tr>
      <w:tr w14:paraId="00BC5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8A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D94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丝接管件</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E6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0E77">
            <w:pPr>
              <w:jc w:val="center"/>
              <w:rPr>
                <w:rFonts w:hint="eastAsia" w:ascii="宋体" w:hAnsi="宋体" w:eastAsia="宋体" w:cs="宋体"/>
                <w:i w:val="0"/>
                <w:iCs w:val="0"/>
                <w:color w:val="000000"/>
                <w:sz w:val="21"/>
                <w:szCs w:val="21"/>
                <w:u w:val="none"/>
              </w:rPr>
            </w:pPr>
          </w:p>
        </w:tc>
      </w:tr>
      <w:tr w14:paraId="57260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A3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F17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水泵</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30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EA60">
            <w:pPr>
              <w:jc w:val="center"/>
              <w:rPr>
                <w:rFonts w:hint="eastAsia" w:ascii="宋体" w:hAnsi="宋体" w:eastAsia="宋体" w:cs="宋体"/>
                <w:i w:val="0"/>
                <w:iCs w:val="0"/>
                <w:color w:val="000000"/>
                <w:sz w:val="21"/>
                <w:szCs w:val="21"/>
                <w:u w:val="none"/>
              </w:rPr>
            </w:pPr>
          </w:p>
        </w:tc>
      </w:tr>
      <w:tr w14:paraId="602BF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BEB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00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太阳能电池板</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CD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正泰、锦浪、特变电工</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B42B">
            <w:pPr>
              <w:jc w:val="center"/>
              <w:rPr>
                <w:rFonts w:hint="eastAsia" w:ascii="宋体" w:hAnsi="宋体" w:eastAsia="宋体" w:cs="宋体"/>
                <w:i w:val="0"/>
                <w:iCs w:val="0"/>
                <w:color w:val="000000"/>
                <w:sz w:val="21"/>
                <w:szCs w:val="21"/>
                <w:u w:val="none"/>
              </w:rPr>
            </w:pPr>
          </w:p>
        </w:tc>
      </w:tr>
      <w:tr w14:paraId="734D6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84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53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单口网络插座</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1E6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TCL、西蒙、公牛</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0D85C">
            <w:pPr>
              <w:jc w:val="center"/>
              <w:rPr>
                <w:rFonts w:hint="eastAsia" w:ascii="宋体" w:hAnsi="宋体" w:eastAsia="宋体" w:cs="宋体"/>
                <w:i w:val="0"/>
                <w:iCs w:val="0"/>
                <w:color w:val="000000"/>
                <w:sz w:val="21"/>
                <w:szCs w:val="21"/>
                <w:u w:val="none"/>
              </w:rPr>
            </w:pPr>
          </w:p>
        </w:tc>
      </w:tr>
      <w:tr w14:paraId="7B2CC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CB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DF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混凝土排水管</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E9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联塑、雄塑、五一</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806D">
            <w:pPr>
              <w:jc w:val="center"/>
              <w:rPr>
                <w:rFonts w:hint="eastAsia" w:ascii="宋体" w:hAnsi="宋体" w:eastAsia="宋体" w:cs="宋体"/>
                <w:i w:val="0"/>
                <w:iCs w:val="0"/>
                <w:color w:val="000000"/>
                <w:sz w:val="21"/>
                <w:szCs w:val="21"/>
                <w:u w:val="none"/>
              </w:rPr>
            </w:pPr>
          </w:p>
        </w:tc>
      </w:tr>
      <w:tr w14:paraId="2BACC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74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4F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室内消火栓</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5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白云、金盾、胜捷</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F4F1">
            <w:pPr>
              <w:jc w:val="center"/>
              <w:rPr>
                <w:rFonts w:hint="eastAsia" w:ascii="宋体" w:hAnsi="宋体" w:eastAsia="宋体" w:cs="宋体"/>
                <w:i w:val="0"/>
                <w:iCs w:val="0"/>
                <w:color w:val="000000"/>
                <w:sz w:val="21"/>
                <w:szCs w:val="21"/>
                <w:u w:val="none"/>
              </w:rPr>
            </w:pPr>
          </w:p>
        </w:tc>
      </w:tr>
      <w:tr w14:paraId="5AE5B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4FC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E0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光纤配线架、光纤交换机</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82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华为、中兴、锐捷</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D0AD3">
            <w:pPr>
              <w:jc w:val="center"/>
              <w:rPr>
                <w:rFonts w:hint="eastAsia" w:ascii="宋体" w:hAnsi="宋体" w:eastAsia="宋体" w:cs="宋体"/>
                <w:i w:val="0"/>
                <w:iCs w:val="0"/>
                <w:color w:val="000000"/>
                <w:sz w:val="21"/>
                <w:szCs w:val="21"/>
                <w:u w:val="none"/>
              </w:rPr>
            </w:pPr>
          </w:p>
        </w:tc>
      </w:tr>
      <w:tr w14:paraId="3B3AE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DB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6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手提式干粉灭火器</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EB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白云、金盾、胜捷</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5F251">
            <w:pPr>
              <w:jc w:val="center"/>
              <w:rPr>
                <w:rFonts w:hint="eastAsia" w:ascii="宋体" w:hAnsi="宋体" w:eastAsia="宋体" w:cs="宋体"/>
                <w:i w:val="0"/>
                <w:iCs w:val="0"/>
                <w:color w:val="000000"/>
                <w:sz w:val="21"/>
                <w:szCs w:val="21"/>
                <w:u w:val="none"/>
              </w:rPr>
            </w:pPr>
          </w:p>
        </w:tc>
      </w:tr>
      <w:tr w14:paraId="6FAF4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5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27E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路灯</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75E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飞利浦、欧司朗、科瑞、日亚</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F73E">
            <w:pPr>
              <w:jc w:val="center"/>
              <w:rPr>
                <w:rFonts w:hint="eastAsia" w:ascii="宋体" w:hAnsi="宋体" w:eastAsia="宋体" w:cs="宋体"/>
                <w:i w:val="0"/>
                <w:iCs w:val="0"/>
                <w:color w:val="000000"/>
                <w:sz w:val="21"/>
                <w:szCs w:val="21"/>
                <w:u w:val="none"/>
              </w:rPr>
            </w:pPr>
          </w:p>
        </w:tc>
      </w:tr>
      <w:tr w14:paraId="0298C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DF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2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B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光纤</w:t>
            </w:r>
          </w:p>
        </w:tc>
        <w:tc>
          <w:tcPr>
            <w:tcW w:w="3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84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大唐电信、普天、一舟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1F2A">
            <w:pPr>
              <w:rPr>
                <w:rFonts w:hint="eastAsia" w:ascii="宋体" w:hAnsi="宋体" w:eastAsia="宋体" w:cs="宋体"/>
                <w:i w:val="0"/>
                <w:iCs w:val="0"/>
                <w:color w:val="000000"/>
                <w:sz w:val="22"/>
                <w:szCs w:val="22"/>
                <w:u w:val="none"/>
              </w:rPr>
            </w:pPr>
          </w:p>
        </w:tc>
      </w:tr>
    </w:tbl>
    <w:p w14:paraId="5F75116F">
      <w:pPr>
        <w:spacing w:line="480" w:lineRule="exact"/>
        <w:ind w:firstLine="480" w:firstLineChars="200"/>
        <w:rPr>
          <w:rFonts w:hint="default" w:asciiTheme="minorEastAsia" w:hAnsiTheme="minorEastAsia" w:cstheme="minorEastAsia"/>
          <w:b/>
          <w:sz w:val="24"/>
          <w:highlight w:val="none"/>
          <w:lang w:val="en-US" w:eastAsia="zh-CN"/>
        </w:rPr>
      </w:pPr>
    </w:p>
    <w:p w14:paraId="262AB20B">
      <w:pPr>
        <w:spacing w:line="480" w:lineRule="exact"/>
        <w:jc w:val="center"/>
        <w:rPr>
          <w:rFonts w:hint="eastAsia" w:ascii="宋体" w:hAnsi="宋体" w:eastAsia="宋体"/>
          <w:b/>
          <w:bCs/>
          <w:color w:val="auto"/>
          <w:sz w:val="36"/>
          <w:szCs w:val="36"/>
          <w:highlight w:val="none"/>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14:paraId="6A64834E">
      <w:pPr>
        <w:spacing w:line="480" w:lineRule="exact"/>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966E198">
      <w:pPr>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（详见图纸）</w:t>
      </w:r>
    </w:p>
    <w:p w14:paraId="1226EF9E">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的比选申请文件，进入技术、价格评审采用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w:t>
      </w:r>
      <w:r>
        <w:rPr>
          <w:rFonts w:hint="eastAsia" w:ascii="宋体" w:hAnsi="宋体" w:eastAsia="宋体"/>
          <w:b/>
          <w:bCs/>
          <w:color w:val="auto"/>
          <w:sz w:val="24"/>
          <w:szCs w:val="24"/>
          <w:highlight w:val="none"/>
          <w:u w:val="single"/>
          <w:lang w:eastAsia="zh-CN"/>
        </w:rPr>
        <w:t>（（技术标总得分的60%（含）为及格，技术得分合格不足3家比选人的情况视为流标)</w:t>
      </w:r>
      <w:r>
        <w:rPr>
          <w:rFonts w:hint="eastAsia" w:ascii="宋体" w:hAnsi="宋体" w:eastAsia="宋体"/>
          <w:b/>
          <w:bCs/>
          <w:color w:val="auto"/>
          <w:sz w:val="24"/>
          <w:szCs w:val="24"/>
          <w:highlight w:val="none"/>
          <w:u w:val="single"/>
        </w:rPr>
        <w:t>，价格得分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922" w:name="_Hlk36511445"/>
      <w:r>
        <w:rPr>
          <w:rFonts w:hint="eastAsia" w:ascii="宋体" w:hAnsi="宋体" w:eastAsia="宋体"/>
          <w:color w:val="auto"/>
          <w:sz w:val="24"/>
          <w:szCs w:val="24"/>
          <w:highlight w:val="none"/>
        </w:rPr>
        <w:t>比选申请报价清单如有漏项的比选申请文件，将予以否决。</w:t>
      </w:r>
      <w:bookmarkEnd w:id="922"/>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265325B">
      <w:pPr>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1FE2F1DE">
      <w:pPr>
        <w:spacing w:line="480" w:lineRule="exact"/>
        <w:ind w:firstLine="480" w:firstLineChars="200"/>
        <w:rPr>
          <w:rFonts w:hint="eastAsia" w:ascii="宋体" w:hAnsi="宋体" w:eastAsia="宋体"/>
          <w:color w:val="auto"/>
          <w:sz w:val="24"/>
          <w:szCs w:val="24"/>
          <w:highlight w:val="none"/>
        </w:rPr>
      </w:pPr>
      <w:r>
        <w:rPr>
          <w:rFonts w:hint="eastAsia" w:ascii="Calibri" w:hAnsi="Calibri" w:eastAsia="宋体" w:cs="Calibri"/>
          <w:color w:val="auto"/>
          <w:sz w:val="24"/>
          <w:szCs w:val="24"/>
          <w:highlight w:val="none"/>
        </w:rPr>
        <w:t>①</w:t>
      </w:r>
      <w:r>
        <w:rPr>
          <w:rFonts w:hint="eastAsia" w:ascii="宋体" w:hAnsi="宋体" w:eastAsia="宋体"/>
          <w:color w:val="auto"/>
          <w:sz w:val="24"/>
          <w:szCs w:val="24"/>
          <w:highlight w:val="none"/>
        </w:rPr>
        <w:t>如有技术评分，报价相同，则技术得分较高的排名靠前；如技术得分也相同，则由比选评审小组采用记名投票方式确定其排名顺序。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 w:val="21"/>
          <w:szCs w:val="21"/>
          <w:highlight w:val="none"/>
        </w:rPr>
      </w:pPr>
      <w:r>
        <w:rPr>
          <w:color w:val="auto"/>
          <w:sz w:val="21"/>
          <w:szCs w:val="21"/>
          <w:highlight w:val="none"/>
        </w:rPr>
        <w:br w:type="page"/>
      </w:r>
    </w:p>
    <w:p w14:paraId="6DB95817">
      <w:pPr>
        <w:pStyle w:val="2"/>
        <w:widowControl/>
        <w:spacing w:after="0" w:line="360" w:lineRule="auto"/>
        <w:ind w:right="-57"/>
        <w:rPr>
          <w:color w:val="auto"/>
          <w:sz w:val="21"/>
          <w:szCs w:val="21"/>
          <w:highlight w:val="none"/>
        </w:rPr>
      </w:pPr>
      <w:r>
        <w:rPr>
          <w:color w:val="auto"/>
          <w:sz w:val="21"/>
          <w:szCs w:val="21"/>
          <w:highlight w:val="none"/>
        </w:rPr>
        <w:t>附表一 资格审查表</w:t>
      </w:r>
    </w:p>
    <w:p w14:paraId="1EA776D2">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rPr>
          <w:rFonts w:hint="eastAsia"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lang w:val="en-US" w:eastAsia="zh-CN"/>
        </w:rPr>
        <w:t>所有的资料必须提供，所提供的资料缺少任一项的</w:t>
      </w:r>
      <w:r>
        <w:rPr>
          <w:rFonts w:hint="eastAsia" w:ascii="宋体" w:hAnsi="宋体"/>
          <w:b/>
          <w:color w:val="auto"/>
          <w:highlight w:val="none"/>
        </w:rPr>
        <w:t>则</w:t>
      </w:r>
      <w:r>
        <w:rPr>
          <w:rFonts w:hint="eastAsia" w:ascii="宋体" w:hAnsi="宋体"/>
          <w:b/>
          <w:color w:val="auto"/>
          <w:highlight w:val="none"/>
          <w:lang w:val="en-US" w:eastAsia="zh-CN"/>
        </w:rPr>
        <w:t>为不合格</w:t>
      </w:r>
      <w:r>
        <w:rPr>
          <w:rFonts w:hint="eastAsia" w:ascii="宋体" w:hAnsi="宋体"/>
          <w:b/>
          <w:color w:val="auto"/>
          <w:highlight w:val="none"/>
        </w:rPr>
        <w:t>。</w:t>
      </w:r>
    </w:p>
    <w:p w14:paraId="6D0A6519">
      <w:pPr>
        <w:snapToGrid w:val="0"/>
        <w:rPr>
          <w:rFonts w:ascii="宋体" w:hAnsi="宋体" w:eastAsia="等线" w:cs="宋体"/>
          <w:b/>
          <w:color w:val="auto"/>
          <w:highlight w:val="none"/>
        </w:rPr>
      </w:pPr>
      <w:r>
        <w:rPr>
          <w:rFonts w:hint="eastAsia" w:ascii="宋体" w:hAnsi="宋体" w:eastAsia="等线" w:cs="Times New Roman"/>
          <w:b/>
          <w:color w:val="auto"/>
          <w:highlight w:val="none"/>
          <w:lang w:val="en-US" w:eastAsia="zh-CN" w:bidi="ar"/>
        </w:rPr>
        <w:t>2.</w:t>
      </w:r>
      <w:r>
        <w:rPr>
          <w:rFonts w:hint="eastAsia" w:ascii="宋体" w:hAnsi="宋体" w:eastAsia="等线" w:cs="Times New Roman"/>
          <w:b/>
          <w:color w:val="auto"/>
          <w:highlight w:val="none"/>
          <w:lang w:bidi="ar"/>
        </w:rPr>
        <w:t>所有证明资料的复印件加盖公章，原件备查。</w:t>
      </w:r>
    </w:p>
    <w:p w14:paraId="20AAE1CE">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3</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4</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jc w:val="center"/>
              <w:rPr>
                <w:rFonts w:ascii="宋体" w:hAnsi="宋体" w:eastAsia="等线" w:cs="宋体"/>
                <w:b/>
                <w:color w:val="auto"/>
                <w:sz w:val="24"/>
                <w:szCs w:val="24"/>
                <w:highlight w:val="none"/>
              </w:rPr>
            </w:pPr>
          </w:p>
        </w:tc>
      </w:tr>
    </w:tbl>
    <w:p w14:paraId="5B4100A5">
      <w:pPr>
        <w:snapToGrid w:val="0"/>
        <w:spacing w:line="360" w:lineRule="exact"/>
        <w:ind w:right="240"/>
        <w:jc w:val="center"/>
        <w:rPr>
          <w:rFonts w:ascii="宋体" w:hAnsi="宋体" w:eastAsia="等线" w:cs="宋体"/>
          <w:b/>
          <w:color w:val="auto"/>
          <w:sz w:val="24"/>
          <w:szCs w:val="24"/>
          <w:highlight w:val="none"/>
        </w:rPr>
      </w:pPr>
    </w:p>
    <w:p w14:paraId="59E5E84F">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7"/>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6CC18D29">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1、营业执照、纸质证书、安全生产许可证</w:t>
            </w:r>
          </w:p>
          <w:p w14:paraId="2D30748A">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2、拟配置项目管理机构要求：</w:t>
            </w:r>
          </w:p>
          <w:p w14:paraId="6C0E4B3D">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①拟配置项目负责人：具有市政工程专业二级或以上建造师注册证书及安全考核B证。</w:t>
            </w:r>
          </w:p>
          <w:p w14:paraId="46E6D455">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②拟配置项目管理人员：</w:t>
            </w:r>
          </w:p>
          <w:p w14:paraId="138ED0C0">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技术负责人1人，具有中级或以上工程师职称；</w:t>
            </w:r>
          </w:p>
          <w:p w14:paraId="20F2D09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专职安全员1人，具有安全员证及安全考核C证（广西以外若无岗位证书的必须提供安全考核C证）</w:t>
            </w:r>
          </w:p>
          <w:p w14:paraId="4CE06A6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3、信用信息报告（信用中国网址：https://www.creditchina.gov.cn/）</w:t>
            </w:r>
          </w:p>
          <w:p w14:paraId="2E300D30">
            <w:pPr>
              <w:spacing w:line="400" w:lineRule="exact"/>
              <w:rPr>
                <w:rFonts w:hint="default" w:ascii="宋体" w:hAnsi="宋体"/>
                <w:color w:val="auto"/>
                <w:highlight w:val="none"/>
                <w:lang w:val="en-US" w:eastAsia="zh-CN"/>
              </w:rPr>
            </w:pPr>
            <w:r>
              <w:rPr>
                <w:rFonts w:hint="eastAsia" w:ascii="宋体" w:hAnsi="宋体" w:cs="宋体"/>
                <w:color w:val="auto"/>
                <w:highlight w:val="none"/>
                <w:lang w:val="en-US" w:eastAsia="zh-CN"/>
              </w:rPr>
              <w:t>4、</w:t>
            </w:r>
            <w:r>
              <w:rPr>
                <w:rFonts w:hint="eastAsia" w:ascii="宋体" w:hAnsi="宋体"/>
                <w:color w:val="auto"/>
                <w:highlight w:val="none"/>
                <w:lang w:val="en-US" w:eastAsia="zh-CN"/>
              </w:rPr>
              <w:t>财务报表或银行资信证明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jc w:val="center"/>
              <w:rPr>
                <w:rFonts w:ascii="宋体" w:hAnsi="宋体" w:eastAsia="等线" w:cs="宋体"/>
                <w:b/>
                <w:color w:val="auto"/>
                <w:sz w:val="24"/>
                <w:szCs w:val="24"/>
                <w:highlight w:val="none"/>
              </w:rPr>
            </w:pPr>
          </w:p>
        </w:tc>
      </w:tr>
      <w:tr w14:paraId="20D1DE9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45D71B3">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9ABE236">
            <w:pPr>
              <w:spacing w:line="400" w:lineRule="exact"/>
              <w:jc w:val="center"/>
              <w:rPr>
                <w:rFonts w:hint="default" w:ascii="宋体" w:hAnsi="宋体" w:eastAsia="等线" w:cs="Times New Roman"/>
                <w:color w:val="auto"/>
                <w:highlight w:val="none"/>
                <w:lang w:val="en-US" w:eastAsia="zh-CN" w:bidi="ar"/>
              </w:rPr>
            </w:pPr>
            <w:r>
              <w:rPr>
                <w:rFonts w:hint="eastAsia" w:ascii="宋体" w:hAnsi="宋体" w:eastAsia="等线" w:cs="Times New Roman"/>
                <w:color w:val="auto"/>
                <w:highlight w:val="none"/>
                <w:lang w:val="en-US" w:eastAsia="zh-CN" w:bidi="ar"/>
              </w:rPr>
              <w:t>类似工程业绩</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8C73507">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6、</w:t>
            </w:r>
            <w:r>
              <w:rPr>
                <w:rFonts w:hint="eastAsia" w:ascii="宋体" w:hAnsi="宋体" w:cs="宋体"/>
                <w:color w:val="auto"/>
                <w:highlight w:val="none"/>
              </w:rPr>
              <w:t>提供</w:t>
            </w:r>
            <w:r>
              <w:rPr>
                <w:rFonts w:hint="eastAsia" w:ascii="宋体" w:hAnsi="宋体" w:cs="宋体"/>
                <w:color w:val="auto"/>
                <w:highlight w:val="none"/>
                <w:lang w:val="en-US" w:eastAsia="zh-CN"/>
              </w:rPr>
              <w:t>一个</w:t>
            </w:r>
            <w:r>
              <w:rPr>
                <w:rFonts w:hint="eastAsia" w:ascii="宋体" w:hAnsi="宋体" w:cs="宋体"/>
                <w:color w:val="auto"/>
                <w:highlight w:val="none"/>
              </w:rPr>
              <w:t>自</w:t>
            </w:r>
            <w:r>
              <w:rPr>
                <w:rFonts w:hint="eastAsia" w:ascii="宋体" w:hAnsi="宋体" w:cs="宋体"/>
                <w:color w:val="auto"/>
                <w:highlight w:val="none"/>
                <w:lang w:val="en-US" w:eastAsia="zh-CN"/>
              </w:rPr>
              <w:t>2022</w:t>
            </w:r>
            <w:r>
              <w:rPr>
                <w:rFonts w:hint="eastAsia" w:ascii="宋体" w:hAnsi="宋体" w:cs="宋体"/>
                <w:color w:val="auto"/>
                <w:highlight w:val="none"/>
              </w:rPr>
              <w:t>年</w:t>
            </w:r>
            <w:r>
              <w:rPr>
                <w:rFonts w:hint="eastAsia" w:ascii="宋体" w:hAnsi="宋体" w:cs="宋体"/>
                <w:color w:val="auto"/>
                <w:highlight w:val="none"/>
                <w:lang w:val="en-US" w:eastAsia="zh-CN"/>
              </w:rPr>
              <w:t>1</w:t>
            </w:r>
            <w:r>
              <w:rPr>
                <w:rFonts w:hint="eastAsia" w:ascii="宋体" w:hAnsi="宋体" w:cs="宋体"/>
                <w:color w:val="auto"/>
                <w:highlight w:val="none"/>
              </w:rPr>
              <w:t>月</w:t>
            </w:r>
            <w:r>
              <w:rPr>
                <w:rFonts w:hint="eastAsia" w:ascii="宋体" w:hAnsi="宋体" w:cs="宋体"/>
                <w:color w:val="auto"/>
                <w:highlight w:val="none"/>
                <w:lang w:val="en-US" w:eastAsia="zh-CN"/>
              </w:rPr>
              <w:t>1</w:t>
            </w:r>
            <w:r>
              <w:rPr>
                <w:rFonts w:hint="eastAsia" w:ascii="宋体" w:hAnsi="宋体" w:cs="宋体"/>
                <w:color w:val="auto"/>
                <w:highlight w:val="none"/>
              </w:rPr>
              <w:t>日至比选申请截止日期至内完成过或</w:t>
            </w:r>
            <w:r>
              <w:rPr>
                <w:rFonts w:hint="eastAsia" w:ascii="宋体" w:hAnsi="宋体" w:cs="宋体"/>
                <w:color w:val="auto"/>
                <w:highlight w:val="none"/>
                <w:lang w:val="en-US" w:eastAsia="zh-CN"/>
              </w:rPr>
              <w:t>在建</w:t>
            </w:r>
            <w:r>
              <w:rPr>
                <w:rFonts w:hint="eastAsia" w:ascii="宋体" w:hAnsi="宋体" w:cs="宋体"/>
                <w:color w:val="auto"/>
                <w:highlight w:val="none"/>
              </w:rPr>
              <w:t>单项合同金额达</w:t>
            </w:r>
            <w:r>
              <w:rPr>
                <w:rFonts w:hint="eastAsia" w:ascii="宋体" w:hAnsi="宋体" w:cs="宋体"/>
                <w:color w:val="auto"/>
                <w:highlight w:val="none"/>
                <w:lang w:val="en-US" w:eastAsia="zh-CN"/>
              </w:rPr>
              <w:t>240万元及以上市政工程类业绩合同</w:t>
            </w:r>
          </w:p>
          <w:p w14:paraId="760A135B">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提供下述材料之一即可：</w:t>
            </w:r>
          </w:p>
          <w:p w14:paraId="687A16DC">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115C22A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3BD8317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050CE47E">
            <w:pPr>
              <w:spacing w:line="400" w:lineRule="exact"/>
              <w:rPr>
                <w:rFonts w:hint="eastAsia" w:ascii="宋体" w:hAnsi="宋体" w:eastAsiaTheme="minorEastAsia"/>
                <w:color w:val="auto"/>
                <w:highlight w:val="none"/>
                <w:lang w:val="en-US" w:eastAsia="zh-CN"/>
              </w:rPr>
            </w:pPr>
            <w:r>
              <w:rPr>
                <w:rFonts w:hint="eastAsia" w:ascii="宋体" w:hAnsi="宋体" w:cs="宋体"/>
                <w:color w:val="auto"/>
                <w:highlight w:val="none"/>
                <w:lang w:bidi="ar"/>
              </w:rPr>
              <w:t>所提供的材料须能明确反映类似项目特征</w:t>
            </w:r>
            <w:r>
              <w:rPr>
                <w:rFonts w:hint="eastAsia" w:ascii="宋体" w:hAnsi="宋体" w:cs="宋体"/>
                <w:color w:val="auto"/>
                <w:highlight w:val="none"/>
                <w:lang w:eastAsia="zh-CN" w:bidi="ar"/>
              </w:rPr>
              <w:t>。</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4A478E1">
            <w:pPr>
              <w:snapToGrid w:val="0"/>
              <w:spacing w:line="400" w:lineRule="exact"/>
              <w:ind w:right="24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hint="default"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jc w:val="center"/>
              <w:rPr>
                <w:rFonts w:hint="eastAsia" w:ascii="宋体" w:hAnsi="宋体" w:eastAsia="等线" w:cs="宋体"/>
                <w:color w:val="auto"/>
                <w:kern w:val="2"/>
                <w:sz w:val="21"/>
                <w:szCs w:val="22"/>
                <w:highlight w:val="none"/>
                <w:lang w:val="en-US" w:eastAsia="zh-CN" w:bidi="ar-SA"/>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rFonts w:hint="eastAsia" w:asciiTheme="minorHAnsi" w:hAnsiTheme="minorHAnsi" w:eastAsiaTheme="minorEastAsia" w:cstheme="minorBidi"/>
                <w:color w:val="auto"/>
                <w:kern w:val="2"/>
                <w:sz w:val="21"/>
                <w:szCs w:val="22"/>
                <w:highlight w:val="none"/>
                <w:lang w:val="en-US" w:eastAsia="zh-CN" w:bidi="ar-SA"/>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附表二《技术文件评分表》</w:t>
      </w:r>
    </w:p>
    <w:p w14:paraId="66D36B58">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jc w:val="both"/>
        <w:rPr>
          <w:rFonts w:hint="eastAsia"/>
          <w:b/>
          <w:bCs/>
          <w:color w:val="auto"/>
          <w:highlight w:val="none"/>
        </w:rPr>
      </w:pPr>
      <w:r>
        <w:rPr>
          <w:rFonts w:hint="eastAsia" w:ascii="宋体" w:hAnsi="宋体" w:eastAsia="等线" w:cs="宋体"/>
          <w:b/>
          <w:color w:val="auto"/>
          <w:highlight w:val="none"/>
          <w:lang w:bidi="ar"/>
        </w:rPr>
        <w:t>1.</w:t>
      </w:r>
      <w:r>
        <w:rPr>
          <w:rFonts w:hint="eastAsia" w:ascii="宋体" w:hAnsi="宋体"/>
          <w:b/>
          <w:color w:val="auto"/>
          <w:highlight w:val="none"/>
          <w:lang w:val="en-US" w:eastAsia="zh-CN"/>
        </w:rPr>
        <w:t>评审内容的相关文件必须提供，所提供的资料缺少任一项的</w:t>
      </w:r>
      <w:r>
        <w:rPr>
          <w:rFonts w:hint="eastAsia" w:ascii="宋体" w:hAnsi="宋体"/>
          <w:b/>
          <w:color w:val="auto"/>
          <w:highlight w:val="none"/>
        </w:rPr>
        <w:t>则</w:t>
      </w:r>
      <w:r>
        <w:rPr>
          <w:rFonts w:hint="eastAsia" w:ascii="宋体" w:hAnsi="宋体"/>
          <w:b/>
          <w:color w:val="auto"/>
          <w:highlight w:val="none"/>
          <w:lang w:val="en-US" w:eastAsia="zh-CN"/>
        </w:rPr>
        <w:t>为不合格</w:t>
      </w:r>
      <w:r>
        <w:rPr>
          <w:rFonts w:hint="eastAsia" w:ascii="宋体" w:hAnsi="宋体"/>
          <w:b/>
          <w:color w:val="auto"/>
          <w:highlight w:val="none"/>
        </w:rPr>
        <w:t>。</w:t>
      </w:r>
    </w:p>
    <w:p w14:paraId="720640CF">
      <w:pPr>
        <w:jc w:val="center"/>
        <w:rPr>
          <w:rFonts w:hint="eastAsia"/>
          <w:b/>
          <w:bCs/>
          <w:color w:val="auto"/>
          <w:highlight w:val="none"/>
        </w:rPr>
      </w:pPr>
    </w:p>
    <w:p w14:paraId="47DFCD77">
      <w:pPr>
        <w:ind w:firstLine="420" w:firstLineChars="0"/>
        <w:jc w:val="center"/>
        <w:rPr>
          <w:b/>
          <w:bCs/>
          <w:color w:val="auto"/>
          <w:highlight w:val="none"/>
        </w:rPr>
      </w:pPr>
      <w:r>
        <w:rPr>
          <w:rFonts w:hint="eastAsia"/>
          <w:b/>
          <w:bCs/>
          <w:color w:val="auto"/>
          <w:highlight w:val="none"/>
        </w:rPr>
        <w:t>技术文件评分表</w:t>
      </w:r>
    </w:p>
    <w:tbl>
      <w:tblPr>
        <w:tblStyle w:val="26"/>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2CCD8052">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5C73">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B9EA">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8822">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1C25">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BADFE">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49262F1C">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8CC3">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B1CC0">
            <w:pPr>
              <w:keepNext w:val="0"/>
              <w:keepLines w:val="0"/>
              <w:pageBreakBefore w:val="0"/>
              <w:widowControl w:val="0"/>
              <w:kinsoku/>
              <w:wordWrap/>
              <w:overflowPunct/>
              <w:topLinePunct w:val="0"/>
              <w:autoSpaceDE/>
              <w:autoSpaceDN/>
              <w:bidi w:val="0"/>
              <w:adjustRightInd/>
              <w:snapToGrid/>
              <w:ind w:firstLine="0"/>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p w14:paraId="1E30C790">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51AE8F34">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eastAsiaTheme="minorEastAsia"/>
                <w:color w:val="auto"/>
                <w:kern w:val="2"/>
                <w:sz w:val="18"/>
                <w:szCs w:val="18"/>
                <w:highlight w:val="none"/>
                <w:lang w:val="en-US" w:eastAsia="zh-CN" w:bidi="ar"/>
              </w:rPr>
            </w:pPr>
            <w:r>
              <w:rPr>
                <w:rFonts w:hint="eastAsia" w:ascii="宋体" w:hAnsi="宋体" w:cs="宋体"/>
                <w:color w:val="auto"/>
                <w:sz w:val="18"/>
                <w:szCs w:val="18"/>
                <w:highlight w:val="none"/>
                <w:lang w:bidi="ar"/>
              </w:rPr>
              <w:t>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3489">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施工方案及质量控制措施、方案:</w:t>
            </w:r>
          </w:p>
          <w:p w14:paraId="39275B84">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①方案优秀、针对性很强，得</w:t>
            </w:r>
            <w:r>
              <w:rPr>
                <w:rFonts w:hint="eastAsia" w:ascii="宋体" w:hAnsi="宋体" w:cs="宋体"/>
                <w:color w:val="auto"/>
                <w:highlight w:val="none"/>
                <w:lang w:val="en-US" w:eastAsia="zh-CN" w:bidi="ar"/>
              </w:rPr>
              <w:t>21</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30</w:t>
            </w:r>
            <w:r>
              <w:rPr>
                <w:rFonts w:hint="eastAsia" w:ascii="宋体" w:hAnsi="宋体" w:cs="宋体"/>
                <w:color w:val="auto"/>
                <w:highlight w:val="none"/>
              </w:rPr>
              <w:t>分;</w:t>
            </w:r>
          </w:p>
          <w:p w14:paraId="41E6B88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 xml:space="preserve">②方案合理，有一定针对性，得 </w:t>
            </w:r>
            <w:r>
              <w:rPr>
                <w:rFonts w:hint="eastAsia" w:ascii="宋体" w:hAnsi="宋体" w:cs="宋体"/>
                <w:color w:val="auto"/>
                <w:highlight w:val="none"/>
                <w:lang w:val="en-US" w:eastAsia="zh-CN" w:bidi="ar"/>
              </w:rPr>
              <w:t>11</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20</w:t>
            </w:r>
            <w:r>
              <w:rPr>
                <w:rFonts w:hint="eastAsia" w:ascii="宋体" w:hAnsi="宋体" w:cs="宋体"/>
                <w:color w:val="auto"/>
                <w:highlight w:val="none"/>
              </w:rPr>
              <w:t>分;</w:t>
            </w:r>
          </w:p>
          <w:p w14:paraId="7EFF5F56">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rPr>
              <w:t>③方案一般，有少部分内容具有针对性，得</w:t>
            </w:r>
            <w:r>
              <w:rPr>
                <w:rFonts w:hint="eastAsia" w:ascii="宋体" w:hAnsi="宋体" w:cs="宋体"/>
                <w:color w:val="auto"/>
                <w:highlight w:val="none"/>
                <w:lang w:val="en-US" w:eastAsia="zh-CN"/>
              </w:rPr>
              <w:t>0</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10</w:t>
            </w:r>
            <w:r>
              <w:rPr>
                <w:rFonts w:hint="eastAsia" w:ascii="宋体" w:hAnsi="宋体" w:cs="宋体"/>
                <w:color w:val="auto"/>
                <w:highlight w:val="none"/>
              </w:rPr>
              <w:t>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1157">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rPr>
              <w:t>30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28642">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highlight w:val="none"/>
              </w:rPr>
            </w:pPr>
          </w:p>
        </w:tc>
      </w:tr>
      <w:tr w14:paraId="222E356B">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1582">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74C74">
            <w:pPr>
              <w:keepNext w:val="0"/>
              <w:keepLines w:val="0"/>
              <w:pageBreakBefore w:val="0"/>
              <w:widowControl w:val="0"/>
              <w:kinsoku/>
              <w:wordWrap/>
              <w:overflowPunct/>
              <w:topLinePunct w:val="0"/>
              <w:autoSpaceDE/>
              <w:autoSpaceDN/>
              <w:bidi w:val="0"/>
              <w:adjustRightInd/>
              <w:snapToGrid/>
              <w:ind w:firstLine="0"/>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p w14:paraId="4344F914">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66E3255D">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评审)</w:t>
            </w:r>
          </w:p>
          <w:p w14:paraId="5407CA3C">
            <w:pPr>
              <w:pStyle w:val="17"/>
              <w:rPr>
                <w:color w:val="auto"/>
                <w:highlight w:val="none"/>
              </w:rPr>
            </w:pPr>
            <w:r>
              <w:rPr>
                <w:rFonts w:hint="eastAsia" w:ascii="宋体" w:hAnsi="宋体" w:eastAsia="宋体"/>
                <w:color w:val="auto"/>
                <w:sz w:val="24"/>
                <w:szCs w:val="24"/>
                <w:highlight w:val="none"/>
                <w:u w:val="single"/>
                <w:lang w:val="en-US" w:eastAsia="zh-CN"/>
              </w:rPr>
              <w:t>总工期：248日历天</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D18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3078B86A">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根据进度计划编排的合理性、施工内容分解列项的详细程度、工序穿插及搭接的合理性、劳动力配备的人数及工作时长、计划编制的形式等情况分三档评分:</w:t>
            </w:r>
          </w:p>
          <w:p w14:paraId="1E8EDCF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①优秀得8-10分；</w:t>
            </w:r>
          </w:p>
          <w:p w14:paraId="4F2E94A5">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②良好得4-7分；</w:t>
            </w:r>
          </w:p>
          <w:p w14:paraId="0FA8C876">
            <w:pPr>
              <w:keepNext w:val="0"/>
              <w:keepLines w:val="0"/>
              <w:pageBreakBefore w:val="0"/>
              <w:widowControl w:val="0"/>
              <w:kinsoku/>
              <w:wordWrap/>
              <w:overflowPunct/>
              <w:topLinePunct w:val="0"/>
              <w:autoSpaceDE/>
              <w:autoSpaceDN/>
              <w:bidi w:val="0"/>
              <w:adjustRightInd/>
              <w:snapToGrid/>
              <w:ind w:firstLine="0"/>
              <w:jc w:val="left"/>
              <w:textAlignment w:val="center"/>
              <w:rPr>
                <w:rFonts w:ascii="宋体" w:hAnsi="宋体" w:cs="宋体"/>
                <w:color w:val="auto"/>
                <w:highlight w:val="none"/>
                <w:lang w:bidi="ar"/>
              </w:rPr>
            </w:pPr>
            <w:r>
              <w:rPr>
                <w:rFonts w:hint="eastAsia" w:ascii="宋体" w:hAnsi="宋体" w:cs="宋体"/>
                <w:color w:val="auto"/>
                <w:highlight w:val="none"/>
                <w:lang w:val="en-US" w:eastAsia="zh-CN" w:bidi="ar"/>
              </w:rPr>
              <w:t>③一般得0-3分。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6E7A">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6D06">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color w:val="auto"/>
                <w:highlight w:val="none"/>
              </w:rPr>
            </w:pPr>
          </w:p>
        </w:tc>
      </w:tr>
      <w:tr w14:paraId="15D30230">
        <w:tblPrEx>
          <w:tblCellMar>
            <w:top w:w="0" w:type="dxa"/>
            <w:left w:w="108" w:type="dxa"/>
            <w:bottom w:w="0" w:type="dxa"/>
            <w:right w:w="108" w:type="dxa"/>
          </w:tblCellMar>
        </w:tblPrEx>
        <w:trPr>
          <w:trHeight w:val="540" w:hRule="atLeast"/>
          <w:jc w:val="center"/>
        </w:trPr>
        <w:tc>
          <w:tcPr>
            <w:tcW w:w="16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9FCBC">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76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50A4">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sz w:val="22"/>
                <w:highlight w:val="none"/>
              </w:rPr>
            </w:pPr>
          </w:p>
        </w:tc>
      </w:tr>
    </w:tbl>
    <w:p w14:paraId="330E608A">
      <w:pPr>
        <w:rPr>
          <w:b/>
          <w:bCs/>
          <w:color w:val="auto"/>
          <w:highlight w:val="none"/>
        </w:rPr>
      </w:pPr>
    </w:p>
    <w:p w14:paraId="2D567F77">
      <w:pPr>
        <w:rPr>
          <w:b/>
          <w:bCs/>
          <w:color w:val="auto"/>
          <w:highlight w:val="none"/>
        </w:rPr>
      </w:pPr>
    </w:p>
    <w:p w14:paraId="0D9D4127">
      <w:pPr>
        <w:rPr>
          <w:b/>
          <w:bCs/>
          <w:color w:val="auto"/>
          <w:highlight w:val="none"/>
        </w:rPr>
      </w:pPr>
    </w:p>
    <w:p w14:paraId="0EBCAC2E">
      <w:pPr>
        <w:rPr>
          <w:b/>
          <w:bCs/>
          <w:color w:val="auto"/>
          <w:highlight w:val="none"/>
        </w:rPr>
      </w:pPr>
    </w:p>
    <w:p w14:paraId="6EC82CE1">
      <w:pPr>
        <w:rPr>
          <w:b/>
          <w:bCs/>
          <w:color w:val="auto"/>
          <w:highlight w:val="none"/>
        </w:rPr>
      </w:pPr>
    </w:p>
    <w:p w14:paraId="321A287D">
      <w:pPr>
        <w:rPr>
          <w:b/>
          <w:bCs/>
          <w:color w:val="auto"/>
          <w:highlight w:val="none"/>
        </w:rPr>
      </w:pPr>
      <w:r>
        <w:rPr>
          <w:b/>
          <w:bCs/>
          <w:color w:val="auto"/>
          <w:highlight w:val="none"/>
        </w:rPr>
        <w:br w:type="page"/>
      </w:r>
    </w:p>
    <w:p w14:paraId="74C0CADC">
      <w:pPr>
        <w:jc w:val="left"/>
        <w:rPr>
          <w:b/>
          <w:bCs/>
          <w:color w:val="auto"/>
          <w:highlight w:val="none"/>
        </w:rPr>
      </w:pPr>
    </w:p>
    <w:p w14:paraId="5B4FCBC7">
      <w:pPr>
        <w:jc w:val="left"/>
        <w:rPr>
          <w:b/>
          <w:bCs/>
          <w:color w:val="auto"/>
          <w:highlight w:val="none"/>
        </w:rPr>
      </w:pPr>
      <w:r>
        <w:rPr>
          <w:rFonts w:hint="eastAsia"/>
          <w:b/>
          <w:bCs/>
          <w:color w:val="auto"/>
          <w:highlight w:val="none"/>
        </w:rPr>
        <w:t>附表三《价格文件评分表》</w:t>
      </w:r>
    </w:p>
    <w:p w14:paraId="6DE9839A">
      <w:pPr>
        <w:jc w:val="center"/>
        <w:rPr>
          <w:b/>
          <w:bCs/>
          <w:color w:val="auto"/>
          <w:highlight w:val="none"/>
        </w:rPr>
      </w:pPr>
      <w:r>
        <w:rPr>
          <w:rFonts w:hint="eastAsia"/>
          <w:b/>
          <w:bCs/>
          <w:color w:val="auto"/>
          <w:highlight w:val="none"/>
        </w:rPr>
        <w:t>价格文件评分表</w:t>
      </w:r>
    </w:p>
    <w:tbl>
      <w:tblPr>
        <w:tblStyle w:val="2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1DC13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2CE94E47">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78E0A739">
            <w:pPr>
              <w:spacing w:line="440" w:lineRule="exact"/>
              <w:jc w:val="center"/>
              <w:textAlignment w:val="center"/>
              <w:rPr>
                <w:b/>
                <w:color w:val="auto"/>
                <w:highlight w:val="none"/>
              </w:rPr>
            </w:pPr>
            <w:r>
              <w:rPr>
                <w:rFonts w:hint="eastAsia"/>
                <w:color w:val="auto"/>
                <w:highlight w:val="none"/>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605E5595">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65F9DEDB">
            <w:pPr>
              <w:spacing w:line="440" w:lineRule="exact"/>
              <w:jc w:val="center"/>
              <w:textAlignment w:val="center"/>
              <w:rPr>
                <w:color w:val="auto"/>
                <w:highlight w:val="none"/>
              </w:rPr>
            </w:pPr>
            <w:r>
              <w:rPr>
                <w:rFonts w:hint="eastAsia"/>
                <w:color w:val="auto"/>
                <w:highlight w:val="none"/>
              </w:rPr>
              <w:t>得分</w:t>
            </w:r>
          </w:p>
        </w:tc>
      </w:tr>
      <w:tr w14:paraId="71CA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1D419195">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4AAF25C">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4C309130">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评标基准价的确定方法 </w:t>
            </w:r>
          </w:p>
          <w:p w14:paraId="452AAA87">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 （1）有效报价范围：为通过资格评审、投标总价低于或等于招标控制价的报价，若总报价有算术错误，取经算术错误改正后的总报价（下同）。</w:t>
            </w:r>
          </w:p>
          <w:p w14:paraId="74D94794">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 （2）确定评标基准价 P。</w:t>
            </w:r>
          </w:p>
          <w:p w14:paraId="33406E52">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取所有有效报价的算术平均值为评标基准价 P。</w:t>
            </w:r>
          </w:p>
          <w:p w14:paraId="575CA2FB">
            <w:pPr>
              <w:pStyle w:val="9"/>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ascii="宋体" w:hAnsi="宋体"/>
                <w:color w:val="auto"/>
                <w:sz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6CA3416D">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p>
          <w:p w14:paraId="7DC84360">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 xml:space="preserve">报价分评分标准（满分60.00 分） </w:t>
            </w:r>
          </w:p>
          <w:p w14:paraId="457913A7">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总报价得分以60分为基数扣减：</w:t>
            </w:r>
          </w:p>
          <w:p w14:paraId="0B719ACC">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rFonts w:hint="eastAsia"/>
                <w:color w:val="auto"/>
                <w:highlight w:val="none"/>
              </w:rPr>
            </w:pPr>
            <w:r>
              <w:rPr>
                <w:rFonts w:hint="eastAsia"/>
                <w:color w:val="auto"/>
                <w:highlight w:val="none"/>
              </w:rPr>
              <w:t>（1）总报价等于 P的, 总报价得基本分60分。</w:t>
            </w:r>
          </w:p>
          <w:p w14:paraId="40C3F1FA">
            <w:pPr>
              <w:pStyle w:val="12"/>
              <w:keepNext w:val="0"/>
              <w:keepLines w:val="0"/>
              <w:pageBreakBefore w:val="0"/>
              <w:kinsoku/>
              <w:wordWrap/>
              <w:overflowPunct/>
              <w:topLinePunct w:val="0"/>
              <w:autoSpaceDE/>
              <w:autoSpaceDN/>
              <w:bidi w:val="0"/>
              <w:adjustRightInd/>
              <w:snapToGrid/>
              <w:spacing w:before="0" w:after="0" w:afterAutospacing="0" w:line="300" w:lineRule="exact"/>
              <w:ind w:left="0" w:right="0" w:firstLine="0"/>
              <w:jc w:val="left"/>
              <w:textAlignment w:val="center"/>
              <w:rPr>
                <w:color w:val="auto"/>
                <w:highlight w:val="none"/>
              </w:rPr>
            </w:pPr>
            <w:r>
              <w:rPr>
                <w:rFonts w:hint="eastAsia"/>
                <w:color w:val="auto"/>
                <w:highlight w:val="none"/>
              </w:rPr>
              <w:t>（2）总报价高于或低于P的，以60分为基数，每高于一个百分点扣1分，每低于一个百分点扣0.5分，分不足一个百分点时，用内插法计算，最多扣 60分。</w:t>
            </w:r>
          </w:p>
        </w:tc>
        <w:tc>
          <w:tcPr>
            <w:tcW w:w="992" w:type="dxa"/>
            <w:tcBorders>
              <w:top w:val="single" w:color="auto" w:sz="4" w:space="0"/>
              <w:left w:val="single" w:color="auto" w:sz="4" w:space="0"/>
              <w:bottom w:val="single" w:color="auto" w:sz="4" w:space="0"/>
              <w:right w:val="single" w:color="auto" w:sz="4" w:space="0"/>
            </w:tcBorders>
            <w:vAlign w:val="center"/>
          </w:tcPr>
          <w:p w14:paraId="57A17CCE">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color w:val="auto"/>
                <w:highlight w:val="none"/>
              </w:rPr>
            </w:pPr>
          </w:p>
        </w:tc>
      </w:tr>
      <w:tr w14:paraId="1DEB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0092977E">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5B6D0A1E">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b/>
                <w:bCs/>
                <w:color w:val="auto"/>
                <w:highlight w:val="none"/>
              </w:rPr>
            </w:pPr>
          </w:p>
        </w:tc>
        <w:tc>
          <w:tcPr>
            <w:tcW w:w="2693" w:type="dxa"/>
            <w:tcBorders>
              <w:top w:val="single" w:color="auto" w:sz="4" w:space="0"/>
              <w:left w:val="single" w:color="000000" w:sz="4" w:space="0"/>
              <w:bottom w:val="single" w:color="auto" w:sz="4" w:space="0"/>
              <w:right w:val="single" w:color="000000" w:sz="4" w:space="0"/>
            </w:tcBorders>
            <w:vAlign w:val="center"/>
          </w:tcPr>
          <w:p w14:paraId="507AEF93">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5EE68796">
            <w:pPr>
              <w:keepNext w:val="0"/>
              <w:keepLines w:val="0"/>
              <w:pageBreakBefore w:val="0"/>
              <w:kinsoku/>
              <w:wordWrap/>
              <w:overflowPunct/>
              <w:topLinePunct w:val="0"/>
              <w:autoSpaceDE/>
              <w:autoSpaceDN/>
              <w:bidi w:val="0"/>
              <w:adjustRightInd/>
              <w:snapToGrid/>
              <w:spacing w:line="300" w:lineRule="exact"/>
              <w:jc w:val="center"/>
              <w:textAlignment w:val="center"/>
              <w:rPr>
                <w:rFonts w:ascii="宋体" w:hAnsi="宋体"/>
                <w:b/>
                <w:bCs/>
                <w:color w:val="auto"/>
                <w:highlight w:val="none"/>
              </w:rPr>
            </w:pPr>
          </w:p>
        </w:tc>
      </w:tr>
    </w:tbl>
    <w:p w14:paraId="42843BC7">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6"/>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71B2971E">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53763A9F">
      <w:pPr>
        <w:widowControl/>
        <w:jc w:val="left"/>
        <w:rPr>
          <w:b/>
          <w:bCs/>
          <w:color w:val="auto"/>
          <w:highlight w:val="none"/>
        </w:rPr>
      </w:pPr>
      <w:r>
        <w:rPr>
          <w:b/>
          <w:bCs/>
          <w:color w:val="auto"/>
          <w:highlight w:val="none"/>
        </w:rPr>
        <w:br w:type="page"/>
      </w:r>
    </w:p>
    <w:p w14:paraId="041A444D">
      <w:pPr>
        <w:jc w:val="left"/>
        <w:rPr>
          <w:b/>
          <w:bCs/>
          <w:color w:val="auto"/>
          <w:highlight w:val="none"/>
        </w:rPr>
      </w:pPr>
      <w:r>
        <w:rPr>
          <w:rFonts w:hint="eastAsia"/>
          <w:b/>
          <w:bCs/>
          <w:color w:val="auto"/>
          <w:highlight w:val="none"/>
        </w:rPr>
        <w:t>附表四评审得分汇总表</w:t>
      </w:r>
    </w:p>
    <w:p w14:paraId="72570243">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2"/>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7E19F410">
            <w:pPr>
              <w:pStyle w:val="12"/>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200CBDEE">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395AC5C1">
            <w:pPr>
              <w:pStyle w:val="12"/>
              <w:ind w:left="0" w:firstLine="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2"/>
              <w:jc w:val="center"/>
              <w:rPr>
                <w:rFonts w:hAnsi="宋体"/>
                <w:b/>
                <w:color w:val="auto"/>
                <w:highlight w:val="none"/>
              </w:rPr>
            </w:pPr>
          </w:p>
        </w:tc>
      </w:tr>
    </w:tbl>
    <w:p w14:paraId="60395B0B">
      <w:pPr>
        <w:rPr>
          <w:b/>
          <w:bCs/>
          <w:color w:val="auto"/>
          <w:highlight w:val="none"/>
        </w:rPr>
      </w:pPr>
    </w:p>
    <w:p w14:paraId="68E2D30D">
      <w:pPr>
        <w:rPr>
          <w:b/>
          <w:bCs/>
          <w:color w:val="auto"/>
          <w:highlight w:val="none"/>
        </w:rPr>
      </w:pPr>
    </w:p>
    <w:p w14:paraId="263A71CE">
      <w:pPr>
        <w:rPr>
          <w:b/>
          <w:bCs/>
          <w:color w:val="auto"/>
          <w:highlight w:val="none"/>
        </w:rPr>
      </w:pPr>
    </w:p>
    <w:p w14:paraId="18E47F77">
      <w:pPr>
        <w:pStyle w:val="9"/>
        <w:rPr>
          <w:color w:val="auto"/>
          <w:highlight w:val="none"/>
        </w:rPr>
      </w:pPr>
    </w:p>
    <w:p w14:paraId="2B807956">
      <w:pPr>
        <w:rPr>
          <w:b/>
          <w:bCs/>
          <w:color w:val="auto"/>
          <w:highlight w:val="none"/>
        </w:rPr>
      </w:pPr>
    </w:p>
    <w:p w14:paraId="617522EE">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jc w:val="center"/>
        <w:rPr>
          <w:rFonts w:ascii="宋体" w:hAnsi="宋体" w:eastAsia="宋体"/>
          <w:b/>
          <w:bCs/>
          <w:color w:val="auto"/>
          <w:sz w:val="36"/>
          <w:szCs w:val="36"/>
          <w:highlight w:val="none"/>
        </w:rPr>
      </w:pPr>
    </w:p>
    <w:p w14:paraId="7122917E">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jc w:val="center"/>
        <w:rPr>
          <w:rFonts w:ascii="宋体" w:hAnsi="宋体" w:eastAsia="宋体"/>
          <w:b/>
          <w:bCs/>
          <w:color w:val="auto"/>
          <w:sz w:val="36"/>
          <w:szCs w:val="36"/>
          <w:highlight w:val="none"/>
        </w:rPr>
      </w:pPr>
    </w:p>
    <w:p w14:paraId="1E7D3D62">
      <w:pPr>
        <w:jc w:val="center"/>
        <w:rPr>
          <w:rFonts w:ascii="宋体" w:hAnsi="宋体" w:eastAsia="宋体"/>
          <w:b/>
          <w:bCs/>
          <w:color w:val="auto"/>
          <w:sz w:val="36"/>
          <w:szCs w:val="36"/>
          <w:highlight w:val="none"/>
        </w:rPr>
      </w:pPr>
    </w:p>
    <w:p w14:paraId="7A1518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jc w:val="center"/>
        <w:rPr>
          <w:rFonts w:ascii="宋体" w:hAnsi="宋体" w:eastAsia="宋体"/>
          <w:color w:val="auto"/>
          <w:sz w:val="52"/>
          <w:szCs w:val="52"/>
          <w:highlight w:val="none"/>
          <w:u w:val="single"/>
        </w:rPr>
      </w:pPr>
    </w:p>
    <w:p w14:paraId="4995D0D5">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广西泛铝件先进制造（迁江）基地一期A区工程市政工程专业分包</w:t>
      </w:r>
    </w:p>
    <w:p w14:paraId="5CD8C2F6">
      <w:pPr>
        <w:jc w:val="center"/>
        <w:rPr>
          <w:rFonts w:ascii="宋体" w:hAnsi="宋体" w:eastAsia="宋体"/>
          <w:color w:val="auto"/>
          <w:sz w:val="36"/>
          <w:szCs w:val="36"/>
          <w:highlight w:val="none"/>
        </w:rPr>
      </w:pPr>
    </w:p>
    <w:p w14:paraId="2C41A99F">
      <w:pPr>
        <w:jc w:val="center"/>
        <w:rPr>
          <w:rFonts w:ascii="宋体" w:hAnsi="宋体" w:eastAsia="宋体"/>
          <w:color w:val="auto"/>
          <w:sz w:val="36"/>
          <w:szCs w:val="36"/>
          <w:highlight w:val="none"/>
        </w:rPr>
      </w:pPr>
    </w:p>
    <w:p w14:paraId="4D3364EC">
      <w:pPr>
        <w:jc w:val="center"/>
        <w:rPr>
          <w:rFonts w:ascii="宋体" w:hAnsi="宋体" w:eastAsia="宋体"/>
          <w:color w:val="auto"/>
          <w:sz w:val="36"/>
          <w:szCs w:val="36"/>
          <w:highlight w:val="none"/>
        </w:rPr>
      </w:pPr>
    </w:p>
    <w:p w14:paraId="71F66CAC">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4C48F857">
      <w:pPr>
        <w:jc w:val="center"/>
        <w:rPr>
          <w:rFonts w:ascii="宋体" w:hAnsi="宋体" w:eastAsia="宋体"/>
          <w:color w:val="auto"/>
          <w:sz w:val="36"/>
          <w:szCs w:val="36"/>
          <w:highlight w:val="none"/>
        </w:rPr>
      </w:pPr>
    </w:p>
    <w:p w14:paraId="0F73A822">
      <w:pPr>
        <w:jc w:val="center"/>
        <w:rPr>
          <w:rFonts w:ascii="宋体" w:hAnsi="宋体" w:eastAsia="宋体"/>
          <w:color w:val="auto"/>
          <w:sz w:val="36"/>
          <w:szCs w:val="36"/>
          <w:highlight w:val="none"/>
        </w:rPr>
      </w:pPr>
    </w:p>
    <w:p w14:paraId="7EFDB646">
      <w:pPr>
        <w:jc w:val="center"/>
        <w:rPr>
          <w:rFonts w:ascii="宋体" w:hAnsi="宋体" w:eastAsia="宋体"/>
          <w:color w:val="auto"/>
          <w:sz w:val="36"/>
          <w:szCs w:val="36"/>
          <w:highlight w:val="none"/>
        </w:rPr>
      </w:pPr>
    </w:p>
    <w:p w14:paraId="4EBDEB21">
      <w:pPr>
        <w:jc w:val="center"/>
        <w:rPr>
          <w:rFonts w:ascii="宋体" w:hAnsi="宋体" w:eastAsia="宋体"/>
          <w:color w:val="auto"/>
          <w:sz w:val="36"/>
          <w:szCs w:val="36"/>
          <w:highlight w:val="none"/>
        </w:rPr>
      </w:pPr>
    </w:p>
    <w:p w14:paraId="032DE630">
      <w:pPr>
        <w:jc w:val="center"/>
        <w:rPr>
          <w:rFonts w:ascii="宋体" w:hAnsi="宋体" w:eastAsia="宋体"/>
          <w:color w:val="auto"/>
          <w:sz w:val="36"/>
          <w:szCs w:val="36"/>
          <w:highlight w:val="none"/>
        </w:rPr>
      </w:pPr>
    </w:p>
    <w:p w14:paraId="518236B8">
      <w:pPr>
        <w:jc w:val="center"/>
        <w:rPr>
          <w:rFonts w:ascii="宋体" w:hAnsi="宋体" w:eastAsia="宋体"/>
          <w:color w:val="auto"/>
          <w:sz w:val="36"/>
          <w:szCs w:val="36"/>
          <w:highlight w:val="none"/>
        </w:rPr>
      </w:pPr>
    </w:p>
    <w:p w14:paraId="40686E11">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rPr>
          <w:rFonts w:ascii="宋体" w:hAnsi="宋体" w:eastAsia="宋体"/>
          <w:b/>
          <w:bCs/>
          <w:color w:val="auto"/>
          <w:sz w:val="36"/>
          <w:szCs w:val="36"/>
          <w:highlight w:val="none"/>
        </w:rPr>
      </w:pPr>
    </w:p>
    <w:p w14:paraId="45CCF8B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bookmarkStart w:id="930" w:name="_GoBack"/>
      <w:bookmarkEnd w:id="930"/>
    </w:p>
    <w:p w14:paraId="69939263">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08B9361">
      <w:pPr>
        <w:rPr>
          <w:rFonts w:ascii="宋体" w:hAnsi="宋体" w:eastAsia="宋体"/>
          <w:b/>
          <w:bCs/>
          <w:color w:val="auto"/>
          <w:sz w:val="36"/>
          <w:szCs w:val="36"/>
          <w:highlight w:val="none"/>
        </w:rPr>
      </w:pPr>
    </w:p>
    <w:p w14:paraId="6B45422C">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7AD02872">
      <w:pPr>
        <w:rPr>
          <w:rFonts w:hint="eastAsia" w:ascii="宋体" w:hAnsi="宋体" w:eastAsia="宋体"/>
          <w:b/>
          <w:bCs/>
          <w:color w:val="auto"/>
          <w:sz w:val="30"/>
          <w:szCs w:val="30"/>
          <w:highlight w:val="none"/>
          <w:lang w:eastAsia="zh-CN"/>
        </w:rPr>
      </w:pPr>
      <w:r>
        <w:rPr>
          <w:rFonts w:hint="eastAsia" w:ascii="宋体" w:hAnsi="宋体" w:eastAsia="宋体"/>
          <w:b/>
          <w:bCs/>
          <w:color w:val="auto"/>
          <w:sz w:val="30"/>
          <w:szCs w:val="30"/>
          <w:highlight w:val="none"/>
        </w:rPr>
        <w:t>第二部分技术文件</w:t>
      </w:r>
    </w:p>
    <w:p w14:paraId="320C34FB">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74A4612B">
      <w:pPr>
        <w:rPr>
          <w:rFonts w:ascii="宋体" w:hAnsi="宋体" w:eastAsia="宋体" w:cs="宋体"/>
          <w:b/>
          <w:bCs/>
          <w:color w:val="auto"/>
          <w:sz w:val="32"/>
          <w:szCs w:val="32"/>
          <w:highlight w:val="none"/>
        </w:rPr>
      </w:pPr>
    </w:p>
    <w:p w14:paraId="144CAB52">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A1276B5">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7B2A449F">
      <w:pPr>
        <w:pStyle w:val="36"/>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6"/>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612"/>
        <w:rPr>
          <w:rFonts w:ascii="宋体" w:hAnsi="宋体" w:eastAsia="宋体" w:cs="宋体"/>
          <w:color w:val="auto"/>
          <w:sz w:val="24"/>
          <w:szCs w:val="24"/>
          <w:highlight w:val="none"/>
        </w:rPr>
      </w:pPr>
      <w:bookmarkStart w:id="923"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广西泛铝件先进制造（迁江）基地一期A区工程市政工程专业分包</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923"/>
    </w:p>
    <w:p w14:paraId="7B2C1A70">
      <w:pPr>
        <w:spacing w:line="700" w:lineRule="exact"/>
        <w:ind w:firstLine="480" w:firstLineChars="200"/>
        <w:rPr>
          <w:rFonts w:ascii="宋体" w:hAnsi="宋体" w:eastAsia="宋体" w:cs="宋体"/>
          <w:color w:val="auto"/>
          <w:sz w:val="24"/>
          <w:szCs w:val="24"/>
          <w:highlight w:val="none"/>
        </w:rPr>
      </w:pPr>
      <w:bookmarkStart w:id="924" w:name="_Toc251051978"/>
      <w:r>
        <w:rPr>
          <w:rFonts w:hint="eastAsia" w:ascii="宋体" w:hAnsi="宋体" w:eastAsia="宋体" w:cs="宋体"/>
          <w:color w:val="auto"/>
          <w:sz w:val="24"/>
          <w:szCs w:val="24"/>
          <w:highlight w:val="none"/>
        </w:rPr>
        <w:t>代理人无转委托权，特此委托。</w:t>
      </w:r>
      <w:bookmarkEnd w:id="924"/>
    </w:p>
    <w:p w14:paraId="13295310">
      <w:pPr>
        <w:spacing w:line="700" w:lineRule="exact"/>
        <w:rPr>
          <w:rFonts w:ascii="宋体" w:hAnsi="宋体" w:eastAsia="宋体" w:cs="宋体"/>
          <w:color w:val="auto"/>
          <w:sz w:val="24"/>
          <w:szCs w:val="24"/>
          <w:highlight w:val="none"/>
        </w:rPr>
      </w:pPr>
      <w:bookmarkStart w:id="925"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925"/>
    </w:p>
    <w:p w14:paraId="2BE23BB7">
      <w:pPr>
        <w:spacing w:line="700" w:lineRule="exact"/>
        <w:rPr>
          <w:rFonts w:ascii="宋体" w:hAnsi="宋体" w:eastAsia="宋体" w:cs="宋体"/>
          <w:color w:val="auto"/>
          <w:sz w:val="24"/>
          <w:szCs w:val="24"/>
          <w:highlight w:val="none"/>
        </w:rPr>
      </w:pPr>
      <w:bookmarkStart w:id="926" w:name="_Toc251051979"/>
      <w:bookmarkStart w:id="927"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926"/>
      <w:bookmarkStart w:id="928"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927"/>
    <w:bookmarkEnd w:id="928"/>
    <w:p w14:paraId="6CFDF83A">
      <w:pPr>
        <w:spacing w:line="700" w:lineRule="exact"/>
        <w:rPr>
          <w:rFonts w:ascii="宋体" w:hAnsi="宋体" w:eastAsia="宋体" w:cs="宋体"/>
          <w:color w:val="auto"/>
          <w:sz w:val="24"/>
          <w:szCs w:val="24"/>
          <w:highlight w:val="none"/>
        </w:rPr>
      </w:pPr>
      <w:bookmarkStart w:id="929"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929"/>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jc w:val="center"/>
        <w:rPr>
          <w:rFonts w:ascii="宋体" w:hAnsi="宋体" w:eastAsia="宋体" w:cs="宋体"/>
          <w:b/>
          <w:bCs/>
          <w:color w:val="auto"/>
          <w:sz w:val="36"/>
          <w:szCs w:val="36"/>
          <w:highlight w:val="none"/>
        </w:rPr>
      </w:pPr>
    </w:p>
    <w:p w14:paraId="624F67C5">
      <w:pPr>
        <w:jc w:val="center"/>
        <w:rPr>
          <w:rFonts w:ascii="宋体" w:hAnsi="宋体" w:eastAsia="宋体" w:cs="宋体"/>
          <w:b/>
          <w:bCs/>
          <w:color w:val="auto"/>
          <w:sz w:val="36"/>
          <w:szCs w:val="36"/>
          <w:highlight w:val="none"/>
        </w:rPr>
      </w:pPr>
    </w:p>
    <w:p w14:paraId="7BF41312">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6"/>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rPr>
          <w:rFonts w:ascii="宋体" w:hAnsi="宋体" w:eastAsia="宋体" w:cs="宋体"/>
          <w:color w:val="auto"/>
          <w:sz w:val="28"/>
          <w:szCs w:val="28"/>
          <w:highlight w:val="none"/>
        </w:rPr>
      </w:pPr>
    </w:p>
    <w:p w14:paraId="0927A94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jc w:val="center"/>
        <w:rPr>
          <w:rFonts w:ascii="宋体" w:hAnsi="宋体" w:eastAsia="宋体" w:cs="宋体"/>
          <w:b/>
          <w:bCs/>
          <w:color w:val="auto"/>
          <w:sz w:val="36"/>
          <w:szCs w:val="36"/>
          <w:highlight w:val="none"/>
        </w:rPr>
      </w:pPr>
    </w:p>
    <w:p w14:paraId="2FF9FD23">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jc w:val="left"/>
        <w:rPr>
          <w:rFonts w:ascii="宋体" w:hAnsi="宋体" w:eastAsia="宋体" w:cs="宋体"/>
          <w:b/>
          <w:bCs/>
          <w:color w:val="auto"/>
          <w:sz w:val="28"/>
          <w:szCs w:val="28"/>
          <w:highlight w:val="none"/>
        </w:rPr>
      </w:pPr>
    </w:p>
    <w:p w14:paraId="0C1BB058">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61FDC131">
      <w:pPr>
        <w:rPr>
          <w:rFonts w:ascii="宋体" w:hAnsi="宋体" w:eastAsia="宋体" w:cs="宋体"/>
          <w:color w:val="auto"/>
          <w:sz w:val="24"/>
          <w:szCs w:val="24"/>
          <w:highlight w:val="none"/>
        </w:rPr>
      </w:pPr>
    </w:p>
    <w:p w14:paraId="420C88C1">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41B75980">
      <w:pPr>
        <w:pStyle w:val="36"/>
        <w:ind w:firstLine="0" w:firstLineChars="0"/>
        <w:jc w:val="left"/>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三、类似工程业绩</w:t>
      </w:r>
    </w:p>
    <w:p w14:paraId="08F8760B">
      <w:pPr>
        <w:jc w:val="left"/>
        <w:textAlignment w:val="center"/>
        <w:rPr>
          <w:rFonts w:hint="eastAsia" w:ascii="宋体" w:hAnsi="宋体" w:cs="宋体"/>
          <w:color w:val="auto"/>
          <w:sz w:val="24"/>
          <w:szCs w:val="28"/>
          <w:highlight w:val="none"/>
        </w:rPr>
      </w:pPr>
      <w:r>
        <w:rPr>
          <w:rFonts w:hint="eastAsia" w:ascii="宋体" w:hAnsi="宋体" w:cs="宋体"/>
          <w:color w:val="auto"/>
          <w:sz w:val="24"/>
          <w:szCs w:val="28"/>
          <w:highlight w:val="none"/>
        </w:rPr>
        <w:t>提供一个自2022年1月1日至比选申请截止日期至内完成过或在建单项合同金额达240万元及以上市政工程类业绩合同</w:t>
      </w:r>
    </w:p>
    <w:p w14:paraId="0BE30A8D">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提供下述材料之一即可：</w:t>
      </w:r>
    </w:p>
    <w:p w14:paraId="3567F16B">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①合同文件；</w:t>
      </w:r>
    </w:p>
    <w:p w14:paraId="0A22C38C">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②中标通知书。</w:t>
      </w:r>
    </w:p>
    <w:p w14:paraId="503DF88B">
      <w:pPr>
        <w:jc w:val="left"/>
        <w:textAlignment w:val="center"/>
        <w:rPr>
          <w:rFonts w:hint="eastAsia" w:ascii="宋体" w:hAnsi="宋体" w:cs="宋体"/>
          <w:color w:val="auto"/>
          <w:sz w:val="24"/>
          <w:szCs w:val="28"/>
          <w:highlight w:val="none"/>
          <w:lang w:bidi="ar"/>
        </w:rPr>
      </w:pPr>
      <w:r>
        <w:rPr>
          <w:rFonts w:hint="eastAsia" w:ascii="宋体" w:hAnsi="宋体" w:cs="宋体"/>
          <w:color w:val="auto"/>
          <w:sz w:val="24"/>
          <w:szCs w:val="28"/>
          <w:highlight w:val="none"/>
          <w:lang w:bidi="ar"/>
        </w:rPr>
        <w:t>合同内容需体现具体工程内容、合同总价、签约日期。</w:t>
      </w:r>
    </w:p>
    <w:p w14:paraId="3C5FA877">
      <w:pPr>
        <w:rPr>
          <w:rFonts w:hint="eastAsia" w:ascii="宋体" w:hAnsi="宋体" w:eastAsia="宋体" w:cs="宋体"/>
          <w:b/>
          <w:bCs/>
          <w:color w:val="auto"/>
          <w:sz w:val="32"/>
          <w:szCs w:val="32"/>
          <w:highlight w:val="none"/>
          <w:lang w:val="en-US" w:eastAsia="zh-CN"/>
        </w:rPr>
      </w:pPr>
      <w:r>
        <w:rPr>
          <w:rFonts w:hint="eastAsia" w:ascii="宋体" w:hAnsi="宋体" w:cs="宋体"/>
          <w:color w:val="auto"/>
          <w:sz w:val="24"/>
          <w:szCs w:val="28"/>
          <w:highlight w:val="none"/>
          <w:lang w:bidi="ar"/>
        </w:rPr>
        <w:t>所提供的材料须能明确反映类似项目特征</w:t>
      </w:r>
      <w:r>
        <w:rPr>
          <w:rFonts w:hint="eastAsia" w:ascii="宋体" w:hAnsi="宋体" w:cs="宋体"/>
          <w:color w:val="auto"/>
          <w:sz w:val="24"/>
          <w:szCs w:val="28"/>
          <w:highlight w:val="none"/>
          <w:lang w:eastAsia="zh-CN" w:bidi="ar"/>
        </w:rPr>
        <w:t>。</w:t>
      </w:r>
      <w:r>
        <w:rPr>
          <w:rFonts w:hint="eastAsia" w:ascii="宋体" w:hAnsi="宋体" w:eastAsia="宋体" w:cs="宋体"/>
          <w:b/>
          <w:bCs/>
          <w:color w:val="auto"/>
          <w:sz w:val="32"/>
          <w:szCs w:val="32"/>
          <w:highlight w:val="none"/>
          <w:lang w:val="en-US" w:eastAsia="zh-CN"/>
        </w:rPr>
        <w:br w:type="page"/>
      </w:r>
    </w:p>
    <w:p w14:paraId="0F431233">
      <w:pPr>
        <w:pStyle w:val="3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广西泛铝件先进制造（迁江）基地一期A区工程市政工程专业分包</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200"/>
        <w:rPr>
          <w:rFonts w:ascii="宋体" w:hAnsi="宋体" w:eastAsia="宋体" w:cs="宋体"/>
          <w:color w:val="auto"/>
          <w:highlight w:val="none"/>
        </w:rPr>
      </w:pPr>
    </w:p>
    <w:p w14:paraId="4B7A80B8">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88D74D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0F903C73">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广西泛铝件先进制造（迁江）基地一期A区工程市政工程专业分包</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jc w:val="left"/>
        <w:rPr>
          <w:rFonts w:ascii="宋体" w:hAnsi="宋体" w:eastAsia="宋体" w:cs="宋体"/>
          <w:color w:val="auto"/>
          <w:sz w:val="28"/>
          <w:szCs w:val="28"/>
          <w:highlight w:val="none"/>
        </w:rPr>
      </w:pPr>
    </w:p>
    <w:p w14:paraId="4EC24CC0">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广西泛铝件先进制造（迁江）基地一期A区工程市政工程专业分包</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200"/>
        <w:rPr>
          <w:rFonts w:ascii="宋体" w:hAnsi="宋体" w:eastAsia="宋体" w:cs="宋体"/>
          <w:color w:val="auto"/>
          <w:sz w:val="28"/>
          <w:szCs w:val="28"/>
          <w:highlight w:val="none"/>
        </w:rPr>
      </w:pPr>
    </w:p>
    <w:p w14:paraId="54A954B5">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rPr>
          <w:color w:val="auto"/>
          <w:highlight w:val="none"/>
        </w:rPr>
      </w:pPr>
    </w:p>
    <w:p w14:paraId="6A48F552">
      <w:pPr>
        <w:pStyle w:val="8"/>
        <w:rPr>
          <w:color w:val="auto"/>
          <w:highlight w:val="none"/>
        </w:rPr>
      </w:pPr>
    </w:p>
    <w:p w14:paraId="41B87DC1">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1963D543">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第二部分 技术文件</w:t>
      </w:r>
    </w:p>
    <w:p w14:paraId="7031400D">
      <w:pPr>
        <w:jc w:val="left"/>
        <w:rPr>
          <w:rFonts w:ascii="宋体" w:hAnsi="宋体" w:eastAsia="宋体" w:cs="宋体"/>
          <w:b/>
          <w:bCs/>
          <w:color w:val="auto"/>
          <w:sz w:val="28"/>
          <w:szCs w:val="28"/>
          <w:highlight w:val="none"/>
        </w:rPr>
      </w:pPr>
    </w:p>
    <w:p w14:paraId="002E3790">
      <w:pPr>
        <w:pStyle w:val="36"/>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一、</w:t>
      </w:r>
      <w:r>
        <w:rPr>
          <w:rFonts w:hint="eastAsia" w:ascii="宋体" w:hAnsi="宋体" w:eastAsia="宋体" w:cs="宋体"/>
          <w:b/>
          <w:bCs/>
          <w:color w:val="auto"/>
          <w:sz w:val="36"/>
          <w:szCs w:val="36"/>
          <w:highlight w:val="none"/>
          <w:lang w:val="en-US" w:eastAsia="zh-CN"/>
        </w:rPr>
        <w:t>施工方案</w:t>
      </w:r>
    </w:p>
    <w:p w14:paraId="6EDBF91F">
      <w:pPr>
        <w:numPr>
          <w:ilvl w:val="0"/>
          <w:numId w:val="0"/>
        </w:numPr>
        <w:rPr>
          <w:rFonts w:hint="eastAsia" w:ascii="宋体" w:hAnsi="宋体" w:eastAsia="宋体" w:cs="宋体"/>
          <w:b/>
          <w:bCs/>
          <w:color w:val="auto"/>
          <w:kern w:val="2"/>
          <w:sz w:val="36"/>
          <w:szCs w:val="36"/>
          <w:highlight w:val="none"/>
          <w:lang w:val="en-US" w:eastAsia="zh-CN" w:bidi="ar-SA"/>
        </w:rPr>
      </w:pPr>
    </w:p>
    <w:p w14:paraId="59505CEB">
      <w:pPr>
        <w:numPr>
          <w:ilvl w:val="0"/>
          <w:numId w:val="0"/>
        </w:num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kern w:val="2"/>
          <w:sz w:val="36"/>
          <w:szCs w:val="36"/>
          <w:highlight w:val="none"/>
          <w:lang w:val="en-US" w:eastAsia="zh-CN" w:bidi="ar-SA"/>
        </w:rPr>
        <w:t>二、进度计划</w:t>
      </w:r>
    </w:p>
    <w:p w14:paraId="57877DCA">
      <w:pPr>
        <w:numPr>
          <w:ilvl w:val="0"/>
          <w:numId w:val="0"/>
        </w:numPr>
        <w:rPr>
          <w:rFonts w:hint="eastAsia" w:ascii="宋体" w:hAnsi="宋体" w:eastAsia="宋体" w:cs="宋体"/>
          <w:b/>
          <w:bCs/>
          <w:color w:val="auto"/>
          <w:kern w:val="2"/>
          <w:sz w:val="36"/>
          <w:szCs w:val="36"/>
          <w:highlight w:val="none"/>
          <w:lang w:val="en-US" w:eastAsia="zh-CN" w:bidi="ar-SA"/>
        </w:rPr>
      </w:pPr>
    </w:p>
    <w:p w14:paraId="1D986AAE">
      <w:pPr>
        <w:numPr>
          <w:ilvl w:val="0"/>
          <w:numId w:val="0"/>
        </w:num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0A92A327">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4185D83">
      <w:pPr>
        <w:pStyle w:val="25"/>
        <w:ind w:left="0" w:leftChars="0" w:firstLine="0" w:firstLineChars="0"/>
        <w:rPr>
          <w:rFonts w:ascii="宋体" w:hAnsi="宋体" w:eastAsia="宋体" w:cs="宋体"/>
          <w:b/>
          <w:bCs/>
          <w:color w:val="auto"/>
          <w:sz w:val="28"/>
          <w:szCs w:val="28"/>
          <w:highlight w:val="none"/>
        </w:rPr>
      </w:pPr>
    </w:p>
    <w:p w14:paraId="702974DB">
      <w:pPr>
        <w:pStyle w:val="25"/>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3B313079">
      <w:pPr>
        <w:pStyle w:val="25"/>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8CC779E">
      <w:pPr>
        <w:pStyle w:val="25"/>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jc w:val="left"/>
        <w:rPr>
          <w:rFonts w:ascii="宋体" w:hAnsi="宋体" w:eastAsia="宋体" w:cs="宋体"/>
          <w:b/>
          <w:bCs/>
          <w:color w:val="auto"/>
          <w:sz w:val="36"/>
          <w:szCs w:val="36"/>
          <w:highlight w:val="none"/>
        </w:rPr>
      </w:pPr>
    </w:p>
    <w:p w14:paraId="3437791C">
      <w:pPr>
        <w:pStyle w:val="9"/>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jc w:val="center"/>
        <w:rPr>
          <w:rFonts w:ascii="宋体" w:hAnsi="宋体" w:eastAsia="宋体" w:cs="宋体"/>
          <w:b/>
          <w:bCs/>
          <w:color w:val="auto"/>
          <w:sz w:val="36"/>
          <w:szCs w:val="36"/>
          <w:highlight w:val="none"/>
        </w:rPr>
      </w:pPr>
    </w:p>
    <w:p w14:paraId="041201E7">
      <w:pPr>
        <w:widowControl/>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88F46">
    <w:pPr>
      <w:pStyle w:val="15"/>
    </w:pPr>
    <w:r>
      <mc:AlternateContent>
        <mc:Choice Requires="wps">
          <w:drawing>
            <wp:anchor distT="0" distB="0" distL="114300" distR="114300" simplePos="0" relativeHeight="251677696" behindDoc="0" locked="0" layoutInCell="1" allowOverlap="1">
              <wp:simplePos x="0" y="0"/>
              <wp:positionH relativeFrom="margin">
                <wp:posOffset>2597150</wp:posOffset>
              </wp:positionH>
              <wp:positionV relativeFrom="paragraph">
                <wp:posOffset>2540</wp:posOffset>
              </wp:positionV>
              <wp:extent cx="438150" cy="146050"/>
              <wp:effectExtent l="0" t="0" r="0" b="0"/>
              <wp:wrapNone/>
              <wp:docPr id="323" name="文本框 3"/>
              <wp:cNvGraphicFramePr/>
              <a:graphic xmlns:a="http://schemas.openxmlformats.org/drawingml/2006/main">
                <a:graphicData uri="http://schemas.microsoft.com/office/word/2010/wordprocessingShape">
                  <wps:wsp>
                    <wps:cNvSpPr/>
                    <wps:spPr>
                      <a:xfrm>
                        <a:off x="0" y="0"/>
                        <a:ext cx="438150" cy="14605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5D5C8CC4">
                          <w:pPr>
                            <w:pStyle w:val="1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95</w:t>
                          </w:r>
                          <w:r>
                            <w:rPr>
                              <w:rFonts w:ascii="Times New Roman" w:hAnsi="Times New Roman" w:cs="Times New Roman"/>
                            </w:rPr>
                            <w:fldChar w:fldCharType="end"/>
                          </w:r>
                        </w:p>
                      </w:txbxContent>
                    </wps:txbx>
                    <wps:bodyPr rot="0" spcFirstLastPara="0" vertOverflow="overflow" horzOverflow="overflow" vert="horz" wrap="square" lIns="0" tIns="0" rIns="0" bIns="0" numCol="1" rtlCol="0" anchor="t"/>
                  </wps:wsp>
                </a:graphicData>
              </a:graphic>
            </wp:anchor>
          </w:drawing>
        </mc:Choice>
        <mc:Fallback>
          <w:pict>
            <v:rect id="文本框 3" o:spid="_x0000_s1026" o:spt="1" style="position:absolute;left:0pt;margin-left:204.5pt;margin-top:0.2pt;height:11.5pt;width:34.5pt;mso-position-horizontal-relative:margin;z-index:251677696;mso-width-relative:page;mso-height-relative:page;" filled="f" stroked="f" coordsize="21600,21600" o:gfxdata="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ugqAm1wAAAAcBAAAPAAAAAAAAAAEAIAAAACIAAABkcnMvZG93bnJldi54bWxQSwEC&#10;FAAUAAAACACHTuJAzvhjX/UBAADlAwAADgAAAAAAAAABACAAAAAmAQAAZHJzL2Uyb0RvYy54bWxQ&#10;SwUGAAAAAAYABgBZAQAAjQUAAAAA&#10;">
              <v:fill on="f" focussize="0,0"/>
              <v:stroke on="f"/>
              <v:imagedata o:title=""/>
              <o:lock v:ext="edit" aspectratio="f"/>
              <v:textbox inset="0mm,0mm,0mm,0mm">
                <w:txbxContent>
                  <w:p w14:paraId="5D5C8CC4">
                    <w:pPr>
                      <w:pStyle w:val="15"/>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95</w:t>
                    </w:r>
                    <w:r>
                      <w:rPr>
                        <w:rFonts w:ascii="Times New Roman" w:hAnsi="Times New Roman" w:cs="Times New Roma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2E25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6F76B">
    <w:r>
      <w:pict>
        <v:shape id="_x0000_s4105" o:spid="_x0000_s4105" o:spt="136" type="#_x0000_t136" style="position:absolute;left:0pt;margin-left:-110pt;margin-top:130pt;height:35pt;width:350pt;rotation:-2949120f;z-index:25166848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6" o:spid="_x0000_s4106" o:spt="136" type="#_x0000_t136" style="position:absolute;left:0pt;margin-left:-110pt;margin-top:400pt;height:35pt;width:350pt;rotation:-2949120f;z-index:25166950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7" o:spid="_x0000_s4107" o:spt="136" type="#_x0000_t136" style="position:absolute;left:0pt;margin-left:-110pt;margin-top:670pt;height:35pt;width:350pt;rotation:-2949120f;z-index:25167052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8" o:spid="_x0000_s4108" o:spt="136" type="#_x0000_t136" style="position:absolute;left:0pt;margin-left:190pt;margin-top:130pt;height:35pt;width:350pt;rotation:-2949120f;z-index:25167155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9" o:spid="_x0000_s4109" o:spt="136" type="#_x0000_t136" style="position:absolute;left:0pt;margin-left:190pt;margin-top:400pt;height:35pt;width:350pt;rotation:-2949120f;z-index:251672576;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0" o:spid="_x0000_s4110" o:spt="136" type="#_x0000_t136" style="position:absolute;left:0pt;margin-left:190pt;margin-top:670pt;height:35pt;width:350pt;rotation:-2949120f;z-index:25167360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1" o:spid="_x0000_s4111" o:spt="136" type="#_x0000_t136" style="position:absolute;left:0pt;margin-left:490pt;margin-top:130pt;height:35pt;width:350pt;rotation:-2949120f;z-index:25167462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2" o:spid="_x0000_s4112" o:spt="136" type="#_x0000_t136" style="position:absolute;left:0pt;margin-left:490pt;margin-top:400pt;height:35pt;width:350pt;rotation:-2949120f;z-index:25167564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3" o:spid="_x0000_s4113" o:spt="136" type="#_x0000_t136" style="position:absolute;left:0pt;margin-left:490pt;margin-top:670pt;height:35pt;width:350pt;rotation:-2949120f;z-index:25167667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548B1">
    <w:r>
      <w:pict>
        <v:shape id="_x0000_s4096" o:spid="_x0000_s4096" o:spt="136" type="#_x0000_t136" style="position:absolute;left:0pt;margin-left:-110pt;margin-top:130pt;height:35pt;width:350pt;rotation:-2949120f;z-index:25165926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097" o:spid="_x0000_s4097" o:spt="136" type="#_x0000_t136" style="position:absolute;left:0pt;margin-left:-110pt;margin-top:400pt;height:35pt;width:350pt;rotation:-2949120f;z-index:25166028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098" o:spid="_x0000_s4098" o:spt="136" type="#_x0000_t136" style="position:absolute;left:0pt;margin-left:-110pt;margin-top:670pt;height:35pt;width:350pt;rotation:-2949120f;z-index:25166131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099" o:spid="_x0000_s4099" o:spt="136" type="#_x0000_t136" style="position:absolute;left:0pt;margin-left:190pt;margin-top:130pt;height:35pt;width:350pt;rotation:-2949120f;z-index:251662336;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0" o:spid="_x0000_s4100" o:spt="136" type="#_x0000_t136" style="position:absolute;left:0pt;margin-left:190pt;margin-top:400pt;height:35pt;width:350pt;rotation:-2949120f;z-index:25166336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1" o:spid="_x0000_s4101" o:spt="136" type="#_x0000_t136" style="position:absolute;left:0pt;margin-left:190pt;margin-top:670pt;height:35pt;width:350pt;rotation:-2949120f;z-index:25166438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2" o:spid="_x0000_s4102" o:spt="136" type="#_x0000_t136" style="position:absolute;left:0pt;margin-left:490pt;margin-top:130pt;height:35pt;width:350pt;rotation:-2949120f;z-index:25166540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3" o:spid="_x0000_s4103" o:spt="136" type="#_x0000_t136" style="position:absolute;left:0pt;margin-left:490pt;margin-top:400pt;height:35pt;width:350pt;rotation:-2949120f;z-index:25166643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04" o:spid="_x0000_s4104" o:spt="136" type="#_x0000_t136" style="position:absolute;left:0pt;margin-left:490pt;margin-top:670pt;height:35pt;width:350pt;rotation:-2949120f;z-index:251667456;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BF9CC">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94991">
    <w:r>
      <w:pict>
        <v:shape id="_x0000_s4123" o:spid="_x0000_s4123" o:spt="136" type="#_x0000_t136" style="position:absolute;left:0pt;margin-left:-110pt;margin-top:130pt;height:35pt;width:350pt;rotation:-2949120f;z-index:251687936;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4" o:spid="_x0000_s4124" o:spt="136" type="#_x0000_t136" style="position:absolute;left:0pt;margin-left:-110pt;margin-top:400pt;height:35pt;width:350pt;rotation:-2949120f;z-index:25168896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5" o:spid="_x0000_s4125" o:spt="136" type="#_x0000_t136" style="position:absolute;left:0pt;margin-left:-110pt;margin-top:670pt;height:35pt;width:350pt;rotation:-2949120f;z-index:25168998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6" o:spid="_x0000_s4126" o:spt="136" type="#_x0000_t136" style="position:absolute;left:0pt;margin-left:190pt;margin-top:130pt;height:35pt;width:350pt;rotation:-2949120f;z-index:25169100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7" o:spid="_x0000_s4127" o:spt="136" type="#_x0000_t136" style="position:absolute;left:0pt;margin-left:190pt;margin-top:400pt;height:35pt;width:350pt;rotation:-2949120f;z-index:25169203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8" o:spid="_x0000_s4128" o:spt="136" type="#_x0000_t136" style="position:absolute;left:0pt;margin-left:190pt;margin-top:670pt;height:35pt;width:350pt;rotation:-2949120f;z-index:251693056;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9" o:spid="_x0000_s4129" o:spt="136" type="#_x0000_t136" style="position:absolute;left:0pt;margin-left:490pt;margin-top:130pt;height:35pt;width:350pt;rotation:-2949120f;z-index:25169408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30" o:spid="_x0000_s4130" o:spt="136" type="#_x0000_t136" style="position:absolute;left:0pt;margin-left:490pt;margin-top:400pt;height:35pt;width:350pt;rotation:-2949120f;z-index:25169510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31" o:spid="_x0000_s4131" o:spt="136" type="#_x0000_t136" style="position:absolute;left:0pt;margin-left:490pt;margin-top:670pt;height:35pt;width:350pt;rotation:-2949120f;z-index:25169612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5FDAF">
    <w:r>
      <w:pict>
        <v:shape id="_x0000_s4114" o:spid="_x0000_s4114" o:spt="136" type="#_x0000_t136" style="position:absolute;left:0pt;margin-left:-110pt;margin-top:130pt;height:35pt;width:350pt;rotation:-2949120f;z-index:25167872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5" o:spid="_x0000_s4115" o:spt="136" type="#_x0000_t136" style="position:absolute;left:0pt;margin-left:-110pt;margin-top:400pt;height:35pt;width:350pt;rotation:-2949120f;z-index:25167974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6" o:spid="_x0000_s4116" o:spt="136" type="#_x0000_t136" style="position:absolute;left:0pt;margin-left:-110pt;margin-top:670pt;height:35pt;width:350pt;rotation:-2949120f;z-index:25168076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7" o:spid="_x0000_s4117" o:spt="136" type="#_x0000_t136" style="position:absolute;left:0pt;margin-left:190pt;margin-top:130pt;height:35pt;width:350pt;rotation:-2949120f;z-index:25168179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8" o:spid="_x0000_s4118" o:spt="136" type="#_x0000_t136" style="position:absolute;left:0pt;margin-left:190pt;margin-top:400pt;height:35pt;width:350pt;rotation:-2949120f;z-index:251682816;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19" o:spid="_x0000_s4119" o:spt="136" type="#_x0000_t136" style="position:absolute;left:0pt;margin-left:190pt;margin-top:670pt;height:35pt;width:350pt;rotation:-2949120f;z-index:251683840;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0" o:spid="_x0000_s4120" o:spt="136" type="#_x0000_t136" style="position:absolute;left:0pt;margin-left:490pt;margin-top:130pt;height:35pt;width:350pt;rotation:-2949120f;z-index:251684864;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1" o:spid="_x0000_s4121" o:spt="136" type="#_x0000_t136" style="position:absolute;left:0pt;margin-left:490pt;margin-top:400pt;height:35pt;width:350pt;rotation:-2949120f;z-index:251685888;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r>
      <w:pict>
        <v:shape id="_x0000_s4122" o:spid="_x0000_s4122" o:spt="136" type="#_x0000_t136" style="position:absolute;left:0pt;margin-left:490pt;margin-top:670pt;height:35pt;width:350pt;rotation:-2949120f;z-index:251686912;mso-width-relative:page;mso-height-relative:page;" fillcolor="#000000" filled="t" stroked="f" coordsize="21600,21600">
          <v:path/>
          <v:fill on="t" opacity="19661f" focussize="0,0"/>
          <v:stroke on="f" color="#000000"/>
          <v:imagedata o:title=""/>
          <o:lock v:ext="edit"/>
          <v:textpath on="t" fitshape="t" fitpath="t" trim="f" xscale="f" string="伍俊峰 21030193" style="font-family:宋体;font-size:36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7"/>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EAA3F"/>
    <w:multiLevelType w:val="singleLevel"/>
    <w:tmpl w:val="A02EAA3F"/>
    <w:lvl w:ilvl="0" w:tentative="0">
      <w:start w:val="1"/>
      <w:numFmt w:val="chineseCounting"/>
      <w:suff w:val="nothing"/>
      <w:lvlText w:val="%1、"/>
      <w:lvlJc w:val="left"/>
      <w:rPr>
        <w:rFonts w:hint="eastAsia"/>
      </w:rPr>
    </w:lvl>
  </w:abstractNum>
  <w:abstractNum w:abstractNumId="1">
    <w:nsid w:val="AFBC68A6"/>
    <w:multiLevelType w:val="singleLevel"/>
    <w:tmpl w:val="AFBC68A6"/>
    <w:lvl w:ilvl="0" w:tentative="0">
      <w:start w:val="1"/>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2C75"/>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1570"/>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2E6EEA"/>
    <w:rsid w:val="024A3CE3"/>
    <w:rsid w:val="028A186A"/>
    <w:rsid w:val="028D7421"/>
    <w:rsid w:val="02A604E3"/>
    <w:rsid w:val="02DE573B"/>
    <w:rsid w:val="02E64D83"/>
    <w:rsid w:val="031173EF"/>
    <w:rsid w:val="0328776E"/>
    <w:rsid w:val="035B79A0"/>
    <w:rsid w:val="035C0C4A"/>
    <w:rsid w:val="03661F65"/>
    <w:rsid w:val="0370464D"/>
    <w:rsid w:val="038375EC"/>
    <w:rsid w:val="0398035D"/>
    <w:rsid w:val="03BE360A"/>
    <w:rsid w:val="03C2759E"/>
    <w:rsid w:val="03C36E72"/>
    <w:rsid w:val="03D75FFA"/>
    <w:rsid w:val="03EC4652"/>
    <w:rsid w:val="044F0706"/>
    <w:rsid w:val="04545D1C"/>
    <w:rsid w:val="048E122E"/>
    <w:rsid w:val="04A10F62"/>
    <w:rsid w:val="04A44EF6"/>
    <w:rsid w:val="04A67D1B"/>
    <w:rsid w:val="04A96068"/>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B114967"/>
    <w:rsid w:val="0B2E57BB"/>
    <w:rsid w:val="0B3D750A"/>
    <w:rsid w:val="0B4C599F"/>
    <w:rsid w:val="0B510CC2"/>
    <w:rsid w:val="0B68030A"/>
    <w:rsid w:val="0B684935"/>
    <w:rsid w:val="0BC93830"/>
    <w:rsid w:val="0BDD0B1C"/>
    <w:rsid w:val="0C085820"/>
    <w:rsid w:val="0C142961"/>
    <w:rsid w:val="0C230DF6"/>
    <w:rsid w:val="0C2D757F"/>
    <w:rsid w:val="0C97215F"/>
    <w:rsid w:val="0CD402F9"/>
    <w:rsid w:val="0CEA7622"/>
    <w:rsid w:val="0D04104B"/>
    <w:rsid w:val="0D1D5845"/>
    <w:rsid w:val="0D295F98"/>
    <w:rsid w:val="0D5F2E7C"/>
    <w:rsid w:val="0D975F08"/>
    <w:rsid w:val="0DA600F1"/>
    <w:rsid w:val="0DC2517F"/>
    <w:rsid w:val="0DC43F13"/>
    <w:rsid w:val="0DCB52A1"/>
    <w:rsid w:val="0DCD71FF"/>
    <w:rsid w:val="0E097B78"/>
    <w:rsid w:val="0E275B53"/>
    <w:rsid w:val="0E386917"/>
    <w:rsid w:val="0E666D78"/>
    <w:rsid w:val="0E852540"/>
    <w:rsid w:val="0EA115D7"/>
    <w:rsid w:val="0EB13A8C"/>
    <w:rsid w:val="0ECC307F"/>
    <w:rsid w:val="0EDB32C2"/>
    <w:rsid w:val="0EDD528C"/>
    <w:rsid w:val="0EDE0FD1"/>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A047C3"/>
    <w:rsid w:val="10AC3C68"/>
    <w:rsid w:val="10CD30DE"/>
    <w:rsid w:val="11053ABE"/>
    <w:rsid w:val="112533CF"/>
    <w:rsid w:val="114E421F"/>
    <w:rsid w:val="11660951"/>
    <w:rsid w:val="11691059"/>
    <w:rsid w:val="117C46D6"/>
    <w:rsid w:val="118539B9"/>
    <w:rsid w:val="11961BFD"/>
    <w:rsid w:val="11962DA9"/>
    <w:rsid w:val="11B73BE0"/>
    <w:rsid w:val="11BA701A"/>
    <w:rsid w:val="11CF580B"/>
    <w:rsid w:val="12046804"/>
    <w:rsid w:val="121A67F7"/>
    <w:rsid w:val="12416638"/>
    <w:rsid w:val="12451AE6"/>
    <w:rsid w:val="12843C71"/>
    <w:rsid w:val="128C26B2"/>
    <w:rsid w:val="12AF0CEE"/>
    <w:rsid w:val="12B72298"/>
    <w:rsid w:val="12B74C45"/>
    <w:rsid w:val="12B85E9B"/>
    <w:rsid w:val="12D76496"/>
    <w:rsid w:val="12EF558E"/>
    <w:rsid w:val="12FA6367"/>
    <w:rsid w:val="12FC4426"/>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C9700C"/>
    <w:rsid w:val="1AD13776"/>
    <w:rsid w:val="1AE31E7C"/>
    <w:rsid w:val="1AEA0E54"/>
    <w:rsid w:val="1B122762"/>
    <w:rsid w:val="1B440441"/>
    <w:rsid w:val="1B516EFF"/>
    <w:rsid w:val="1B647201"/>
    <w:rsid w:val="1B721452"/>
    <w:rsid w:val="1B7828A4"/>
    <w:rsid w:val="1B801CC8"/>
    <w:rsid w:val="1B88172B"/>
    <w:rsid w:val="1B97689A"/>
    <w:rsid w:val="1B9A62B3"/>
    <w:rsid w:val="1BAB226E"/>
    <w:rsid w:val="1C20736E"/>
    <w:rsid w:val="1C3D736A"/>
    <w:rsid w:val="1C3F5943"/>
    <w:rsid w:val="1C4C59FD"/>
    <w:rsid w:val="1C642CF5"/>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13CE4"/>
    <w:rsid w:val="1E2A22F5"/>
    <w:rsid w:val="1E5D77F2"/>
    <w:rsid w:val="1E7C18CE"/>
    <w:rsid w:val="1E7D0965"/>
    <w:rsid w:val="1E892D3B"/>
    <w:rsid w:val="1EA0669C"/>
    <w:rsid w:val="1EAC07D7"/>
    <w:rsid w:val="1EB63E6E"/>
    <w:rsid w:val="1EE066D3"/>
    <w:rsid w:val="1F0F20B8"/>
    <w:rsid w:val="1F3F789D"/>
    <w:rsid w:val="1F5D0F05"/>
    <w:rsid w:val="1F703EFB"/>
    <w:rsid w:val="1F8A5DA8"/>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B7383D"/>
    <w:rsid w:val="21CC2F31"/>
    <w:rsid w:val="21E20569"/>
    <w:rsid w:val="220B214E"/>
    <w:rsid w:val="228C128A"/>
    <w:rsid w:val="22972076"/>
    <w:rsid w:val="22A04AF7"/>
    <w:rsid w:val="22A07A2E"/>
    <w:rsid w:val="22BD1205"/>
    <w:rsid w:val="22D7082A"/>
    <w:rsid w:val="23337719"/>
    <w:rsid w:val="237C3DA7"/>
    <w:rsid w:val="23897339"/>
    <w:rsid w:val="23AB2B2B"/>
    <w:rsid w:val="23AD6B8C"/>
    <w:rsid w:val="23DC309A"/>
    <w:rsid w:val="23DE341D"/>
    <w:rsid w:val="23ED1676"/>
    <w:rsid w:val="2415163D"/>
    <w:rsid w:val="24183F9D"/>
    <w:rsid w:val="244D0366"/>
    <w:rsid w:val="246102B6"/>
    <w:rsid w:val="24925E82"/>
    <w:rsid w:val="24BA35E1"/>
    <w:rsid w:val="24BE74B6"/>
    <w:rsid w:val="24D34D10"/>
    <w:rsid w:val="251834B6"/>
    <w:rsid w:val="25316E3B"/>
    <w:rsid w:val="25685C13"/>
    <w:rsid w:val="25AC7BD0"/>
    <w:rsid w:val="25E66CC5"/>
    <w:rsid w:val="25EB7E37"/>
    <w:rsid w:val="25F80F5A"/>
    <w:rsid w:val="2629095F"/>
    <w:rsid w:val="266879AE"/>
    <w:rsid w:val="267D783B"/>
    <w:rsid w:val="2685028B"/>
    <w:rsid w:val="26A83F7A"/>
    <w:rsid w:val="26AB640C"/>
    <w:rsid w:val="26BD19CD"/>
    <w:rsid w:val="26E2748C"/>
    <w:rsid w:val="26F64CE5"/>
    <w:rsid w:val="27085757"/>
    <w:rsid w:val="270E526E"/>
    <w:rsid w:val="276F6846"/>
    <w:rsid w:val="277D0F63"/>
    <w:rsid w:val="27806CA5"/>
    <w:rsid w:val="278E555F"/>
    <w:rsid w:val="27C46B92"/>
    <w:rsid w:val="27C60B5C"/>
    <w:rsid w:val="27C76682"/>
    <w:rsid w:val="27D52B4D"/>
    <w:rsid w:val="27E234BC"/>
    <w:rsid w:val="27FE6547"/>
    <w:rsid w:val="280F6FAD"/>
    <w:rsid w:val="281431DC"/>
    <w:rsid w:val="281F2449"/>
    <w:rsid w:val="28215D92"/>
    <w:rsid w:val="284877C3"/>
    <w:rsid w:val="28610884"/>
    <w:rsid w:val="286363AA"/>
    <w:rsid w:val="28810F26"/>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012636"/>
    <w:rsid w:val="2D0A14EA"/>
    <w:rsid w:val="2D2D51D9"/>
    <w:rsid w:val="2D641088"/>
    <w:rsid w:val="2D854FBB"/>
    <w:rsid w:val="2DD375EA"/>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C824FD"/>
    <w:rsid w:val="2FF764FF"/>
    <w:rsid w:val="30134B5A"/>
    <w:rsid w:val="305A4537"/>
    <w:rsid w:val="305F48F9"/>
    <w:rsid w:val="30790154"/>
    <w:rsid w:val="309026BC"/>
    <w:rsid w:val="30AE4883"/>
    <w:rsid w:val="30BA5FA6"/>
    <w:rsid w:val="30D20571"/>
    <w:rsid w:val="31295CB7"/>
    <w:rsid w:val="314B18D9"/>
    <w:rsid w:val="31B71515"/>
    <w:rsid w:val="3204466B"/>
    <w:rsid w:val="323112C7"/>
    <w:rsid w:val="3244724D"/>
    <w:rsid w:val="32805DAB"/>
    <w:rsid w:val="328C7E14"/>
    <w:rsid w:val="32E4458C"/>
    <w:rsid w:val="32F3657D"/>
    <w:rsid w:val="33072928"/>
    <w:rsid w:val="332E1CAB"/>
    <w:rsid w:val="33491B2B"/>
    <w:rsid w:val="334A26CA"/>
    <w:rsid w:val="33545C6A"/>
    <w:rsid w:val="336D45D4"/>
    <w:rsid w:val="33770949"/>
    <w:rsid w:val="33775400"/>
    <w:rsid w:val="3396714B"/>
    <w:rsid w:val="33BC72B7"/>
    <w:rsid w:val="33EE2CBB"/>
    <w:rsid w:val="33F97153"/>
    <w:rsid w:val="3437693D"/>
    <w:rsid w:val="346D04EA"/>
    <w:rsid w:val="34AE06E2"/>
    <w:rsid w:val="34D01715"/>
    <w:rsid w:val="34D85FC1"/>
    <w:rsid w:val="34E07AAC"/>
    <w:rsid w:val="35216B3A"/>
    <w:rsid w:val="35243365"/>
    <w:rsid w:val="354237EC"/>
    <w:rsid w:val="355D23D3"/>
    <w:rsid w:val="358D4A67"/>
    <w:rsid w:val="35B73253"/>
    <w:rsid w:val="35C75553"/>
    <w:rsid w:val="35EF127D"/>
    <w:rsid w:val="36080591"/>
    <w:rsid w:val="364770C9"/>
    <w:rsid w:val="36FB1EA4"/>
    <w:rsid w:val="37305FF2"/>
    <w:rsid w:val="373B4A03"/>
    <w:rsid w:val="375C6DE7"/>
    <w:rsid w:val="376115C6"/>
    <w:rsid w:val="379C139A"/>
    <w:rsid w:val="37AD5068"/>
    <w:rsid w:val="37C036A0"/>
    <w:rsid w:val="37DC7F27"/>
    <w:rsid w:val="37FB2842"/>
    <w:rsid w:val="387E0FDF"/>
    <w:rsid w:val="38B13162"/>
    <w:rsid w:val="38B22A36"/>
    <w:rsid w:val="38D037D9"/>
    <w:rsid w:val="38D61D34"/>
    <w:rsid w:val="39227BBC"/>
    <w:rsid w:val="392415DF"/>
    <w:rsid w:val="39534219"/>
    <w:rsid w:val="39691347"/>
    <w:rsid w:val="397B72CC"/>
    <w:rsid w:val="397C3770"/>
    <w:rsid w:val="39846637"/>
    <w:rsid w:val="399F5BC4"/>
    <w:rsid w:val="39A24859"/>
    <w:rsid w:val="39B32F0A"/>
    <w:rsid w:val="39C3314D"/>
    <w:rsid w:val="39CA6F6B"/>
    <w:rsid w:val="39FC7BE4"/>
    <w:rsid w:val="3A060195"/>
    <w:rsid w:val="3A0D4329"/>
    <w:rsid w:val="3A30175F"/>
    <w:rsid w:val="3A41222E"/>
    <w:rsid w:val="3A4F7B0F"/>
    <w:rsid w:val="3AB5593E"/>
    <w:rsid w:val="3AB962FE"/>
    <w:rsid w:val="3B183024"/>
    <w:rsid w:val="3B2220F5"/>
    <w:rsid w:val="3B3E2CBB"/>
    <w:rsid w:val="3B4007CD"/>
    <w:rsid w:val="3B5F6EA5"/>
    <w:rsid w:val="3B7641EF"/>
    <w:rsid w:val="3B8C756F"/>
    <w:rsid w:val="3BEA0701"/>
    <w:rsid w:val="3C2B28BB"/>
    <w:rsid w:val="3C36556B"/>
    <w:rsid w:val="3C4B742A"/>
    <w:rsid w:val="3C53008C"/>
    <w:rsid w:val="3C554F79"/>
    <w:rsid w:val="3C7324DC"/>
    <w:rsid w:val="3C733E98"/>
    <w:rsid w:val="3CBC3394"/>
    <w:rsid w:val="3CC86CCC"/>
    <w:rsid w:val="3D096738"/>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41064F"/>
    <w:rsid w:val="3F4351A4"/>
    <w:rsid w:val="3F47212A"/>
    <w:rsid w:val="3F536D21"/>
    <w:rsid w:val="3F6B74EC"/>
    <w:rsid w:val="3F7437CD"/>
    <w:rsid w:val="3F9D7D00"/>
    <w:rsid w:val="3FB157F6"/>
    <w:rsid w:val="40047AC2"/>
    <w:rsid w:val="402C3DD7"/>
    <w:rsid w:val="403E177F"/>
    <w:rsid w:val="404F5E77"/>
    <w:rsid w:val="40503261"/>
    <w:rsid w:val="40556AC9"/>
    <w:rsid w:val="405E6418"/>
    <w:rsid w:val="406B3358"/>
    <w:rsid w:val="406E4439"/>
    <w:rsid w:val="4090365D"/>
    <w:rsid w:val="40BB2DD0"/>
    <w:rsid w:val="411F78B8"/>
    <w:rsid w:val="41596145"/>
    <w:rsid w:val="415E04EE"/>
    <w:rsid w:val="419E624E"/>
    <w:rsid w:val="41EC3D7E"/>
    <w:rsid w:val="41EE2D31"/>
    <w:rsid w:val="41F3318B"/>
    <w:rsid w:val="424879A4"/>
    <w:rsid w:val="427E2307"/>
    <w:rsid w:val="428E5E9A"/>
    <w:rsid w:val="43064811"/>
    <w:rsid w:val="431247FD"/>
    <w:rsid w:val="434D7F2B"/>
    <w:rsid w:val="43525542"/>
    <w:rsid w:val="4354515E"/>
    <w:rsid w:val="43A044FF"/>
    <w:rsid w:val="43D67301"/>
    <w:rsid w:val="43E048FB"/>
    <w:rsid w:val="43EC14F2"/>
    <w:rsid w:val="440F6F8F"/>
    <w:rsid w:val="442567B2"/>
    <w:rsid w:val="4430585A"/>
    <w:rsid w:val="4460407D"/>
    <w:rsid w:val="44641B49"/>
    <w:rsid w:val="447A08AC"/>
    <w:rsid w:val="44893078"/>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6D9682E"/>
    <w:rsid w:val="47046870"/>
    <w:rsid w:val="4709385D"/>
    <w:rsid w:val="471E7C15"/>
    <w:rsid w:val="4736312B"/>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2D08FA"/>
    <w:rsid w:val="4C8D5D8B"/>
    <w:rsid w:val="4CEC6BD9"/>
    <w:rsid w:val="4CF6364B"/>
    <w:rsid w:val="4D29404E"/>
    <w:rsid w:val="4D410CA2"/>
    <w:rsid w:val="4D467EC5"/>
    <w:rsid w:val="4D7660EF"/>
    <w:rsid w:val="4DAE7818"/>
    <w:rsid w:val="4DB964A1"/>
    <w:rsid w:val="4DEB2922"/>
    <w:rsid w:val="4DFB23D2"/>
    <w:rsid w:val="4E00310E"/>
    <w:rsid w:val="4E3221F7"/>
    <w:rsid w:val="4E467A51"/>
    <w:rsid w:val="4E50267E"/>
    <w:rsid w:val="4EAF703B"/>
    <w:rsid w:val="4EBE3A8B"/>
    <w:rsid w:val="4EC71F0A"/>
    <w:rsid w:val="4ED432AF"/>
    <w:rsid w:val="4F1279A4"/>
    <w:rsid w:val="4F1F4003"/>
    <w:rsid w:val="4F245FE4"/>
    <w:rsid w:val="4F35568B"/>
    <w:rsid w:val="4F6665FD"/>
    <w:rsid w:val="4F692899"/>
    <w:rsid w:val="4F9D7B44"/>
    <w:rsid w:val="4FA34BB1"/>
    <w:rsid w:val="4FB8672C"/>
    <w:rsid w:val="4FBA6769"/>
    <w:rsid w:val="4FD32187"/>
    <w:rsid w:val="4FD61815"/>
    <w:rsid w:val="50202421"/>
    <w:rsid w:val="503C735D"/>
    <w:rsid w:val="503D0A8A"/>
    <w:rsid w:val="50AA7C6B"/>
    <w:rsid w:val="50CE1A11"/>
    <w:rsid w:val="50D80348"/>
    <w:rsid w:val="50E27F05"/>
    <w:rsid w:val="510C31D4"/>
    <w:rsid w:val="5119769F"/>
    <w:rsid w:val="515801C7"/>
    <w:rsid w:val="5160707C"/>
    <w:rsid w:val="516B1EBC"/>
    <w:rsid w:val="51A44429"/>
    <w:rsid w:val="51BB2504"/>
    <w:rsid w:val="51E90E1F"/>
    <w:rsid w:val="52065E75"/>
    <w:rsid w:val="520C2D5F"/>
    <w:rsid w:val="521F2A93"/>
    <w:rsid w:val="523A5B1F"/>
    <w:rsid w:val="523B6EAF"/>
    <w:rsid w:val="52670DFD"/>
    <w:rsid w:val="52762A77"/>
    <w:rsid w:val="528D5C4E"/>
    <w:rsid w:val="52972F71"/>
    <w:rsid w:val="529A0B79"/>
    <w:rsid w:val="52E53CDC"/>
    <w:rsid w:val="52FC2DD4"/>
    <w:rsid w:val="53081779"/>
    <w:rsid w:val="53245577"/>
    <w:rsid w:val="53996FC4"/>
    <w:rsid w:val="53C14B7F"/>
    <w:rsid w:val="53FB308C"/>
    <w:rsid w:val="548D7640"/>
    <w:rsid w:val="54934B51"/>
    <w:rsid w:val="54BC7E9C"/>
    <w:rsid w:val="54D77655"/>
    <w:rsid w:val="55061B79"/>
    <w:rsid w:val="55366A71"/>
    <w:rsid w:val="557773BB"/>
    <w:rsid w:val="557F199D"/>
    <w:rsid w:val="558A19EA"/>
    <w:rsid w:val="558F1CDD"/>
    <w:rsid w:val="55C13D92"/>
    <w:rsid w:val="55CF743F"/>
    <w:rsid w:val="55FA1516"/>
    <w:rsid w:val="55FE795C"/>
    <w:rsid w:val="563F1955"/>
    <w:rsid w:val="56545C38"/>
    <w:rsid w:val="56552F27"/>
    <w:rsid w:val="565952BB"/>
    <w:rsid w:val="566F7200"/>
    <w:rsid w:val="56C500AD"/>
    <w:rsid w:val="5748483A"/>
    <w:rsid w:val="574B00F6"/>
    <w:rsid w:val="574D1E50"/>
    <w:rsid w:val="575D4053"/>
    <w:rsid w:val="578D41FE"/>
    <w:rsid w:val="57D670A6"/>
    <w:rsid w:val="57D91936"/>
    <w:rsid w:val="57EA1DD9"/>
    <w:rsid w:val="57FB18AC"/>
    <w:rsid w:val="58037222"/>
    <w:rsid w:val="582A625E"/>
    <w:rsid w:val="583F79EB"/>
    <w:rsid w:val="58607961"/>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A403EEE"/>
    <w:rsid w:val="5A4E660B"/>
    <w:rsid w:val="5A6D7B83"/>
    <w:rsid w:val="5AA1673B"/>
    <w:rsid w:val="5ABC17C7"/>
    <w:rsid w:val="5ADD34EB"/>
    <w:rsid w:val="5B0D5B7E"/>
    <w:rsid w:val="5B1433B1"/>
    <w:rsid w:val="5B1F1D55"/>
    <w:rsid w:val="5B5C6B06"/>
    <w:rsid w:val="5B667984"/>
    <w:rsid w:val="5B793214"/>
    <w:rsid w:val="5B8874CC"/>
    <w:rsid w:val="5BA1276A"/>
    <w:rsid w:val="5BAF789E"/>
    <w:rsid w:val="5BC4220D"/>
    <w:rsid w:val="5C272C70"/>
    <w:rsid w:val="5C49708A"/>
    <w:rsid w:val="5C4A4BB0"/>
    <w:rsid w:val="5C990449"/>
    <w:rsid w:val="5CAC13C7"/>
    <w:rsid w:val="5CCE30DB"/>
    <w:rsid w:val="5D1256CE"/>
    <w:rsid w:val="5D153410"/>
    <w:rsid w:val="5D5201C0"/>
    <w:rsid w:val="5D881EC7"/>
    <w:rsid w:val="5DA463E6"/>
    <w:rsid w:val="5DB02962"/>
    <w:rsid w:val="5DF179D9"/>
    <w:rsid w:val="5DF539C2"/>
    <w:rsid w:val="5E465A3C"/>
    <w:rsid w:val="5E5802C6"/>
    <w:rsid w:val="5E6229F6"/>
    <w:rsid w:val="5E6511F0"/>
    <w:rsid w:val="5E7128C8"/>
    <w:rsid w:val="5E850121"/>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763D3"/>
    <w:rsid w:val="60894B58"/>
    <w:rsid w:val="609603C4"/>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7438F9"/>
    <w:rsid w:val="6280757E"/>
    <w:rsid w:val="62966DA1"/>
    <w:rsid w:val="6308241E"/>
    <w:rsid w:val="637D1D0F"/>
    <w:rsid w:val="638F24AF"/>
    <w:rsid w:val="63F27EFF"/>
    <w:rsid w:val="64155AA4"/>
    <w:rsid w:val="642929EC"/>
    <w:rsid w:val="642F6F0E"/>
    <w:rsid w:val="646C6050"/>
    <w:rsid w:val="64744EC0"/>
    <w:rsid w:val="647924D6"/>
    <w:rsid w:val="647A7108"/>
    <w:rsid w:val="64CD2759"/>
    <w:rsid w:val="64D677E4"/>
    <w:rsid w:val="64E8621E"/>
    <w:rsid w:val="650A75D2"/>
    <w:rsid w:val="65203AB5"/>
    <w:rsid w:val="65257F68"/>
    <w:rsid w:val="65586590"/>
    <w:rsid w:val="65755781"/>
    <w:rsid w:val="65CD2602"/>
    <w:rsid w:val="65D34FAF"/>
    <w:rsid w:val="65E676F8"/>
    <w:rsid w:val="65EC0A86"/>
    <w:rsid w:val="66061B48"/>
    <w:rsid w:val="661A3845"/>
    <w:rsid w:val="66216982"/>
    <w:rsid w:val="66482160"/>
    <w:rsid w:val="666B22F3"/>
    <w:rsid w:val="66B141AA"/>
    <w:rsid w:val="66BC06A7"/>
    <w:rsid w:val="66C95231"/>
    <w:rsid w:val="66F127F8"/>
    <w:rsid w:val="670161BB"/>
    <w:rsid w:val="673F17B5"/>
    <w:rsid w:val="6740552D"/>
    <w:rsid w:val="674F751F"/>
    <w:rsid w:val="67801DCE"/>
    <w:rsid w:val="67994DEA"/>
    <w:rsid w:val="67A1334E"/>
    <w:rsid w:val="67A310C7"/>
    <w:rsid w:val="67AB5867"/>
    <w:rsid w:val="67AB6349"/>
    <w:rsid w:val="67B45A9E"/>
    <w:rsid w:val="68050BAD"/>
    <w:rsid w:val="68386205"/>
    <w:rsid w:val="684051B6"/>
    <w:rsid w:val="68413F22"/>
    <w:rsid w:val="6865279D"/>
    <w:rsid w:val="68D347A9"/>
    <w:rsid w:val="68E81A16"/>
    <w:rsid w:val="68EF4B15"/>
    <w:rsid w:val="690A194F"/>
    <w:rsid w:val="690E50D7"/>
    <w:rsid w:val="69196036"/>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1586"/>
    <w:rsid w:val="6A1D1368"/>
    <w:rsid w:val="6A2D0F05"/>
    <w:rsid w:val="6A615EE7"/>
    <w:rsid w:val="6A917936"/>
    <w:rsid w:val="6A9737B1"/>
    <w:rsid w:val="6AC83870"/>
    <w:rsid w:val="6ACE4B64"/>
    <w:rsid w:val="6B420181"/>
    <w:rsid w:val="6B485F70"/>
    <w:rsid w:val="6B4A697B"/>
    <w:rsid w:val="6B5276F7"/>
    <w:rsid w:val="6B7307FB"/>
    <w:rsid w:val="6B7834E8"/>
    <w:rsid w:val="6B9E2823"/>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E15FC"/>
    <w:rsid w:val="6DE1146D"/>
    <w:rsid w:val="6DE50BDD"/>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616B1"/>
    <w:rsid w:val="6FFC64B8"/>
    <w:rsid w:val="70161521"/>
    <w:rsid w:val="708244C1"/>
    <w:rsid w:val="708E6468"/>
    <w:rsid w:val="70D651E1"/>
    <w:rsid w:val="710F728C"/>
    <w:rsid w:val="71233EF6"/>
    <w:rsid w:val="712A3247"/>
    <w:rsid w:val="7149701B"/>
    <w:rsid w:val="71525DC3"/>
    <w:rsid w:val="717A14B1"/>
    <w:rsid w:val="718D75C1"/>
    <w:rsid w:val="71A05546"/>
    <w:rsid w:val="71A97BF2"/>
    <w:rsid w:val="71BA4938"/>
    <w:rsid w:val="71D8462F"/>
    <w:rsid w:val="71E84E2D"/>
    <w:rsid w:val="72223437"/>
    <w:rsid w:val="722E2B52"/>
    <w:rsid w:val="722F2426"/>
    <w:rsid w:val="72677E12"/>
    <w:rsid w:val="729D1A86"/>
    <w:rsid w:val="72AE5A41"/>
    <w:rsid w:val="72CD0967"/>
    <w:rsid w:val="72D827E1"/>
    <w:rsid w:val="72E10A70"/>
    <w:rsid w:val="72E716A1"/>
    <w:rsid w:val="72E826C1"/>
    <w:rsid w:val="72F06E48"/>
    <w:rsid w:val="72F5541E"/>
    <w:rsid w:val="73233E20"/>
    <w:rsid w:val="73306456"/>
    <w:rsid w:val="73667C95"/>
    <w:rsid w:val="737946E3"/>
    <w:rsid w:val="73AC4413"/>
    <w:rsid w:val="73C13552"/>
    <w:rsid w:val="73C96FD0"/>
    <w:rsid w:val="73D70FC8"/>
    <w:rsid w:val="741B2C62"/>
    <w:rsid w:val="742C30C1"/>
    <w:rsid w:val="743C0E2B"/>
    <w:rsid w:val="748922C2"/>
    <w:rsid w:val="74A0760B"/>
    <w:rsid w:val="74B27425"/>
    <w:rsid w:val="74E67714"/>
    <w:rsid w:val="75063B4C"/>
    <w:rsid w:val="750D2EF3"/>
    <w:rsid w:val="752370C9"/>
    <w:rsid w:val="75336FD3"/>
    <w:rsid w:val="753F3CA4"/>
    <w:rsid w:val="7548217D"/>
    <w:rsid w:val="75720FA8"/>
    <w:rsid w:val="759119C2"/>
    <w:rsid w:val="759B1BF3"/>
    <w:rsid w:val="75A26D62"/>
    <w:rsid w:val="75B0387E"/>
    <w:rsid w:val="75B64972"/>
    <w:rsid w:val="75BE0ADD"/>
    <w:rsid w:val="75C06DDC"/>
    <w:rsid w:val="75CD2F00"/>
    <w:rsid w:val="760761F4"/>
    <w:rsid w:val="762D1373"/>
    <w:rsid w:val="7647594D"/>
    <w:rsid w:val="768D3BBF"/>
    <w:rsid w:val="769759B7"/>
    <w:rsid w:val="76982C90"/>
    <w:rsid w:val="76C55B25"/>
    <w:rsid w:val="76F6723F"/>
    <w:rsid w:val="773B361B"/>
    <w:rsid w:val="773C15B8"/>
    <w:rsid w:val="77564730"/>
    <w:rsid w:val="776E1C43"/>
    <w:rsid w:val="777D7F31"/>
    <w:rsid w:val="77967EC6"/>
    <w:rsid w:val="77AB07A1"/>
    <w:rsid w:val="77B8676C"/>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A47B9E"/>
    <w:rsid w:val="79DF0BD6"/>
    <w:rsid w:val="79F71A7C"/>
    <w:rsid w:val="7A456C8B"/>
    <w:rsid w:val="7A6147CA"/>
    <w:rsid w:val="7A7255A6"/>
    <w:rsid w:val="7ADA324A"/>
    <w:rsid w:val="7AEA5A84"/>
    <w:rsid w:val="7AF060C1"/>
    <w:rsid w:val="7B03673F"/>
    <w:rsid w:val="7B136D89"/>
    <w:rsid w:val="7B242D44"/>
    <w:rsid w:val="7B27424C"/>
    <w:rsid w:val="7B3D5BB4"/>
    <w:rsid w:val="7BA101CA"/>
    <w:rsid w:val="7BB87930"/>
    <w:rsid w:val="7BF22E42"/>
    <w:rsid w:val="7C26489A"/>
    <w:rsid w:val="7C3A7CDC"/>
    <w:rsid w:val="7C5533D1"/>
    <w:rsid w:val="7C890B90"/>
    <w:rsid w:val="7C8D4919"/>
    <w:rsid w:val="7CD95DB0"/>
    <w:rsid w:val="7D136216"/>
    <w:rsid w:val="7D1F7C67"/>
    <w:rsid w:val="7D3467E3"/>
    <w:rsid w:val="7D491FE6"/>
    <w:rsid w:val="7D59295C"/>
    <w:rsid w:val="7D8558F5"/>
    <w:rsid w:val="7DA77C5D"/>
    <w:rsid w:val="7DDA1DE0"/>
    <w:rsid w:val="7DDC277D"/>
    <w:rsid w:val="7DF06F0E"/>
    <w:rsid w:val="7DFA4230"/>
    <w:rsid w:val="7E0E1A8A"/>
    <w:rsid w:val="7E2117BD"/>
    <w:rsid w:val="7E3C6D77"/>
    <w:rsid w:val="7E70757F"/>
    <w:rsid w:val="7E977CD1"/>
    <w:rsid w:val="7EC93128"/>
    <w:rsid w:val="7ECD476F"/>
    <w:rsid w:val="7ED00AED"/>
    <w:rsid w:val="7ED72E9F"/>
    <w:rsid w:val="7EDC56E4"/>
    <w:rsid w:val="7EE01327"/>
    <w:rsid w:val="7F016EF9"/>
    <w:rsid w:val="7F12400D"/>
    <w:rsid w:val="7F401355"/>
    <w:rsid w:val="7F407B93"/>
    <w:rsid w:val="7F413799"/>
    <w:rsid w:val="7F4C7981"/>
    <w:rsid w:val="7F547A24"/>
    <w:rsid w:val="7F5E259D"/>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39" w:semiHidden="0"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2"/>
    <w:autoRedefine/>
    <w:qFormat/>
    <w:uiPriority w:val="9"/>
    <w:pPr>
      <w:keepNext/>
      <w:keepLines/>
      <w:spacing w:before="340" w:after="330" w:line="578" w:lineRule="auto"/>
      <w:outlineLvl w:val="0"/>
    </w:pPr>
    <w:rPr>
      <w:bCs/>
      <w:kern w:val="44"/>
      <w:sz w:val="44"/>
      <w:szCs w:val="44"/>
    </w:rPr>
  </w:style>
  <w:style w:type="paragraph" w:styleId="3">
    <w:name w:val="heading 2"/>
    <w:basedOn w:val="1"/>
    <w:link w:val="40"/>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9"/>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5"/>
    <w:basedOn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spacing w:beforeLines="0" w:afterLines="0"/>
      <w:ind w:left="111"/>
      <w:outlineLvl w:val="5"/>
    </w:pPr>
    <w:rPr>
      <w:rFonts w:hint="eastAsia" w:ascii="宋体" w:hAnsi="宋体" w:eastAsia="宋体"/>
      <w:b/>
      <w:sz w:val="24"/>
      <w:szCs w:val="24"/>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8">
    <w:name w:val="annotation text"/>
    <w:basedOn w:val="1"/>
    <w:link w:val="37"/>
    <w:autoRedefine/>
    <w:semiHidden/>
    <w:unhideWhenUsed/>
    <w:qFormat/>
    <w:uiPriority w:val="99"/>
    <w:pPr>
      <w:jc w:val="left"/>
    </w:pPr>
    <w:rPr>
      <w:rFonts w:hint="eastAsia" w:ascii="等线" w:hAnsi="等线" w:eastAsia="等线" w:cs="Times New Roman"/>
    </w:rPr>
  </w:style>
  <w:style w:type="paragraph" w:styleId="9">
    <w:name w:val="Body Text"/>
    <w:basedOn w:val="1"/>
    <w:next w:val="1"/>
    <w:link w:val="43"/>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Indent"/>
    <w:basedOn w:val="1"/>
    <w:autoRedefine/>
    <w:qFormat/>
    <w:uiPriority w:val="99"/>
    <w:pPr>
      <w:spacing w:line="480" w:lineRule="exact"/>
      <w:ind w:firstLine="560" w:firstLineChars="200"/>
    </w:pPr>
    <w:rPr>
      <w:sz w:val="24"/>
    </w:rPr>
  </w:style>
  <w:style w:type="paragraph" w:styleId="11">
    <w:name w:val="toc 3"/>
    <w:basedOn w:val="1"/>
    <w:next w:val="1"/>
    <w:qFormat/>
    <w:uiPriority w:val="39"/>
    <w:pPr>
      <w:spacing w:line="360" w:lineRule="auto"/>
      <w:ind w:left="840" w:leftChars="400"/>
    </w:pPr>
    <w:rPr>
      <w:rFonts w:eastAsia="仿宋"/>
      <w:b/>
      <w:sz w:val="28"/>
    </w:rPr>
  </w:style>
  <w:style w:type="paragraph" w:styleId="12">
    <w:name w:val="Plain Text"/>
    <w:basedOn w:val="1"/>
    <w:link w:val="41"/>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ody Text Indent 2"/>
    <w:basedOn w:val="1"/>
    <w:qFormat/>
    <w:uiPriority w:val="0"/>
    <w:pPr>
      <w:spacing w:after="120" w:line="480" w:lineRule="auto"/>
      <w:ind w:left="420" w:leftChars="200"/>
    </w:pPr>
    <w:rPr>
      <w:rFonts w:eastAsia="仿宋_GB2312"/>
      <w:sz w:val="32"/>
      <w:szCs w:val="32"/>
    </w:rPr>
  </w:style>
  <w:style w:type="paragraph" w:styleId="14">
    <w:name w:val="Balloon Text"/>
    <w:basedOn w:val="1"/>
    <w:link w:val="35"/>
    <w:autoRedefine/>
    <w:semiHidden/>
    <w:unhideWhenUsed/>
    <w:qFormat/>
    <w:uiPriority w:val="99"/>
    <w:rPr>
      <w:sz w:val="18"/>
      <w:szCs w:val="18"/>
    </w:rPr>
  </w:style>
  <w:style w:type="paragraph" w:styleId="15">
    <w:name w:val="footer"/>
    <w:basedOn w:val="1"/>
    <w:link w:val="34"/>
    <w:autoRedefine/>
    <w:unhideWhenUsed/>
    <w:qFormat/>
    <w:uiPriority w:val="99"/>
    <w:pPr>
      <w:tabs>
        <w:tab w:val="center" w:pos="4153"/>
        <w:tab w:val="right" w:pos="8306"/>
      </w:tabs>
      <w:snapToGrid w:val="0"/>
      <w:jc w:val="left"/>
    </w:pPr>
    <w:rPr>
      <w:sz w:val="18"/>
      <w:szCs w:val="18"/>
    </w:rPr>
  </w:style>
  <w:style w:type="paragraph" w:styleId="16">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7">
    <w:name w:val="header"/>
    <w:basedOn w:val="1"/>
    <w:link w:val="3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9"/>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19">
    <w:name w:val="toc 4"/>
    <w:basedOn w:val="1"/>
    <w:next w:val="1"/>
    <w:qFormat/>
    <w:uiPriority w:val="39"/>
    <w:pPr>
      <w:tabs>
        <w:tab w:val="left" w:pos="1890"/>
        <w:tab w:val="right" w:leader="dot" w:pos="8296"/>
      </w:tabs>
      <w:spacing w:line="540" w:lineRule="exact"/>
    </w:pPr>
    <w:rPr>
      <w:rFonts w:eastAsia="仿宋"/>
      <w:sz w:val="24"/>
    </w:rPr>
  </w:style>
  <w:style w:type="paragraph" w:styleId="20">
    <w:name w:val="Body Text Indent 3"/>
    <w:basedOn w:val="1"/>
    <w:qFormat/>
    <w:uiPriority w:val="0"/>
  </w:style>
  <w:style w:type="paragraph" w:styleId="21">
    <w:name w:val="toc 2"/>
    <w:basedOn w:val="19"/>
    <w:next w:val="1"/>
    <w:qFormat/>
    <w:uiPriority w:val="0"/>
    <w:pPr>
      <w:tabs>
        <w:tab w:val="right" w:leader="dot" w:pos="8306"/>
        <w:tab w:val="clear" w:pos="1890"/>
        <w:tab w:val="clear" w:pos="8296"/>
      </w:tabs>
      <w:spacing w:line="480" w:lineRule="exact"/>
      <w:ind w:firstLine="480" w:firstLineChars="200"/>
    </w:pPr>
  </w:style>
  <w:style w:type="paragraph" w:styleId="22">
    <w:name w:val="Normal (Web)"/>
    <w:basedOn w:val="1"/>
    <w:autoRedefine/>
    <w:semiHidden/>
    <w:unhideWhenUsed/>
    <w:qFormat/>
    <w:uiPriority w:val="99"/>
    <w:rPr>
      <w:sz w:val="24"/>
    </w:rPr>
  </w:style>
  <w:style w:type="paragraph" w:styleId="23">
    <w:name w:val="annotation subject"/>
    <w:basedOn w:val="8"/>
    <w:next w:val="8"/>
    <w:link w:val="38"/>
    <w:autoRedefine/>
    <w:semiHidden/>
    <w:unhideWhenUsed/>
    <w:qFormat/>
    <w:uiPriority w:val="99"/>
    <w:rPr>
      <w:b/>
      <w:bCs/>
    </w:rPr>
  </w:style>
  <w:style w:type="paragraph" w:styleId="24">
    <w:name w:val="Body Text First Indent"/>
    <w:basedOn w:val="9"/>
    <w:qFormat/>
    <w:uiPriority w:val="0"/>
    <w:pPr>
      <w:snapToGrid w:val="0"/>
      <w:spacing w:after="120" w:line="360" w:lineRule="auto"/>
      <w:ind w:right="240" w:firstLine="420" w:firstLineChars="100"/>
      <w:jc w:val="left"/>
    </w:pPr>
    <w:rPr>
      <w:rFonts w:ascii="宋体" w:hAnsi="宋体" w:eastAsia="方正仿宋_GBK"/>
      <w:szCs w:val="28"/>
    </w:rPr>
  </w:style>
  <w:style w:type="paragraph" w:styleId="25">
    <w:name w:val="Body Text First Indent 2"/>
    <w:basedOn w:val="1"/>
    <w:autoRedefine/>
    <w:unhideWhenUsed/>
    <w:qFormat/>
    <w:uiPriority w:val="0"/>
    <w:pPr>
      <w:spacing w:after="120" w:line="240" w:lineRule="auto"/>
      <w:ind w:left="420" w:leftChars="200" w:firstLine="420"/>
    </w:pPr>
    <w:rPr>
      <w:rFonts w:ascii="Calibri" w:hAnsi="Calibri" w:eastAsia="Times New Roman"/>
    </w:rPr>
  </w:style>
  <w:style w:type="table" w:styleId="27">
    <w:name w:val="Table Grid"/>
    <w:basedOn w:val="2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style>
  <w:style w:type="character" w:styleId="30">
    <w:name w:val="Emphasis"/>
    <w:basedOn w:val="28"/>
    <w:qFormat/>
    <w:uiPriority w:val="0"/>
    <w:rPr>
      <w:i/>
    </w:rPr>
  </w:style>
  <w:style w:type="character" w:styleId="31">
    <w:name w:val="Hyperlink"/>
    <w:unhideWhenUsed/>
    <w:qFormat/>
    <w:uiPriority w:val="99"/>
    <w:rPr>
      <w:color w:val="0000FF"/>
      <w:u w:val="single"/>
    </w:rPr>
  </w:style>
  <w:style w:type="character" w:styleId="32">
    <w:name w:val="annotation reference"/>
    <w:basedOn w:val="28"/>
    <w:autoRedefine/>
    <w:semiHidden/>
    <w:unhideWhenUsed/>
    <w:qFormat/>
    <w:uiPriority w:val="99"/>
    <w:rPr>
      <w:sz w:val="21"/>
      <w:szCs w:val="21"/>
    </w:rPr>
  </w:style>
  <w:style w:type="character" w:customStyle="1" w:styleId="33">
    <w:name w:val="页眉 字符"/>
    <w:basedOn w:val="28"/>
    <w:link w:val="17"/>
    <w:autoRedefine/>
    <w:qFormat/>
    <w:uiPriority w:val="99"/>
    <w:rPr>
      <w:sz w:val="18"/>
      <w:szCs w:val="18"/>
    </w:rPr>
  </w:style>
  <w:style w:type="character" w:customStyle="1" w:styleId="34">
    <w:name w:val="页脚 字符"/>
    <w:basedOn w:val="28"/>
    <w:link w:val="15"/>
    <w:autoRedefine/>
    <w:qFormat/>
    <w:uiPriority w:val="99"/>
    <w:rPr>
      <w:sz w:val="18"/>
      <w:szCs w:val="18"/>
    </w:rPr>
  </w:style>
  <w:style w:type="character" w:customStyle="1" w:styleId="35">
    <w:name w:val="批注框文本 字符"/>
    <w:basedOn w:val="28"/>
    <w:link w:val="14"/>
    <w:autoRedefine/>
    <w:semiHidden/>
    <w:qFormat/>
    <w:uiPriority w:val="99"/>
    <w:rPr>
      <w:sz w:val="18"/>
      <w:szCs w:val="18"/>
    </w:rPr>
  </w:style>
  <w:style w:type="paragraph" w:styleId="36">
    <w:name w:val="List Paragraph"/>
    <w:basedOn w:val="1"/>
    <w:autoRedefine/>
    <w:qFormat/>
    <w:uiPriority w:val="34"/>
    <w:pPr>
      <w:ind w:firstLine="420" w:firstLineChars="200"/>
    </w:pPr>
  </w:style>
  <w:style w:type="character" w:customStyle="1" w:styleId="37">
    <w:name w:val="批注文字 字符"/>
    <w:basedOn w:val="28"/>
    <w:link w:val="8"/>
    <w:autoRedefine/>
    <w:semiHidden/>
    <w:qFormat/>
    <w:uiPriority w:val="99"/>
  </w:style>
  <w:style w:type="character" w:customStyle="1" w:styleId="38">
    <w:name w:val="批注主题 字符"/>
    <w:basedOn w:val="37"/>
    <w:link w:val="23"/>
    <w:autoRedefine/>
    <w:semiHidden/>
    <w:qFormat/>
    <w:uiPriority w:val="99"/>
    <w:rPr>
      <w:b/>
      <w:bCs/>
    </w:rPr>
  </w:style>
  <w:style w:type="character" w:customStyle="1" w:styleId="39">
    <w:name w:val="标题 3 字符"/>
    <w:basedOn w:val="28"/>
    <w:link w:val="4"/>
    <w:autoRedefine/>
    <w:qFormat/>
    <w:uiPriority w:val="9"/>
    <w:rPr>
      <w:rFonts w:ascii="Times New Roman" w:hAnsi="Times New Roman" w:eastAsia="宋体" w:cs="Times New Roman"/>
      <w:b/>
      <w:kern w:val="0"/>
      <w:sz w:val="24"/>
      <w:szCs w:val="24"/>
    </w:rPr>
  </w:style>
  <w:style w:type="character" w:customStyle="1" w:styleId="40">
    <w:name w:val="标题 2 字符"/>
    <w:basedOn w:val="28"/>
    <w:link w:val="3"/>
    <w:autoRedefine/>
    <w:semiHidden/>
    <w:qFormat/>
    <w:uiPriority w:val="9"/>
    <w:rPr>
      <w:rFonts w:asciiTheme="majorHAnsi" w:hAnsiTheme="majorHAnsi" w:eastAsiaTheme="majorEastAsia" w:cstheme="majorBidi"/>
      <w:b/>
      <w:bCs/>
      <w:sz w:val="32"/>
      <w:szCs w:val="32"/>
    </w:rPr>
  </w:style>
  <w:style w:type="character" w:customStyle="1" w:styleId="41">
    <w:name w:val="纯文本 字符"/>
    <w:basedOn w:val="28"/>
    <w:link w:val="12"/>
    <w:autoRedefine/>
    <w:qFormat/>
    <w:uiPriority w:val="99"/>
    <w:rPr>
      <w:rFonts w:ascii="宋体" w:hAnsi="Courier New" w:eastAsia="宋体" w:cs="宋体"/>
      <w:kern w:val="0"/>
      <w:sz w:val="20"/>
      <w:szCs w:val="20"/>
    </w:rPr>
  </w:style>
  <w:style w:type="character" w:customStyle="1" w:styleId="42">
    <w:name w:val="标题 1 字符"/>
    <w:basedOn w:val="28"/>
    <w:link w:val="2"/>
    <w:autoRedefine/>
    <w:qFormat/>
    <w:uiPriority w:val="9"/>
    <w:rPr>
      <w:b/>
      <w:bCs/>
      <w:kern w:val="44"/>
      <w:sz w:val="44"/>
      <w:szCs w:val="44"/>
    </w:rPr>
  </w:style>
  <w:style w:type="character" w:customStyle="1" w:styleId="43">
    <w:name w:val="正文文本 字符"/>
    <w:basedOn w:val="28"/>
    <w:link w:val="9"/>
    <w:autoRedefine/>
    <w:qFormat/>
    <w:uiPriority w:val="99"/>
    <w:rPr>
      <w:rFonts w:ascii="Times New Roman" w:hAnsi="Times New Roman" w:eastAsia="宋体" w:cs="Times New Roman"/>
      <w:kern w:val="0"/>
      <w:szCs w:val="21"/>
    </w:rPr>
  </w:style>
  <w:style w:type="paragraph" w:customStyle="1" w:styleId="44">
    <w:name w:val="List Paragraph1"/>
    <w:basedOn w:val="1"/>
    <w:autoRedefine/>
    <w:qFormat/>
    <w:uiPriority w:val="0"/>
    <w:pPr>
      <w:ind w:firstLine="420" w:firstLineChars="200"/>
    </w:pPr>
    <w:rPr>
      <w:rFonts w:ascii="等线" w:hAnsi="等线" w:eastAsia="等线" w:cs="Times New Roman"/>
      <w:szCs w:val="21"/>
    </w:rPr>
  </w:style>
  <w:style w:type="paragraph" w:customStyle="1" w:styleId="45">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普通(网站) Char"/>
    <w:basedOn w:val="1"/>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47">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_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8"/>
    <w:qFormat/>
    <w:uiPriority w:val="0"/>
    <w:rPr>
      <w:rFonts w:hint="eastAsia" w:ascii="楷体" w:hAnsi="楷体" w:eastAsia="楷体" w:cs="楷体"/>
      <w:color w:val="000000"/>
      <w:sz w:val="24"/>
      <w:szCs w:val="24"/>
      <w:u w:val="none"/>
    </w:rPr>
  </w:style>
  <w:style w:type="character" w:customStyle="1" w:styleId="53">
    <w:name w:val="font71"/>
    <w:basedOn w:val="28"/>
    <w:qFormat/>
    <w:uiPriority w:val="0"/>
    <w:rPr>
      <w:rFonts w:hint="eastAsia" w:ascii="宋体" w:hAnsi="宋体" w:eastAsia="宋体" w:cs="宋体"/>
      <w:b/>
      <w:bCs/>
      <w:color w:val="FF0000"/>
      <w:sz w:val="20"/>
      <w:szCs w:val="20"/>
      <w:u w:val="none"/>
    </w:rPr>
  </w:style>
  <w:style w:type="character" w:customStyle="1" w:styleId="54">
    <w:name w:val="font41"/>
    <w:basedOn w:val="28"/>
    <w:qFormat/>
    <w:uiPriority w:val="0"/>
    <w:rPr>
      <w:rFonts w:hint="eastAsia" w:ascii="楷体" w:hAnsi="楷体" w:eastAsia="楷体" w:cs="楷体"/>
      <w:color w:val="000000"/>
      <w:sz w:val="24"/>
      <w:szCs w:val="24"/>
      <w:u w:val="none"/>
    </w:rPr>
  </w:style>
  <w:style w:type="character" w:customStyle="1" w:styleId="55">
    <w:name w:val="font61"/>
    <w:basedOn w:val="28"/>
    <w:qFormat/>
    <w:uiPriority w:val="0"/>
    <w:rPr>
      <w:rFonts w:hint="eastAsia" w:ascii="宋体" w:hAnsi="宋体" w:eastAsia="宋体" w:cs="宋体"/>
      <w:color w:val="000000"/>
      <w:sz w:val="24"/>
      <w:szCs w:val="24"/>
      <w:u w:val="none"/>
    </w:rPr>
  </w:style>
  <w:style w:type="character" w:customStyle="1" w:styleId="56">
    <w:name w:val="font01"/>
    <w:basedOn w:val="28"/>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pPr>
      <w:spacing w:beforeLines="0" w:afterLines="0"/>
    </w:pPr>
    <w:rPr>
      <w:rFonts w:hint="default"/>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正文_17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1">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62">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3">
    <w:name w:val="Char Char1"/>
    <w:basedOn w:val="1"/>
    <w:qFormat/>
    <w:uiPriority w:val="0"/>
    <w:rPr>
      <w:rFonts w:ascii="Times New Roman" w:hAnsi="Times New Roman" w:eastAsia="宋体" w:cs="Times New Roman"/>
      <w:sz w:val="32"/>
    </w:rPr>
  </w:style>
  <w:style w:type="character" w:customStyle="1" w:styleId="64">
    <w:name w:val="font11"/>
    <w:basedOn w:val="28"/>
    <w:qFormat/>
    <w:uiPriority w:val="0"/>
    <w:rPr>
      <w:rFonts w:hint="eastAsia" w:ascii="宋体" w:hAnsi="宋体" w:eastAsia="宋体" w:cs="宋体"/>
      <w:color w:val="000000"/>
      <w:sz w:val="22"/>
      <w:szCs w:val="22"/>
      <w:u w:val="none"/>
    </w:rPr>
  </w:style>
  <w:style w:type="character" w:customStyle="1" w:styleId="65">
    <w:name w:val="font81"/>
    <w:basedOn w:val="28"/>
    <w:qFormat/>
    <w:uiPriority w:val="0"/>
    <w:rPr>
      <w:rFonts w:hint="eastAsia" w:ascii="宋体" w:hAnsi="宋体" w:eastAsia="宋体" w:cs="宋体"/>
      <w:color w:val="FF0000"/>
      <w:sz w:val="22"/>
      <w:szCs w:val="22"/>
      <w:u w:val="none"/>
    </w:rPr>
  </w:style>
  <w:style w:type="character" w:customStyle="1" w:styleId="66">
    <w:name w:val="font21"/>
    <w:basedOn w:val="28"/>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footer" Target="footer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105"/>
    <customShpInfo spid="_x0000_s4106"/>
    <customShpInfo spid="_x0000_s4107"/>
    <customShpInfo spid="_x0000_s4108"/>
    <customShpInfo spid="_x0000_s4109"/>
    <customShpInfo spid="_x0000_s4110"/>
    <customShpInfo spid="_x0000_s4111"/>
    <customShpInfo spid="_x0000_s4112"/>
    <customShpInfo spid="_x0000_s4113"/>
    <customShpInfo spid="_x0000_s4096"/>
    <customShpInfo spid="_x0000_s4097"/>
    <customShpInfo spid="_x0000_s4098"/>
    <customShpInfo spid="_x0000_s4099"/>
    <customShpInfo spid="_x0000_s4100"/>
    <customShpInfo spid="_x0000_s4101"/>
    <customShpInfo spid="_x0000_s4102"/>
    <customShpInfo spid="_x0000_s4103"/>
    <customShpInfo spid="_x0000_s4104"/>
    <customShpInfo spid="_x0000_s4123"/>
    <customShpInfo spid="_x0000_s4124"/>
    <customShpInfo spid="_x0000_s4125"/>
    <customShpInfo spid="_x0000_s4126"/>
    <customShpInfo spid="_x0000_s4127"/>
    <customShpInfo spid="_x0000_s4128"/>
    <customShpInfo spid="_x0000_s4129"/>
    <customShpInfo spid="_x0000_s4130"/>
    <customShpInfo spid="_x0000_s4131"/>
    <customShpInfo spid="_x0000_s4114"/>
    <customShpInfo spid="_x0000_s4115"/>
    <customShpInfo spid="_x0000_s4116"/>
    <customShpInfo spid="_x0000_s4117"/>
    <customShpInfo spid="_x0000_s4118"/>
    <customShpInfo spid="_x0000_s4119"/>
    <customShpInfo spid="_x0000_s4120"/>
    <customShpInfo spid="_x0000_s4121"/>
    <customShpInfo spid="_x0000_s412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164</Pages>
  <Words>1549</Words>
  <Characters>1714</Characters>
  <Lines>90</Lines>
  <Paragraphs>25</Paragraphs>
  <TotalTime>5</TotalTime>
  <ScaleCrop>false</ScaleCrop>
  <LinksUpToDate>false</LinksUpToDate>
  <CharactersWithSpaces>1756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2025-09-23T01:52:01Z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3AF473CFC23F40629C6F15C309B48742_13</vt:lpwstr>
  </property>
  <property fmtid="{D5CDD505-2E9C-101B-9397-08002B2CF9AE}" pid="4" name="KSOTemplateDocerSaveRecord">
    <vt:lpwstr>eyJoZGlkIjoiY2UzOGVjYTkyYTRhZGNhZWE3ODEwZDk3MzE3NWQwYzciLCJ1c2VySWQiOiI2NzMzMzUyNzQifQ==</vt:lpwstr>
  </property>
</Properties>
</file>